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D38B0" w14:textId="44402C18" w:rsidR="00390634" w:rsidRPr="00390634" w:rsidRDefault="009C2B41" w:rsidP="00127CB4">
      <w:pPr>
        <w:jc w:val="center"/>
        <w:rPr>
          <w:b/>
        </w:rPr>
      </w:pPr>
      <w:r>
        <w:rPr>
          <w:b/>
        </w:rPr>
        <w:t>Consultation du public</w:t>
      </w:r>
    </w:p>
    <w:p w14:paraId="0194984D" w14:textId="10619745" w:rsidR="00127CB4" w:rsidRPr="00127CB4" w:rsidRDefault="00127CB4" w:rsidP="00127CB4">
      <w:pPr>
        <w:jc w:val="center"/>
        <w:rPr>
          <w:b/>
          <w:bCs/>
        </w:rPr>
      </w:pPr>
      <w:r w:rsidRPr="00127CB4">
        <w:rPr>
          <w:b/>
        </w:rPr>
        <w:t>Projet de décret</w:t>
      </w:r>
      <w:r>
        <w:t xml:space="preserve"> </w:t>
      </w:r>
      <w:r w:rsidRPr="00127CB4">
        <w:rPr>
          <w:b/>
          <w:bCs/>
        </w:rPr>
        <w:t xml:space="preserve">portant diverses dispositions relatives à </w:t>
      </w:r>
      <w:r w:rsidR="008552C5">
        <w:rPr>
          <w:b/>
          <w:bCs/>
        </w:rPr>
        <w:t xml:space="preserve">la </w:t>
      </w:r>
      <w:r w:rsidRPr="00127CB4">
        <w:rPr>
          <w:b/>
          <w:bCs/>
        </w:rPr>
        <w:t xml:space="preserve">procédure d’autorisation environnementale, à la planification et à la gestion de la ressource en eau </w:t>
      </w:r>
    </w:p>
    <w:p w14:paraId="3CA365B7" w14:textId="77777777" w:rsidR="00127CB4" w:rsidRPr="00127CB4" w:rsidRDefault="00127CB4" w:rsidP="002F5BAE">
      <w:pPr>
        <w:jc w:val="center"/>
      </w:pPr>
      <w:r w:rsidRPr="00127CB4">
        <w:t>NOR :</w:t>
      </w:r>
      <w:r w:rsidRPr="00127CB4">
        <w:rPr>
          <w:b/>
          <w:bCs/>
        </w:rPr>
        <w:t xml:space="preserve"> </w:t>
      </w:r>
      <w:r w:rsidRPr="00127CB4">
        <w:rPr>
          <w:bCs/>
        </w:rPr>
        <w:t>TREL2304842D</w:t>
      </w:r>
    </w:p>
    <w:p w14:paraId="6381E99B" w14:textId="63690EE9" w:rsidR="00EE0793" w:rsidRDefault="009C2B41" w:rsidP="002F5BAE">
      <w:pPr>
        <w:jc w:val="center"/>
      </w:pPr>
      <w:r>
        <w:rPr>
          <w:u w:val="single"/>
        </w:rPr>
        <w:t>Note de présentation</w:t>
      </w:r>
    </w:p>
    <w:p w14:paraId="0E0D145F" w14:textId="4969F170" w:rsidR="005F6E28" w:rsidRDefault="00464D03" w:rsidP="00D674A7">
      <w:pPr>
        <w:jc w:val="both"/>
      </w:pPr>
      <w:r>
        <w:t xml:space="preserve">Ce projet de décret a pour objet d’améliorer les </w:t>
      </w:r>
      <w:r w:rsidR="00055E3E">
        <w:t>rédactions</w:t>
      </w:r>
      <w:r>
        <w:t xml:space="preserve"> de certaines dispositions du code de l’environnement relatives à l’eau et à l’autorisation environnementale. Ces dispositions ont été identifiées à l’occasion d’échanges </w:t>
      </w:r>
      <w:r w:rsidR="00055E3E">
        <w:t>l</w:t>
      </w:r>
      <w:r>
        <w:t xml:space="preserve">’administration centrale </w:t>
      </w:r>
      <w:r w:rsidR="00055E3E">
        <w:t>et les services déconcentrés du ministère de la transition écologique et de la cohésion des territoires (MTECT)</w:t>
      </w:r>
      <w:r>
        <w:t>.</w:t>
      </w:r>
      <w:r w:rsidR="009C2B41">
        <w:t xml:space="preserve"> </w:t>
      </w:r>
      <w:r w:rsidR="008811C9">
        <w:t>Le décret ne vise</w:t>
      </w:r>
      <w:r>
        <w:t xml:space="preserve"> </w:t>
      </w:r>
      <w:r w:rsidR="005F6E28">
        <w:t>pas une refonte</w:t>
      </w:r>
      <w:r>
        <w:t xml:space="preserve"> complète</w:t>
      </w:r>
      <w:r w:rsidR="005F6E28">
        <w:t xml:space="preserve"> des dispositifs existants mais </w:t>
      </w:r>
      <w:r>
        <w:t xml:space="preserve">plutôt des </w:t>
      </w:r>
      <w:r w:rsidR="00055E3E">
        <w:t>clarifications</w:t>
      </w:r>
      <w:r w:rsidR="005F6E28">
        <w:t xml:space="preserve"> </w:t>
      </w:r>
      <w:r w:rsidR="00055E3E">
        <w:t xml:space="preserve">des rédactions ainsi que </w:t>
      </w:r>
      <w:r>
        <w:t xml:space="preserve">la </w:t>
      </w:r>
      <w:r w:rsidR="005F6E28">
        <w:t>mise à jour des</w:t>
      </w:r>
      <w:r>
        <w:t xml:space="preserve"> renvois à d’autres </w:t>
      </w:r>
      <w:r w:rsidR="00055E3E">
        <w:t>codes.</w:t>
      </w:r>
      <w:bookmarkStart w:id="0" w:name="_GoBack"/>
      <w:bookmarkEnd w:id="0"/>
    </w:p>
    <w:p w14:paraId="26D33124" w14:textId="7EF9196D" w:rsidR="005F6E28" w:rsidRDefault="00464D03" w:rsidP="00D674A7">
      <w:pPr>
        <w:jc w:val="both"/>
      </w:pPr>
      <w:r>
        <w:t>L</w:t>
      </w:r>
      <w:r w:rsidR="00EE0793">
        <w:t xml:space="preserve">e </w:t>
      </w:r>
      <w:r w:rsidR="00890A4D">
        <w:t xml:space="preserve">projet de </w:t>
      </w:r>
      <w:r w:rsidR="00EE0793">
        <w:t xml:space="preserve">décret </w:t>
      </w:r>
      <w:r w:rsidR="00055E3E">
        <w:t>a reçu l’avis favorable</w:t>
      </w:r>
      <w:r w:rsidR="00963A01">
        <w:t xml:space="preserve"> de la Mission interministérielle de l’eau </w:t>
      </w:r>
      <w:r w:rsidR="00055E3E">
        <w:t xml:space="preserve">le 6 avril et du Conseil supérieur de l’énergie le 18 avril et vise à </w:t>
      </w:r>
      <w:r w:rsidR="00EE0793">
        <w:t>modifie</w:t>
      </w:r>
      <w:r w:rsidR="00055E3E">
        <w:t>r</w:t>
      </w:r>
      <w:r w:rsidR="00EE0793">
        <w:t xml:space="preserve"> </w:t>
      </w:r>
      <w:r>
        <w:t>douze articles du</w:t>
      </w:r>
      <w:r w:rsidR="00EE0793">
        <w:t xml:space="preserve"> livre II de la partie réglementaire du code de l’environnement</w:t>
      </w:r>
      <w:r w:rsidR="00963A01">
        <w:t xml:space="preserve">, relatifs à la police des eaux ou à la procédure et à la mise en œuvre d’autorisation environnementale dans le cadre de l’application de rubriques issues de la nomenclature IOTA. </w:t>
      </w:r>
    </w:p>
    <w:p w14:paraId="35515D17" w14:textId="322569B7" w:rsidR="00055E3E" w:rsidRDefault="00055E3E" w:rsidP="00055E3E">
      <w:pPr>
        <w:pStyle w:val="Listepuces"/>
        <w:numPr>
          <w:ilvl w:val="0"/>
          <w:numId w:val="0"/>
        </w:numPr>
        <w:jc w:val="both"/>
      </w:pPr>
      <w:r w:rsidRPr="00055E3E">
        <w:t>L’article 1</w:t>
      </w:r>
      <w:r w:rsidRPr="005E1CE7">
        <w:rPr>
          <w:vertAlign w:val="superscript"/>
        </w:rPr>
        <w:t>er</w:t>
      </w:r>
      <w:r w:rsidR="005E1CE7">
        <w:t xml:space="preserve"> du décret </w:t>
      </w:r>
      <w:r>
        <w:t>annonce la modification du code de l’environnement alor</w:t>
      </w:r>
      <w:r w:rsidR="005E1CE7">
        <w:t>s que s</w:t>
      </w:r>
      <w:r>
        <w:t>es articles 2,3,</w:t>
      </w:r>
      <w:r w:rsidR="005E1CE7">
        <w:t>4,6</w:t>
      </w:r>
      <w:r>
        <w:t>,</w:t>
      </w:r>
      <w:r w:rsidR="009C2B41">
        <w:t>9,</w:t>
      </w:r>
      <w:r>
        <w:t>10</w:t>
      </w:r>
      <w:r w:rsidR="009C2B41">
        <w:t xml:space="preserve"> </w:t>
      </w:r>
      <w:r>
        <w:t xml:space="preserve">visent principalement à corriger des renvois désuets, à clarifier </w:t>
      </w:r>
      <w:r w:rsidR="005E1CE7">
        <w:t xml:space="preserve">ou rectifier </w:t>
      </w:r>
      <w:r>
        <w:t xml:space="preserve">des </w:t>
      </w:r>
      <w:r w:rsidR="005E1CE7">
        <w:t>rédactions, à</w:t>
      </w:r>
      <w:r>
        <w:t xml:space="preserve"> permettre la prise d’arrêtés non correctement app</w:t>
      </w:r>
      <w:r w:rsidR="009C2B41">
        <w:t xml:space="preserve">elés par les textes en vigueur ou </w:t>
      </w:r>
      <w:r w:rsidR="005E1CE7">
        <w:t xml:space="preserve">à </w:t>
      </w:r>
      <w:r>
        <w:t xml:space="preserve">préciser des notions. </w:t>
      </w:r>
    </w:p>
    <w:p w14:paraId="7E798A95" w14:textId="523C023D" w:rsidR="00037C1B" w:rsidRDefault="00037C1B" w:rsidP="00037C1B">
      <w:pPr>
        <w:jc w:val="both"/>
      </w:pPr>
      <w:r>
        <w:t xml:space="preserve">L’article </w:t>
      </w:r>
      <w:r w:rsidR="005E1CE7">
        <w:t>5</w:t>
      </w:r>
      <w:r>
        <w:t xml:space="preserve"> du décret permet l’application des arrêtés de prescriptions générales aux ouvrages soumis à déclaration IOTA existants avant la loi sur l’eau (1992) en supprimant l’article R.211-8. </w:t>
      </w:r>
      <w:r w:rsidR="009C2B41">
        <w:t>L’article 7 corrige la rédaction de l’article R.214-18-1 afin d’en permettre l’application aux plans d’eau.</w:t>
      </w:r>
    </w:p>
    <w:p w14:paraId="533B29F6" w14:textId="756253A5" w:rsidR="00055E3E" w:rsidRPr="00037C1B" w:rsidRDefault="00055E3E" w:rsidP="00055E3E">
      <w:pPr>
        <w:jc w:val="both"/>
      </w:pPr>
      <w:r w:rsidRPr="00037C1B">
        <w:t>L</w:t>
      </w:r>
      <w:r w:rsidR="009C2B41">
        <w:t>’</w:t>
      </w:r>
      <w:r w:rsidR="005E1CE7">
        <w:t>article 8</w:t>
      </w:r>
      <w:r w:rsidRPr="00037C1B">
        <w:t xml:space="preserve"> modifie l’article R. 214-22 </w:t>
      </w:r>
      <w:r w:rsidR="009C2B41">
        <w:t xml:space="preserve">du code de l’environnement </w:t>
      </w:r>
      <w:r w:rsidR="00E250B5">
        <w:t>afin de définir les modalités</w:t>
      </w:r>
      <w:r w:rsidRPr="00037C1B">
        <w:t xml:space="preserve"> dans lesquelles le préfet peut encadrer l’irri</w:t>
      </w:r>
      <w:r w:rsidR="00E250B5">
        <w:t xml:space="preserve">gation, lorsque l’instruction </w:t>
      </w:r>
      <w:r w:rsidRPr="00037C1B">
        <w:t xml:space="preserve">des nouvelles demandes d’autorisation unique de prélèvement ne peut pas être faite dans des délais. Cette disposition vise à garantir que l’irrigation soit menée dans le respect de l’autorité de la chose jugée ainsi que des objectifs de gestion équilibrée de la ressource en </w:t>
      </w:r>
      <w:r w:rsidR="00037C1B" w:rsidRPr="00037C1B">
        <w:t xml:space="preserve">eau issus des SDAGE, par l’introduction d’un plafond cohérent avec ceux indiqués dans les décisions jurisprudentielles récentes et correspondant à </w:t>
      </w:r>
      <w:r w:rsidR="00037C1B" w:rsidRPr="00037C1B">
        <w:rPr>
          <w:rFonts w:cstheme="minorHAnsi"/>
        </w:rPr>
        <w:t>la moyenne des prélèvements annuels effectivement réalisés sur chaque point de prélèvement sur les dix dernières années</w:t>
      </w:r>
      <w:r w:rsidR="00037C1B">
        <w:t xml:space="preserve">. </w:t>
      </w:r>
    </w:p>
    <w:sectPr w:rsidR="00055E3E" w:rsidRPr="00037C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26699" w14:textId="77777777" w:rsidR="009C7E0D" w:rsidRDefault="009C7E0D" w:rsidP="009C7E0D">
      <w:pPr>
        <w:spacing w:after="0" w:line="240" w:lineRule="auto"/>
      </w:pPr>
      <w:r>
        <w:separator/>
      </w:r>
    </w:p>
  </w:endnote>
  <w:endnote w:type="continuationSeparator" w:id="0">
    <w:p w14:paraId="278423C6" w14:textId="77777777" w:rsidR="009C7E0D" w:rsidRDefault="009C7E0D" w:rsidP="009C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365631"/>
      <w:docPartObj>
        <w:docPartGallery w:val="Page Numbers (Bottom of Page)"/>
        <w:docPartUnique/>
      </w:docPartObj>
    </w:sdtPr>
    <w:sdtEndPr/>
    <w:sdtContent>
      <w:p w14:paraId="684E5E98" w14:textId="3EF444BD" w:rsidR="001A6353" w:rsidRDefault="001A635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0B5">
          <w:rPr>
            <w:noProof/>
          </w:rPr>
          <w:t>1</w:t>
        </w:r>
        <w:r>
          <w:fldChar w:fldCharType="end"/>
        </w:r>
      </w:p>
    </w:sdtContent>
  </w:sdt>
  <w:p w14:paraId="6AA0DDC2" w14:textId="77777777" w:rsidR="001A6353" w:rsidRDefault="001A63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80E50" w14:textId="77777777" w:rsidR="009C7E0D" w:rsidRDefault="009C7E0D" w:rsidP="009C7E0D">
      <w:pPr>
        <w:spacing w:after="0" w:line="240" w:lineRule="auto"/>
      </w:pPr>
      <w:r>
        <w:separator/>
      </w:r>
    </w:p>
  </w:footnote>
  <w:footnote w:type="continuationSeparator" w:id="0">
    <w:p w14:paraId="171EDBA5" w14:textId="77777777" w:rsidR="009C7E0D" w:rsidRDefault="009C7E0D" w:rsidP="009C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99D2" w14:textId="05BE4B31" w:rsidR="001A6353" w:rsidRDefault="001A6353">
    <w:pPr>
      <w:pStyle w:val="En-tte"/>
    </w:pPr>
    <w:r>
      <w:t xml:space="preserve">DGALN/DEB/CASP-J </w:t>
    </w:r>
    <w:r>
      <w:tab/>
    </w:r>
    <w:r>
      <w:tab/>
      <w:t>210423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EA6E2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B4"/>
    <w:rsid w:val="00002215"/>
    <w:rsid w:val="00037C1B"/>
    <w:rsid w:val="00040FE7"/>
    <w:rsid w:val="00041332"/>
    <w:rsid w:val="00055E3E"/>
    <w:rsid w:val="000B75D2"/>
    <w:rsid w:val="00127CB4"/>
    <w:rsid w:val="001A6353"/>
    <w:rsid w:val="001B3572"/>
    <w:rsid w:val="001C6F60"/>
    <w:rsid w:val="00201087"/>
    <w:rsid w:val="002550CB"/>
    <w:rsid w:val="002F5BAE"/>
    <w:rsid w:val="00381117"/>
    <w:rsid w:val="00390634"/>
    <w:rsid w:val="003F6F3F"/>
    <w:rsid w:val="00464D03"/>
    <w:rsid w:val="00470E00"/>
    <w:rsid w:val="00481F66"/>
    <w:rsid w:val="00537B2D"/>
    <w:rsid w:val="0054189D"/>
    <w:rsid w:val="00544BF5"/>
    <w:rsid w:val="005E1CE7"/>
    <w:rsid w:val="005E553F"/>
    <w:rsid w:val="005F6E28"/>
    <w:rsid w:val="00613A0F"/>
    <w:rsid w:val="00631BAE"/>
    <w:rsid w:val="00677EB5"/>
    <w:rsid w:val="006B3962"/>
    <w:rsid w:val="006F1356"/>
    <w:rsid w:val="00711455"/>
    <w:rsid w:val="00760E94"/>
    <w:rsid w:val="007C49C3"/>
    <w:rsid w:val="007C5537"/>
    <w:rsid w:val="007D0FDF"/>
    <w:rsid w:val="008552C5"/>
    <w:rsid w:val="00857BD7"/>
    <w:rsid w:val="008811C9"/>
    <w:rsid w:val="00885875"/>
    <w:rsid w:val="00890A4D"/>
    <w:rsid w:val="008A4305"/>
    <w:rsid w:val="008F3971"/>
    <w:rsid w:val="00916619"/>
    <w:rsid w:val="00963A01"/>
    <w:rsid w:val="009C2B41"/>
    <w:rsid w:val="009C7E0D"/>
    <w:rsid w:val="00A46B89"/>
    <w:rsid w:val="00B1196A"/>
    <w:rsid w:val="00B17469"/>
    <w:rsid w:val="00BD0DB9"/>
    <w:rsid w:val="00BD0F46"/>
    <w:rsid w:val="00BF2BF6"/>
    <w:rsid w:val="00C53CFC"/>
    <w:rsid w:val="00CA3103"/>
    <w:rsid w:val="00D00336"/>
    <w:rsid w:val="00D222F6"/>
    <w:rsid w:val="00D674A7"/>
    <w:rsid w:val="00D93A5B"/>
    <w:rsid w:val="00DB30E7"/>
    <w:rsid w:val="00E07EB0"/>
    <w:rsid w:val="00E250B5"/>
    <w:rsid w:val="00E62575"/>
    <w:rsid w:val="00E96898"/>
    <w:rsid w:val="00EA425B"/>
    <w:rsid w:val="00EB145B"/>
    <w:rsid w:val="00EE0793"/>
    <w:rsid w:val="00F122B2"/>
    <w:rsid w:val="00F5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99AD"/>
  <w15:chartTrackingRefBased/>
  <w15:docId w15:val="{49C59261-9A5D-4E72-BF36-2A614EA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7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EE0793"/>
    <w:pPr>
      <w:numPr>
        <w:numId w:val="1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041332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7E0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7E0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7E0D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9C7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1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1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1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356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Policepardfaut"/>
    <w:rsid w:val="007D0FDF"/>
  </w:style>
  <w:style w:type="paragraph" w:styleId="En-tte">
    <w:name w:val="header"/>
    <w:basedOn w:val="Normal"/>
    <w:link w:val="En-tteCar"/>
    <w:uiPriority w:val="99"/>
    <w:unhideWhenUsed/>
    <w:rsid w:val="001A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353"/>
  </w:style>
  <w:style w:type="paragraph" w:styleId="Pieddepage">
    <w:name w:val="footer"/>
    <w:basedOn w:val="Normal"/>
    <w:link w:val="PieddepageCar"/>
    <w:uiPriority w:val="99"/>
    <w:unhideWhenUsed/>
    <w:rsid w:val="001A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BC502-DA2C-442A-BFE4-DCEEF624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JOUNIAUX Marion</dc:creator>
  <cp:keywords/>
  <dc:description/>
  <cp:lastModifiedBy>JOUNIAUX Marion</cp:lastModifiedBy>
  <cp:revision>4</cp:revision>
  <dcterms:created xsi:type="dcterms:W3CDTF">2023-04-27T15:53:00Z</dcterms:created>
  <dcterms:modified xsi:type="dcterms:W3CDTF">2023-05-15T14:29:00Z</dcterms:modified>
</cp:coreProperties>
</file>