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86EADE3" w14:textId="77777777" w:rsidR="002C110E" w:rsidRPr="006D32B3" w:rsidRDefault="00EC2C6D">
      <w:pPr>
        <w:spacing w:after="300"/>
        <w:jc w:val="center"/>
        <w:rPr>
          <w:rFonts w:ascii="Times New Roman" w:hAnsi="Times New Roman" w:cs="Times New Roman"/>
          <w:b/>
          <w:color w:val="000000"/>
          <w:lang w:eastAsia="fr-FR"/>
        </w:rPr>
      </w:pPr>
      <w:r w:rsidRPr="006D32B3">
        <w:rPr>
          <w:rFonts w:ascii="Times New Roman" w:hAnsi="Times New Roman" w:cs="Times New Roman"/>
          <w:b/>
          <w:noProof/>
          <w:color w:val="000000"/>
          <w:lang w:eastAsia="fr-FR"/>
        </w:rPr>
        <w:drawing>
          <wp:anchor distT="0" distB="0" distL="114935" distR="114935" simplePos="0" relativeHeight="2" behindDoc="0" locked="0" layoutInCell="0" allowOverlap="1" wp14:anchorId="78E91F0E" wp14:editId="22594882">
            <wp:simplePos x="0" y="0"/>
            <wp:positionH relativeFrom="margin">
              <wp:posOffset>-299720</wp:posOffset>
            </wp:positionH>
            <wp:positionV relativeFrom="margin">
              <wp:posOffset>-607060</wp:posOffset>
            </wp:positionV>
            <wp:extent cx="2005330" cy="1729105"/>
            <wp:effectExtent l="0" t="0" r="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rcRect l="-34" t="-40" r="-34" b="-40"/>
                    <a:stretch>
                      <a:fillRect/>
                    </a:stretch>
                  </pic:blipFill>
                  <pic:spPr bwMode="auto">
                    <a:xfrm>
                      <a:off x="0" y="0"/>
                      <a:ext cx="2005330" cy="1729105"/>
                    </a:xfrm>
                    <a:prstGeom prst="rect">
                      <a:avLst/>
                    </a:prstGeom>
                  </pic:spPr>
                </pic:pic>
              </a:graphicData>
            </a:graphic>
          </wp:anchor>
        </w:drawing>
      </w:r>
    </w:p>
    <w:p w14:paraId="7911B919" w14:textId="77777777" w:rsidR="002C110E" w:rsidRPr="006D32B3" w:rsidRDefault="002C110E">
      <w:pPr>
        <w:spacing w:after="300"/>
        <w:jc w:val="center"/>
        <w:rPr>
          <w:rFonts w:ascii="Times New Roman" w:hAnsi="Times New Roman" w:cs="Times New Roman"/>
          <w:b/>
          <w:color w:val="000000"/>
          <w:lang w:eastAsia="fr-FR"/>
        </w:rPr>
      </w:pPr>
    </w:p>
    <w:p w14:paraId="37F6F9E8" w14:textId="77777777" w:rsidR="002C110E" w:rsidRPr="006D32B3" w:rsidRDefault="002C110E">
      <w:pPr>
        <w:spacing w:after="300"/>
        <w:jc w:val="center"/>
        <w:rPr>
          <w:rFonts w:ascii="Times New Roman" w:hAnsi="Times New Roman" w:cs="Times New Roman"/>
          <w:b/>
          <w:color w:val="000000"/>
          <w:lang w:eastAsia="fr-FR"/>
        </w:rPr>
      </w:pPr>
    </w:p>
    <w:p w14:paraId="18DDFCA5" w14:textId="77777777" w:rsidR="002C110E" w:rsidRPr="00904D74" w:rsidRDefault="00EC2C6D">
      <w:pPr>
        <w:spacing w:after="300"/>
        <w:jc w:val="center"/>
        <w:rPr>
          <w:rFonts w:ascii="Marianne" w:hAnsi="Marianne" w:cs="Times New Roman"/>
          <w:b/>
          <w:color w:val="000000"/>
          <w:sz w:val="28"/>
          <w:szCs w:val="28"/>
        </w:rPr>
      </w:pPr>
      <w:r w:rsidRPr="00904D74">
        <w:rPr>
          <w:rFonts w:ascii="Marianne" w:hAnsi="Marianne" w:cs="Times New Roman"/>
          <w:b/>
          <w:color w:val="000000"/>
          <w:sz w:val="28"/>
          <w:szCs w:val="28"/>
        </w:rPr>
        <w:t>Synthèse des observations du public</w:t>
      </w:r>
    </w:p>
    <w:tbl>
      <w:tblPr>
        <w:tblW w:w="10300" w:type="dxa"/>
        <w:tblInd w:w="-205" w:type="dxa"/>
        <w:tblLayout w:type="fixed"/>
        <w:tblCellMar>
          <w:left w:w="70" w:type="dxa"/>
          <w:right w:w="70" w:type="dxa"/>
        </w:tblCellMar>
        <w:tblLook w:val="04A0" w:firstRow="1" w:lastRow="0" w:firstColumn="1" w:lastColumn="0" w:noHBand="0" w:noVBand="1"/>
      </w:tblPr>
      <w:tblGrid>
        <w:gridCol w:w="10300"/>
      </w:tblGrid>
      <w:tr w:rsidR="002C110E" w:rsidRPr="006D32B3" w14:paraId="2A92D661" w14:textId="77777777">
        <w:trPr>
          <w:trHeight w:val="900"/>
        </w:trPr>
        <w:tc>
          <w:tcPr>
            <w:tcW w:w="10300" w:type="dxa"/>
            <w:tcBorders>
              <w:top w:val="single" w:sz="4" w:space="0" w:color="000000"/>
              <w:left w:val="single" w:sz="4" w:space="0" w:color="000000"/>
              <w:bottom w:val="single" w:sz="4" w:space="0" w:color="000000"/>
              <w:right w:val="single" w:sz="4" w:space="0" w:color="000000"/>
            </w:tcBorders>
          </w:tcPr>
          <w:p w14:paraId="173204BC" w14:textId="77777777" w:rsidR="002C110E" w:rsidRPr="006D32B3" w:rsidRDefault="002C110E">
            <w:pPr>
              <w:snapToGrid w:val="0"/>
              <w:jc w:val="center"/>
              <w:rPr>
                <w:rFonts w:ascii="Times New Roman" w:hAnsi="Times New Roman" w:cs="Times New Roman"/>
                <w:b/>
              </w:rPr>
            </w:pPr>
          </w:p>
          <w:p w14:paraId="74EC5C03" w14:textId="77777777" w:rsidR="002C110E" w:rsidRPr="00904D74" w:rsidRDefault="00EC2C6D">
            <w:pPr>
              <w:spacing w:line="360" w:lineRule="auto"/>
              <w:jc w:val="center"/>
              <w:rPr>
                <w:rFonts w:ascii="Marianne" w:hAnsi="Marianne" w:cs="Times New Roman"/>
                <w:b/>
                <w:bCs/>
              </w:rPr>
            </w:pPr>
            <w:r w:rsidRPr="00904D74">
              <w:rPr>
                <w:rFonts w:ascii="Marianne" w:hAnsi="Marianne" w:cs="Times New Roman"/>
                <w:b/>
                <w:bCs/>
              </w:rPr>
              <w:t>Projet d’arrêté portant modification de l’arrêté du 29 mai 2009 relatif aux transports de marchandises dangereuses par voies terrestres dit « arrêté TMD » - Règlement pour le transport et la manutention des marchandises dangereuses dans les lieux de chargement, de déchargement et de transbordement situés dans les eaux intérieures (dit « RPF »)</w:t>
            </w:r>
          </w:p>
        </w:tc>
      </w:tr>
    </w:tbl>
    <w:p w14:paraId="5E37014E" w14:textId="77777777" w:rsidR="002C110E" w:rsidRPr="00904D74" w:rsidRDefault="00EC2C6D">
      <w:pPr>
        <w:spacing w:before="240" w:after="120"/>
        <w:jc w:val="both"/>
        <w:rPr>
          <w:rFonts w:ascii="Marianne" w:hAnsi="Marianne" w:cs="Times New Roman"/>
          <w:color w:val="000000"/>
          <w:sz w:val="20"/>
          <w:szCs w:val="20"/>
        </w:rPr>
      </w:pPr>
      <w:r w:rsidRPr="00904D74">
        <w:rPr>
          <w:rFonts w:ascii="Marianne" w:hAnsi="Marianne" w:cs="Times New Roman"/>
          <w:color w:val="000000"/>
          <w:sz w:val="20"/>
          <w:szCs w:val="20"/>
        </w:rPr>
        <w:t>Une consultation du public a été menée par voie électronique sur le site Internet du ministère chargé de l’environnement, du 16 août au 5 septembre 2023 inclus, sur le projet de texte susmentionné.</w:t>
      </w:r>
    </w:p>
    <w:p w14:paraId="7F3A04C5" w14:textId="77777777" w:rsidR="002C110E" w:rsidRPr="00904D74" w:rsidRDefault="00EC2C6D">
      <w:pPr>
        <w:spacing w:after="120"/>
        <w:jc w:val="both"/>
        <w:rPr>
          <w:rFonts w:ascii="Marianne" w:hAnsi="Marianne" w:cs="Times New Roman"/>
          <w:color w:val="000000"/>
          <w:sz w:val="20"/>
          <w:szCs w:val="20"/>
        </w:rPr>
      </w:pPr>
      <w:r w:rsidRPr="00904D74">
        <w:rPr>
          <w:rFonts w:ascii="Marianne" w:hAnsi="Marianne" w:cs="Times New Roman"/>
          <w:color w:val="000000"/>
          <w:sz w:val="20"/>
          <w:szCs w:val="20"/>
        </w:rPr>
        <w:t>Le public pouvait déposer ses commentaires et avis en suivant le lien suivant :</w:t>
      </w:r>
    </w:p>
    <w:p w14:paraId="6FD5E7EF" w14:textId="77777777" w:rsidR="002C110E" w:rsidRPr="00904D74" w:rsidRDefault="00EC2C6D">
      <w:pPr>
        <w:spacing w:after="120"/>
        <w:jc w:val="both"/>
        <w:rPr>
          <w:rFonts w:ascii="Marianne" w:hAnsi="Marianne" w:cs="Times New Roman"/>
          <w:color w:val="0000FF"/>
          <w:sz w:val="20"/>
          <w:szCs w:val="20"/>
          <w:u w:val="single"/>
        </w:rPr>
      </w:pPr>
      <w:r w:rsidRPr="00904D74">
        <w:rPr>
          <w:rFonts w:ascii="Marianne" w:hAnsi="Marianne" w:cs="Times New Roman"/>
          <w:color w:val="0000FF"/>
          <w:sz w:val="20"/>
          <w:szCs w:val="20"/>
          <w:u w:val="single"/>
        </w:rPr>
        <w:t>https://www.consultations-publiques.developpement-durable.gouv.fr/projet-d-arrete-portant-modification-de-l-arrete-a2902.html</w:t>
      </w:r>
    </w:p>
    <w:p w14:paraId="74395BBC" w14:textId="77777777" w:rsidR="006207CB" w:rsidRDefault="006207CB">
      <w:pPr>
        <w:spacing w:after="120"/>
        <w:ind w:firstLine="708"/>
        <w:jc w:val="both"/>
        <w:rPr>
          <w:rFonts w:ascii="Marianne" w:eastAsia="Arial Unicode MS" w:hAnsi="Marianne" w:cs="Times New Roman"/>
          <w:i/>
          <w:color w:val="000000"/>
          <w:sz w:val="20"/>
          <w:szCs w:val="20"/>
        </w:rPr>
      </w:pPr>
    </w:p>
    <w:p w14:paraId="7C2FAB17" w14:textId="213E75C9" w:rsidR="002C110E" w:rsidRPr="00904D74" w:rsidRDefault="00EC2C6D">
      <w:pPr>
        <w:spacing w:after="120"/>
        <w:ind w:firstLine="708"/>
        <w:jc w:val="both"/>
        <w:rPr>
          <w:rFonts w:ascii="Marianne" w:eastAsia="Arial Unicode MS" w:hAnsi="Marianne" w:cs="Times New Roman"/>
          <w:i/>
          <w:color w:val="000000"/>
          <w:sz w:val="20"/>
          <w:szCs w:val="20"/>
        </w:rPr>
      </w:pPr>
      <w:r w:rsidRPr="00904D74">
        <w:rPr>
          <w:rFonts w:ascii="Marianne" w:eastAsia="Arial Unicode MS" w:hAnsi="Marianne" w:cs="Times New Roman"/>
          <w:i/>
          <w:color w:val="000000"/>
          <w:sz w:val="20"/>
          <w:szCs w:val="20"/>
        </w:rPr>
        <w:t>Nombre et nature des observations reçues :</w:t>
      </w:r>
    </w:p>
    <w:p w14:paraId="4BC38784" w14:textId="77777777" w:rsidR="002C110E" w:rsidRPr="00904D74" w:rsidRDefault="00EC2C6D">
      <w:pPr>
        <w:spacing w:before="240" w:after="120"/>
        <w:jc w:val="both"/>
        <w:rPr>
          <w:rFonts w:ascii="Marianne" w:hAnsi="Marianne" w:cs="Times New Roman"/>
          <w:color w:val="000000"/>
          <w:sz w:val="20"/>
          <w:szCs w:val="20"/>
        </w:rPr>
      </w:pPr>
      <w:r w:rsidRPr="00904D74">
        <w:rPr>
          <w:rFonts w:ascii="Marianne" w:hAnsi="Marianne" w:cs="Times New Roman"/>
          <w:color w:val="000000"/>
          <w:sz w:val="20"/>
          <w:szCs w:val="20"/>
        </w:rPr>
        <w:t xml:space="preserve">Neuf contributions ont été déposées sur le site de la consultation. </w:t>
      </w:r>
    </w:p>
    <w:p w14:paraId="2732BE07" w14:textId="77777777" w:rsidR="002C110E" w:rsidRPr="00904D74" w:rsidRDefault="00EC2C6D">
      <w:pPr>
        <w:spacing w:before="240" w:after="120"/>
        <w:jc w:val="both"/>
        <w:rPr>
          <w:rFonts w:ascii="Marianne" w:hAnsi="Marianne" w:cs="Times New Roman"/>
          <w:color w:val="000000"/>
          <w:sz w:val="20"/>
          <w:szCs w:val="20"/>
        </w:rPr>
      </w:pPr>
      <w:r w:rsidRPr="00904D74">
        <w:rPr>
          <w:rFonts w:ascii="Marianne" w:hAnsi="Marianne" w:cs="Times New Roman"/>
          <w:color w:val="000000"/>
          <w:sz w:val="20"/>
          <w:szCs w:val="20"/>
        </w:rPr>
        <w:t>Sur ces neuf contributions :</w:t>
      </w:r>
    </w:p>
    <w:p w14:paraId="60B0DBAC" w14:textId="77777777" w:rsidR="002C110E" w:rsidRPr="00904D74" w:rsidRDefault="00EC2C6D">
      <w:pPr>
        <w:numPr>
          <w:ilvl w:val="0"/>
          <w:numId w:val="2"/>
        </w:numPr>
        <w:spacing w:after="120"/>
        <w:jc w:val="both"/>
        <w:rPr>
          <w:rFonts w:ascii="Marianne" w:hAnsi="Marianne" w:cs="Times New Roman"/>
          <w:sz w:val="20"/>
          <w:szCs w:val="20"/>
        </w:rPr>
      </w:pPr>
      <w:proofErr w:type="gramStart"/>
      <w:r w:rsidRPr="00904D74">
        <w:rPr>
          <w:rFonts w:ascii="Marianne" w:eastAsia="Marianne" w:hAnsi="Marianne" w:cs="Times New Roman"/>
          <w:color w:val="000000"/>
          <w:sz w:val="20"/>
          <w:szCs w:val="20"/>
        </w:rPr>
        <w:t>a</w:t>
      </w:r>
      <w:r w:rsidRPr="00904D74">
        <w:rPr>
          <w:rFonts w:ascii="Marianne" w:hAnsi="Marianne" w:cs="Times New Roman"/>
          <w:color w:val="000000"/>
          <w:sz w:val="20"/>
          <w:szCs w:val="20"/>
        </w:rPr>
        <w:t>ucune</w:t>
      </w:r>
      <w:proofErr w:type="gramEnd"/>
      <w:r w:rsidRPr="00904D74">
        <w:rPr>
          <w:rFonts w:ascii="Marianne" w:hAnsi="Marianne" w:cs="Times New Roman"/>
          <w:color w:val="000000"/>
          <w:sz w:val="20"/>
          <w:szCs w:val="20"/>
        </w:rPr>
        <w:t xml:space="preserve"> contribution n’est défavorable à la réforme entreprise</w:t>
      </w:r>
      <w:r w:rsidR="006D32B3" w:rsidRPr="00904D74">
        <w:rPr>
          <w:rFonts w:ascii="Marianne" w:hAnsi="Marianne" w:cs="Times New Roman"/>
          <w:color w:val="000000"/>
          <w:sz w:val="20"/>
          <w:szCs w:val="20"/>
        </w:rPr>
        <w:t> ;</w:t>
      </w:r>
    </w:p>
    <w:p w14:paraId="7BE83A1C" w14:textId="77777777" w:rsidR="002C110E" w:rsidRPr="00904D74" w:rsidRDefault="00EC2C6D">
      <w:pPr>
        <w:numPr>
          <w:ilvl w:val="0"/>
          <w:numId w:val="2"/>
        </w:numPr>
        <w:spacing w:after="120"/>
        <w:jc w:val="both"/>
        <w:rPr>
          <w:rFonts w:ascii="Marianne" w:hAnsi="Marianne" w:cs="Times New Roman"/>
          <w:sz w:val="20"/>
          <w:szCs w:val="20"/>
        </w:rPr>
      </w:pPr>
      <w:proofErr w:type="gramStart"/>
      <w:r w:rsidRPr="00904D74">
        <w:rPr>
          <w:rFonts w:ascii="Marianne" w:hAnsi="Marianne" w:cs="Times New Roman"/>
          <w:color w:val="000000"/>
          <w:sz w:val="20"/>
          <w:szCs w:val="20"/>
        </w:rPr>
        <w:t>une</w:t>
      </w:r>
      <w:proofErr w:type="gramEnd"/>
      <w:r w:rsidRPr="00904D74">
        <w:rPr>
          <w:rFonts w:ascii="Marianne" w:hAnsi="Marianne" w:cs="Times New Roman"/>
          <w:color w:val="000000"/>
          <w:sz w:val="20"/>
          <w:szCs w:val="20"/>
        </w:rPr>
        <w:t xml:space="preserve"> contribution salue l'initiative de réglementer le transport et la manutention des marchandises dangereuses dans les lieux de chargement, de déchargement et de transbordement situés dans les eaux intérieures</w:t>
      </w:r>
      <w:r w:rsidR="006D32B3" w:rsidRPr="00904D74">
        <w:rPr>
          <w:rFonts w:ascii="Marianne" w:hAnsi="Marianne" w:cs="Times New Roman"/>
          <w:color w:val="000000"/>
          <w:sz w:val="20"/>
          <w:szCs w:val="20"/>
        </w:rPr>
        <w:t> ;</w:t>
      </w:r>
    </w:p>
    <w:p w14:paraId="170A4234" w14:textId="77777777" w:rsidR="002C110E" w:rsidRPr="00904D74" w:rsidRDefault="00EC2C6D">
      <w:pPr>
        <w:numPr>
          <w:ilvl w:val="0"/>
          <w:numId w:val="2"/>
        </w:numPr>
        <w:spacing w:after="120"/>
        <w:jc w:val="both"/>
        <w:rPr>
          <w:rFonts w:ascii="Marianne" w:hAnsi="Marianne" w:cs="Times New Roman"/>
          <w:color w:val="000000"/>
          <w:sz w:val="20"/>
          <w:szCs w:val="20"/>
        </w:rPr>
      </w:pPr>
      <w:proofErr w:type="gramStart"/>
      <w:r w:rsidRPr="00904D74">
        <w:rPr>
          <w:rFonts w:ascii="Marianne" w:hAnsi="Marianne" w:cs="Times New Roman"/>
          <w:color w:val="000000"/>
          <w:sz w:val="20"/>
          <w:szCs w:val="20"/>
        </w:rPr>
        <w:t>huit</w:t>
      </w:r>
      <w:proofErr w:type="gramEnd"/>
      <w:r w:rsidRPr="00904D74">
        <w:rPr>
          <w:rFonts w:ascii="Marianne" w:hAnsi="Marianne" w:cs="Times New Roman"/>
          <w:color w:val="000000"/>
          <w:sz w:val="20"/>
          <w:szCs w:val="20"/>
        </w:rPr>
        <w:t xml:space="preserve"> contributions posent des questions ou sollicitent des clarifications dans le projet présenté</w:t>
      </w:r>
      <w:r w:rsidR="006D32B3" w:rsidRPr="00904D74">
        <w:rPr>
          <w:rFonts w:ascii="Marianne" w:hAnsi="Marianne" w:cs="Times New Roman"/>
          <w:color w:val="000000"/>
          <w:sz w:val="20"/>
          <w:szCs w:val="20"/>
        </w:rPr>
        <w:t>.</w:t>
      </w:r>
    </w:p>
    <w:p w14:paraId="7F9A8C72" w14:textId="77777777" w:rsidR="002C110E" w:rsidRPr="00904D74" w:rsidRDefault="002C110E">
      <w:pPr>
        <w:spacing w:after="120"/>
        <w:jc w:val="both"/>
        <w:rPr>
          <w:rFonts w:ascii="Marianne" w:hAnsi="Marianne" w:cs="Times New Roman"/>
          <w:color w:val="000000"/>
          <w:sz w:val="20"/>
          <w:szCs w:val="20"/>
          <w:highlight w:val="yellow"/>
        </w:rPr>
      </w:pPr>
    </w:p>
    <w:p w14:paraId="127E5E91" w14:textId="77777777" w:rsidR="006207CB" w:rsidRDefault="006207CB">
      <w:pPr>
        <w:spacing w:after="0" w:line="240" w:lineRule="auto"/>
        <w:rPr>
          <w:rFonts w:ascii="Marianne" w:eastAsia="Arial Unicode MS" w:hAnsi="Marianne" w:cs="Times New Roman"/>
          <w:i/>
          <w:color w:val="000000"/>
          <w:sz w:val="20"/>
          <w:szCs w:val="20"/>
        </w:rPr>
      </w:pPr>
      <w:r>
        <w:rPr>
          <w:rFonts w:ascii="Marianne" w:eastAsia="Arial Unicode MS" w:hAnsi="Marianne" w:cs="Times New Roman"/>
          <w:i/>
          <w:color w:val="000000"/>
          <w:sz w:val="20"/>
          <w:szCs w:val="20"/>
        </w:rPr>
        <w:br w:type="page"/>
      </w:r>
    </w:p>
    <w:p w14:paraId="670ADD29" w14:textId="57813295" w:rsidR="002C110E" w:rsidRPr="00904D74" w:rsidRDefault="00EC2C6D">
      <w:pPr>
        <w:spacing w:before="280" w:line="240" w:lineRule="auto"/>
        <w:ind w:firstLine="709"/>
        <w:rPr>
          <w:rFonts w:ascii="Marianne" w:eastAsia="Arial Unicode MS" w:hAnsi="Marianne" w:cs="Times New Roman"/>
          <w:i/>
          <w:color w:val="000000"/>
          <w:sz w:val="20"/>
          <w:szCs w:val="20"/>
        </w:rPr>
      </w:pPr>
      <w:r w:rsidRPr="00904D74">
        <w:rPr>
          <w:rFonts w:ascii="Marianne" w:eastAsia="Arial Unicode MS" w:hAnsi="Marianne" w:cs="Times New Roman"/>
          <w:i/>
          <w:color w:val="000000"/>
          <w:sz w:val="20"/>
          <w:szCs w:val="20"/>
        </w:rPr>
        <w:lastRenderedPageBreak/>
        <w:t>Synthèse des modifications demandées :</w:t>
      </w:r>
    </w:p>
    <w:p w14:paraId="26D34F87" w14:textId="77777777" w:rsidR="002C110E" w:rsidRPr="00904D74" w:rsidRDefault="00EC2C6D">
      <w:pPr>
        <w:spacing w:before="240" w:after="120"/>
        <w:jc w:val="both"/>
        <w:rPr>
          <w:rFonts w:ascii="Marianne" w:hAnsi="Marianne" w:cs="Times New Roman"/>
          <w:color w:val="000000"/>
          <w:sz w:val="20"/>
          <w:szCs w:val="20"/>
        </w:rPr>
      </w:pPr>
      <w:r w:rsidRPr="00904D74">
        <w:rPr>
          <w:rFonts w:ascii="Marianne" w:hAnsi="Marianne" w:cs="Times New Roman"/>
          <w:color w:val="000000"/>
          <w:sz w:val="20"/>
          <w:szCs w:val="20"/>
        </w:rPr>
        <w:t xml:space="preserve">Parmi ces observations, certaines appellent des remarques : </w:t>
      </w:r>
    </w:p>
    <w:tbl>
      <w:tblPr>
        <w:tblW w:w="9252" w:type="dxa"/>
        <w:tblInd w:w="-133" w:type="dxa"/>
        <w:tblLayout w:type="fixed"/>
        <w:tblLook w:val="04A0" w:firstRow="1" w:lastRow="0" w:firstColumn="1" w:lastColumn="0" w:noHBand="0" w:noVBand="1"/>
      </w:tblPr>
      <w:tblGrid>
        <w:gridCol w:w="4606"/>
        <w:gridCol w:w="4646"/>
      </w:tblGrid>
      <w:tr w:rsidR="002C110E" w:rsidRPr="00904D74" w14:paraId="6F4D175B" w14:textId="77777777">
        <w:tc>
          <w:tcPr>
            <w:tcW w:w="4606" w:type="dxa"/>
            <w:tcBorders>
              <w:top w:val="single" w:sz="4" w:space="0" w:color="000000"/>
              <w:left w:val="single" w:sz="4" w:space="0" w:color="000000"/>
              <w:bottom w:val="single" w:sz="4" w:space="0" w:color="000000"/>
            </w:tcBorders>
          </w:tcPr>
          <w:p w14:paraId="139EBB86" w14:textId="77777777" w:rsidR="002C110E" w:rsidRPr="00904D74" w:rsidRDefault="00EC2C6D">
            <w:pPr>
              <w:spacing w:before="240" w:after="120"/>
              <w:jc w:val="both"/>
              <w:rPr>
                <w:rFonts w:ascii="Marianne" w:hAnsi="Marianne" w:cs="Times New Roman"/>
                <w:color w:val="000000"/>
                <w:sz w:val="20"/>
                <w:szCs w:val="20"/>
              </w:rPr>
            </w:pPr>
            <w:r w:rsidRPr="00904D74">
              <w:rPr>
                <w:rFonts w:ascii="Marianne" w:hAnsi="Marianne" w:cs="Times New Roman"/>
                <w:color w:val="000000"/>
                <w:sz w:val="20"/>
                <w:szCs w:val="20"/>
              </w:rPr>
              <w:t>Observations</w:t>
            </w:r>
            <w:r w:rsidR="006D32B3" w:rsidRPr="00904D74">
              <w:rPr>
                <w:rFonts w:ascii="Marianne" w:hAnsi="Marianne" w:cs="Times New Roman"/>
                <w:color w:val="000000"/>
                <w:sz w:val="20"/>
                <w:szCs w:val="20"/>
              </w:rPr>
              <w:t> :</w:t>
            </w:r>
          </w:p>
        </w:tc>
        <w:tc>
          <w:tcPr>
            <w:tcW w:w="4646" w:type="dxa"/>
            <w:tcBorders>
              <w:top w:val="single" w:sz="4" w:space="0" w:color="000000"/>
              <w:left w:val="single" w:sz="4" w:space="0" w:color="000000"/>
              <w:bottom w:val="single" w:sz="4" w:space="0" w:color="000000"/>
              <w:right w:val="single" w:sz="4" w:space="0" w:color="000000"/>
            </w:tcBorders>
          </w:tcPr>
          <w:p w14:paraId="4B8CB01D" w14:textId="77777777" w:rsidR="002C110E" w:rsidRPr="00904D74" w:rsidRDefault="00EC2C6D">
            <w:pPr>
              <w:spacing w:before="240" w:after="120"/>
              <w:jc w:val="both"/>
              <w:rPr>
                <w:rFonts w:ascii="Marianne" w:hAnsi="Marianne" w:cs="Times New Roman"/>
                <w:color w:val="000000"/>
                <w:sz w:val="20"/>
                <w:szCs w:val="20"/>
              </w:rPr>
            </w:pPr>
            <w:r w:rsidRPr="00904D74">
              <w:rPr>
                <w:rFonts w:ascii="Marianne" w:hAnsi="Marianne" w:cs="Times New Roman"/>
                <w:color w:val="000000"/>
                <w:sz w:val="20"/>
                <w:szCs w:val="20"/>
              </w:rPr>
              <w:t>Remarques</w:t>
            </w:r>
            <w:r w:rsidR="006D32B3" w:rsidRPr="00904D74">
              <w:rPr>
                <w:rFonts w:ascii="Marianne" w:hAnsi="Marianne" w:cs="Times New Roman"/>
                <w:color w:val="000000"/>
                <w:sz w:val="20"/>
                <w:szCs w:val="20"/>
              </w:rPr>
              <w:t> :</w:t>
            </w:r>
          </w:p>
        </w:tc>
      </w:tr>
      <w:tr w:rsidR="002C110E" w:rsidRPr="00904D74" w14:paraId="2442009E" w14:textId="77777777">
        <w:tc>
          <w:tcPr>
            <w:tcW w:w="4606" w:type="dxa"/>
            <w:tcBorders>
              <w:top w:val="single" w:sz="4" w:space="0" w:color="000000"/>
              <w:left w:val="single" w:sz="4" w:space="0" w:color="000000"/>
              <w:bottom w:val="single" w:sz="4" w:space="0" w:color="000000"/>
            </w:tcBorders>
          </w:tcPr>
          <w:p w14:paraId="6F2C347C" w14:textId="77777777" w:rsidR="002C110E" w:rsidRPr="00904D74" w:rsidRDefault="00EC2C6D">
            <w:pPr>
              <w:snapToGrid w:val="0"/>
              <w:spacing w:before="240" w:after="120"/>
              <w:jc w:val="both"/>
              <w:rPr>
                <w:rFonts w:ascii="Marianne" w:hAnsi="Marianne" w:cs="Times New Roman"/>
                <w:sz w:val="20"/>
                <w:szCs w:val="20"/>
              </w:rPr>
            </w:pPr>
            <w:r w:rsidRPr="00904D74">
              <w:rPr>
                <w:rFonts w:ascii="Marianne" w:hAnsi="Marianne" w:cs="Times New Roman"/>
                <w:b/>
                <w:bCs/>
                <w:color w:val="000000"/>
                <w:sz w:val="20"/>
                <w:szCs w:val="20"/>
                <w:lang w:eastAsia="fr-FR"/>
              </w:rPr>
              <w:t>Retour d’EDF :</w:t>
            </w:r>
            <w:r w:rsidRPr="00904D74">
              <w:rPr>
                <w:rFonts w:ascii="Marianne" w:hAnsi="Marianne" w:cs="Times New Roman"/>
                <w:color w:val="000000"/>
                <w:sz w:val="20"/>
                <w:szCs w:val="20"/>
                <w:lang w:eastAsia="fr-FR"/>
              </w:rPr>
              <w:t xml:space="preserve"> ce texte devrait faire l’objet d’un nouvel arrêté dit "RPF", référencé dans l’arrêté TMD, plutôt qu’une nouvelle annexe de l’arrêté TMD qui alourdit cet arrêté de façon disproportionnée au regard des autres modes. Ces nouvelles exigences ne devraient pas poser de difficultés particulières à quelques détails près. La liste des ports potentiels TMD est à compléter. Nous transmettons un fichier avec nos remarques de fond et forme.</w:t>
            </w:r>
          </w:p>
        </w:tc>
        <w:tc>
          <w:tcPr>
            <w:tcW w:w="4646" w:type="dxa"/>
            <w:tcBorders>
              <w:top w:val="single" w:sz="4" w:space="0" w:color="000000"/>
              <w:left w:val="single" w:sz="4" w:space="0" w:color="000000"/>
              <w:bottom w:val="single" w:sz="4" w:space="0" w:color="000000"/>
              <w:right w:val="single" w:sz="4" w:space="0" w:color="000000"/>
            </w:tcBorders>
          </w:tcPr>
          <w:p w14:paraId="0DE66DDD" w14:textId="1E9E0950" w:rsidR="002C110E" w:rsidRPr="00904D74" w:rsidRDefault="00EC2C6D">
            <w:pPr>
              <w:snapToGrid w:val="0"/>
              <w:spacing w:before="240" w:after="120"/>
              <w:jc w:val="both"/>
              <w:rPr>
                <w:rFonts w:ascii="Marianne" w:hAnsi="Marianne" w:cs="Times New Roman"/>
                <w:color w:val="000000"/>
                <w:sz w:val="20"/>
                <w:szCs w:val="20"/>
              </w:rPr>
            </w:pPr>
            <w:r w:rsidRPr="00904D74">
              <w:rPr>
                <w:rFonts w:ascii="Marianne" w:hAnsi="Marianne" w:cs="Times New Roman"/>
                <w:color w:val="000000"/>
                <w:sz w:val="20"/>
                <w:szCs w:val="20"/>
              </w:rPr>
              <w:t>Ces dispositions relèvent de l’article L</w:t>
            </w:r>
            <w:r w:rsidR="001C4229" w:rsidRPr="00904D74">
              <w:rPr>
                <w:rFonts w:ascii="Marianne" w:hAnsi="Marianne" w:cs="Times New Roman"/>
                <w:color w:val="000000"/>
                <w:sz w:val="20"/>
                <w:szCs w:val="20"/>
              </w:rPr>
              <w:t xml:space="preserve">. </w:t>
            </w:r>
            <w:r w:rsidRPr="00904D74">
              <w:rPr>
                <w:rFonts w:ascii="Marianne" w:hAnsi="Marianne" w:cs="Times New Roman"/>
                <w:color w:val="000000"/>
                <w:sz w:val="20"/>
                <w:szCs w:val="20"/>
              </w:rPr>
              <w:t>1252</w:t>
            </w:r>
            <w:r w:rsidR="00904D74">
              <w:rPr>
                <w:rFonts w:ascii="Marianne" w:hAnsi="Marianne" w:cs="Times New Roman"/>
                <w:color w:val="000000"/>
                <w:sz w:val="20"/>
                <w:szCs w:val="20"/>
              </w:rPr>
              <w:t>-</w:t>
            </w:r>
            <w:r w:rsidRPr="00904D74">
              <w:rPr>
                <w:rFonts w:ascii="Marianne" w:hAnsi="Marianne" w:cs="Times New Roman"/>
                <w:color w:val="000000"/>
                <w:sz w:val="20"/>
                <w:szCs w:val="20"/>
              </w:rPr>
              <w:t xml:space="preserve">1 du code des transports qui fonde l’arrêté TMD ; </w:t>
            </w:r>
            <w:r w:rsidR="001C4229" w:rsidRPr="00904D74">
              <w:rPr>
                <w:rFonts w:ascii="Marianne" w:hAnsi="Marianne" w:cs="Times New Roman"/>
                <w:color w:val="000000"/>
                <w:sz w:val="20"/>
                <w:szCs w:val="20"/>
              </w:rPr>
              <w:t>i</w:t>
            </w:r>
            <w:r w:rsidRPr="00904D74">
              <w:rPr>
                <w:rFonts w:ascii="Marianne" w:hAnsi="Marianne" w:cs="Times New Roman"/>
                <w:color w:val="000000"/>
                <w:sz w:val="20"/>
                <w:szCs w:val="20"/>
              </w:rPr>
              <w:t>l est logique qu’elles s’y trouvent. Il est cependant prévu de publier l’annexe à part dans les documents administratifs du JO</w:t>
            </w:r>
            <w:r w:rsidR="00831E46">
              <w:rPr>
                <w:rFonts w:ascii="Marianne" w:hAnsi="Marianne" w:cs="Times New Roman"/>
                <w:color w:val="000000"/>
                <w:sz w:val="20"/>
                <w:szCs w:val="20"/>
              </w:rPr>
              <w:t>.</w:t>
            </w:r>
            <w:bookmarkStart w:id="0" w:name="_GoBack"/>
            <w:bookmarkEnd w:id="0"/>
          </w:p>
          <w:p w14:paraId="5C1171A7" w14:textId="1001B9CF" w:rsidR="002C110E" w:rsidRPr="00904D74" w:rsidRDefault="00EC2C6D" w:rsidP="00AB2EC9">
            <w:pPr>
              <w:snapToGrid w:val="0"/>
              <w:spacing w:before="240" w:after="120"/>
              <w:jc w:val="both"/>
              <w:rPr>
                <w:rFonts w:ascii="Marianne" w:hAnsi="Marianne" w:cs="Times New Roman"/>
                <w:color w:val="000000"/>
                <w:sz w:val="20"/>
                <w:szCs w:val="20"/>
              </w:rPr>
            </w:pPr>
            <w:r w:rsidRPr="00904D74">
              <w:rPr>
                <w:rFonts w:ascii="Marianne" w:hAnsi="Marianne" w:cs="Times New Roman"/>
                <w:color w:val="000000"/>
                <w:sz w:val="20"/>
                <w:szCs w:val="20"/>
              </w:rPr>
              <w:t>Si la liste des ports n’est pas complète</w:t>
            </w:r>
            <w:r w:rsidR="00904D74">
              <w:rPr>
                <w:rFonts w:ascii="Marianne" w:hAnsi="Marianne" w:cs="Times New Roman"/>
                <w:color w:val="000000"/>
                <w:sz w:val="20"/>
                <w:szCs w:val="20"/>
              </w:rPr>
              <w:t>,</w:t>
            </w:r>
            <w:r w:rsidRPr="00904D74">
              <w:rPr>
                <w:rFonts w:ascii="Marianne" w:hAnsi="Marianne" w:cs="Times New Roman"/>
                <w:color w:val="000000"/>
                <w:sz w:val="20"/>
                <w:szCs w:val="20"/>
              </w:rPr>
              <w:t xml:space="preserve"> il </w:t>
            </w:r>
            <w:r w:rsidR="00AB2EC9" w:rsidRPr="00904D74">
              <w:rPr>
                <w:rFonts w:ascii="Marianne" w:hAnsi="Marianne" w:cs="Times New Roman"/>
                <w:color w:val="000000"/>
                <w:sz w:val="20"/>
                <w:szCs w:val="20"/>
              </w:rPr>
              <w:t xml:space="preserve">est </w:t>
            </w:r>
            <w:r w:rsidRPr="00904D74">
              <w:rPr>
                <w:rFonts w:ascii="Marianne" w:hAnsi="Marianne" w:cs="Times New Roman"/>
                <w:color w:val="000000"/>
                <w:sz w:val="20"/>
                <w:szCs w:val="20"/>
              </w:rPr>
              <w:t>de la responsabilité des o</w:t>
            </w:r>
            <w:r w:rsidR="00AB2EC9" w:rsidRPr="00904D74">
              <w:rPr>
                <w:rFonts w:ascii="Marianne" w:hAnsi="Marianne" w:cs="Times New Roman"/>
                <w:color w:val="000000"/>
                <w:sz w:val="20"/>
                <w:szCs w:val="20"/>
              </w:rPr>
              <w:t>pérateurs de signaler les données manquantes</w:t>
            </w:r>
            <w:r w:rsidRPr="00904D74">
              <w:rPr>
                <w:rFonts w:ascii="Marianne" w:hAnsi="Marianne" w:cs="Times New Roman"/>
                <w:color w:val="000000"/>
                <w:sz w:val="20"/>
                <w:szCs w:val="20"/>
              </w:rPr>
              <w:t xml:space="preserve"> en communicant les données (notamment </w:t>
            </w:r>
            <w:r w:rsidR="001C4229" w:rsidRPr="00904D74">
              <w:rPr>
                <w:rFonts w:ascii="Marianne" w:hAnsi="Marianne" w:cs="Times New Roman"/>
                <w:color w:val="000000"/>
                <w:sz w:val="20"/>
                <w:szCs w:val="20"/>
              </w:rPr>
              <w:t>points kilométriques</w:t>
            </w:r>
            <w:r w:rsidRPr="00904D74">
              <w:rPr>
                <w:rFonts w:ascii="Marianne" w:hAnsi="Marianne" w:cs="Times New Roman"/>
                <w:color w:val="000000"/>
                <w:sz w:val="20"/>
                <w:szCs w:val="20"/>
              </w:rPr>
              <w:t xml:space="preserve">) d’identification. </w:t>
            </w:r>
          </w:p>
        </w:tc>
      </w:tr>
      <w:tr w:rsidR="002C110E" w:rsidRPr="00904D74" w14:paraId="1BD24298" w14:textId="77777777">
        <w:tc>
          <w:tcPr>
            <w:tcW w:w="4606" w:type="dxa"/>
            <w:tcBorders>
              <w:top w:val="single" w:sz="4" w:space="0" w:color="000000"/>
              <w:left w:val="single" w:sz="4" w:space="0" w:color="000000"/>
              <w:bottom w:val="single" w:sz="4" w:space="0" w:color="000000"/>
            </w:tcBorders>
          </w:tcPr>
          <w:p w14:paraId="131E64EC" w14:textId="7D4546CF" w:rsidR="002C110E" w:rsidRPr="00904D74" w:rsidRDefault="00EC2C6D">
            <w:pPr>
              <w:snapToGrid w:val="0"/>
              <w:spacing w:before="240" w:after="120"/>
              <w:jc w:val="both"/>
              <w:rPr>
                <w:rFonts w:ascii="Marianne" w:hAnsi="Marianne" w:cs="Times New Roman"/>
                <w:b/>
                <w:bCs/>
                <w:color w:val="000000"/>
                <w:sz w:val="20"/>
                <w:szCs w:val="20"/>
                <w:lang w:eastAsia="fr-FR"/>
              </w:rPr>
            </w:pPr>
            <w:r w:rsidRPr="00904D74">
              <w:rPr>
                <w:rFonts w:ascii="Marianne" w:hAnsi="Marianne" w:cs="Times New Roman"/>
                <w:b/>
                <w:bCs/>
                <w:color w:val="000000"/>
                <w:sz w:val="20"/>
                <w:szCs w:val="20"/>
                <w:lang w:eastAsia="fr-FR"/>
              </w:rPr>
              <w:t>Propositions pour l’ATMD, suite à échanges entre CSTMD ;</w:t>
            </w:r>
          </w:p>
          <w:p w14:paraId="6708F37F" w14:textId="07AFA519" w:rsidR="00B04C97" w:rsidRDefault="00EC2C6D">
            <w:pPr>
              <w:spacing w:before="280" w:after="280"/>
              <w:rPr>
                <w:rFonts w:ascii="Marianne" w:hAnsi="Marianne" w:cs="Times New Roman"/>
                <w:sz w:val="20"/>
                <w:szCs w:val="20"/>
              </w:rPr>
            </w:pPr>
            <w:r w:rsidRPr="00904D74">
              <w:rPr>
                <w:rFonts w:ascii="Marianne" w:hAnsi="Marianne" w:cs="Times New Roman"/>
                <w:sz w:val="20"/>
                <w:szCs w:val="20"/>
                <w:lang w:eastAsia="fr-FR"/>
              </w:rPr>
              <w:t>Le Code de l’Environnement prévoit la réalisation d’étude de dangers - R551-1 et suivants pour les infrastructures de navigation intérieure. Le lien est indiqué avec les exemples de la classe 1 (112-2), pour les autres classes le lien n’est pas précisé. il peut être mentionné dans le début du chapitre II.</w:t>
            </w:r>
            <w:r w:rsidRPr="00904D74">
              <w:rPr>
                <w:rFonts w:ascii="Marianne" w:hAnsi="Marianne" w:cs="Times New Roman"/>
                <w:sz w:val="20"/>
                <w:szCs w:val="20"/>
              </w:rPr>
              <w:br/>
            </w:r>
            <w:r w:rsidRPr="00904D74">
              <w:rPr>
                <w:rFonts w:ascii="Marianne" w:hAnsi="Marianne" w:cs="Times New Roman"/>
                <w:sz w:val="20"/>
                <w:szCs w:val="20"/>
                <w:lang w:eastAsia="fr-FR"/>
              </w:rPr>
              <w:t>Le dossier de sécurité est une extension opérationnelle de l’étude de dangers, cette subordination est à expliciter. Il ne peut être valide sans cette dernière.</w:t>
            </w:r>
          </w:p>
          <w:p w14:paraId="785D6C9F" w14:textId="77777777" w:rsidR="006207CB" w:rsidRPr="006207CB" w:rsidRDefault="006207CB">
            <w:pPr>
              <w:spacing w:before="280" w:after="280"/>
              <w:rPr>
                <w:rFonts w:ascii="Marianne" w:hAnsi="Marianne" w:cs="Times New Roman"/>
                <w:sz w:val="20"/>
                <w:szCs w:val="20"/>
              </w:rPr>
            </w:pPr>
          </w:p>
          <w:p w14:paraId="16C7D418" w14:textId="77777777" w:rsidR="002C110E" w:rsidRDefault="00EC2C6D" w:rsidP="006207CB">
            <w:pPr>
              <w:spacing w:before="280" w:after="280"/>
              <w:rPr>
                <w:rFonts w:ascii="Marianne" w:hAnsi="Marianne" w:cs="Times New Roman"/>
                <w:sz w:val="20"/>
                <w:szCs w:val="20"/>
                <w:lang w:eastAsia="fr-FR"/>
              </w:rPr>
            </w:pPr>
            <w:r w:rsidRPr="00904D74">
              <w:rPr>
                <w:rFonts w:ascii="Marianne" w:hAnsi="Marianne" w:cs="Times New Roman"/>
                <w:sz w:val="20"/>
                <w:szCs w:val="20"/>
                <w:lang w:eastAsia="fr-FR"/>
              </w:rPr>
              <w:t>§ 220 : l’évacuation des locaux d’habitation est aussi pertinente pour les opérations impliquant des gaz toxiques.</w:t>
            </w:r>
          </w:p>
          <w:p w14:paraId="0A03D773" w14:textId="294D5522" w:rsidR="006207CB" w:rsidRPr="006207CB" w:rsidRDefault="006207CB" w:rsidP="006207CB">
            <w:pPr>
              <w:spacing w:before="280" w:after="280"/>
              <w:rPr>
                <w:rFonts w:ascii="Marianne" w:hAnsi="Marianne" w:cs="Times New Roman"/>
                <w:sz w:val="20"/>
                <w:szCs w:val="20"/>
              </w:rPr>
            </w:pPr>
          </w:p>
        </w:tc>
        <w:tc>
          <w:tcPr>
            <w:tcW w:w="4646" w:type="dxa"/>
            <w:tcBorders>
              <w:top w:val="single" w:sz="4" w:space="0" w:color="000000"/>
              <w:left w:val="single" w:sz="4" w:space="0" w:color="000000"/>
              <w:bottom w:val="single" w:sz="4" w:space="0" w:color="000000"/>
              <w:right w:val="single" w:sz="4" w:space="0" w:color="000000"/>
            </w:tcBorders>
          </w:tcPr>
          <w:p w14:paraId="04361CFA" w14:textId="77777777" w:rsidR="006207CB" w:rsidRDefault="006207CB">
            <w:pPr>
              <w:snapToGrid w:val="0"/>
              <w:spacing w:before="240" w:after="120"/>
              <w:jc w:val="both"/>
              <w:rPr>
                <w:rFonts w:ascii="Marianne" w:hAnsi="Marianne" w:cs="Times New Roman"/>
                <w:color w:val="000000"/>
                <w:sz w:val="20"/>
                <w:szCs w:val="20"/>
              </w:rPr>
            </w:pPr>
          </w:p>
          <w:p w14:paraId="5CD65DFB" w14:textId="77777777" w:rsidR="006207CB" w:rsidRDefault="006207CB">
            <w:pPr>
              <w:snapToGrid w:val="0"/>
              <w:spacing w:before="240" w:after="120"/>
              <w:jc w:val="both"/>
              <w:rPr>
                <w:rFonts w:ascii="Marianne" w:hAnsi="Marianne" w:cs="Times New Roman"/>
                <w:color w:val="000000"/>
                <w:sz w:val="20"/>
                <w:szCs w:val="20"/>
              </w:rPr>
            </w:pPr>
          </w:p>
          <w:p w14:paraId="3BF76602" w14:textId="449D2D0E" w:rsidR="002C110E" w:rsidRPr="00904D74" w:rsidRDefault="00EC2C6D">
            <w:pPr>
              <w:snapToGrid w:val="0"/>
              <w:spacing w:before="240" w:after="120"/>
              <w:jc w:val="both"/>
              <w:rPr>
                <w:rFonts w:ascii="Marianne" w:hAnsi="Marianne" w:cs="Times New Roman"/>
                <w:color w:val="000000"/>
                <w:sz w:val="20"/>
                <w:szCs w:val="20"/>
              </w:rPr>
            </w:pPr>
            <w:r w:rsidRPr="00904D74">
              <w:rPr>
                <w:rFonts w:ascii="Marianne" w:hAnsi="Marianne" w:cs="Times New Roman"/>
                <w:color w:val="000000"/>
                <w:sz w:val="20"/>
                <w:szCs w:val="20"/>
              </w:rPr>
              <w:t>L’étude de danger</w:t>
            </w:r>
            <w:r w:rsidR="00C5256C" w:rsidRPr="00904D74">
              <w:rPr>
                <w:rFonts w:ascii="Marianne" w:hAnsi="Marianne" w:cs="Times New Roman"/>
                <w:color w:val="000000"/>
                <w:sz w:val="20"/>
                <w:szCs w:val="20"/>
              </w:rPr>
              <w:t>s</w:t>
            </w:r>
            <w:r w:rsidRPr="00904D74">
              <w:rPr>
                <w:rFonts w:ascii="Marianne" w:hAnsi="Marianne" w:cs="Times New Roman"/>
                <w:color w:val="000000"/>
                <w:sz w:val="20"/>
                <w:szCs w:val="20"/>
              </w:rPr>
              <w:t xml:space="preserve"> au titre du code de l’environnement est obligatoire pour la classe 1 dans tous les LCDT</w:t>
            </w:r>
            <w:r w:rsidR="00904D74">
              <w:rPr>
                <w:rFonts w:ascii="Marianne" w:hAnsi="Marianne" w:cs="Times New Roman"/>
                <w:color w:val="000000"/>
                <w:sz w:val="20"/>
                <w:szCs w:val="20"/>
              </w:rPr>
              <w:t>.</w:t>
            </w:r>
          </w:p>
          <w:p w14:paraId="373D1A4E" w14:textId="5EC98ABD" w:rsidR="002C110E" w:rsidRPr="00904D74" w:rsidRDefault="00C5256C">
            <w:pPr>
              <w:snapToGrid w:val="0"/>
              <w:spacing w:before="240" w:after="120"/>
              <w:jc w:val="both"/>
              <w:rPr>
                <w:rFonts w:ascii="Marianne" w:hAnsi="Marianne" w:cs="Times New Roman"/>
                <w:color w:val="000000"/>
                <w:sz w:val="20"/>
                <w:szCs w:val="20"/>
              </w:rPr>
            </w:pPr>
            <w:r w:rsidRPr="00904D74">
              <w:rPr>
                <w:rFonts w:ascii="Marianne" w:hAnsi="Marianne" w:cs="Times New Roman"/>
                <w:color w:val="000000"/>
                <w:sz w:val="20"/>
                <w:szCs w:val="20"/>
              </w:rPr>
              <w:t>E</w:t>
            </w:r>
            <w:r w:rsidR="00EC2C6D" w:rsidRPr="00904D74">
              <w:rPr>
                <w:rFonts w:ascii="Marianne" w:hAnsi="Marianne" w:cs="Times New Roman"/>
                <w:color w:val="000000"/>
                <w:sz w:val="20"/>
                <w:szCs w:val="20"/>
              </w:rPr>
              <w:t>n l’absence de classe 1, seuls certains LCDT sont soumis à cette obligation en fonction de leur trafic. Il n’y a donc pas lieu de faire un lien systématique</w:t>
            </w:r>
            <w:r w:rsidR="00904D74">
              <w:rPr>
                <w:rFonts w:ascii="Marianne" w:hAnsi="Marianne" w:cs="Times New Roman"/>
                <w:color w:val="000000"/>
                <w:sz w:val="20"/>
                <w:szCs w:val="20"/>
              </w:rPr>
              <w:t>m</w:t>
            </w:r>
            <w:r w:rsidR="00EC2C6D" w:rsidRPr="00904D74">
              <w:rPr>
                <w:rFonts w:ascii="Marianne" w:hAnsi="Marianne" w:cs="Times New Roman"/>
                <w:color w:val="000000"/>
                <w:sz w:val="20"/>
                <w:szCs w:val="20"/>
              </w:rPr>
              <w:t>ent</w:t>
            </w:r>
            <w:r w:rsidRPr="00904D74">
              <w:rPr>
                <w:rFonts w:ascii="Marianne" w:hAnsi="Marianne" w:cs="Times New Roman"/>
                <w:color w:val="000000"/>
                <w:sz w:val="20"/>
                <w:szCs w:val="20"/>
              </w:rPr>
              <w:t>.</w:t>
            </w:r>
          </w:p>
          <w:p w14:paraId="3E270624" w14:textId="7CE9A42D" w:rsidR="002C110E" w:rsidRPr="00904D74" w:rsidRDefault="002C110E">
            <w:pPr>
              <w:snapToGrid w:val="0"/>
              <w:spacing w:before="240" w:after="120"/>
              <w:jc w:val="both"/>
              <w:rPr>
                <w:rFonts w:ascii="Marianne" w:hAnsi="Marianne" w:cs="Times New Roman"/>
                <w:color w:val="000000"/>
                <w:sz w:val="20"/>
                <w:szCs w:val="20"/>
              </w:rPr>
            </w:pPr>
          </w:p>
          <w:p w14:paraId="18EEE024" w14:textId="1F198E10" w:rsidR="00E02ED8" w:rsidRPr="00904D74" w:rsidRDefault="00E02ED8">
            <w:pPr>
              <w:snapToGrid w:val="0"/>
              <w:spacing w:before="240" w:after="120"/>
              <w:jc w:val="both"/>
              <w:rPr>
                <w:rFonts w:ascii="Marianne" w:hAnsi="Marianne" w:cs="Times New Roman"/>
                <w:color w:val="000000"/>
                <w:sz w:val="20"/>
                <w:szCs w:val="20"/>
              </w:rPr>
            </w:pPr>
          </w:p>
          <w:p w14:paraId="5B41D560" w14:textId="0C4F8AC5" w:rsidR="002C110E" w:rsidRPr="00904D74" w:rsidRDefault="00C5256C">
            <w:pPr>
              <w:snapToGrid w:val="0"/>
              <w:spacing w:before="240" w:after="120"/>
              <w:jc w:val="both"/>
              <w:rPr>
                <w:rFonts w:ascii="Marianne" w:hAnsi="Marianne" w:cs="Times New Roman"/>
                <w:color w:val="000000"/>
                <w:sz w:val="20"/>
                <w:szCs w:val="20"/>
              </w:rPr>
            </w:pPr>
            <w:r w:rsidRPr="00904D74">
              <w:rPr>
                <w:rFonts w:ascii="Marianne" w:hAnsi="Marianne" w:cs="Times New Roman"/>
                <w:color w:val="000000"/>
                <w:sz w:val="20"/>
                <w:szCs w:val="20"/>
              </w:rPr>
              <w:t>Cette exigence n’existe pas actuellem</w:t>
            </w:r>
            <w:r w:rsidR="00904D74">
              <w:rPr>
                <w:rFonts w:ascii="Marianne" w:hAnsi="Marianne" w:cs="Times New Roman"/>
                <w:color w:val="000000"/>
                <w:sz w:val="20"/>
                <w:szCs w:val="20"/>
              </w:rPr>
              <w:t xml:space="preserve">ent dans le RPM. La proposition nécessiterait </w:t>
            </w:r>
            <w:r w:rsidRPr="00904D74">
              <w:rPr>
                <w:rFonts w:ascii="Marianne" w:hAnsi="Marianne" w:cs="Times New Roman"/>
                <w:color w:val="000000"/>
                <w:sz w:val="20"/>
                <w:szCs w:val="20"/>
              </w:rPr>
              <w:t>un examen complémentaire en lien avec le RPM</w:t>
            </w:r>
          </w:p>
          <w:p w14:paraId="76364A6E" w14:textId="77777777" w:rsidR="002C110E" w:rsidRPr="00904D74" w:rsidRDefault="002C110E">
            <w:pPr>
              <w:snapToGrid w:val="0"/>
              <w:spacing w:before="240" w:after="120"/>
              <w:jc w:val="both"/>
              <w:rPr>
                <w:rFonts w:ascii="Marianne" w:hAnsi="Marianne" w:cs="Times New Roman"/>
                <w:color w:val="000000"/>
                <w:sz w:val="20"/>
                <w:szCs w:val="20"/>
              </w:rPr>
            </w:pPr>
          </w:p>
        </w:tc>
      </w:tr>
      <w:tr w:rsidR="002C110E" w:rsidRPr="00904D74" w14:paraId="681EA796" w14:textId="77777777">
        <w:tc>
          <w:tcPr>
            <w:tcW w:w="4606" w:type="dxa"/>
            <w:tcBorders>
              <w:top w:val="single" w:sz="4" w:space="0" w:color="000000"/>
              <w:left w:val="single" w:sz="4" w:space="0" w:color="000000"/>
              <w:bottom w:val="single" w:sz="4" w:space="0" w:color="000000"/>
            </w:tcBorders>
          </w:tcPr>
          <w:p w14:paraId="6C517298" w14:textId="77777777" w:rsidR="002C110E" w:rsidRPr="00904D74" w:rsidRDefault="00EC2C6D">
            <w:pPr>
              <w:snapToGrid w:val="0"/>
              <w:spacing w:before="240" w:after="120"/>
              <w:jc w:val="both"/>
              <w:rPr>
                <w:rFonts w:ascii="Marianne" w:hAnsi="Marianne" w:cs="Times New Roman"/>
                <w:sz w:val="20"/>
                <w:szCs w:val="20"/>
              </w:rPr>
            </w:pPr>
            <w:r w:rsidRPr="00904D74">
              <w:rPr>
                <w:rFonts w:ascii="Marianne" w:hAnsi="Marianne" w:cs="Times New Roman"/>
                <w:b/>
                <w:bCs/>
                <w:color w:val="000000"/>
                <w:sz w:val="20"/>
                <w:szCs w:val="20"/>
                <w:lang w:eastAsia="fr-FR"/>
              </w:rPr>
              <w:t>AFCOME</w:t>
            </w:r>
            <w:r w:rsidRPr="00904D74">
              <w:rPr>
                <w:rFonts w:ascii="Marianne" w:hAnsi="Marianne" w:cs="Times New Roman"/>
                <w:color w:val="000000"/>
                <w:sz w:val="20"/>
                <w:szCs w:val="20"/>
                <w:lang w:eastAsia="fr-FR"/>
              </w:rPr>
              <w:t xml:space="preserve"> - Observations sur autorisation d’activité + moyens extinction incendie :</w:t>
            </w:r>
          </w:p>
          <w:p w14:paraId="0BA625F6" w14:textId="77777777" w:rsidR="002C110E" w:rsidRPr="00904D74" w:rsidRDefault="00EC2C6D">
            <w:pPr>
              <w:spacing w:before="280" w:after="280"/>
              <w:rPr>
                <w:rFonts w:ascii="Marianne" w:hAnsi="Marianne" w:cs="Times New Roman"/>
                <w:sz w:val="20"/>
                <w:szCs w:val="20"/>
                <w:lang w:eastAsia="fr-FR"/>
              </w:rPr>
            </w:pPr>
            <w:r w:rsidRPr="00904D74">
              <w:rPr>
                <w:rFonts w:ascii="Marianne" w:hAnsi="Marianne" w:cs="Times New Roman"/>
                <w:sz w:val="20"/>
                <w:szCs w:val="20"/>
                <w:lang w:eastAsia="fr-FR"/>
              </w:rPr>
              <w:lastRenderedPageBreak/>
              <w:t>L’appendice V-3 de l’annexe V fourni une liste de LCDT autorisés. Or celle-ci n’est pas exhaustive. D’autres LCDT existent et pourront alors relever d’un arrêté préfectoral. En attendant que la procédure nécessaire à cette autorisation par arrêté de la Préfecture soit opérationnelle, il est important que les sites déjà existants ne soient pas pénalisés et puissent poursuivre leur activité. N’ayant vu aucune mention de ce point dans le projet de texte, nous souhaiterions qu’une forme d’antériorité permettant aux LCDT de maintenir leur activité en attendant leur mise en conformité aux nouvelles obligations soit prévue.</w:t>
            </w:r>
          </w:p>
          <w:p w14:paraId="16FD7779" w14:textId="77777777" w:rsidR="002C110E" w:rsidRPr="00904D74" w:rsidRDefault="00EC2C6D">
            <w:pPr>
              <w:spacing w:before="280" w:after="280"/>
              <w:rPr>
                <w:rFonts w:ascii="Marianne" w:hAnsi="Marianne" w:cs="Times New Roman"/>
                <w:sz w:val="20"/>
                <w:szCs w:val="20"/>
              </w:rPr>
            </w:pPr>
            <w:r w:rsidRPr="00904D74">
              <w:rPr>
                <w:rFonts w:ascii="Marianne" w:hAnsi="Marianne" w:cs="Times New Roman"/>
                <w:sz w:val="20"/>
                <w:szCs w:val="20"/>
                <w:lang w:eastAsia="fr-FR"/>
              </w:rPr>
              <w:t xml:space="preserve">A l’annexe V, chapitre II, point 518, le tableau définissant les débits d’eau nécessaires des LCDT indique « Toute disponibilité en eau nécessite la présence sur le poste : de moyens fixes et de matériels permanents mobiles (bateaux-pompes, pompes inclus) ». </w:t>
            </w:r>
            <w:r w:rsidRPr="00904D74">
              <w:rPr>
                <w:rFonts w:ascii="Marianne" w:hAnsi="Marianne" w:cs="Times New Roman"/>
                <w:sz w:val="20"/>
                <w:szCs w:val="20"/>
              </w:rPr>
              <w:br/>
            </w:r>
            <w:r w:rsidRPr="00904D74">
              <w:rPr>
                <w:rFonts w:ascii="Marianne" w:hAnsi="Marianne" w:cs="Times New Roman"/>
                <w:sz w:val="20"/>
                <w:szCs w:val="20"/>
                <w:lang w:eastAsia="fr-FR"/>
              </w:rPr>
              <w:t xml:space="preserve">Cette exigence présente dans le RPM, est adaptée à un environnement portuaire (zones aquatiques et terrestres très étendues). </w:t>
            </w:r>
            <w:r w:rsidRPr="00904D74">
              <w:rPr>
                <w:rFonts w:ascii="Marianne" w:hAnsi="Marianne" w:cs="Times New Roman"/>
                <w:i/>
                <w:iCs/>
                <w:sz w:val="20"/>
                <w:szCs w:val="20"/>
                <w:lang w:eastAsia="fr-FR"/>
              </w:rPr>
              <w:t>A l’échelle d’un quai de chargement fluvial de 50m avec une voie d’eau de 8m de large, si les moyens fixes peuvent s’avérer suffisants, peut-on s’affranchir des moyens mobiles (et inversement) ? Est-il possible d’adapter cette disposition en précisant des moyens fixes et/ou mobiles ?</w:t>
            </w:r>
          </w:p>
        </w:tc>
        <w:tc>
          <w:tcPr>
            <w:tcW w:w="4646" w:type="dxa"/>
            <w:tcBorders>
              <w:top w:val="single" w:sz="4" w:space="0" w:color="000000"/>
              <w:left w:val="single" w:sz="4" w:space="0" w:color="000000"/>
              <w:bottom w:val="single" w:sz="4" w:space="0" w:color="000000"/>
              <w:right w:val="single" w:sz="4" w:space="0" w:color="000000"/>
            </w:tcBorders>
          </w:tcPr>
          <w:p w14:paraId="14DD1275" w14:textId="296704AF" w:rsidR="002C110E" w:rsidRPr="00904D74" w:rsidRDefault="00EC2C6D">
            <w:pPr>
              <w:snapToGrid w:val="0"/>
              <w:spacing w:before="240" w:after="120"/>
              <w:jc w:val="both"/>
              <w:rPr>
                <w:rFonts w:ascii="Marianne" w:hAnsi="Marianne" w:cs="Times New Roman"/>
                <w:color w:val="000000"/>
                <w:sz w:val="20"/>
                <w:szCs w:val="20"/>
              </w:rPr>
            </w:pPr>
            <w:r w:rsidRPr="00904D74">
              <w:rPr>
                <w:rFonts w:ascii="Marianne" w:hAnsi="Marianne" w:cs="Times New Roman"/>
                <w:color w:val="000000"/>
                <w:sz w:val="20"/>
                <w:szCs w:val="20"/>
              </w:rPr>
              <w:lastRenderedPageBreak/>
              <w:t>Une clause d’antériorité n’a pas de sens</w:t>
            </w:r>
            <w:r w:rsidR="00904D74">
              <w:rPr>
                <w:rFonts w:ascii="Marianne" w:hAnsi="Marianne" w:cs="Times New Roman"/>
                <w:color w:val="000000"/>
                <w:sz w:val="20"/>
                <w:szCs w:val="20"/>
              </w:rPr>
              <w:t>,</w:t>
            </w:r>
            <w:r w:rsidRPr="00904D74">
              <w:rPr>
                <w:rFonts w:ascii="Marianne" w:hAnsi="Marianne" w:cs="Times New Roman"/>
                <w:color w:val="000000"/>
                <w:sz w:val="20"/>
                <w:szCs w:val="20"/>
              </w:rPr>
              <w:t xml:space="preserve"> dans la mesure où l’ADN précise déjà à l’heure actuelle que les lieux doivent être autorisés</w:t>
            </w:r>
            <w:r w:rsidR="001C4229" w:rsidRPr="00904D74">
              <w:rPr>
                <w:rFonts w:ascii="Marianne" w:hAnsi="Marianne" w:cs="Times New Roman"/>
                <w:color w:val="000000"/>
                <w:sz w:val="20"/>
                <w:szCs w:val="20"/>
              </w:rPr>
              <w:t>.</w:t>
            </w:r>
            <w:r w:rsidRPr="00904D74">
              <w:rPr>
                <w:rFonts w:ascii="Marianne" w:hAnsi="Marianne" w:cs="Times New Roman"/>
                <w:color w:val="000000"/>
                <w:sz w:val="20"/>
                <w:szCs w:val="20"/>
              </w:rPr>
              <w:t xml:space="preserve"> </w:t>
            </w:r>
          </w:p>
          <w:p w14:paraId="0019E082" w14:textId="4F1348BC" w:rsidR="002C110E" w:rsidRPr="00904D74" w:rsidRDefault="00EC2C6D">
            <w:pPr>
              <w:snapToGrid w:val="0"/>
              <w:spacing w:before="240" w:after="120"/>
              <w:jc w:val="both"/>
              <w:rPr>
                <w:rFonts w:ascii="Marianne" w:hAnsi="Marianne" w:cs="Times New Roman"/>
                <w:color w:val="000000"/>
                <w:sz w:val="20"/>
                <w:szCs w:val="20"/>
              </w:rPr>
            </w:pPr>
            <w:r w:rsidRPr="00904D74">
              <w:rPr>
                <w:rFonts w:ascii="Marianne" w:hAnsi="Marianne" w:cs="Times New Roman"/>
                <w:color w:val="000000"/>
                <w:sz w:val="20"/>
                <w:szCs w:val="20"/>
              </w:rPr>
              <w:lastRenderedPageBreak/>
              <w:t>Les sites déjà existants auraient dû demander cette autorisation au préfet de département conformément au 2.2 de l’arrêté TMD.</w:t>
            </w:r>
          </w:p>
          <w:p w14:paraId="7BC69212" w14:textId="315DF04A" w:rsidR="002C110E" w:rsidRPr="00904D74" w:rsidRDefault="00EC2C6D">
            <w:pPr>
              <w:snapToGrid w:val="0"/>
              <w:spacing w:before="240" w:after="120"/>
              <w:jc w:val="both"/>
              <w:rPr>
                <w:rFonts w:ascii="Marianne" w:hAnsi="Marianne" w:cs="Times New Roman"/>
                <w:color w:val="000000"/>
                <w:sz w:val="20"/>
                <w:szCs w:val="20"/>
              </w:rPr>
            </w:pPr>
            <w:r w:rsidRPr="00904D74">
              <w:rPr>
                <w:rFonts w:ascii="Marianne" w:hAnsi="Marianne" w:cs="Times New Roman"/>
                <w:color w:val="000000"/>
                <w:sz w:val="20"/>
                <w:szCs w:val="20"/>
              </w:rPr>
              <w:t xml:space="preserve">Les opérateurs qui ont connaissance de lieux non listés sont invités à en communiquer la liste avec leur description notamment </w:t>
            </w:r>
            <w:r w:rsidR="001C4229" w:rsidRPr="00904D74">
              <w:rPr>
                <w:rFonts w:ascii="Marianne" w:hAnsi="Marianne" w:cs="Times New Roman"/>
                <w:color w:val="000000"/>
                <w:sz w:val="20"/>
                <w:szCs w:val="20"/>
              </w:rPr>
              <w:t xml:space="preserve">les points kilométriques </w:t>
            </w:r>
            <w:r w:rsidR="00904D74">
              <w:rPr>
                <w:rFonts w:ascii="Marianne" w:hAnsi="Marianne" w:cs="Times New Roman"/>
                <w:color w:val="000000"/>
                <w:sz w:val="20"/>
                <w:szCs w:val="20"/>
              </w:rPr>
              <w:t>au plus vite à la MTMD.</w:t>
            </w:r>
            <w:r w:rsidRPr="00904D74">
              <w:rPr>
                <w:rFonts w:ascii="Marianne" w:hAnsi="Marianne" w:cs="Times New Roman"/>
                <w:color w:val="000000"/>
                <w:sz w:val="20"/>
                <w:szCs w:val="20"/>
              </w:rPr>
              <w:t xml:space="preserve"> </w:t>
            </w:r>
            <w:r w:rsidR="00904D74">
              <w:rPr>
                <w:rFonts w:ascii="Marianne" w:hAnsi="Marianne" w:cs="Times New Roman"/>
                <w:color w:val="000000"/>
                <w:sz w:val="20"/>
                <w:szCs w:val="20"/>
              </w:rPr>
              <w:t>Une</w:t>
            </w:r>
            <w:r w:rsidRPr="00904D74">
              <w:rPr>
                <w:rFonts w:ascii="Marianne" w:hAnsi="Marianne" w:cs="Times New Roman"/>
                <w:color w:val="000000"/>
                <w:sz w:val="20"/>
                <w:szCs w:val="20"/>
              </w:rPr>
              <w:t xml:space="preserve"> période transitoire est prévue jusqu’en 2025</w:t>
            </w:r>
            <w:r w:rsidR="00904D74">
              <w:rPr>
                <w:rFonts w:ascii="Marianne" w:hAnsi="Marianne" w:cs="Times New Roman"/>
                <w:color w:val="000000"/>
                <w:sz w:val="20"/>
                <w:szCs w:val="20"/>
              </w:rPr>
              <w:t>,</w:t>
            </w:r>
            <w:r w:rsidRPr="00904D74">
              <w:rPr>
                <w:rFonts w:ascii="Marianne" w:hAnsi="Marianne" w:cs="Times New Roman"/>
                <w:color w:val="000000"/>
                <w:sz w:val="20"/>
                <w:szCs w:val="20"/>
              </w:rPr>
              <w:t xml:space="preserve"> durant laquelle ces compléments pourront être apportés</w:t>
            </w:r>
            <w:r w:rsidR="001C4229" w:rsidRPr="00904D74">
              <w:rPr>
                <w:rFonts w:ascii="Marianne" w:hAnsi="Marianne" w:cs="Times New Roman"/>
                <w:color w:val="000000"/>
                <w:sz w:val="20"/>
                <w:szCs w:val="20"/>
              </w:rPr>
              <w:t>.</w:t>
            </w:r>
            <w:r w:rsidRPr="00904D74">
              <w:rPr>
                <w:rFonts w:ascii="Marianne" w:hAnsi="Marianne" w:cs="Times New Roman"/>
                <w:color w:val="000000"/>
                <w:sz w:val="20"/>
                <w:szCs w:val="20"/>
              </w:rPr>
              <w:t xml:space="preserve"> </w:t>
            </w:r>
          </w:p>
          <w:p w14:paraId="0BDEBB3F" w14:textId="77777777" w:rsidR="002C110E" w:rsidRPr="00904D74" w:rsidRDefault="002C110E">
            <w:pPr>
              <w:snapToGrid w:val="0"/>
              <w:spacing w:before="240" w:after="120"/>
              <w:jc w:val="both"/>
              <w:rPr>
                <w:rFonts w:ascii="Marianne" w:hAnsi="Marianne" w:cs="Times New Roman"/>
                <w:color w:val="000000"/>
                <w:sz w:val="20"/>
                <w:szCs w:val="20"/>
              </w:rPr>
            </w:pPr>
          </w:p>
          <w:p w14:paraId="055EC694" w14:textId="77777777" w:rsidR="002C110E" w:rsidRPr="00904D74" w:rsidRDefault="002C110E">
            <w:pPr>
              <w:snapToGrid w:val="0"/>
              <w:spacing w:before="240" w:after="120"/>
              <w:jc w:val="both"/>
              <w:rPr>
                <w:rFonts w:ascii="Marianne" w:hAnsi="Marianne" w:cs="Times New Roman"/>
                <w:color w:val="000000"/>
                <w:sz w:val="20"/>
                <w:szCs w:val="20"/>
              </w:rPr>
            </w:pPr>
          </w:p>
          <w:p w14:paraId="71808208" w14:textId="77777777" w:rsidR="006207CB" w:rsidRDefault="006207CB">
            <w:pPr>
              <w:snapToGrid w:val="0"/>
              <w:spacing w:before="240" w:after="120"/>
              <w:jc w:val="both"/>
              <w:rPr>
                <w:rFonts w:ascii="Marianne" w:hAnsi="Marianne" w:cs="Times New Roman"/>
                <w:color w:val="000000"/>
                <w:sz w:val="20"/>
                <w:szCs w:val="20"/>
              </w:rPr>
            </w:pPr>
          </w:p>
          <w:p w14:paraId="059A8922" w14:textId="77777777" w:rsidR="006207CB" w:rsidRDefault="006207CB">
            <w:pPr>
              <w:snapToGrid w:val="0"/>
              <w:spacing w:before="240" w:after="120"/>
              <w:jc w:val="both"/>
              <w:rPr>
                <w:rFonts w:ascii="Marianne" w:hAnsi="Marianne" w:cs="Times New Roman"/>
                <w:color w:val="000000"/>
                <w:sz w:val="20"/>
                <w:szCs w:val="20"/>
              </w:rPr>
            </w:pPr>
          </w:p>
          <w:p w14:paraId="1FF4C940" w14:textId="6A0965FD" w:rsidR="002C110E" w:rsidRPr="00904D74" w:rsidRDefault="00EC2C6D">
            <w:pPr>
              <w:snapToGrid w:val="0"/>
              <w:spacing w:before="240" w:after="120"/>
              <w:jc w:val="both"/>
              <w:rPr>
                <w:rFonts w:ascii="Marianne" w:hAnsi="Marianne" w:cs="Times New Roman"/>
                <w:color w:val="000000"/>
                <w:sz w:val="20"/>
                <w:szCs w:val="20"/>
              </w:rPr>
            </w:pPr>
            <w:r w:rsidRPr="00904D74">
              <w:rPr>
                <w:rFonts w:ascii="Marianne" w:hAnsi="Marianne" w:cs="Times New Roman"/>
                <w:color w:val="000000"/>
                <w:sz w:val="20"/>
                <w:szCs w:val="20"/>
              </w:rPr>
              <w:t>La mise en œuvre d’une telle possibilité nécessite</w:t>
            </w:r>
            <w:r w:rsidR="00904D74">
              <w:rPr>
                <w:rFonts w:ascii="Marianne" w:hAnsi="Marianne" w:cs="Times New Roman"/>
                <w:color w:val="000000"/>
                <w:sz w:val="20"/>
                <w:szCs w:val="20"/>
              </w:rPr>
              <w:t>rait</w:t>
            </w:r>
            <w:r w:rsidRPr="00904D74">
              <w:rPr>
                <w:rFonts w:ascii="Marianne" w:hAnsi="Marianne" w:cs="Times New Roman"/>
                <w:color w:val="000000"/>
                <w:sz w:val="20"/>
                <w:szCs w:val="20"/>
              </w:rPr>
              <w:t xml:space="preserve"> une étude complémentaire</w:t>
            </w:r>
            <w:r w:rsidR="001C4229" w:rsidRPr="00904D74">
              <w:rPr>
                <w:rFonts w:ascii="Marianne" w:hAnsi="Marianne" w:cs="Times New Roman"/>
                <w:color w:val="000000"/>
                <w:sz w:val="20"/>
                <w:szCs w:val="20"/>
              </w:rPr>
              <w:t>.</w:t>
            </w:r>
          </w:p>
          <w:p w14:paraId="094CF34E" w14:textId="713AECF6" w:rsidR="007E730C" w:rsidRPr="00904D74" w:rsidRDefault="007E730C" w:rsidP="001C4229">
            <w:pPr>
              <w:snapToGrid w:val="0"/>
              <w:spacing w:before="240" w:after="120"/>
              <w:jc w:val="both"/>
              <w:rPr>
                <w:rFonts w:ascii="Marianne" w:hAnsi="Marianne" w:cs="Times New Roman"/>
                <w:color w:val="000000"/>
                <w:sz w:val="20"/>
                <w:szCs w:val="20"/>
              </w:rPr>
            </w:pPr>
            <w:r w:rsidRPr="00904D74">
              <w:rPr>
                <w:rFonts w:ascii="Marianne" w:hAnsi="Marianne" w:cs="Times New Roman"/>
                <w:color w:val="000000"/>
                <w:sz w:val="20"/>
                <w:szCs w:val="20"/>
              </w:rPr>
              <w:t>Cependant</w:t>
            </w:r>
            <w:r w:rsidR="001C4229" w:rsidRPr="00904D74">
              <w:rPr>
                <w:rFonts w:ascii="Marianne" w:hAnsi="Marianne" w:cs="Times New Roman"/>
                <w:color w:val="000000"/>
                <w:sz w:val="20"/>
                <w:szCs w:val="20"/>
              </w:rPr>
              <w:t>,</w:t>
            </w:r>
            <w:r w:rsidRPr="00904D74">
              <w:rPr>
                <w:rFonts w:ascii="Marianne" w:hAnsi="Marianne" w:cs="Times New Roman"/>
                <w:color w:val="000000"/>
                <w:sz w:val="20"/>
                <w:szCs w:val="20"/>
              </w:rPr>
              <w:t xml:space="preserve"> s’il s’avère difficile de la généraliser dans le règlement au niveau </w:t>
            </w:r>
            <w:r w:rsidR="00805D8E" w:rsidRPr="00904D74">
              <w:rPr>
                <w:rFonts w:ascii="Marianne" w:hAnsi="Marianne" w:cs="Times New Roman"/>
                <w:color w:val="000000"/>
                <w:sz w:val="20"/>
                <w:szCs w:val="20"/>
              </w:rPr>
              <w:t>national, elle</w:t>
            </w:r>
            <w:r w:rsidRPr="00904D74">
              <w:rPr>
                <w:rFonts w:ascii="Marianne" w:hAnsi="Marianne" w:cs="Times New Roman"/>
                <w:color w:val="000000"/>
                <w:sz w:val="20"/>
                <w:szCs w:val="20"/>
              </w:rPr>
              <w:t xml:space="preserve"> pourrait faire l’objet d’une demande de dérogation </w:t>
            </w:r>
            <w:r w:rsidR="00805D8E" w:rsidRPr="00904D74">
              <w:rPr>
                <w:rFonts w:ascii="Marianne" w:hAnsi="Marianne" w:cs="Times New Roman"/>
                <w:color w:val="000000"/>
                <w:sz w:val="20"/>
                <w:szCs w:val="20"/>
              </w:rPr>
              <w:t>localement</w:t>
            </w:r>
            <w:r w:rsidR="00904D74">
              <w:rPr>
                <w:rFonts w:ascii="Marianne" w:hAnsi="Marianne" w:cs="Times New Roman"/>
                <w:color w:val="000000"/>
                <w:sz w:val="20"/>
                <w:szCs w:val="20"/>
              </w:rPr>
              <w:t xml:space="preserve"> </w:t>
            </w:r>
            <w:r w:rsidRPr="00904D74">
              <w:rPr>
                <w:rFonts w:ascii="Marianne" w:hAnsi="Marianne" w:cs="Times New Roman"/>
                <w:color w:val="000000"/>
                <w:sz w:val="20"/>
                <w:szCs w:val="20"/>
              </w:rPr>
              <w:t>(10.4.3)</w:t>
            </w:r>
            <w:r w:rsidR="001C4229" w:rsidRPr="00904D74">
              <w:rPr>
                <w:rFonts w:ascii="Marianne" w:hAnsi="Marianne" w:cs="Times New Roman"/>
                <w:color w:val="000000"/>
                <w:sz w:val="20"/>
                <w:szCs w:val="20"/>
              </w:rPr>
              <w:t xml:space="preserve">. </w:t>
            </w:r>
            <w:r w:rsidRPr="00904D74">
              <w:rPr>
                <w:rFonts w:ascii="Marianne" w:hAnsi="Marianne" w:cs="Times New Roman"/>
                <w:color w:val="000000"/>
                <w:sz w:val="20"/>
                <w:szCs w:val="20"/>
              </w:rPr>
              <w:t xml:space="preserve">Le retour d’expérience permettrait ensuite de décider </w:t>
            </w:r>
            <w:r w:rsidR="001C4229" w:rsidRPr="00904D74">
              <w:rPr>
                <w:rFonts w:ascii="Marianne" w:hAnsi="Marianne" w:cs="Times New Roman"/>
                <w:color w:val="000000"/>
                <w:sz w:val="20"/>
                <w:szCs w:val="20"/>
              </w:rPr>
              <w:t xml:space="preserve">une éventuelle intégration </w:t>
            </w:r>
            <w:r w:rsidR="00904D74">
              <w:rPr>
                <w:rFonts w:ascii="Marianne" w:hAnsi="Marianne" w:cs="Times New Roman"/>
                <w:color w:val="000000"/>
                <w:sz w:val="20"/>
                <w:szCs w:val="20"/>
              </w:rPr>
              <w:t>au niveau national.</w:t>
            </w:r>
          </w:p>
        </w:tc>
      </w:tr>
      <w:tr w:rsidR="002C110E" w:rsidRPr="00904D74" w14:paraId="19C71053" w14:textId="77777777">
        <w:tc>
          <w:tcPr>
            <w:tcW w:w="4606" w:type="dxa"/>
            <w:tcBorders>
              <w:top w:val="single" w:sz="4" w:space="0" w:color="000000"/>
              <w:left w:val="single" w:sz="4" w:space="0" w:color="000000"/>
              <w:bottom w:val="single" w:sz="4" w:space="0" w:color="000000"/>
            </w:tcBorders>
          </w:tcPr>
          <w:p w14:paraId="7B1024CB" w14:textId="77777777" w:rsidR="002C110E" w:rsidRPr="00904D74" w:rsidRDefault="00EC2C6D">
            <w:pPr>
              <w:snapToGrid w:val="0"/>
              <w:spacing w:before="240" w:after="120"/>
              <w:jc w:val="both"/>
              <w:rPr>
                <w:rFonts w:ascii="Marianne" w:hAnsi="Marianne" w:cs="Times New Roman"/>
                <w:b/>
                <w:bCs/>
                <w:color w:val="000000"/>
                <w:sz w:val="20"/>
                <w:szCs w:val="20"/>
                <w:lang w:eastAsia="fr-FR"/>
              </w:rPr>
            </w:pPr>
            <w:r w:rsidRPr="00904D74">
              <w:rPr>
                <w:rFonts w:ascii="Marianne" w:hAnsi="Marianne" w:cs="Times New Roman"/>
                <w:b/>
                <w:bCs/>
                <w:color w:val="000000"/>
                <w:sz w:val="20"/>
                <w:szCs w:val="20"/>
                <w:lang w:eastAsia="fr-FR"/>
              </w:rPr>
              <w:lastRenderedPageBreak/>
              <w:t>Paragraphe 42-1-2 :</w:t>
            </w:r>
          </w:p>
          <w:p w14:paraId="356070E4" w14:textId="77777777" w:rsidR="002C110E" w:rsidRPr="00904D74" w:rsidRDefault="00EC2C6D">
            <w:pPr>
              <w:spacing w:before="280" w:after="280"/>
              <w:rPr>
                <w:rFonts w:ascii="Marianne" w:hAnsi="Marianne" w:cs="Times New Roman"/>
                <w:sz w:val="20"/>
                <w:szCs w:val="20"/>
                <w:lang w:eastAsia="fr-FR"/>
              </w:rPr>
            </w:pPr>
            <w:r w:rsidRPr="00904D74">
              <w:rPr>
                <w:rFonts w:ascii="Marianne" w:hAnsi="Marianne" w:cs="Times New Roman"/>
                <w:sz w:val="20"/>
                <w:szCs w:val="20"/>
                <w:lang w:eastAsia="fr-FR"/>
              </w:rPr>
              <w:t>-  42-1-2 Les canots de service et les embarcations de sauvetage sont opérationnels pendant les opérations.</w:t>
            </w:r>
          </w:p>
          <w:p w14:paraId="4FD79918" w14:textId="77777777" w:rsidR="002C110E" w:rsidRPr="00904D74" w:rsidRDefault="00EC2C6D">
            <w:pPr>
              <w:spacing w:before="280" w:after="280"/>
              <w:rPr>
                <w:rFonts w:ascii="Marianne" w:hAnsi="Marianne" w:cs="Times New Roman"/>
                <w:sz w:val="20"/>
                <w:szCs w:val="20"/>
              </w:rPr>
            </w:pPr>
            <w:r w:rsidRPr="00904D74">
              <w:rPr>
                <w:rFonts w:ascii="Marianne" w:hAnsi="Marianne" w:cs="Times New Roman"/>
                <w:sz w:val="20"/>
                <w:szCs w:val="20"/>
                <w:lang w:eastAsia="fr-FR"/>
              </w:rPr>
              <w:t xml:space="preserve">Pour nous, cette exigence n’est pas applicable. A quai, les navires ont régulièrement une partie de leurs </w:t>
            </w:r>
            <w:r w:rsidRPr="00904D74">
              <w:rPr>
                <w:rFonts w:ascii="Marianne" w:hAnsi="Marianne" w:cs="Times New Roman"/>
                <w:sz w:val="20"/>
                <w:szCs w:val="20"/>
                <w:lang w:eastAsia="fr-FR"/>
              </w:rPr>
              <w:lastRenderedPageBreak/>
              <w:t xml:space="preserve">embarcations de sauvetage indisponibles car impossible à déborder côté quai ou bien à cause des amarres (côté terre toujours). </w:t>
            </w:r>
            <w:r w:rsidRPr="00904D74">
              <w:rPr>
                <w:rFonts w:ascii="Marianne" w:hAnsi="Marianne" w:cs="Times New Roman"/>
                <w:sz w:val="20"/>
                <w:szCs w:val="20"/>
              </w:rPr>
              <w:br/>
            </w:r>
            <w:r w:rsidRPr="00904D74">
              <w:rPr>
                <w:rFonts w:ascii="Marianne" w:hAnsi="Marianne" w:cs="Times New Roman"/>
                <w:sz w:val="20"/>
                <w:szCs w:val="20"/>
                <w:lang w:eastAsia="fr-FR"/>
              </w:rPr>
              <w:t>Il y aura toujours des moyens d’évacuations disponibles, mais pas l’ensemble des équipements.</w:t>
            </w:r>
          </w:p>
        </w:tc>
        <w:tc>
          <w:tcPr>
            <w:tcW w:w="4646" w:type="dxa"/>
            <w:tcBorders>
              <w:top w:val="single" w:sz="4" w:space="0" w:color="000000"/>
              <w:left w:val="single" w:sz="4" w:space="0" w:color="000000"/>
              <w:bottom w:val="single" w:sz="4" w:space="0" w:color="000000"/>
              <w:right w:val="single" w:sz="4" w:space="0" w:color="000000"/>
            </w:tcBorders>
          </w:tcPr>
          <w:p w14:paraId="1D190563" w14:textId="6D28E91A" w:rsidR="002C110E" w:rsidRPr="00904D74" w:rsidRDefault="00EC2C6D">
            <w:pPr>
              <w:snapToGrid w:val="0"/>
              <w:spacing w:before="240" w:after="120"/>
              <w:jc w:val="both"/>
              <w:rPr>
                <w:rFonts w:ascii="Marianne" w:hAnsi="Marianne" w:cs="Times New Roman"/>
                <w:color w:val="000000"/>
                <w:sz w:val="20"/>
                <w:szCs w:val="20"/>
              </w:rPr>
            </w:pPr>
            <w:r w:rsidRPr="00904D74">
              <w:rPr>
                <w:rFonts w:ascii="Marianne" w:hAnsi="Marianne" w:cs="Times New Roman"/>
                <w:color w:val="000000"/>
                <w:sz w:val="20"/>
                <w:szCs w:val="20"/>
              </w:rPr>
              <w:lastRenderedPageBreak/>
              <w:t>Ce commentaire nécessite</w:t>
            </w:r>
            <w:r w:rsidR="00904D74">
              <w:rPr>
                <w:rFonts w:ascii="Marianne" w:hAnsi="Marianne" w:cs="Times New Roman"/>
                <w:color w:val="000000"/>
                <w:sz w:val="20"/>
                <w:szCs w:val="20"/>
              </w:rPr>
              <w:t>rait</w:t>
            </w:r>
            <w:r w:rsidRPr="00904D74">
              <w:rPr>
                <w:rFonts w:ascii="Marianne" w:hAnsi="Marianne" w:cs="Times New Roman"/>
                <w:color w:val="000000"/>
                <w:sz w:val="20"/>
                <w:szCs w:val="20"/>
              </w:rPr>
              <w:t xml:space="preserve"> une étude complémentaire</w:t>
            </w:r>
            <w:r w:rsidR="007E730C" w:rsidRPr="00904D74">
              <w:rPr>
                <w:rFonts w:ascii="Marianne" w:hAnsi="Marianne" w:cs="Times New Roman"/>
                <w:color w:val="000000"/>
                <w:sz w:val="20"/>
                <w:szCs w:val="20"/>
              </w:rPr>
              <w:t xml:space="preserve"> en lien avec le RPM</w:t>
            </w:r>
            <w:r w:rsidR="00904D74">
              <w:rPr>
                <w:rFonts w:ascii="Marianne" w:hAnsi="Marianne" w:cs="Times New Roman"/>
                <w:color w:val="000000"/>
                <w:sz w:val="20"/>
                <w:szCs w:val="20"/>
              </w:rPr>
              <w:t>.</w:t>
            </w:r>
          </w:p>
          <w:p w14:paraId="63F06E5F" w14:textId="2076B5A0" w:rsidR="002C110E" w:rsidRPr="00904D74" w:rsidRDefault="0010118B">
            <w:pPr>
              <w:snapToGrid w:val="0"/>
              <w:spacing w:before="240" w:after="120"/>
              <w:jc w:val="both"/>
              <w:rPr>
                <w:rFonts w:ascii="Marianne" w:hAnsi="Marianne" w:cs="Times New Roman"/>
                <w:sz w:val="20"/>
                <w:szCs w:val="20"/>
              </w:rPr>
            </w:pPr>
            <w:r w:rsidRPr="00904D74">
              <w:rPr>
                <w:rFonts w:ascii="Marianne" w:hAnsi="Marianne" w:cs="Times New Roman"/>
                <w:color w:val="000000"/>
                <w:sz w:val="20"/>
                <w:szCs w:val="20"/>
              </w:rPr>
              <w:t>N</w:t>
            </w:r>
            <w:r w:rsidR="007E730C" w:rsidRPr="00904D74">
              <w:rPr>
                <w:rFonts w:ascii="Marianne" w:hAnsi="Marianne" w:cs="Times New Roman"/>
                <w:color w:val="000000"/>
                <w:sz w:val="20"/>
                <w:szCs w:val="20"/>
              </w:rPr>
              <w:t>éanmoins</w:t>
            </w:r>
            <w:r w:rsidR="001C4229" w:rsidRPr="00904D74">
              <w:rPr>
                <w:rFonts w:ascii="Marianne" w:hAnsi="Marianne" w:cs="Times New Roman"/>
                <w:color w:val="000000"/>
                <w:sz w:val="20"/>
                <w:szCs w:val="20"/>
              </w:rPr>
              <w:t>,</w:t>
            </w:r>
            <w:r w:rsidRPr="00904D74">
              <w:rPr>
                <w:rFonts w:ascii="Marianne" w:hAnsi="Marianne" w:cs="Times New Roman"/>
                <w:color w:val="000000"/>
                <w:sz w:val="20"/>
                <w:szCs w:val="20"/>
              </w:rPr>
              <w:t xml:space="preserve"> on peut noter que</w:t>
            </w:r>
            <w:r w:rsidR="001C4229" w:rsidRPr="00904D74">
              <w:rPr>
                <w:rFonts w:ascii="Marianne" w:hAnsi="Marianne" w:cs="Times New Roman"/>
                <w:color w:val="000000"/>
                <w:sz w:val="20"/>
                <w:szCs w:val="20"/>
              </w:rPr>
              <w:t>,</w:t>
            </w:r>
            <w:r w:rsidR="007E730C" w:rsidRPr="00904D74">
              <w:rPr>
                <w:rFonts w:ascii="Marianne" w:hAnsi="Marianne" w:cs="Times New Roman"/>
                <w:color w:val="000000"/>
                <w:sz w:val="20"/>
                <w:szCs w:val="20"/>
              </w:rPr>
              <w:t xml:space="preserve"> dans les ports maritime</w:t>
            </w:r>
            <w:r w:rsidRPr="00904D74">
              <w:rPr>
                <w:rFonts w:ascii="Marianne" w:hAnsi="Marianne" w:cs="Times New Roman"/>
                <w:color w:val="000000"/>
                <w:sz w:val="20"/>
                <w:szCs w:val="20"/>
              </w:rPr>
              <w:t>s</w:t>
            </w:r>
            <w:r w:rsidR="007E730C" w:rsidRPr="00904D74">
              <w:rPr>
                <w:rFonts w:ascii="Marianne" w:hAnsi="Marianne" w:cs="Times New Roman"/>
                <w:color w:val="000000"/>
                <w:sz w:val="20"/>
                <w:szCs w:val="20"/>
              </w:rPr>
              <w:t xml:space="preserve"> aussi</w:t>
            </w:r>
            <w:r w:rsidR="001C4229" w:rsidRPr="00904D74">
              <w:rPr>
                <w:rFonts w:ascii="Marianne" w:hAnsi="Marianne" w:cs="Times New Roman"/>
                <w:color w:val="000000"/>
                <w:sz w:val="20"/>
                <w:szCs w:val="20"/>
              </w:rPr>
              <w:t>,</w:t>
            </w:r>
            <w:r w:rsidR="007E730C" w:rsidRPr="00904D74">
              <w:rPr>
                <w:rFonts w:ascii="Marianne" w:hAnsi="Marianne" w:cs="Times New Roman"/>
                <w:color w:val="000000"/>
                <w:sz w:val="20"/>
                <w:szCs w:val="20"/>
              </w:rPr>
              <w:t xml:space="preserve"> des embarcations de sauvetage peuvent se trouver coté quai et aucune observation</w:t>
            </w:r>
            <w:r w:rsidRPr="00904D74">
              <w:rPr>
                <w:rFonts w:ascii="Marianne" w:hAnsi="Marianne" w:cs="Times New Roman"/>
                <w:color w:val="000000"/>
                <w:sz w:val="20"/>
                <w:szCs w:val="20"/>
              </w:rPr>
              <w:t xml:space="preserve"> n’a été faite dans ce </w:t>
            </w:r>
            <w:r w:rsidRPr="00904D74">
              <w:rPr>
                <w:rFonts w:ascii="Marianne" w:hAnsi="Marianne" w:cs="Times New Roman"/>
                <w:color w:val="000000"/>
                <w:sz w:val="20"/>
                <w:szCs w:val="20"/>
              </w:rPr>
              <w:lastRenderedPageBreak/>
              <w:t>cadre</w:t>
            </w:r>
            <w:r w:rsidR="001C4229" w:rsidRPr="00904D74">
              <w:rPr>
                <w:rFonts w:ascii="Marianne" w:hAnsi="Marianne" w:cs="Times New Roman"/>
                <w:color w:val="000000"/>
                <w:sz w:val="20"/>
                <w:szCs w:val="20"/>
              </w:rPr>
              <w:t>,</w:t>
            </w:r>
            <w:r w:rsidRPr="00904D74">
              <w:rPr>
                <w:rFonts w:ascii="Marianne" w:hAnsi="Marianne" w:cs="Times New Roman"/>
                <w:color w:val="000000"/>
                <w:sz w:val="20"/>
                <w:szCs w:val="20"/>
              </w:rPr>
              <w:t xml:space="preserve"> bien que la </w:t>
            </w:r>
            <w:r w:rsidR="00805D8E" w:rsidRPr="00904D74">
              <w:rPr>
                <w:rFonts w:ascii="Marianne" w:hAnsi="Marianne" w:cs="Times New Roman"/>
                <w:color w:val="000000"/>
                <w:sz w:val="20"/>
                <w:szCs w:val="20"/>
              </w:rPr>
              <w:t>disposition</w:t>
            </w:r>
            <w:r w:rsidRPr="00904D74">
              <w:rPr>
                <w:rFonts w:ascii="Marianne" w:hAnsi="Marianne" w:cs="Times New Roman"/>
                <w:color w:val="000000"/>
                <w:sz w:val="20"/>
                <w:szCs w:val="20"/>
              </w:rPr>
              <w:t xml:space="preserve"> soit très ancienne.</w:t>
            </w:r>
            <w:r w:rsidR="007E730C" w:rsidRPr="00904D74">
              <w:rPr>
                <w:rFonts w:ascii="Marianne" w:hAnsi="Marianne" w:cs="Times New Roman"/>
                <w:color w:val="000000"/>
                <w:sz w:val="20"/>
                <w:szCs w:val="20"/>
              </w:rPr>
              <w:t xml:space="preserve"> </w:t>
            </w:r>
          </w:p>
        </w:tc>
      </w:tr>
    </w:tbl>
    <w:p w14:paraId="2FDE2494" w14:textId="77777777" w:rsidR="00FB6232" w:rsidRPr="00904D74" w:rsidRDefault="00FB6232">
      <w:pPr>
        <w:spacing w:before="240" w:after="120"/>
        <w:jc w:val="both"/>
        <w:rPr>
          <w:rFonts w:ascii="Marianne" w:hAnsi="Marianne" w:cs="Times New Roman"/>
          <w:i/>
          <w:iCs/>
          <w:color w:val="000000"/>
          <w:sz w:val="20"/>
          <w:szCs w:val="20"/>
          <w:lang w:eastAsia="fr-FR"/>
        </w:rPr>
      </w:pPr>
    </w:p>
    <w:p w14:paraId="1BD77BA1" w14:textId="77777777" w:rsidR="00FB6232" w:rsidRPr="00904D74" w:rsidRDefault="00FB6232">
      <w:pPr>
        <w:spacing w:before="240" w:after="120"/>
        <w:jc w:val="both"/>
        <w:rPr>
          <w:rFonts w:ascii="Marianne" w:hAnsi="Marianne" w:cs="Times New Roman"/>
          <w:i/>
          <w:iCs/>
          <w:color w:val="000000"/>
          <w:sz w:val="20"/>
          <w:szCs w:val="20"/>
          <w:lang w:eastAsia="fr-FR"/>
        </w:rPr>
      </w:pPr>
    </w:p>
    <w:p w14:paraId="28EB2C7C" w14:textId="77777777" w:rsidR="00FB6232" w:rsidRPr="00904D74" w:rsidRDefault="00FB6232">
      <w:pPr>
        <w:spacing w:before="240" w:after="120"/>
        <w:jc w:val="both"/>
        <w:rPr>
          <w:rFonts w:ascii="Marianne" w:hAnsi="Marianne" w:cs="Times New Roman"/>
          <w:i/>
          <w:iCs/>
          <w:color w:val="000000"/>
          <w:sz w:val="20"/>
          <w:szCs w:val="20"/>
          <w:lang w:eastAsia="fr-FR"/>
        </w:rPr>
      </w:pPr>
    </w:p>
    <w:p w14:paraId="6D8F03DD" w14:textId="34AE9732" w:rsidR="002C110E" w:rsidRPr="00904D74" w:rsidRDefault="00EC2C6D">
      <w:pPr>
        <w:spacing w:before="240" w:after="120"/>
        <w:jc w:val="both"/>
        <w:rPr>
          <w:rFonts w:ascii="Marianne" w:eastAsia="Arial Unicode MS" w:hAnsi="Marianne" w:cs="Times New Roman"/>
          <w:i/>
          <w:color w:val="000000"/>
          <w:sz w:val="20"/>
          <w:szCs w:val="20"/>
        </w:rPr>
      </w:pPr>
      <w:r w:rsidRPr="00904D74">
        <w:rPr>
          <w:rFonts w:ascii="Marianne" w:eastAsia="Arial Unicode MS" w:hAnsi="Marianne" w:cs="Times New Roman"/>
          <w:i/>
          <w:color w:val="000000"/>
          <w:sz w:val="20"/>
          <w:szCs w:val="20"/>
        </w:rPr>
        <w:t>Observations du public dont il a été tenu compte :</w:t>
      </w:r>
    </w:p>
    <w:p w14:paraId="229416B2" w14:textId="77777777" w:rsidR="002C110E" w:rsidRPr="00904D74" w:rsidRDefault="00EC2C6D">
      <w:pPr>
        <w:spacing w:before="240" w:after="120"/>
        <w:jc w:val="both"/>
        <w:rPr>
          <w:rFonts w:ascii="Marianne" w:hAnsi="Marianne" w:cs="Times New Roman"/>
          <w:sz w:val="20"/>
          <w:szCs w:val="20"/>
        </w:rPr>
      </w:pPr>
      <w:r w:rsidRPr="00904D74">
        <w:rPr>
          <w:rFonts w:ascii="Marianne" w:hAnsi="Marianne" w:cs="Times New Roman"/>
          <w:color w:val="000000"/>
          <w:sz w:val="20"/>
          <w:szCs w:val="20"/>
        </w:rPr>
        <w:t>Conformément au dernier alinéa du II de l’article L. 123-19-1</w:t>
      </w:r>
      <w:r w:rsidRPr="00904D74">
        <w:rPr>
          <w:rFonts w:ascii="Marianne" w:hAnsi="Marianne" w:cs="Times New Roman"/>
          <w:sz w:val="20"/>
          <w:szCs w:val="20"/>
        </w:rPr>
        <w:t xml:space="preserve"> d</w:t>
      </w:r>
      <w:r w:rsidRPr="00904D74">
        <w:rPr>
          <w:rFonts w:ascii="Marianne" w:hAnsi="Marianne" w:cs="Times New Roman"/>
          <w:color w:val="000000"/>
          <w:sz w:val="20"/>
          <w:szCs w:val="20"/>
        </w:rPr>
        <w:t>u code de l’environnement, la présente synthèse indique les observations du public dont il a été tenu compte :</w:t>
      </w:r>
    </w:p>
    <w:tbl>
      <w:tblPr>
        <w:tblW w:w="9252" w:type="dxa"/>
        <w:tblInd w:w="-133" w:type="dxa"/>
        <w:tblLayout w:type="fixed"/>
        <w:tblLook w:val="04A0" w:firstRow="1" w:lastRow="0" w:firstColumn="1" w:lastColumn="0" w:noHBand="0" w:noVBand="1"/>
      </w:tblPr>
      <w:tblGrid>
        <w:gridCol w:w="4606"/>
        <w:gridCol w:w="4646"/>
      </w:tblGrid>
      <w:tr w:rsidR="002C110E" w:rsidRPr="00904D74" w14:paraId="735E2BB4" w14:textId="77777777">
        <w:tc>
          <w:tcPr>
            <w:tcW w:w="4606" w:type="dxa"/>
            <w:tcBorders>
              <w:top w:val="single" w:sz="4" w:space="0" w:color="000000"/>
              <w:left w:val="single" w:sz="4" w:space="0" w:color="000000"/>
              <w:bottom w:val="single" w:sz="4" w:space="0" w:color="000000"/>
            </w:tcBorders>
          </w:tcPr>
          <w:p w14:paraId="2637633D" w14:textId="77777777" w:rsidR="002C110E" w:rsidRPr="00904D74" w:rsidRDefault="00EC2C6D">
            <w:pPr>
              <w:spacing w:before="240" w:after="120"/>
              <w:jc w:val="both"/>
              <w:rPr>
                <w:rFonts w:ascii="Marianne" w:hAnsi="Marianne" w:cs="Times New Roman"/>
                <w:color w:val="000000"/>
                <w:sz w:val="20"/>
                <w:szCs w:val="20"/>
              </w:rPr>
            </w:pPr>
            <w:r w:rsidRPr="00904D74">
              <w:rPr>
                <w:rFonts w:ascii="Marianne" w:hAnsi="Marianne" w:cs="Times New Roman"/>
                <w:color w:val="000000"/>
                <w:sz w:val="20"/>
                <w:szCs w:val="20"/>
              </w:rPr>
              <w:t>Observations</w:t>
            </w:r>
          </w:p>
        </w:tc>
        <w:tc>
          <w:tcPr>
            <w:tcW w:w="4646" w:type="dxa"/>
            <w:tcBorders>
              <w:top w:val="single" w:sz="4" w:space="0" w:color="000000"/>
              <w:left w:val="single" w:sz="4" w:space="0" w:color="000000"/>
              <w:bottom w:val="single" w:sz="4" w:space="0" w:color="000000"/>
              <w:right w:val="single" w:sz="4" w:space="0" w:color="000000"/>
            </w:tcBorders>
          </w:tcPr>
          <w:p w14:paraId="35E6D3F5" w14:textId="77777777" w:rsidR="002C110E" w:rsidRPr="00904D74" w:rsidRDefault="00EC2C6D">
            <w:pPr>
              <w:spacing w:before="240" w:after="120"/>
              <w:jc w:val="both"/>
              <w:rPr>
                <w:rFonts w:ascii="Marianne" w:hAnsi="Marianne" w:cs="Times New Roman"/>
                <w:color w:val="000000"/>
                <w:sz w:val="20"/>
                <w:szCs w:val="20"/>
              </w:rPr>
            </w:pPr>
            <w:r w:rsidRPr="00904D74">
              <w:rPr>
                <w:rFonts w:ascii="Marianne" w:hAnsi="Marianne" w:cs="Times New Roman"/>
                <w:color w:val="000000"/>
                <w:sz w:val="20"/>
                <w:szCs w:val="20"/>
              </w:rPr>
              <w:t>Remarques</w:t>
            </w:r>
          </w:p>
        </w:tc>
      </w:tr>
      <w:tr w:rsidR="002C110E" w:rsidRPr="00904D74" w14:paraId="4362520C" w14:textId="77777777">
        <w:tc>
          <w:tcPr>
            <w:tcW w:w="4606" w:type="dxa"/>
            <w:tcBorders>
              <w:top w:val="single" w:sz="4" w:space="0" w:color="000000"/>
              <w:left w:val="single" w:sz="4" w:space="0" w:color="000000"/>
              <w:bottom w:val="single" w:sz="4" w:space="0" w:color="000000"/>
            </w:tcBorders>
          </w:tcPr>
          <w:p w14:paraId="7EBF8016" w14:textId="77777777" w:rsidR="002C110E" w:rsidRPr="00904D74" w:rsidRDefault="00EC2C6D">
            <w:pPr>
              <w:spacing w:before="280" w:after="280"/>
              <w:rPr>
                <w:rFonts w:ascii="Marianne" w:hAnsi="Marianne" w:cs="Times New Roman"/>
                <w:sz w:val="20"/>
                <w:szCs w:val="20"/>
              </w:rPr>
            </w:pPr>
            <w:r w:rsidRPr="00904D74">
              <w:rPr>
                <w:rFonts w:ascii="Marianne" w:hAnsi="Marianne" w:cs="Times New Roman"/>
                <w:sz w:val="20"/>
                <w:szCs w:val="20"/>
                <w:lang w:eastAsia="fr-FR"/>
              </w:rPr>
              <w:t>Classe 5.1</w:t>
            </w:r>
            <w:r w:rsidRPr="00904D74">
              <w:rPr>
                <w:rFonts w:ascii="Marianne" w:hAnsi="Marianne" w:cs="Times New Roman"/>
                <w:sz w:val="20"/>
                <w:szCs w:val="20"/>
              </w:rPr>
              <w:t xml:space="preserve"> </w:t>
            </w:r>
            <w:r w:rsidRPr="00904D74">
              <w:rPr>
                <w:rFonts w:ascii="Marianne" w:hAnsi="Marianne" w:cs="Times New Roman"/>
                <w:sz w:val="20"/>
                <w:szCs w:val="20"/>
                <w:lang w:eastAsia="fr-FR"/>
              </w:rPr>
              <w:t xml:space="preserve">Les nitrates d’ammonium sont décrits dans le manuel des épreuves et critères. </w:t>
            </w:r>
            <w:r w:rsidRPr="00904D74">
              <w:rPr>
                <w:rFonts w:ascii="Marianne" w:hAnsi="Marianne" w:cs="Times New Roman"/>
                <w:i/>
                <w:iCs/>
                <w:sz w:val="20"/>
                <w:szCs w:val="20"/>
                <w:lang w:eastAsia="fr-FR"/>
              </w:rPr>
              <w:t xml:space="preserve">La référence à l’IMDG est-elle </w:t>
            </w:r>
            <w:proofErr w:type="gramStart"/>
            <w:r w:rsidRPr="00904D74">
              <w:rPr>
                <w:rFonts w:ascii="Marianne" w:hAnsi="Marianne" w:cs="Times New Roman"/>
                <w:i/>
                <w:iCs/>
                <w:sz w:val="20"/>
                <w:szCs w:val="20"/>
                <w:lang w:eastAsia="fr-FR"/>
              </w:rPr>
              <w:t>nécessaire?</w:t>
            </w:r>
            <w:r w:rsidRPr="00904D74">
              <w:rPr>
                <w:rFonts w:ascii="Marianne" w:hAnsi="Marianne" w:cs="Times New Roman"/>
                <w:sz w:val="20"/>
                <w:szCs w:val="20"/>
                <w:lang w:eastAsia="fr-FR"/>
              </w:rPr>
              <w:t>.</w:t>
            </w:r>
            <w:proofErr w:type="gramEnd"/>
            <w:r w:rsidRPr="00904D74">
              <w:rPr>
                <w:rFonts w:ascii="Marianne" w:hAnsi="Marianne" w:cs="Times New Roman"/>
                <w:sz w:val="20"/>
                <w:szCs w:val="20"/>
                <w:lang w:eastAsia="fr-FR"/>
              </w:rPr>
              <w:t xml:space="preserve"> </w:t>
            </w:r>
          </w:p>
        </w:tc>
        <w:tc>
          <w:tcPr>
            <w:tcW w:w="4646" w:type="dxa"/>
            <w:tcBorders>
              <w:top w:val="single" w:sz="4" w:space="0" w:color="000000"/>
              <w:left w:val="single" w:sz="4" w:space="0" w:color="000000"/>
              <w:bottom w:val="single" w:sz="4" w:space="0" w:color="000000"/>
              <w:right w:val="single" w:sz="4" w:space="0" w:color="000000"/>
            </w:tcBorders>
          </w:tcPr>
          <w:p w14:paraId="13A1DB2F" w14:textId="16A7F029" w:rsidR="002C110E" w:rsidRPr="00904D74" w:rsidRDefault="00EC2C6D" w:rsidP="0010118B">
            <w:pPr>
              <w:snapToGrid w:val="0"/>
              <w:spacing w:before="240" w:after="120"/>
              <w:jc w:val="both"/>
              <w:rPr>
                <w:rFonts w:ascii="Marianne" w:hAnsi="Marianne" w:cs="Times New Roman"/>
                <w:color w:val="000000"/>
                <w:sz w:val="20"/>
                <w:szCs w:val="20"/>
              </w:rPr>
            </w:pPr>
            <w:r w:rsidRPr="00904D74">
              <w:rPr>
                <w:rFonts w:ascii="Marianne" w:hAnsi="Marianne" w:cs="Times New Roman"/>
                <w:color w:val="000000"/>
                <w:sz w:val="20"/>
                <w:szCs w:val="20"/>
              </w:rPr>
              <w:t xml:space="preserve">La référence à l’IMDG peut en effet être </w:t>
            </w:r>
            <w:r w:rsidR="0098739C" w:rsidRPr="00904D74">
              <w:rPr>
                <w:rFonts w:ascii="Marianne" w:hAnsi="Marianne" w:cs="Times New Roman"/>
                <w:color w:val="000000"/>
                <w:sz w:val="20"/>
                <w:szCs w:val="20"/>
              </w:rPr>
              <w:t>retirée</w:t>
            </w:r>
            <w:r w:rsidR="0010118B" w:rsidRPr="00904D74">
              <w:rPr>
                <w:rFonts w:ascii="Marianne" w:hAnsi="Marianne" w:cs="Times New Roman"/>
                <w:color w:val="000000"/>
                <w:sz w:val="20"/>
                <w:szCs w:val="20"/>
              </w:rPr>
              <w:t>.</w:t>
            </w:r>
          </w:p>
        </w:tc>
      </w:tr>
    </w:tbl>
    <w:p w14:paraId="681173A2" w14:textId="77777777" w:rsidR="002C110E" w:rsidRPr="00904D74" w:rsidRDefault="002C110E">
      <w:pPr>
        <w:spacing w:after="120"/>
        <w:jc w:val="both"/>
        <w:rPr>
          <w:rFonts w:ascii="Marianne" w:hAnsi="Marianne" w:cs="Times New Roman"/>
          <w:color w:val="000000"/>
        </w:rPr>
      </w:pPr>
    </w:p>
    <w:p w14:paraId="008DF329" w14:textId="77777777" w:rsidR="002C110E" w:rsidRPr="00904D74" w:rsidRDefault="002C110E">
      <w:pPr>
        <w:spacing w:after="120"/>
        <w:jc w:val="both"/>
        <w:rPr>
          <w:rFonts w:ascii="Marianne" w:hAnsi="Marianne" w:cs="Times New Roman"/>
          <w:color w:val="000000"/>
        </w:rPr>
      </w:pPr>
    </w:p>
    <w:p w14:paraId="60B60F2F" w14:textId="77777777" w:rsidR="002C110E" w:rsidRPr="00904D74" w:rsidRDefault="002C110E">
      <w:pPr>
        <w:spacing w:after="120"/>
        <w:jc w:val="both"/>
        <w:rPr>
          <w:rFonts w:ascii="Marianne" w:hAnsi="Marianne" w:cs="Times New Roman"/>
          <w:color w:val="000000"/>
        </w:rPr>
      </w:pPr>
    </w:p>
    <w:p w14:paraId="43716D1F" w14:textId="77777777" w:rsidR="002C110E" w:rsidRPr="00904D74" w:rsidRDefault="002C110E">
      <w:pPr>
        <w:spacing w:after="120"/>
        <w:jc w:val="both"/>
        <w:rPr>
          <w:rFonts w:ascii="Marianne" w:hAnsi="Marianne" w:cs="Times New Roman"/>
          <w:color w:val="000000"/>
        </w:rPr>
      </w:pPr>
    </w:p>
    <w:p w14:paraId="7174048B" w14:textId="77777777" w:rsidR="002C110E" w:rsidRPr="00904D74" w:rsidRDefault="002C110E">
      <w:pPr>
        <w:spacing w:after="120"/>
        <w:jc w:val="both"/>
        <w:rPr>
          <w:rFonts w:ascii="Marianne" w:hAnsi="Marianne" w:cs="Times New Roman"/>
          <w:color w:val="000000"/>
        </w:rPr>
      </w:pPr>
    </w:p>
    <w:p w14:paraId="0ADF30E0" w14:textId="77777777" w:rsidR="002C110E" w:rsidRPr="00904D74" w:rsidRDefault="00EC2C6D">
      <w:pPr>
        <w:rPr>
          <w:rFonts w:ascii="Marianne" w:hAnsi="Marianne" w:cs="Times New Roman"/>
        </w:rPr>
      </w:pPr>
      <w:r w:rsidRPr="00904D74">
        <w:rPr>
          <w:rFonts w:ascii="Marianne" w:eastAsia="Arial Unicode MS" w:hAnsi="Marianne" w:cs="Times New Roman"/>
          <w:color w:val="000000"/>
        </w:rPr>
        <w:t xml:space="preserve">Fait à la Défense, le </w:t>
      </w:r>
      <w:r w:rsidR="006D32B3" w:rsidRPr="00904D74">
        <w:rPr>
          <w:rFonts w:ascii="Marianne" w:hAnsi="Marianne" w:cs="Times New Roman"/>
        </w:rPr>
        <w:t>8 septembre 2023</w:t>
      </w:r>
    </w:p>
    <w:p w14:paraId="2F62B5E7" w14:textId="77777777" w:rsidR="002C110E" w:rsidRPr="00904D74" w:rsidRDefault="00EC2C6D">
      <w:pPr>
        <w:pStyle w:val="Titre1"/>
        <w:jc w:val="left"/>
        <w:rPr>
          <w:rFonts w:ascii="Marianne" w:eastAsia="Marianne" w:hAnsi="Marianne" w:cs="Times New Roman"/>
        </w:rPr>
      </w:pPr>
      <w:r w:rsidRPr="00904D74">
        <w:rPr>
          <w:rFonts w:ascii="Marianne" w:eastAsia="Marianne" w:hAnsi="Marianne" w:cs="Times New Roman"/>
        </w:rPr>
        <w:t xml:space="preserve"> </w:t>
      </w:r>
    </w:p>
    <w:sectPr w:rsidR="002C110E" w:rsidRPr="00904D74" w:rsidSect="000D0A2B">
      <w:headerReference w:type="default" r:id="rId8"/>
      <w:pgSz w:w="11906" w:h="16838"/>
      <w:pgMar w:top="1276" w:right="1417" w:bottom="1134" w:left="1417"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B1121" w14:textId="77777777" w:rsidR="00DA39E9" w:rsidRDefault="00DA39E9">
      <w:pPr>
        <w:spacing w:after="0" w:line="240" w:lineRule="auto"/>
      </w:pPr>
      <w:r>
        <w:separator/>
      </w:r>
    </w:p>
  </w:endnote>
  <w:endnote w:type="continuationSeparator" w:id="0">
    <w:p w14:paraId="402D41B7" w14:textId="77777777" w:rsidR="00DA39E9" w:rsidRDefault="00DA3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ＭＳ 明朝">
    <w:panose1 w:val="00000000000000000000"/>
    <w:charset w:val="80"/>
    <w:family w:val="roman"/>
    <w:notTrueType/>
    <w:pitch w:val="default"/>
  </w:font>
  <w:font w:name="OpenSymbol;Arial Unicode MS">
    <w:altName w:val="Cambria"/>
    <w:panose1 w:val="00000000000000000000"/>
    <w:charset w:val="00"/>
    <w:family w:val="roman"/>
    <w:notTrueType/>
    <w:pitch w:val="default"/>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font>
  <w:font w:name="Lucida Sans Unicode">
    <w:panose1 w:val="020B0602030504020204"/>
    <w:charset w:val="00"/>
    <w:family w:val="swiss"/>
    <w:pitch w:val="variable"/>
    <w:sig w:usb0="80000AFF" w:usb1="0000396B" w:usb2="00000000" w:usb3="00000000" w:csb0="000000B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28F15" w14:textId="77777777" w:rsidR="00DA39E9" w:rsidRDefault="00DA39E9">
      <w:pPr>
        <w:spacing w:after="0" w:line="240" w:lineRule="auto"/>
      </w:pPr>
      <w:r>
        <w:separator/>
      </w:r>
    </w:p>
  </w:footnote>
  <w:footnote w:type="continuationSeparator" w:id="0">
    <w:p w14:paraId="574852CB" w14:textId="77777777" w:rsidR="00DA39E9" w:rsidRDefault="00DA3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8AD4D" w14:textId="77777777" w:rsidR="002C110E" w:rsidRDefault="002C110E">
    <w:pP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65B16"/>
    <w:multiLevelType w:val="multilevel"/>
    <w:tmpl w:val="48485C0A"/>
    <w:lvl w:ilvl="0">
      <w:numFmt w:val="bullet"/>
      <w:lvlText w:val="-"/>
      <w:lvlJc w:val="left"/>
      <w:pPr>
        <w:tabs>
          <w:tab w:val="num" w:pos="720"/>
        </w:tabs>
        <w:ind w:left="72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5590327"/>
    <w:multiLevelType w:val="multilevel"/>
    <w:tmpl w:val="5C3CD54E"/>
    <w:lvl w:ilvl="0">
      <w:start w:val="1"/>
      <w:numFmt w:val="none"/>
      <w:pStyle w:val="Titre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10E"/>
    <w:rsid w:val="00080C3A"/>
    <w:rsid w:val="000D0A2B"/>
    <w:rsid w:val="000F5CA0"/>
    <w:rsid w:val="0010118B"/>
    <w:rsid w:val="001C4229"/>
    <w:rsid w:val="002C110E"/>
    <w:rsid w:val="00330663"/>
    <w:rsid w:val="006207CB"/>
    <w:rsid w:val="006D32B3"/>
    <w:rsid w:val="007E730C"/>
    <w:rsid w:val="00805D8E"/>
    <w:rsid w:val="00831E46"/>
    <w:rsid w:val="00904D74"/>
    <w:rsid w:val="00926762"/>
    <w:rsid w:val="009862B2"/>
    <w:rsid w:val="0098739C"/>
    <w:rsid w:val="009F3C73"/>
    <w:rsid w:val="00AB2EC9"/>
    <w:rsid w:val="00B04C97"/>
    <w:rsid w:val="00B66DF2"/>
    <w:rsid w:val="00C1451F"/>
    <w:rsid w:val="00C5256C"/>
    <w:rsid w:val="00DA39E9"/>
    <w:rsid w:val="00DE389B"/>
    <w:rsid w:val="00E02ED8"/>
    <w:rsid w:val="00EA62A5"/>
    <w:rsid w:val="00EC2C6D"/>
    <w:rsid w:val="00FB62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46D49"/>
  <w15:docId w15:val="{E4240DBC-8C08-4528-84C9-FB0F2F167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sz w:val="24"/>
        <w:szCs w:val="24"/>
        <w:lang w:val="fr-F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MS Mincho;ＭＳ 明朝" w:hAnsi="Calibri" w:cs="Calibri"/>
      <w:sz w:val="22"/>
      <w:szCs w:val="22"/>
      <w:lang w:bidi="ar-SA"/>
    </w:rPr>
  </w:style>
  <w:style w:type="paragraph" w:styleId="Titre1">
    <w:name w:val="heading 1"/>
    <w:basedOn w:val="Normal"/>
    <w:next w:val="Normal"/>
    <w:qFormat/>
    <w:pPr>
      <w:keepNext/>
      <w:numPr>
        <w:numId w:val="1"/>
      </w:numPr>
      <w:spacing w:after="120"/>
      <w:jc w:val="center"/>
      <w:outlineLvl w:val="0"/>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rPr>
  </w:style>
  <w:style w:type="character" w:customStyle="1" w:styleId="Policepardfaut1">
    <w:name w:val="Police par défaut1"/>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Policepardfaut">
    <w:name w:val="WW-Police par défaut"/>
    <w:qFormat/>
  </w:style>
  <w:style w:type="character" w:customStyle="1" w:styleId="WW-Policepardfaut1">
    <w:name w:val="WW-Police par défaut1"/>
    <w:qFormat/>
  </w:style>
  <w:style w:type="character" w:customStyle="1" w:styleId="Puces">
    <w:name w:val="Puces"/>
    <w:qFormat/>
    <w:rPr>
      <w:rFonts w:ascii="OpenSymbol;Arial Unicode MS" w:eastAsia="OpenSymbol;Arial Unicode MS" w:hAnsi="OpenSymbol;Arial Unicode MS" w:cs="OpenSymbol;Arial Unicode MS"/>
    </w:rPr>
  </w:style>
  <w:style w:type="character" w:customStyle="1" w:styleId="LienInternet">
    <w:name w:val="Lien Internet"/>
    <w:rPr>
      <w:color w:val="0000FF"/>
      <w:u w:val="single"/>
    </w:rPr>
  </w:style>
  <w:style w:type="paragraph" w:styleId="Titre">
    <w:name w:val="Title"/>
    <w:basedOn w:val="Normal"/>
    <w:next w:val="Corpsdetexte"/>
    <w:qFormat/>
    <w:pPr>
      <w:keepNext/>
      <w:spacing w:before="240" w:after="120"/>
    </w:pPr>
    <w:rPr>
      <w:rFonts w:ascii="Liberation Sans;Arial" w:eastAsia="Microsoft YaHei" w:hAnsi="Liberation Sans;Arial" w:cs="Lucida Sans"/>
      <w:sz w:val="28"/>
      <w:szCs w:val="28"/>
    </w:rPr>
  </w:style>
  <w:style w:type="paragraph" w:styleId="Corpsdetexte">
    <w:name w:val="Body Text"/>
    <w:basedOn w:val="Normal"/>
    <w:pPr>
      <w:spacing w:after="120"/>
    </w:pPr>
  </w:style>
  <w:style w:type="paragraph" w:styleId="Liste">
    <w:name w:val="List"/>
    <w:basedOn w:val="Corpsdetexte"/>
    <w:rPr>
      <w:rFonts w:ascii="Liberation Sans;Arial" w:hAnsi="Liberation Sans;Arial" w:cs="Tahoma"/>
    </w:rPr>
  </w:style>
  <w:style w:type="paragraph" w:styleId="Lgende">
    <w:name w:val="caption"/>
    <w:basedOn w:val="Normal"/>
    <w:qFormat/>
    <w:pPr>
      <w:suppressLineNumbers/>
      <w:spacing w:before="120" w:after="120"/>
    </w:pPr>
    <w:rPr>
      <w:rFonts w:ascii="Liberation Sans;Arial" w:hAnsi="Liberation Sans;Arial" w:cs="Tahoma"/>
      <w:i/>
      <w:iCs/>
      <w:sz w:val="24"/>
      <w:szCs w:val="24"/>
    </w:rPr>
  </w:style>
  <w:style w:type="paragraph" w:customStyle="1" w:styleId="Index">
    <w:name w:val="Index"/>
    <w:basedOn w:val="Normal"/>
    <w:qFormat/>
    <w:pPr>
      <w:suppressLineNumbers/>
    </w:pPr>
    <w:rPr>
      <w:rFonts w:ascii="Liberation Sans;Arial" w:hAnsi="Liberation Sans;Arial" w:cs="Tahoma"/>
    </w:rPr>
  </w:style>
  <w:style w:type="paragraph" w:customStyle="1" w:styleId="Titre10">
    <w:name w:val="Titre1"/>
    <w:basedOn w:val="Normal"/>
    <w:next w:val="Corpsdetexte"/>
    <w:qFormat/>
    <w:pPr>
      <w:keepNext/>
      <w:spacing w:before="240" w:after="120"/>
    </w:pPr>
    <w:rPr>
      <w:rFonts w:ascii="Liberation Sans;Arial" w:hAnsi="Liberation Sans;Arial" w:cs="Tahoma"/>
      <w:sz w:val="28"/>
      <w:szCs w:val="28"/>
    </w:rPr>
  </w:style>
  <w:style w:type="paragraph" w:styleId="Paragraphedeliste">
    <w:name w:val="List Paragraph"/>
    <w:basedOn w:val="Normal"/>
    <w:qFormat/>
    <w:pPr>
      <w:ind w:left="720"/>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NormalWeb">
    <w:name w:val="Normal (Web)"/>
    <w:basedOn w:val="Normal"/>
    <w:qFormat/>
    <w:pPr>
      <w:suppressAutoHyphens w:val="0"/>
      <w:spacing w:before="280" w:after="119" w:line="240" w:lineRule="auto"/>
    </w:pPr>
    <w:rPr>
      <w:rFonts w:ascii="Arial Unicode MS" w:eastAsia="Arial Unicode MS" w:hAnsi="Arial Unicode MS" w:cs="Arial Unicode MS"/>
      <w:color w:val="000000"/>
      <w:sz w:val="24"/>
      <w:szCs w:val="24"/>
    </w:r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rpsdetexte21">
    <w:name w:val="Corps de texte 21"/>
    <w:basedOn w:val="Normal"/>
    <w:qFormat/>
    <w:pPr>
      <w:spacing w:before="240" w:after="120"/>
      <w:jc w:val="both"/>
    </w:pPr>
    <w:rPr>
      <w:rFonts w:ascii="Lucida Sans" w:hAnsi="Lucida Sans" w:cs="Lucida Sans"/>
      <w:sz w:val="20"/>
      <w:szCs w:val="20"/>
    </w:rPr>
  </w:style>
  <w:style w:type="paragraph" w:customStyle="1" w:styleId="SNNature">
    <w:name w:val="SNNature"/>
    <w:basedOn w:val="Normal"/>
    <w:qFormat/>
    <w:pPr>
      <w:widowControl w:val="0"/>
      <w:suppressLineNumbers/>
      <w:spacing w:before="720" w:after="120" w:line="240" w:lineRule="auto"/>
      <w:jc w:val="center"/>
    </w:pPr>
    <w:rPr>
      <w:rFonts w:ascii="Times New Roman" w:eastAsia="Lucida Sans Unicode" w:hAnsi="Times New Roman" w:cs="Times New Roman"/>
      <w:b/>
      <w:bCs/>
      <w:kern w:val="2"/>
      <w:sz w:val="24"/>
      <w:szCs w:val="24"/>
    </w:rPr>
  </w:style>
  <w:style w:type="paragraph" w:customStyle="1" w:styleId="Corpsdetexte31">
    <w:name w:val="Corps de texte 31"/>
    <w:basedOn w:val="Normal"/>
    <w:qFormat/>
    <w:pPr>
      <w:spacing w:after="300"/>
      <w:jc w:val="both"/>
    </w:pPr>
    <w:rPr>
      <w:rFonts w:ascii="Lucida Sans" w:hAnsi="Lucida Sans" w:cs="Lucida Sans"/>
      <w:b/>
      <w:color w:val="000000"/>
      <w:sz w:val="28"/>
    </w:rPr>
  </w:style>
  <w:style w:type="paragraph" w:styleId="Textedebulles">
    <w:name w:val="Balloon Text"/>
    <w:basedOn w:val="Normal"/>
    <w:qFormat/>
    <w:rPr>
      <w:rFonts w:ascii="Tahoma" w:hAnsi="Tahoma" w:cs="Tahoma"/>
      <w:sz w:val="16"/>
      <w:szCs w:val="16"/>
    </w:rPr>
  </w:style>
  <w:style w:type="paragraph" w:customStyle="1" w:styleId="western">
    <w:name w:val="western"/>
    <w:basedOn w:val="Normal"/>
    <w:qFormat/>
    <w:pPr>
      <w:suppressAutoHyphens w:val="0"/>
      <w:spacing w:before="280" w:after="119"/>
    </w:pPr>
    <w:rPr>
      <w:rFonts w:eastAsia="Times New Roman"/>
      <w:color w:val="000000"/>
    </w:rPr>
  </w:style>
  <w:style w:type="paragraph" w:customStyle="1" w:styleId="DocumentMap">
    <w:name w:val="DocumentMap"/>
    <w:qFormat/>
    <w:pPr>
      <w:spacing w:after="160" w:line="252" w:lineRule="auto"/>
    </w:pPr>
    <w:rPr>
      <w:rFonts w:ascii="Calibri" w:eastAsia="Calibri" w:hAnsi="Calibri" w:cs="Calibri"/>
      <w:sz w:val="22"/>
      <w:szCs w:val="22"/>
      <w:lang w:bidi="ar-SA"/>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1057</Words>
  <Characters>5814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PFAUVADEL Claude</dc:creator>
  <dc:description/>
  <cp:lastModifiedBy>GITZINGER Florence</cp:lastModifiedBy>
  <cp:revision>5</cp:revision>
  <dcterms:created xsi:type="dcterms:W3CDTF">2023-09-11T13:40:00Z</dcterms:created>
  <dcterms:modified xsi:type="dcterms:W3CDTF">2023-11-14T10:52:00Z</dcterms:modified>
  <dc:language>fr-FR</dc:language>
</cp:coreProperties>
</file>