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7F3B3" w14:textId="745FA923" w:rsidR="00682CAE" w:rsidRDefault="001C1B07" w:rsidP="00682CAE">
      <w:pPr>
        <w:spacing w:after="300"/>
        <w:jc w:val="center"/>
        <w:rPr>
          <w:rFonts w:ascii="Lucida Sans" w:hAnsi="Lucida Sans"/>
          <w:b/>
          <w:color w:val="000000"/>
          <w:sz w:val="28"/>
        </w:rPr>
      </w:pPr>
      <w:r>
        <w:rPr>
          <w:rFonts w:ascii="Lucida Sans" w:hAnsi="Lucida Sans"/>
          <w:b/>
          <w:noProof/>
          <w:color w:val="000000"/>
          <w:sz w:val="28"/>
          <w:lang w:eastAsia="fr-FR"/>
        </w:rPr>
        <w:drawing>
          <wp:inline distT="0" distB="0" distL="0" distR="0" wp14:anchorId="31A96DDA" wp14:editId="4BE813C5">
            <wp:extent cx="1548765" cy="1042670"/>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8765" cy="1042670"/>
                    </a:xfrm>
                    <a:prstGeom prst="rect">
                      <a:avLst/>
                    </a:prstGeom>
                    <a:noFill/>
                  </pic:spPr>
                </pic:pic>
              </a:graphicData>
            </a:graphic>
          </wp:inline>
        </w:drawing>
      </w:r>
    </w:p>
    <w:p w14:paraId="334CF96A" w14:textId="42E2705D" w:rsidR="00682CAE" w:rsidRDefault="00682CAE" w:rsidP="00527792">
      <w:pPr>
        <w:spacing w:after="0"/>
        <w:jc w:val="center"/>
        <w:rPr>
          <w:rFonts w:ascii="Lucida Sans" w:hAnsi="Lucida Sans"/>
          <w:color w:val="000000"/>
        </w:rPr>
      </w:pPr>
      <w:r>
        <w:rPr>
          <w:rFonts w:ascii="Lucida Sans" w:hAnsi="Lucida Sans"/>
          <w:b/>
          <w:color w:val="000000"/>
          <w:sz w:val="28"/>
        </w:rPr>
        <w:t>Synthèse des observations du public</w:t>
      </w:r>
      <w:bookmarkStart w:id="0" w:name="_GoBack"/>
      <w:bookmarkEnd w:id="0"/>
    </w:p>
    <w:p w14:paraId="2B0913C0" w14:textId="77777777" w:rsidR="00682CAE" w:rsidRDefault="00682CAE" w:rsidP="00682CAE">
      <w:pPr>
        <w:rPr>
          <w:b/>
          <w:sz w:val="30"/>
          <w:szCs w:val="30"/>
        </w:rPr>
      </w:pPr>
    </w:p>
    <w:tbl>
      <w:tblPr>
        <w:tblStyle w:val="Grilledutableau"/>
        <w:tblW w:w="0" w:type="auto"/>
        <w:tblLook w:val="04A0" w:firstRow="1" w:lastRow="0" w:firstColumn="1" w:lastColumn="0" w:noHBand="0" w:noVBand="1"/>
      </w:tblPr>
      <w:tblGrid>
        <w:gridCol w:w="9062"/>
      </w:tblGrid>
      <w:tr w:rsidR="001C1B07" w14:paraId="1D83FA40" w14:textId="77777777" w:rsidTr="001C1B07">
        <w:tc>
          <w:tcPr>
            <w:tcW w:w="9062" w:type="dxa"/>
          </w:tcPr>
          <w:p w14:paraId="0DB35DB7" w14:textId="77777777" w:rsidR="001C1B07" w:rsidRDefault="00527792" w:rsidP="00B74D08">
            <w:pPr>
              <w:jc w:val="center"/>
              <w:rPr>
                <w:b/>
                <w:bCs/>
                <w:sz w:val="28"/>
              </w:rPr>
            </w:pPr>
            <w:r>
              <w:rPr>
                <w:b/>
                <w:bCs/>
                <w:sz w:val="28"/>
              </w:rPr>
              <w:t>Arrêté</w:t>
            </w:r>
            <w:r w:rsidR="001C1B07" w:rsidRPr="00450DD2">
              <w:rPr>
                <w:b/>
                <w:bCs/>
                <w:sz w:val="28"/>
              </w:rPr>
              <w:t xml:space="preserve"> fixant les critères de sortie du statut de déchet pour les aménagements constitués de déblais de terres naturelles excavées </w:t>
            </w:r>
            <w:r w:rsidR="00B74D08">
              <w:rPr>
                <w:b/>
                <w:bCs/>
                <w:sz w:val="28"/>
              </w:rPr>
              <w:t>et gérées au sein</w:t>
            </w:r>
            <w:r w:rsidR="001C1B07" w:rsidRPr="00450DD2">
              <w:rPr>
                <w:b/>
                <w:bCs/>
                <w:sz w:val="28"/>
              </w:rPr>
              <w:t xml:space="preserve"> d’un grand projet d’aménagement ou d’infrastructure</w:t>
            </w:r>
          </w:p>
          <w:p w14:paraId="513C9DF1" w14:textId="40F9DFE9" w:rsidR="00527792" w:rsidRPr="00527792" w:rsidRDefault="00527792" w:rsidP="00B74D08">
            <w:pPr>
              <w:jc w:val="center"/>
              <w:rPr>
                <w:bCs/>
                <w:sz w:val="28"/>
              </w:rPr>
            </w:pPr>
            <w:r w:rsidRPr="00527792">
              <w:rPr>
                <w:bCs/>
              </w:rPr>
              <w:t>NOR : TREP2135388A</w:t>
            </w:r>
          </w:p>
        </w:tc>
      </w:tr>
    </w:tbl>
    <w:p w14:paraId="62D0C45A" w14:textId="77777777" w:rsidR="00A570FC" w:rsidRPr="00450DD2" w:rsidRDefault="00A570FC" w:rsidP="00A570FC">
      <w:pPr>
        <w:jc w:val="center"/>
        <w:rPr>
          <w:b/>
          <w:bCs/>
          <w:sz w:val="28"/>
        </w:rPr>
      </w:pPr>
    </w:p>
    <w:p w14:paraId="7E09ACFF" w14:textId="1EEE637C" w:rsidR="00A570FC" w:rsidRPr="00FB0991" w:rsidRDefault="00A570FC" w:rsidP="00A570FC">
      <w:pPr>
        <w:spacing w:before="240" w:after="120"/>
        <w:jc w:val="both"/>
        <w:rPr>
          <w:rFonts w:asciiTheme="minorHAnsi" w:hAnsiTheme="minorHAnsi"/>
          <w:color w:val="000000"/>
        </w:rPr>
      </w:pPr>
      <w:r w:rsidRPr="00FB0991">
        <w:rPr>
          <w:rFonts w:asciiTheme="minorHAnsi" w:hAnsiTheme="minorHAnsi"/>
          <w:color w:val="000000"/>
        </w:rPr>
        <w:t>Une consultation du public a été menée par voie électronique sur le site Internet du ministère en charge de l’environnement du 24/08/2021 au 14/09/202</w:t>
      </w:r>
      <w:r w:rsidR="009001D8">
        <w:rPr>
          <w:rFonts w:asciiTheme="minorHAnsi" w:hAnsiTheme="minorHAnsi"/>
          <w:color w:val="000000"/>
        </w:rPr>
        <w:t>1</w:t>
      </w:r>
      <w:r w:rsidRPr="00FB0991">
        <w:rPr>
          <w:rFonts w:asciiTheme="minorHAnsi" w:hAnsiTheme="minorHAnsi"/>
          <w:color w:val="000000"/>
        </w:rPr>
        <w:t xml:space="preserve"> inclus sur le projet de texte susmentionné.</w:t>
      </w:r>
    </w:p>
    <w:p w14:paraId="543EBFF3" w14:textId="0322880D" w:rsidR="00A570FC" w:rsidRPr="00FB0991" w:rsidRDefault="00A570FC" w:rsidP="00A570FC">
      <w:pPr>
        <w:spacing w:after="120"/>
        <w:jc w:val="both"/>
        <w:rPr>
          <w:rFonts w:asciiTheme="minorHAnsi" w:hAnsiTheme="minorHAnsi"/>
          <w:color w:val="000000"/>
        </w:rPr>
      </w:pPr>
      <w:r w:rsidRPr="00FB0991">
        <w:rPr>
          <w:rFonts w:asciiTheme="minorHAnsi" w:hAnsiTheme="minorHAnsi"/>
          <w:color w:val="000000"/>
        </w:rPr>
        <w:t xml:space="preserve">Le public pouvait déposer ses commentaires et avis en suivant le lien </w:t>
      </w:r>
      <w:r w:rsidR="009B6E22">
        <w:rPr>
          <w:rFonts w:asciiTheme="minorHAnsi" w:hAnsiTheme="minorHAnsi"/>
          <w:color w:val="000000"/>
        </w:rPr>
        <w:t>ci-dessous</w:t>
      </w:r>
      <w:r w:rsidRPr="00FB0991">
        <w:rPr>
          <w:rFonts w:asciiTheme="minorHAnsi" w:hAnsiTheme="minorHAnsi"/>
          <w:color w:val="000000"/>
        </w:rPr>
        <w:t xml:space="preserve"> :</w:t>
      </w:r>
    </w:p>
    <w:p w14:paraId="144C6071" w14:textId="15851104" w:rsidR="009771C2" w:rsidRPr="009771C2" w:rsidRDefault="00527792" w:rsidP="00A570FC">
      <w:pPr>
        <w:spacing w:after="120"/>
        <w:jc w:val="both"/>
        <w:rPr>
          <w:rFonts w:asciiTheme="minorHAnsi" w:hAnsiTheme="minorHAnsi"/>
          <w:color w:val="0563C1" w:themeColor="hyperlink"/>
          <w:u w:val="single"/>
        </w:rPr>
      </w:pPr>
      <w:hyperlink r:id="rId7" w:history="1">
        <w:r w:rsidR="00A570FC" w:rsidRPr="00FB0991">
          <w:rPr>
            <w:rStyle w:val="Lienhypertexte"/>
            <w:rFonts w:asciiTheme="minorHAnsi" w:hAnsiTheme="minorHAnsi"/>
          </w:rPr>
          <w:t>http://www.consultations-publiques.developpement-durable.gouv.fr/projet-d-arrete-fixant-les-criteres-de-sortie-du-a2484.html</w:t>
        </w:r>
      </w:hyperlink>
    </w:p>
    <w:p w14:paraId="48A8D54A" w14:textId="3B57E472" w:rsidR="00A570FC" w:rsidRDefault="009771C2" w:rsidP="00A570FC">
      <w:pPr>
        <w:spacing w:after="120"/>
        <w:jc w:val="both"/>
        <w:rPr>
          <w:rFonts w:asciiTheme="minorHAnsi" w:hAnsiTheme="minorHAnsi"/>
          <w:color w:val="000000"/>
        </w:rPr>
      </w:pPr>
      <w:r>
        <w:rPr>
          <w:rFonts w:asciiTheme="minorHAnsi" w:hAnsiTheme="minorHAnsi"/>
          <w:color w:val="000000"/>
        </w:rPr>
        <w:t>La consultation ouverte du public était également référencée sur le portail Vie-publique.fr :</w:t>
      </w:r>
    </w:p>
    <w:p w14:paraId="2B15FF8C" w14:textId="7B9BC548" w:rsidR="009771C2" w:rsidRDefault="00527792" w:rsidP="00A570FC">
      <w:pPr>
        <w:spacing w:after="120"/>
        <w:jc w:val="both"/>
        <w:rPr>
          <w:rFonts w:asciiTheme="minorHAnsi" w:hAnsiTheme="minorHAnsi"/>
          <w:color w:val="000000"/>
        </w:rPr>
      </w:pPr>
      <w:hyperlink r:id="rId8" w:history="1">
        <w:r w:rsidR="009771C2" w:rsidRPr="00F949BF">
          <w:rPr>
            <w:rStyle w:val="Lienhypertexte"/>
            <w:rFonts w:asciiTheme="minorHAnsi" w:hAnsiTheme="minorHAnsi"/>
          </w:rPr>
          <w:t>https://www.vie-publique.fr/consultations/281260-projet-arrete-sortie-statut-de-dechet-deblais-grand-projet-damenagement</w:t>
        </w:r>
      </w:hyperlink>
    </w:p>
    <w:p w14:paraId="797A41AC" w14:textId="5E765833" w:rsidR="00EC09FC" w:rsidRDefault="00A570FC" w:rsidP="00A570FC">
      <w:pPr>
        <w:spacing w:before="240" w:after="120"/>
        <w:jc w:val="both"/>
        <w:rPr>
          <w:rFonts w:asciiTheme="minorHAnsi" w:hAnsiTheme="minorHAnsi"/>
          <w:b/>
          <w:i/>
          <w:color w:val="000000"/>
        </w:rPr>
      </w:pPr>
      <w:r w:rsidRPr="00FB0991">
        <w:rPr>
          <w:rFonts w:asciiTheme="minorHAnsi" w:hAnsiTheme="minorHAnsi"/>
          <w:b/>
          <w:i/>
          <w:color w:val="000000"/>
        </w:rPr>
        <w:t xml:space="preserve">Nombre et nature </w:t>
      </w:r>
      <w:r w:rsidR="00BF70A5" w:rsidRPr="00FB0991">
        <w:rPr>
          <w:rFonts w:asciiTheme="minorHAnsi" w:hAnsiTheme="minorHAnsi"/>
          <w:b/>
          <w:i/>
          <w:color w:val="000000"/>
        </w:rPr>
        <w:t>des</w:t>
      </w:r>
      <w:r w:rsidR="00BF70A5">
        <w:rPr>
          <w:rFonts w:asciiTheme="minorHAnsi" w:hAnsiTheme="minorHAnsi"/>
          <w:b/>
          <w:i/>
          <w:color w:val="000000"/>
        </w:rPr>
        <w:t xml:space="preserve"> contributions </w:t>
      </w:r>
      <w:r w:rsidRPr="00FB0991">
        <w:rPr>
          <w:rFonts w:asciiTheme="minorHAnsi" w:hAnsiTheme="minorHAnsi"/>
          <w:b/>
          <w:i/>
          <w:color w:val="000000"/>
        </w:rPr>
        <w:t>:</w:t>
      </w:r>
    </w:p>
    <w:p w14:paraId="3CA5E7E5" w14:textId="7DD69CCB" w:rsidR="00A570FC" w:rsidRPr="00FB0991" w:rsidRDefault="00A570FC" w:rsidP="00A570FC">
      <w:pPr>
        <w:spacing w:before="240" w:after="120"/>
        <w:jc w:val="both"/>
        <w:rPr>
          <w:rFonts w:asciiTheme="minorHAnsi" w:hAnsiTheme="minorHAnsi"/>
          <w:color w:val="000000"/>
        </w:rPr>
      </w:pPr>
      <w:r w:rsidRPr="00FB0991">
        <w:rPr>
          <w:rFonts w:asciiTheme="minorHAnsi" w:hAnsiTheme="minorHAnsi"/>
          <w:color w:val="000000"/>
        </w:rPr>
        <w:t xml:space="preserve">Treize </w:t>
      </w:r>
      <w:r w:rsidR="00B74D08">
        <w:rPr>
          <w:rFonts w:asciiTheme="minorHAnsi" w:hAnsiTheme="minorHAnsi"/>
          <w:color w:val="000000"/>
        </w:rPr>
        <w:t>contributions</w:t>
      </w:r>
      <w:r w:rsidRPr="00FB0991">
        <w:rPr>
          <w:rFonts w:asciiTheme="minorHAnsi" w:hAnsiTheme="minorHAnsi"/>
          <w:color w:val="000000"/>
        </w:rPr>
        <w:t xml:space="preserve"> ont été déposé</w:t>
      </w:r>
      <w:r w:rsidR="001C1B07" w:rsidRPr="00FB0991">
        <w:rPr>
          <w:rFonts w:asciiTheme="minorHAnsi" w:hAnsiTheme="minorHAnsi"/>
          <w:color w:val="000000"/>
        </w:rPr>
        <w:t>es</w:t>
      </w:r>
      <w:r w:rsidRPr="00FB0991">
        <w:rPr>
          <w:rFonts w:asciiTheme="minorHAnsi" w:hAnsiTheme="minorHAnsi"/>
          <w:color w:val="000000"/>
        </w:rPr>
        <w:t xml:space="preserve"> sur le site de la consultation et un avis a été reçu postérieurement</w:t>
      </w:r>
      <w:r w:rsidR="00575B13">
        <w:rPr>
          <w:rFonts w:asciiTheme="minorHAnsi" w:hAnsiTheme="minorHAnsi"/>
          <w:color w:val="000000"/>
        </w:rPr>
        <w:t>.</w:t>
      </w:r>
      <w:r w:rsidR="00790EAA">
        <w:rPr>
          <w:rFonts w:asciiTheme="minorHAnsi" w:hAnsiTheme="minorHAnsi"/>
          <w:color w:val="000000"/>
        </w:rPr>
        <w:t xml:space="preserve"> </w:t>
      </w:r>
      <w:r w:rsidRPr="00FB0991">
        <w:rPr>
          <w:rFonts w:asciiTheme="minorHAnsi" w:hAnsiTheme="minorHAnsi"/>
          <w:color w:val="000000"/>
        </w:rPr>
        <w:t>Sur ces quatorze contributions :</w:t>
      </w:r>
    </w:p>
    <w:p w14:paraId="43BE161B" w14:textId="262BDE64" w:rsidR="00A570FC" w:rsidRPr="00FB0991" w:rsidRDefault="0082086D" w:rsidP="00A570FC">
      <w:pPr>
        <w:numPr>
          <w:ilvl w:val="0"/>
          <w:numId w:val="1"/>
        </w:numPr>
        <w:spacing w:after="120"/>
        <w:jc w:val="both"/>
        <w:rPr>
          <w:rFonts w:asciiTheme="minorHAnsi" w:hAnsiTheme="minorHAnsi"/>
          <w:color w:val="000000"/>
        </w:rPr>
      </w:pPr>
      <w:r w:rsidRPr="00FB0991">
        <w:rPr>
          <w:rFonts w:asciiTheme="minorHAnsi" w:hAnsiTheme="minorHAnsi"/>
          <w:color w:val="000000"/>
        </w:rPr>
        <w:t xml:space="preserve">Douze </w:t>
      </w:r>
      <w:r w:rsidR="00A570FC" w:rsidRPr="00FB0991">
        <w:rPr>
          <w:rFonts w:asciiTheme="minorHAnsi" w:hAnsiTheme="minorHAnsi"/>
          <w:color w:val="000000"/>
        </w:rPr>
        <w:t xml:space="preserve">contributions sont </w:t>
      </w:r>
      <w:r w:rsidR="00871753" w:rsidRPr="00FB0991">
        <w:rPr>
          <w:rFonts w:asciiTheme="minorHAnsi" w:hAnsiTheme="minorHAnsi"/>
          <w:color w:val="000000"/>
        </w:rPr>
        <w:t>défavorables</w:t>
      </w:r>
      <w:r w:rsidR="00A570FC" w:rsidRPr="00FB0991">
        <w:rPr>
          <w:rFonts w:asciiTheme="minorHAnsi" w:hAnsiTheme="minorHAnsi"/>
          <w:color w:val="000000"/>
        </w:rPr>
        <w:t xml:space="preserve"> </w:t>
      </w:r>
      <w:r w:rsidR="00B74D08">
        <w:rPr>
          <w:rFonts w:asciiTheme="minorHAnsi" w:hAnsiTheme="minorHAnsi"/>
          <w:color w:val="000000"/>
        </w:rPr>
        <w:t>au projet d’arrêté</w:t>
      </w:r>
      <w:r w:rsidR="00586F3A">
        <w:rPr>
          <w:rFonts w:asciiTheme="minorHAnsi" w:hAnsiTheme="minorHAnsi"/>
          <w:color w:val="000000"/>
        </w:rPr>
        <w:t xml:space="preserve"> </w:t>
      </w:r>
      <w:r w:rsidR="00586F3A" w:rsidRPr="00FB0991">
        <w:rPr>
          <w:rFonts w:asciiTheme="minorHAnsi" w:hAnsiTheme="minorHAnsi"/>
          <w:color w:val="000000"/>
        </w:rPr>
        <w:t xml:space="preserve">ou </w:t>
      </w:r>
      <w:r w:rsidR="00B74D08">
        <w:rPr>
          <w:rFonts w:asciiTheme="minorHAnsi" w:hAnsiTheme="minorHAnsi"/>
          <w:color w:val="000000"/>
        </w:rPr>
        <w:t>en demandent</w:t>
      </w:r>
      <w:r w:rsidR="00586F3A">
        <w:rPr>
          <w:rFonts w:asciiTheme="minorHAnsi" w:hAnsiTheme="minorHAnsi"/>
          <w:color w:val="000000"/>
        </w:rPr>
        <w:t xml:space="preserve"> des modifications</w:t>
      </w:r>
      <w:r w:rsidR="00B74D08">
        <w:rPr>
          <w:rFonts w:asciiTheme="minorHAnsi" w:hAnsiTheme="minorHAnsi"/>
          <w:color w:val="000000"/>
        </w:rPr>
        <w:t xml:space="preserve"> substantielles</w:t>
      </w:r>
      <w:r w:rsidR="00BF70A5">
        <w:rPr>
          <w:rFonts w:asciiTheme="minorHAnsi" w:hAnsiTheme="minorHAnsi"/>
          <w:color w:val="000000"/>
        </w:rPr>
        <w:t xml:space="preserve"> (cf. annexe)</w:t>
      </w:r>
      <w:r w:rsidR="00EA1708">
        <w:rPr>
          <w:rFonts w:asciiTheme="minorHAnsi" w:hAnsiTheme="minorHAnsi"/>
          <w:color w:val="000000"/>
        </w:rPr>
        <w:t> ;</w:t>
      </w:r>
    </w:p>
    <w:p w14:paraId="6E62E272" w14:textId="7F18BB62" w:rsidR="00A570FC" w:rsidRPr="000F7896" w:rsidRDefault="0082086D" w:rsidP="00A570FC">
      <w:pPr>
        <w:numPr>
          <w:ilvl w:val="0"/>
          <w:numId w:val="1"/>
        </w:numPr>
        <w:spacing w:after="120"/>
        <w:jc w:val="both"/>
        <w:rPr>
          <w:rFonts w:asciiTheme="minorHAnsi" w:hAnsiTheme="minorHAnsi"/>
          <w:color w:val="000000"/>
        </w:rPr>
      </w:pPr>
      <w:r w:rsidRPr="00FB0991">
        <w:rPr>
          <w:rFonts w:asciiTheme="minorHAnsi" w:hAnsiTheme="minorHAnsi"/>
          <w:color w:val="000000"/>
        </w:rPr>
        <w:t xml:space="preserve">Deux </w:t>
      </w:r>
      <w:r w:rsidR="00A570FC" w:rsidRPr="00FB0991">
        <w:rPr>
          <w:rFonts w:asciiTheme="minorHAnsi" w:hAnsiTheme="minorHAnsi"/>
          <w:color w:val="000000"/>
        </w:rPr>
        <w:t>contributio</w:t>
      </w:r>
      <w:r w:rsidRPr="00FB0991">
        <w:rPr>
          <w:rFonts w:asciiTheme="minorHAnsi" w:hAnsiTheme="minorHAnsi"/>
          <w:color w:val="000000"/>
        </w:rPr>
        <w:t>ns saluent l'initiative du projet</w:t>
      </w:r>
      <w:r w:rsidR="00586F3A">
        <w:rPr>
          <w:rFonts w:asciiTheme="minorHAnsi" w:hAnsiTheme="minorHAnsi"/>
          <w:color w:val="000000"/>
        </w:rPr>
        <w:t>.</w:t>
      </w:r>
    </w:p>
    <w:p w14:paraId="62962B0B" w14:textId="35DBC245" w:rsidR="00871753" w:rsidRDefault="007C595B" w:rsidP="00871753">
      <w:pPr>
        <w:spacing w:after="120"/>
        <w:jc w:val="both"/>
        <w:rPr>
          <w:rFonts w:asciiTheme="minorHAnsi" w:hAnsiTheme="minorHAnsi"/>
          <w:color w:val="000000"/>
        </w:rPr>
      </w:pPr>
      <w:r w:rsidRPr="007C595B">
        <w:rPr>
          <w:rFonts w:asciiTheme="minorHAnsi" w:hAnsiTheme="minorHAnsi"/>
          <w:color w:val="000000"/>
        </w:rPr>
        <w:t xml:space="preserve">Conformément au dernier alinéa du II de l’article L. 120-1 du code de l’environnement, le présent document synthétise les observations recueillies et indique </w:t>
      </w:r>
      <w:r w:rsidR="00B74D08">
        <w:rPr>
          <w:rFonts w:asciiTheme="minorHAnsi" w:hAnsiTheme="minorHAnsi"/>
          <w:color w:val="000000"/>
        </w:rPr>
        <w:t>celles</w:t>
      </w:r>
      <w:r w:rsidRPr="007C595B">
        <w:rPr>
          <w:rFonts w:asciiTheme="minorHAnsi" w:hAnsiTheme="minorHAnsi"/>
          <w:color w:val="000000"/>
        </w:rPr>
        <w:t xml:space="preserve"> dont il a été tenu compte.</w:t>
      </w:r>
    </w:p>
    <w:p w14:paraId="498FC884" w14:textId="77777777" w:rsidR="007C595B" w:rsidRPr="000F7896" w:rsidRDefault="007C595B" w:rsidP="00871753">
      <w:pPr>
        <w:spacing w:after="120"/>
        <w:jc w:val="both"/>
        <w:rPr>
          <w:rFonts w:asciiTheme="minorHAnsi" w:hAnsiTheme="minorHAnsi"/>
          <w:color w:val="000000"/>
        </w:rPr>
      </w:pPr>
    </w:p>
    <w:p w14:paraId="5AC8EECB" w14:textId="1F852D46" w:rsidR="00AA0C32" w:rsidRPr="00FB0991" w:rsidRDefault="00AA0C32" w:rsidP="00BF70A5">
      <w:pPr>
        <w:spacing w:before="240" w:after="120"/>
        <w:jc w:val="both"/>
        <w:rPr>
          <w:rFonts w:asciiTheme="minorHAnsi" w:hAnsiTheme="minorHAnsi"/>
          <w:b/>
          <w:i/>
          <w:color w:val="000000"/>
        </w:rPr>
      </w:pPr>
      <w:r w:rsidRPr="00FB0991">
        <w:rPr>
          <w:rFonts w:asciiTheme="minorHAnsi" w:hAnsiTheme="minorHAnsi"/>
          <w:b/>
          <w:i/>
          <w:color w:val="000000"/>
        </w:rPr>
        <w:t xml:space="preserve">Synthèse des </w:t>
      </w:r>
      <w:r w:rsidR="00BF70A5">
        <w:rPr>
          <w:rFonts w:asciiTheme="minorHAnsi" w:hAnsiTheme="minorHAnsi"/>
          <w:b/>
          <w:i/>
          <w:color w:val="000000"/>
        </w:rPr>
        <w:t>contributions :</w:t>
      </w:r>
    </w:p>
    <w:p w14:paraId="201EB83F" w14:textId="7DCDFB9B" w:rsidR="00EA1708" w:rsidRDefault="009749CE" w:rsidP="00586F3A">
      <w:pPr>
        <w:spacing w:after="120"/>
        <w:jc w:val="both"/>
        <w:rPr>
          <w:rFonts w:asciiTheme="minorHAnsi" w:hAnsiTheme="minorHAnsi"/>
          <w:color w:val="000000"/>
        </w:rPr>
      </w:pPr>
      <w:r>
        <w:rPr>
          <w:rFonts w:asciiTheme="minorHAnsi" w:hAnsiTheme="minorHAnsi"/>
          <w:color w:val="000000"/>
        </w:rPr>
        <w:t>L’objet</w:t>
      </w:r>
      <w:r w:rsidR="00871753" w:rsidRPr="00586F3A">
        <w:rPr>
          <w:rFonts w:asciiTheme="minorHAnsi" w:hAnsiTheme="minorHAnsi"/>
          <w:color w:val="000000"/>
        </w:rPr>
        <w:t xml:space="preserve"> </w:t>
      </w:r>
      <w:r w:rsidR="001F588C">
        <w:rPr>
          <w:rFonts w:asciiTheme="minorHAnsi" w:hAnsiTheme="minorHAnsi"/>
          <w:color w:val="000000"/>
        </w:rPr>
        <w:t xml:space="preserve">et l’opportunité </w:t>
      </w:r>
      <w:r w:rsidR="00871753" w:rsidRPr="00586F3A">
        <w:rPr>
          <w:rFonts w:asciiTheme="minorHAnsi" w:hAnsiTheme="minorHAnsi"/>
          <w:color w:val="000000"/>
        </w:rPr>
        <w:t>du pr</w:t>
      </w:r>
      <w:r>
        <w:rPr>
          <w:rFonts w:asciiTheme="minorHAnsi" w:hAnsiTheme="minorHAnsi"/>
          <w:color w:val="000000"/>
        </w:rPr>
        <w:t xml:space="preserve">ojet de </w:t>
      </w:r>
      <w:r w:rsidR="00D1190C">
        <w:rPr>
          <w:rFonts w:asciiTheme="minorHAnsi" w:hAnsiTheme="minorHAnsi"/>
          <w:color w:val="000000"/>
        </w:rPr>
        <w:t>texte</w:t>
      </w:r>
      <w:r>
        <w:rPr>
          <w:rFonts w:asciiTheme="minorHAnsi" w:hAnsiTheme="minorHAnsi"/>
          <w:color w:val="000000"/>
        </w:rPr>
        <w:t xml:space="preserve"> s</w:t>
      </w:r>
      <w:r w:rsidR="001F588C">
        <w:rPr>
          <w:rFonts w:asciiTheme="minorHAnsi" w:hAnsiTheme="minorHAnsi"/>
          <w:color w:val="000000"/>
        </w:rPr>
        <w:t>on</w:t>
      </w:r>
      <w:r>
        <w:rPr>
          <w:rFonts w:asciiTheme="minorHAnsi" w:hAnsiTheme="minorHAnsi"/>
          <w:color w:val="000000"/>
        </w:rPr>
        <w:t>t discuté</w:t>
      </w:r>
      <w:r w:rsidR="001F588C">
        <w:rPr>
          <w:rFonts w:asciiTheme="minorHAnsi" w:hAnsiTheme="minorHAnsi"/>
          <w:color w:val="000000"/>
        </w:rPr>
        <w:t>s</w:t>
      </w:r>
      <w:r w:rsidR="00871753" w:rsidRPr="00586F3A">
        <w:rPr>
          <w:rFonts w:asciiTheme="minorHAnsi" w:hAnsiTheme="minorHAnsi"/>
          <w:color w:val="000000"/>
        </w:rPr>
        <w:t>.</w:t>
      </w:r>
      <w:r w:rsidR="00AD6FFE" w:rsidRPr="00586F3A">
        <w:rPr>
          <w:rFonts w:asciiTheme="minorHAnsi" w:hAnsiTheme="minorHAnsi"/>
          <w:color w:val="000000"/>
        </w:rPr>
        <w:t xml:space="preserve"> </w:t>
      </w:r>
    </w:p>
    <w:p w14:paraId="6D905E1F" w14:textId="24ACDAED" w:rsidR="00EA1708" w:rsidRPr="00EA1708" w:rsidRDefault="009749CE" w:rsidP="00EA1708">
      <w:pPr>
        <w:pStyle w:val="Paragraphedeliste"/>
        <w:numPr>
          <w:ilvl w:val="0"/>
          <w:numId w:val="1"/>
        </w:numPr>
        <w:spacing w:after="120"/>
        <w:jc w:val="both"/>
        <w:rPr>
          <w:rFonts w:asciiTheme="minorHAnsi" w:hAnsiTheme="minorHAnsi"/>
          <w:color w:val="000000"/>
        </w:rPr>
      </w:pPr>
      <w:r>
        <w:rPr>
          <w:rFonts w:asciiTheme="minorHAnsi" w:hAnsiTheme="minorHAnsi"/>
          <w:color w:val="000000"/>
        </w:rPr>
        <w:t>L’ensemble des réponses à</w:t>
      </w:r>
      <w:r w:rsidR="00AD6FFE" w:rsidRPr="00EA1708">
        <w:rPr>
          <w:rFonts w:asciiTheme="minorHAnsi" w:hAnsiTheme="minorHAnsi"/>
          <w:color w:val="000000"/>
        </w:rPr>
        <w:t xml:space="preserve"> la consultation </w:t>
      </w:r>
      <w:r>
        <w:rPr>
          <w:rFonts w:asciiTheme="minorHAnsi" w:hAnsiTheme="minorHAnsi"/>
          <w:color w:val="000000"/>
        </w:rPr>
        <w:t xml:space="preserve">soulèvent le besoin </w:t>
      </w:r>
      <w:r w:rsidR="00AD6FFE" w:rsidRPr="00EA1708">
        <w:rPr>
          <w:rFonts w:asciiTheme="minorHAnsi" w:hAnsiTheme="minorHAnsi"/>
          <w:color w:val="000000"/>
        </w:rPr>
        <w:t xml:space="preserve">de </w:t>
      </w:r>
      <w:r>
        <w:rPr>
          <w:rFonts w:asciiTheme="minorHAnsi" w:hAnsiTheme="minorHAnsi"/>
          <w:color w:val="000000"/>
        </w:rPr>
        <w:t>clarifier qu’il ne s’agit pas de</w:t>
      </w:r>
      <w:r w:rsidR="00AD6FFE" w:rsidRPr="00EA1708">
        <w:rPr>
          <w:rFonts w:asciiTheme="minorHAnsi" w:hAnsiTheme="minorHAnsi"/>
          <w:color w:val="000000"/>
        </w:rPr>
        <w:t xml:space="preserve"> remettre en cause le principe selon lequel si les terres excavées (y compris les terres </w:t>
      </w:r>
      <w:r w:rsidR="00AD6FFE" w:rsidRPr="00EA1708">
        <w:rPr>
          <w:rFonts w:asciiTheme="minorHAnsi" w:hAnsiTheme="minorHAnsi"/>
          <w:color w:val="000000"/>
        </w:rPr>
        <w:lastRenderedPageBreak/>
        <w:t xml:space="preserve">naturelles) issues d’une opération </w:t>
      </w:r>
      <w:r w:rsidR="00B74D08">
        <w:rPr>
          <w:rFonts w:asciiTheme="minorHAnsi" w:hAnsiTheme="minorHAnsi"/>
          <w:color w:val="000000"/>
        </w:rPr>
        <w:t xml:space="preserve">de réalisation </w:t>
      </w:r>
      <w:r w:rsidR="00AD6FFE" w:rsidRPr="00EA1708">
        <w:rPr>
          <w:rFonts w:asciiTheme="minorHAnsi" w:hAnsiTheme="minorHAnsi"/>
          <w:color w:val="000000"/>
        </w:rPr>
        <w:t>d’</w:t>
      </w:r>
      <w:r w:rsidR="00B74D08">
        <w:rPr>
          <w:rFonts w:asciiTheme="minorHAnsi" w:hAnsiTheme="minorHAnsi"/>
          <w:color w:val="000000"/>
        </w:rPr>
        <w:t>un aménagement ou d’une infrastructure</w:t>
      </w:r>
      <w:r w:rsidR="00AD6FFE" w:rsidRPr="00EA1708">
        <w:rPr>
          <w:rFonts w:asciiTheme="minorHAnsi" w:hAnsiTheme="minorHAnsi"/>
          <w:color w:val="000000"/>
        </w:rPr>
        <w:t xml:space="preserve"> sont </w:t>
      </w:r>
      <w:r w:rsidR="00AD6FFE" w:rsidRPr="00B74D08">
        <w:rPr>
          <w:rFonts w:asciiTheme="minorHAnsi" w:hAnsiTheme="minorHAnsi"/>
          <w:color w:val="000000"/>
          <w:u w:val="single"/>
        </w:rPr>
        <w:t>réemployées</w:t>
      </w:r>
      <w:r w:rsidR="00AD6FFE" w:rsidRPr="00EA1708">
        <w:rPr>
          <w:rFonts w:asciiTheme="minorHAnsi" w:hAnsiTheme="minorHAnsi"/>
          <w:color w:val="000000"/>
        </w:rPr>
        <w:t xml:space="preserve"> sur leur site d’excavation, elles ne prennent pas le statut de déchets</w:t>
      </w:r>
      <w:r w:rsidR="00B74D08">
        <w:rPr>
          <w:rFonts w:asciiTheme="minorHAnsi" w:hAnsiTheme="minorHAnsi"/>
          <w:color w:val="000000"/>
        </w:rPr>
        <w:t xml:space="preserve"> (cf. point 2.1.c de la directive n° 2008/98/CE du 19 novembre 2008 relative aux déchets)</w:t>
      </w:r>
      <w:r w:rsidR="00AD6FFE" w:rsidRPr="00EA1708">
        <w:rPr>
          <w:rFonts w:asciiTheme="minorHAnsi" w:hAnsiTheme="minorHAnsi"/>
          <w:color w:val="000000"/>
        </w:rPr>
        <w:t xml:space="preserve">. </w:t>
      </w:r>
    </w:p>
    <w:p w14:paraId="34E32F4B" w14:textId="004D95EC" w:rsidR="00037656" w:rsidRDefault="00AD6FFE" w:rsidP="00037656">
      <w:pPr>
        <w:pStyle w:val="Paragraphedeliste"/>
        <w:numPr>
          <w:ilvl w:val="0"/>
          <w:numId w:val="1"/>
        </w:numPr>
        <w:spacing w:after="120"/>
        <w:jc w:val="both"/>
        <w:rPr>
          <w:rFonts w:asciiTheme="minorHAnsi" w:hAnsiTheme="minorHAnsi"/>
          <w:color w:val="000000"/>
        </w:rPr>
      </w:pPr>
      <w:r w:rsidRPr="000F7896">
        <w:rPr>
          <w:rFonts w:asciiTheme="minorHAnsi" w:hAnsiTheme="minorHAnsi"/>
          <w:color w:val="000000"/>
        </w:rPr>
        <w:t>Il</w:t>
      </w:r>
      <w:r w:rsidRPr="000F7896">
        <w:rPr>
          <w:rFonts w:asciiTheme="minorHAnsi" w:hAnsiTheme="minorHAnsi"/>
        </w:rPr>
        <w:t xml:space="preserve"> </w:t>
      </w:r>
      <w:r w:rsidR="00B74D08">
        <w:rPr>
          <w:rFonts w:asciiTheme="minorHAnsi" w:hAnsiTheme="minorHAnsi"/>
        </w:rPr>
        <w:t>est donc demandé de rendre plus explicite le fait que ce texte vise d</w:t>
      </w:r>
      <w:r w:rsidRPr="000F7896">
        <w:rPr>
          <w:rFonts w:asciiTheme="minorHAnsi" w:hAnsiTheme="minorHAnsi"/>
        </w:rPr>
        <w:t xml:space="preserve">es terres </w:t>
      </w:r>
      <w:r w:rsidRPr="00B74D08">
        <w:rPr>
          <w:rFonts w:asciiTheme="minorHAnsi" w:hAnsiTheme="minorHAnsi"/>
          <w:u w:val="single"/>
        </w:rPr>
        <w:t>excédentaires</w:t>
      </w:r>
      <w:r w:rsidR="00B74D08">
        <w:rPr>
          <w:rFonts w:asciiTheme="minorHAnsi" w:hAnsiTheme="minorHAnsi"/>
        </w:rPr>
        <w:t>,</w:t>
      </w:r>
      <w:r w:rsidRPr="000F7896">
        <w:rPr>
          <w:rFonts w:asciiTheme="minorHAnsi" w:hAnsiTheme="minorHAnsi"/>
        </w:rPr>
        <w:t xml:space="preserve"> </w:t>
      </w:r>
      <w:r w:rsidR="00B74D08">
        <w:rPr>
          <w:rFonts w:asciiTheme="minorHAnsi" w:hAnsiTheme="minorHAnsi"/>
        </w:rPr>
        <w:t>c’est-à-dire d</w:t>
      </w:r>
      <w:r w:rsidRPr="000F7896">
        <w:rPr>
          <w:rFonts w:asciiTheme="minorHAnsi" w:hAnsiTheme="minorHAnsi"/>
        </w:rPr>
        <w:t>es terres qui ne peuvent pas être réemployées dans le périmètre de l’opération qui donne lieu à l’autorisation environnementale.</w:t>
      </w:r>
      <w:r w:rsidR="00037656" w:rsidRPr="00037656">
        <w:rPr>
          <w:rFonts w:asciiTheme="minorHAnsi" w:hAnsiTheme="minorHAnsi"/>
          <w:color w:val="000000"/>
        </w:rPr>
        <w:t xml:space="preserve"> </w:t>
      </w:r>
    </w:p>
    <w:p w14:paraId="4E5EEE9B" w14:textId="4809E0CF" w:rsidR="009749CE" w:rsidRPr="00FB0991" w:rsidRDefault="009749CE" w:rsidP="009749CE">
      <w:pPr>
        <w:pStyle w:val="Paragraphedeliste"/>
        <w:numPr>
          <w:ilvl w:val="0"/>
          <w:numId w:val="1"/>
        </w:numPr>
        <w:spacing w:after="120"/>
        <w:jc w:val="both"/>
        <w:rPr>
          <w:rFonts w:asciiTheme="minorHAnsi" w:hAnsiTheme="minorHAnsi"/>
        </w:rPr>
      </w:pPr>
      <w:r w:rsidRPr="00FB0991">
        <w:rPr>
          <w:rFonts w:asciiTheme="minorHAnsi" w:hAnsiTheme="minorHAnsi"/>
        </w:rPr>
        <w:t>Dans l’ensemble, un grand nombre de consultations f</w:t>
      </w:r>
      <w:r w:rsidR="00D833F8">
        <w:rPr>
          <w:rFonts w:asciiTheme="minorHAnsi" w:hAnsiTheme="minorHAnsi"/>
        </w:rPr>
        <w:t>ait</w:t>
      </w:r>
      <w:r w:rsidRPr="00FB0991">
        <w:rPr>
          <w:rFonts w:asciiTheme="minorHAnsi" w:hAnsiTheme="minorHAnsi"/>
        </w:rPr>
        <w:t xml:space="preserve"> ressortir une incompréhension de ce projet </w:t>
      </w:r>
      <w:r w:rsidR="00D833F8">
        <w:rPr>
          <w:rFonts w:asciiTheme="minorHAnsi" w:hAnsiTheme="minorHAnsi"/>
        </w:rPr>
        <w:t>d’arrêté, lequel, puisqu’il vise</w:t>
      </w:r>
      <w:r w:rsidRPr="00FB0991">
        <w:rPr>
          <w:rFonts w:asciiTheme="minorHAnsi" w:hAnsiTheme="minorHAnsi"/>
        </w:rPr>
        <w:t xml:space="preserve"> un stockage sans finalité, remet en cause le </w:t>
      </w:r>
      <w:r w:rsidR="00D833F8">
        <w:rPr>
          <w:rFonts w:asciiTheme="minorHAnsi" w:hAnsiTheme="minorHAnsi"/>
        </w:rPr>
        <w:t xml:space="preserve">principe selon lequel une </w:t>
      </w:r>
      <w:r w:rsidRPr="00FB0991">
        <w:rPr>
          <w:rFonts w:asciiTheme="minorHAnsi" w:hAnsiTheme="minorHAnsi"/>
        </w:rPr>
        <w:t xml:space="preserve">opération d’élimination </w:t>
      </w:r>
      <w:r w:rsidR="00D833F8">
        <w:rPr>
          <w:rFonts w:asciiTheme="minorHAnsi" w:hAnsiTheme="minorHAnsi"/>
        </w:rPr>
        <w:t>n’est pas éligible à une sortie du statut de déchet.</w:t>
      </w:r>
      <w:r w:rsidRPr="00FB0991">
        <w:rPr>
          <w:rFonts w:asciiTheme="minorHAnsi" w:hAnsiTheme="minorHAnsi"/>
        </w:rPr>
        <w:t xml:space="preserve"> </w:t>
      </w:r>
    </w:p>
    <w:p w14:paraId="17F0D7E3" w14:textId="01CE76FD" w:rsidR="009A03C2" w:rsidRDefault="00B115B4" w:rsidP="009A03C2">
      <w:pPr>
        <w:pStyle w:val="Paragraphedeliste"/>
        <w:numPr>
          <w:ilvl w:val="0"/>
          <w:numId w:val="1"/>
        </w:numPr>
        <w:spacing w:after="120"/>
        <w:jc w:val="both"/>
        <w:rPr>
          <w:rFonts w:asciiTheme="minorHAnsi" w:hAnsiTheme="minorHAnsi"/>
        </w:rPr>
      </w:pPr>
      <w:r>
        <w:rPr>
          <w:rFonts w:asciiTheme="minorHAnsi" w:hAnsiTheme="minorHAnsi"/>
        </w:rPr>
        <w:t>Une</w:t>
      </w:r>
      <w:r w:rsidR="009A03C2" w:rsidRPr="00FB0991">
        <w:rPr>
          <w:rFonts w:asciiTheme="minorHAnsi" w:hAnsiTheme="minorHAnsi"/>
        </w:rPr>
        <w:t xml:space="preserve"> contribution</w:t>
      </w:r>
      <w:r>
        <w:rPr>
          <w:rFonts w:asciiTheme="minorHAnsi" w:hAnsiTheme="minorHAnsi"/>
        </w:rPr>
        <w:t xml:space="preserve"> met</w:t>
      </w:r>
      <w:r w:rsidR="009A03C2" w:rsidRPr="00FB0991">
        <w:rPr>
          <w:rFonts w:asciiTheme="minorHAnsi" w:hAnsiTheme="minorHAnsi"/>
        </w:rPr>
        <w:t xml:space="preserve"> doute le respect du principe d’égalité en ce que cet arrêté prévoi</w:t>
      </w:r>
      <w:r w:rsidR="00D833F8">
        <w:rPr>
          <w:rFonts w:asciiTheme="minorHAnsi" w:hAnsiTheme="minorHAnsi"/>
        </w:rPr>
        <w:t>rai</w:t>
      </w:r>
      <w:r w:rsidR="009A03C2" w:rsidRPr="00FB0991">
        <w:rPr>
          <w:rFonts w:asciiTheme="minorHAnsi" w:hAnsiTheme="minorHAnsi"/>
        </w:rPr>
        <w:t>t une procédure moins contraignante pour les grands projets d’aménagement et d’infrastructure déclarés d’utilité publique que pour les autres projets.</w:t>
      </w:r>
    </w:p>
    <w:p w14:paraId="40567213" w14:textId="30A2EC51" w:rsidR="009A03C2" w:rsidRPr="00B115B4" w:rsidRDefault="00037656" w:rsidP="00D1190C">
      <w:pPr>
        <w:pStyle w:val="Paragraphedeliste"/>
        <w:numPr>
          <w:ilvl w:val="0"/>
          <w:numId w:val="1"/>
        </w:numPr>
        <w:spacing w:after="120"/>
        <w:jc w:val="both"/>
        <w:rPr>
          <w:rFonts w:asciiTheme="minorHAnsi" w:hAnsiTheme="minorHAnsi"/>
        </w:rPr>
      </w:pPr>
      <w:r w:rsidRPr="006078F0">
        <w:rPr>
          <w:rFonts w:asciiTheme="minorHAnsi" w:hAnsiTheme="minorHAnsi"/>
          <w:color w:val="000000"/>
        </w:rPr>
        <w:t>S</w:t>
      </w:r>
      <w:r w:rsidR="00B115B4">
        <w:rPr>
          <w:rFonts w:asciiTheme="minorHAnsi" w:hAnsiTheme="minorHAnsi"/>
          <w:color w:val="000000"/>
        </w:rPr>
        <w:t>elon plusieurs</w:t>
      </w:r>
      <w:r w:rsidRPr="006078F0">
        <w:rPr>
          <w:rFonts w:asciiTheme="minorHAnsi" w:hAnsiTheme="minorHAnsi"/>
          <w:color w:val="000000"/>
        </w:rPr>
        <w:t xml:space="preserve"> observations reçues, la question soulevée dans ce projet d’arrêté devrait être abordée sous le prisme de la réglementation</w:t>
      </w:r>
      <w:r w:rsidR="00D833F8">
        <w:rPr>
          <w:rFonts w:asciiTheme="minorHAnsi" w:hAnsiTheme="minorHAnsi"/>
          <w:color w:val="000000"/>
        </w:rPr>
        <w:t xml:space="preserve"> relative aux sites et</w:t>
      </w:r>
      <w:r w:rsidRPr="006078F0">
        <w:rPr>
          <w:rFonts w:asciiTheme="minorHAnsi" w:hAnsiTheme="minorHAnsi"/>
          <w:color w:val="000000"/>
        </w:rPr>
        <w:t xml:space="preserve"> sol</w:t>
      </w:r>
      <w:r w:rsidR="00D833F8">
        <w:rPr>
          <w:rFonts w:asciiTheme="minorHAnsi" w:hAnsiTheme="minorHAnsi"/>
          <w:color w:val="000000"/>
        </w:rPr>
        <w:t>s pollués</w:t>
      </w:r>
      <w:r w:rsidRPr="006078F0">
        <w:rPr>
          <w:rFonts w:asciiTheme="minorHAnsi" w:hAnsiTheme="minorHAnsi"/>
          <w:color w:val="000000"/>
        </w:rPr>
        <w:t xml:space="preserve"> et non</w:t>
      </w:r>
      <w:r w:rsidR="00D833F8">
        <w:rPr>
          <w:rFonts w:asciiTheme="minorHAnsi" w:hAnsiTheme="minorHAnsi"/>
          <w:color w:val="000000"/>
        </w:rPr>
        <w:t xml:space="preserve"> de celle applicable aux</w:t>
      </w:r>
      <w:r w:rsidRPr="006078F0">
        <w:rPr>
          <w:rFonts w:asciiTheme="minorHAnsi" w:hAnsiTheme="minorHAnsi"/>
          <w:color w:val="000000"/>
        </w:rPr>
        <w:t xml:space="preserve"> déchets</w:t>
      </w:r>
      <w:r w:rsidR="00D833F8">
        <w:rPr>
          <w:rFonts w:asciiTheme="minorHAnsi" w:hAnsiTheme="minorHAnsi"/>
          <w:color w:val="000000"/>
        </w:rPr>
        <w:t>,</w:t>
      </w:r>
      <w:r w:rsidRPr="006078F0">
        <w:rPr>
          <w:rFonts w:asciiTheme="minorHAnsi" w:hAnsiTheme="minorHAnsi"/>
          <w:color w:val="000000"/>
        </w:rPr>
        <w:t xml:space="preserve"> afin de ne pas porter à confusion. </w:t>
      </w:r>
      <w:r w:rsidR="00D1190C" w:rsidRPr="00D1190C">
        <w:rPr>
          <w:rFonts w:asciiTheme="minorHAnsi" w:hAnsiTheme="minorHAnsi"/>
          <w:color w:val="000000"/>
        </w:rPr>
        <w:t>Certaines co</w:t>
      </w:r>
      <w:r w:rsidR="00020E1C">
        <w:rPr>
          <w:rFonts w:asciiTheme="minorHAnsi" w:hAnsiTheme="minorHAnsi"/>
          <w:color w:val="000000"/>
        </w:rPr>
        <w:t>ntribu</w:t>
      </w:r>
      <w:r w:rsidR="00D1190C" w:rsidRPr="00D1190C">
        <w:rPr>
          <w:rFonts w:asciiTheme="minorHAnsi" w:hAnsiTheme="minorHAnsi"/>
          <w:color w:val="000000"/>
        </w:rPr>
        <w:t xml:space="preserve">tions </w:t>
      </w:r>
      <w:r w:rsidR="00D833F8">
        <w:rPr>
          <w:rFonts w:asciiTheme="minorHAnsi" w:hAnsiTheme="minorHAnsi"/>
          <w:color w:val="000000"/>
        </w:rPr>
        <w:t>regrettent</w:t>
      </w:r>
      <w:r w:rsidR="00D1190C" w:rsidRPr="00D1190C">
        <w:rPr>
          <w:rFonts w:asciiTheme="minorHAnsi" w:hAnsiTheme="minorHAnsi"/>
          <w:color w:val="000000"/>
        </w:rPr>
        <w:t xml:space="preserve"> </w:t>
      </w:r>
      <w:r w:rsidR="00D833F8">
        <w:rPr>
          <w:rFonts w:asciiTheme="minorHAnsi" w:hAnsiTheme="minorHAnsi"/>
          <w:color w:val="000000"/>
        </w:rPr>
        <w:t>l’absence d’un cadre législatif adapté</w:t>
      </w:r>
      <w:r w:rsidR="00D1190C" w:rsidRPr="00D1190C">
        <w:rPr>
          <w:rFonts w:asciiTheme="minorHAnsi" w:hAnsiTheme="minorHAnsi"/>
          <w:color w:val="000000"/>
        </w:rPr>
        <w:t xml:space="preserve"> en matière de</w:t>
      </w:r>
      <w:r w:rsidR="00D833F8">
        <w:rPr>
          <w:rFonts w:asciiTheme="minorHAnsi" w:hAnsiTheme="minorHAnsi"/>
          <w:color w:val="000000"/>
        </w:rPr>
        <w:t xml:space="preserve"> sites</w:t>
      </w:r>
      <w:r w:rsidR="00D1190C" w:rsidRPr="00D1190C">
        <w:rPr>
          <w:rFonts w:asciiTheme="minorHAnsi" w:hAnsiTheme="minorHAnsi"/>
          <w:color w:val="000000"/>
        </w:rPr>
        <w:t xml:space="preserve"> </w:t>
      </w:r>
      <w:r w:rsidR="00D833F8">
        <w:rPr>
          <w:rFonts w:asciiTheme="minorHAnsi" w:hAnsiTheme="minorHAnsi"/>
          <w:color w:val="000000"/>
        </w:rPr>
        <w:t xml:space="preserve">et </w:t>
      </w:r>
      <w:r w:rsidR="00D1190C" w:rsidRPr="00D1190C">
        <w:rPr>
          <w:rFonts w:asciiTheme="minorHAnsi" w:hAnsiTheme="minorHAnsi"/>
          <w:color w:val="000000"/>
        </w:rPr>
        <w:t>sols</w:t>
      </w:r>
      <w:r w:rsidR="00D833F8">
        <w:rPr>
          <w:rFonts w:asciiTheme="minorHAnsi" w:hAnsiTheme="minorHAnsi"/>
          <w:color w:val="000000"/>
        </w:rPr>
        <w:t xml:space="preserve"> pollués</w:t>
      </w:r>
      <w:r w:rsidR="00D1190C" w:rsidRPr="00D1190C">
        <w:rPr>
          <w:rFonts w:asciiTheme="minorHAnsi" w:hAnsiTheme="minorHAnsi"/>
          <w:color w:val="000000"/>
        </w:rPr>
        <w:t xml:space="preserve"> et regrettent l’absence de critère géologiques dans ce projet d’arrêté.</w:t>
      </w:r>
    </w:p>
    <w:p w14:paraId="062C0A28" w14:textId="13B765F0" w:rsidR="009A03C2" w:rsidRPr="00D833F8" w:rsidRDefault="00B115B4" w:rsidP="00CB0357">
      <w:pPr>
        <w:pStyle w:val="Paragraphedeliste"/>
        <w:numPr>
          <w:ilvl w:val="0"/>
          <w:numId w:val="1"/>
        </w:numPr>
        <w:spacing w:after="120"/>
        <w:jc w:val="both"/>
        <w:rPr>
          <w:rFonts w:asciiTheme="minorHAnsi" w:hAnsiTheme="minorHAnsi"/>
        </w:rPr>
      </w:pPr>
      <w:r w:rsidRPr="00D833F8">
        <w:rPr>
          <w:rFonts w:asciiTheme="minorHAnsi" w:hAnsiTheme="minorHAnsi"/>
          <w:color w:val="000000"/>
        </w:rPr>
        <w:t xml:space="preserve">Plusieurs contributeurs proposent de se référer </w:t>
      </w:r>
      <w:r w:rsidR="00AD2412" w:rsidRPr="00D833F8">
        <w:rPr>
          <w:rFonts w:asciiTheme="minorHAnsi" w:hAnsiTheme="minorHAnsi"/>
          <w:color w:val="000000"/>
        </w:rPr>
        <w:t>le cas échéant</w:t>
      </w:r>
      <w:r w:rsidRPr="00D833F8">
        <w:rPr>
          <w:rFonts w:asciiTheme="minorHAnsi" w:hAnsiTheme="minorHAnsi"/>
          <w:color w:val="000000"/>
        </w:rPr>
        <w:t xml:space="preserve"> aux guides techniques de valorisation des terres</w:t>
      </w:r>
      <w:r w:rsidR="00AD2412" w:rsidRPr="00D833F8">
        <w:rPr>
          <w:rFonts w:asciiTheme="minorHAnsi" w:hAnsiTheme="minorHAnsi"/>
          <w:color w:val="000000"/>
        </w:rPr>
        <w:t xml:space="preserve"> excavées existants ou nouveaux ; à</w:t>
      </w:r>
      <w:r w:rsidR="00CE32EB" w:rsidRPr="00D833F8">
        <w:rPr>
          <w:rFonts w:asciiTheme="minorHAnsi" w:hAnsiTheme="minorHAnsi"/>
        </w:rPr>
        <w:t xml:space="preserve"> la méthodologie de gestion des si</w:t>
      </w:r>
      <w:r w:rsidR="00AD2412" w:rsidRPr="00D833F8">
        <w:rPr>
          <w:rFonts w:asciiTheme="minorHAnsi" w:hAnsiTheme="minorHAnsi"/>
        </w:rPr>
        <w:t xml:space="preserve">tes et sols pollués ; ou </w:t>
      </w:r>
      <w:r w:rsidRPr="00D833F8">
        <w:rPr>
          <w:rFonts w:asciiTheme="minorHAnsi" w:hAnsiTheme="minorHAnsi"/>
          <w:color w:val="000000"/>
        </w:rPr>
        <w:t>à l’arrêté ministériel du 4 juin 2021 fixant les critères</w:t>
      </w:r>
      <w:r w:rsidRPr="00D833F8">
        <w:t xml:space="preserve"> </w:t>
      </w:r>
      <w:r w:rsidRPr="00D833F8">
        <w:rPr>
          <w:rFonts w:asciiTheme="minorHAnsi" w:hAnsiTheme="minorHAnsi"/>
          <w:color w:val="000000"/>
        </w:rPr>
        <w:t>de sortie du statut de déchet pour les terres excavées et sédiments ayant fait l'objet d'une préparation en vue d'une utilisation en génie civil ou en aménagement.</w:t>
      </w:r>
    </w:p>
    <w:p w14:paraId="1DF081A2" w14:textId="77777777" w:rsidR="00037656" w:rsidRDefault="00037656" w:rsidP="00037656">
      <w:pPr>
        <w:spacing w:after="120"/>
        <w:ind w:left="360"/>
        <w:jc w:val="both"/>
        <w:rPr>
          <w:rFonts w:asciiTheme="minorHAnsi" w:hAnsiTheme="minorHAnsi"/>
        </w:rPr>
      </w:pPr>
    </w:p>
    <w:p w14:paraId="1DF7A4C8" w14:textId="7E472D21" w:rsidR="00037656" w:rsidRDefault="00166275" w:rsidP="009A03C2">
      <w:pPr>
        <w:spacing w:after="120"/>
        <w:jc w:val="both"/>
        <w:rPr>
          <w:rFonts w:asciiTheme="minorHAnsi" w:hAnsiTheme="minorHAnsi"/>
        </w:rPr>
      </w:pPr>
      <w:r>
        <w:rPr>
          <w:rFonts w:asciiTheme="minorHAnsi" w:hAnsiTheme="minorHAnsi"/>
        </w:rPr>
        <w:t>D</w:t>
      </w:r>
      <w:r w:rsidR="00037656" w:rsidRPr="00037656">
        <w:rPr>
          <w:rFonts w:asciiTheme="minorHAnsi" w:hAnsiTheme="minorHAnsi"/>
        </w:rPr>
        <w:t>eux contributeurs considèrent que ce projet va dans le bon sens</w:t>
      </w:r>
      <w:r>
        <w:rPr>
          <w:rFonts w:asciiTheme="minorHAnsi" w:hAnsiTheme="minorHAnsi"/>
        </w:rPr>
        <w:t xml:space="preserve"> dans la mesure où</w:t>
      </w:r>
      <w:r w:rsidR="0069546A">
        <w:rPr>
          <w:rFonts w:asciiTheme="minorHAnsi" w:hAnsiTheme="minorHAnsi"/>
        </w:rPr>
        <w:t xml:space="preserve"> le déplacement de</w:t>
      </w:r>
      <w:r w:rsidR="00037656" w:rsidRPr="00037656">
        <w:rPr>
          <w:rFonts w:asciiTheme="minorHAnsi" w:hAnsiTheme="minorHAnsi"/>
        </w:rPr>
        <w:t xml:space="preserve">s terres naturelles </w:t>
      </w:r>
      <w:r w:rsidR="0069546A">
        <w:rPr>
          <w:rFonts w:asciiTheme="minorHAnsi" w:hAnsiTheme="minorHAnsi"/>
        </w:rPr>
        <w:t xml:space="preserve">excavées </w:t>
      </w:r>
      <w:r w:rsidR="00037656" w:rsidRPr="00037656">
        <w:rPr>
          <w:rFonts w:asciiTheme="minorHAnsi" w:hAnsiTheme="minorHAnsi"/>
        </w:rPr>
        <w:t>sur de faibles distances au sein même du chant</w:t>
      </w:r>
      <w:r w:rsidR="0071311E">
        <w:rPr>
          <w:rFonts w:asciiTheme="minorHAnsi" w:hAnsiTheme="minorHAnsi"/>
        </w:rPr>
        <w:t>ier de construction représente</w:t>
      </w:r>
      <w:r w:rsidR="00037656" w:rsidRPr="00037656">
        <w:rPr>
          <w:rFonts w:asciiTheme="minorHAnsi" w:hAnsiTheme="minorHAnsi"/>
        </w:rPr>
        <w:t xml:space="preserve"> un risque extrêmement faible sur la santé et l’environnement.</w:t>
      </w:r>
    </w:p>
    <w:p w14:paraId="0B9B4B7E" w14:textId="77777777" w:rsidR="00837145" w:rsidRPr="00037656" w:rsidRDefault="00837145" w:rsidP="009A03C2">
      <w:pPr>
        <w:spacing w:after="120"/>
        <w:jc w:val="both"/>
        <w:rPr>
          <w:rFonts w:asciiTheme="minorHAnsi" w:hAnsiTheme="minorHAnsi"/>
        </w:rPr>
      </w:pPr>
    </w:p>
    <w:p w14:paraId="4C43738E" w14:textId="0558DFF7" w:rsidR="00837145" w:rsidRPr="00837145" w:rsidRDefault="00837145" w:rsidP="00BF70A5">
      <w:pPr>
        <w:spacing w:before="240" w:after="120"/>
        <w:jc w:val="both"/>
        <w:rPr>
          <w:rFonts w:asciiTheme="minorHAnsi" w:hAnsiTheme="minorHAnsi"/>
          <w:b/>
          <w:i/>
          <w:color w:val="000000"/>
        </w:rPr>
      </w:pPr>
      <w:r>
        <w:rPr>
          <w:rFonts w:asciiTheme="minorHAnsi" w:hAnsiTheme="minorHAnsi"/>
          <w:b/>
          <w:i/>
          <w:color w:val="000000"/>
        </w:rPr>
        <w:t xml:space="preserve">Modifications </w:t>
      </w:r>
      <w:r w:rsidR="00BF70A5">
        <w:rPr>
          <w:rFonts w:asciiTheme="minorHAnsi" w:hAnsiTheme="minorHAnsi"/>
          <w:b/>
          <w:i/>
          <w:color w:val="000000"/>
        </w:rPr>
        <w:t>du projet d’arrêté</w:t>
      </w:r>
      <w:r>
        <w:rPr>
          <w:rFonts w:asciiTheme="minorHAnsi" w:hAnsiTheme="minorHAnsi"/>
          <w:b/>
          <w:i/>
          <w:color w:val="000000"/>
        </w:rPr>
        <w:t xml:space="preserve"> suite à la consultation du public :</w:t>
      </w:r>
    </w:p>
    <w:p w14:paraId="77DE5244" w14:textId="0AC95C45" w:rsidR="00837145" w:rsidRDefault="00837145" w:rsidP="00837145">
      <w:pPr>
        <w:spacing w:before="280" w:line="240" w:lineRule="auto"/>
        <w:jc w:val="both"/>
        <w:rPr>
          <w:rFonts w:asciiTheme="minorHAnsi" w:eastAsia="Arial Unicode MS" w:hAnsiTheme="minorHAnsi" w:cstheme="minorHAnsi"/>
          <w:color w:val="000000"/>
        </w:rPr>
      </w:pPr>
      <w:r>
        <w:rPr>
          <w:rFonts w:asciiTheme="minorHAnsi" w:eastAsia="Arial Unicode MS" w:hAnsiTheme="minorHAnsi" w:cstheme="minorHAnsi"/>
          <w:color w:val="000000"/>
        </w:rPr>
        <w:t>Le titre et la notice ont été modifiés dans le but de</w:t>
      </w:r>
      <w:r w:rsidRPr="00837145">
        <w:rPr>
          <w:rFonts w:asciiTheme="minorHAnsi" w:eastAsia="Arial Unicode MS" w:hAnsiTheme="minorHAnsi" w:cstheme="minorHAnsi"/>
          <w:color w:val="000000"/>
        </w:rPr>
        <w:t xml:space="preserve"> résoudre l’ambiguïté soulevée quant </w:t>
      </w:r>
      <w:r>
        <w:rPr>
          <w:rFonts w:asciiTheme="minorHAnsi" w:eastAsia="Arial Unicode MS" w:hAnsiTheme="minorHAnsi" w:cstheme="minorHAnsi"/>
          <w:color w:val="000000"/>
        </w:rPr>
        <w:t>à l’objet et à la portée de l’arrêté : ajout de la précision selon laquelle le projet d’arrêté porte sur des terres excavées sur le site d’un grand projet d’aménagement et gérées sur ce site même (« excavées et gérées au sein d’un grand projet d’aménagement ou d’infrastructure »).</w:t>
      </w:r>
    </w:p>
    <w:p w14:paraId="2074BA2B" w14:textId="387A17A1" w:rsidR="00837145" w:rsidRDefault="00837145" w:rsidP="00837145">
      <w:pPr>
        <w:spacing w:before="280" w:line="240" w:lineRule="auto"/>
        <w:jc w:val="both"/>
        <w:rPr>
          <w:rFonts w:asciiTheme="minorHAnsi" w:eastAsia="Arial Unicode MS" w:hAnsiTheme="minorHAnsi" w:cstheme="minorHAnsi"/>
          <w:color w:val="000000"/>
        </w:rPr>
      </w:pPr>
      <w:r>
        <w:rPr>
          <w:rFonts w:asciiTheme="minorHAnsi" w:eastAsia="Arial Unicode MS" w:hAnsiTheme="minorHAnsi" w:cstheme="minorHAnsi"/>
          <w:color w:val="000000"/>
        </w:rPr>
        <w:t>Il est par ailleurs précisé qu</w:t>
      </w:r>
      <w:r w:rsidR="00BF70A5">
        <w:rPr>
          <w:rFonts w:asciiTheme="minorHAnsi" w:eastAsia="Arial Unicode MS" w:hAnsiTheme="minorHAnsi" w:cstheme="minorHAnsi"/>
          <w:color w:val="000000"/>
        </w:rPr>
        <w:t>e c</w:t>
      </w:r>
      <w:r>
        <w:rPr>
          <w:rFonts w:asciiTheme="minorHAnsi" w:eastAsia="Arial Unicode MS" w:hAnsiTheme="minorHAnsi" w:cstheme="minorHAnsi"/>
          <w:color w:val="000000"/>
        </w:rPr>
        <w:t>e projet d’arrêté</w:t>
      </w:r>
      <w:r w:rsidRPr="00837145">
        <w:rPr>
          <w:rFonts w:asciiTheme="minorHAnsi" w:eastAsia="Arial Unicode MS" w:hAnsiTheme="minorHAnsi" w:cstheme="minorHAnsi"/>
          <w:color w:val="000000"/>
        </w:rPr>
        <w:t xml:space="preserve"> porte</w:t>
      </w:r>
      <w:r w:rsidR="00BF70A5">
        <w:rPr>
          <w:rFonts w:asciiTheme="minorHAnsi" w:eastAsia="Arial Unicode MS" w:hAnsiTheme="minorHAnsi" w:cstheme="minorHAnsi"/>
          <w:color w:val="000000"/>
        </w:rPr>
        <w:t xml:space="preserve"> bien</w:t>
      </w:r>
      <w:r w:rsidRPr="00837145">
        <w:rPr>
          <w:rFonts w:asciiTheme="minorHAnsi" w:eastAsia="Arial Unicode MS" w:hAnsiTheme="minorHAnsi" w:cstheme="minorHAnsi"/>
          <w:color w:val="000000"/>
        </w:rPr>
        <w:t xml:space="preserve"> </w:t>
      </w:r>
      <w:r>
        <w:rPr>
          <w:rFonts w:asciiTheme="minorHAnsi" w:eastAsia="Arial Unicode MS" w:hAnsiTheme="minorHAnsi" w:cstheme="minorHAnsi"/>
          <w:color w:val="000000"/>
        </w:rPr>
        <w:t>sur d</w:t>
      </w:r>
      <w:r w:rsidRPr="00837145">
        <w:rPr>
          <w:rFonts w:asciiTheme="minorHAnsi" w:eastAsia="Arial Unicode MS" w:hAnsiTheme="minorHAnsi" w:cstheme="minorHAnsi"/>
          <w:color w:val="000000"/>
        </w:rPr>
        <w:t xml:space="preserve">es terres excédentaires tel que cela est </w:t>
      </w:r>
      <w:r w:rsidR="00BF70A5">
        <w:rPr>
          <w:rFonts w:asciiTheme="minorHAnsi" w:eastAsia="Arial Unicode MS" w:hAnsiTheme="minorHAnsi" w:cstheme="minorHAnsi"/>
          <w:color w:val="000000"/>
        </w:rPr>
        <w:t>précisé</w:t>
      </w:r>
      <w:r w:rsidRPr="00837145">
        <w:rPr>
          <w:rFonts w:asciiTheme="minorHAnsi" w:eastAsia="Arial Unicode MS" w:hAnsiTheme="minorHAnsi" w:cstheme="minorHAnsi"/>
          <w:color w:val="000000"/>
        </w:rPr>
        <w:t xml:space="preserve"> </w:t>
      </w:r>
      <w:r w:rsidR="00BF70A5">
        <w:rPr>
          <w:rFonts w:asciiTheme="minorHAnsi" w:eastAsia="Arial Unicode MS" w:hAnsiTheme="minorHAnsi" w:cstheme="minorHAnsi"/>
          <w:color w:val="000000"/>
        </w:rPr>
        <w:t xml:space="preserve">en définition dans l’article 1, et qu’il </w:t>
      </w:r>
      <w:r w:rsidRPr="00837145">
        <w:rPr>
          <w:rFonts w:asciiTheme="minorHAnsi" w:eastAsia="Arial Unicode MS" w:hAnsiTheme="minorHAnsi" w:cstheme="minorHAnsi"/>
          <w:color w:val="000000"/>
        </w:rPr>
        <w:t xml:space="preserve">n’a </w:t>
      </w:r>
      <w:r w:rsidR="00BF70A5">
        <w:rPr>
          <w:rFonts w:asciiTheme="minorHAnsi" w:eastAsia="Arial Unicode MS" w:hAnsiTheme="minorHAnsi" w:cstheme="minorHAnsi"/>
          <w:color w:val="000000"/>
        </w:rPr>
        <w:t>ni</w:t>
      </w:r>
      <w:r w:rsidRPr="00837145">
        <w:rPr>
          <w:rFonts w:asciiTheme="minorHAnsi" w:eastAsia="Arial Unicode MS" w:hAnsiTheme="minorHAnsi" w:cstheme="minorHAnsi"/>
          <w:color w:val="000000"/>
        </w:rPr>
        <w:t xml:space="preserve"> pour objet</w:t>
      </w:r>
      <w:r w:rsidR="00BF70A5">
        <w:rPr>
          <w:rFonts w:asciiTheme="minorHAnsi" w:eastAsia="Arial Unicode MS" w:hAnsiTheme="minorHAnsi" w:cstheme="minorHAnsi"/>
          <w:color w:val="000000"/>
        </w:rPr>
        <w:t xml:space="preserve"> ni pour effet</w:t>
      </w:r>
      <w:r w:rsidRPr="00837145">
        <w:rPr>
          <w:rFonts w:asciiTheme="minorHAnsi" w:eastAsia="Arial Unicode MS" w:hAnsiTheme="minorHAnsi" w:cstheme="minorHAnsi"/>
          <w:color w:val="000000"/>
        </w:rPr>
        <w:t xml:space="preserve"> de mettre en cause</w:t>
      </w:r>
      <w:r w:rsidR="00BF70A5">
        <w:rPr>
          <w:rFonts w:asciiTheme="minorHAnsi" w:eastAsia="Arial Unicode MS" w:hAnsiTheme="minorHAnsi" w:cstheme="minorHAnsi"/>
          <w:color w:val="000000"/>
        </w:rPr>
        <w:t xml:space="preserve"> </w:t>
      </w:r>
      <w:r w:rsidR="00BF70A5" w:rsidRPr="00EA1708">
        <w:rPr>
          <w:rFonts w:asciiTheme="minorHAnsi" w:hAnsiTheme="minorHAnsi"/>
          <w:color w:val="000000"/>
        </w:rPr>
        <w:t xml:space="preserve">le principe selon lequel </w:t>
      </w:r>
      <w:r w:rsidR="00BF70A5">
        <w:rPr>
          <w:rFonts w:asciiTheme="minorHAnsi" w:hAnsiTheme="minorHAnsi"/>
          <w:color w:val="000000"/>
        </w:rPr>
        <w:t>des</w:t>
      </w:r>
      <w:r w:rsidR="00BF70A5" w:rsidRPr="00EA1708">
        <w:rPr>
          <w:rFonts w:asciiTheme="minorHAnsi" w:hAnsiTheme="minorHAnsi"/>
          <w:color w:val="000000"/>
        </w:rPr>
        <w:t xml:space="preserve"> terres </w:t>
      </w:r>
      <w:r w:rsidR="00BF70A5" w:rsidRPr="00BF70A5">
        <w:rPr>
          <w:rFonts w:asciiTheme="minorHAnsi" w:hAnsiTheme="minorHAnsi"/>
          <w:color w:val="000000"/>
        </w:rPr>
        <w:t>excavées réutilisées</w:t>
      </w:r>
      <w:r w:rsidR="00BF70A5">
        <w:rPr>
          <w:rFonts w:asciiTheme="minorHAnsi" w:hAnsiTheme="minorHAnsi"/>
          <w:color w:val="000000"/>
        </w:rPr>
        <w:t xml:space="preserve"> dans leur état naturel</w:t>
      </w:r>
      <w:r w:rsidR="00BF70A5" w:rsidRPr="00BF70A5">
        <w:rPr>
          <w:rFonts w:asciiTheme="minorHAnsi" w:hAnsiTheme="minorHAnsi"/>
          <w:color w:val="000000"/>
        </w:rPr>
        <w:t xml:space="preserve"> à des</w:t>
      </w:r>
      <w:r w:rsidR="00BF70A5">
        <w:rPr>
          <w:rFonts w:asciiTheme="minorHAnsi" w:hAnsiTheme="minorHAnsi"/>
          <w:color w:val="000000"/>
        </w:rPr>
        <w:t xml:space="preserve"> fins de construction sur le site même</w:t>
      </w:r>
      <w:r w:rsidR="00BF70A5" w:rsidRPr="00EA1708">
        <w:rPr>
          <w:rFonts w:asciiTheme="minorHAnsi" w:hAnsiTheme="minorHAnsi"/>
          <w:color w:val="000000"/>
        </w:rPr>
        <w:t xml:space="preserve"> </w:t>
      </w:r>
      <w:r w:rsidR="00BF70A5">
        <w:rPr>
          <w:rFonts w:asciiTheme="minorHAnsi" w:hAnsiTheme="minorHAnsi"/>
          <w:color w:val="000000"/>
        </w:rPr>
        <w:t>de leur e</w:t>
      </w:r>
      <w:r w:rsidR="00BF70A5" w:rsidRPr="00EA1708">
        <w:rPr>
          <w:rFonts w:asciiTheme="minorHAnsi" w:hAnsiTheme="minorHAnsi"/>
          <w:color w:val="000000"/>
        </w:rPr>
        <w:t>xcavation ne prennent pas le statut de déchets</w:t>
      </w:r>
    </w:p>
    <w:p w14:paraId="3916CD5A" w14:textId="1B5D18AE" w:rsidR="00837145" w:rsidRPr="00837145" w:rsidRDefault="00837145" w:rsidP="00837145">
      <w:pPr>
        <w:spacing w:before="280" w:line="240" w:lineRule="auto"/>
        <w:jc w:val="both"/>
        <w:rPr>
          <w:rFonts w:asciiTheme="minorHAnsi" w:eastAsia="Arial Unicode MS" w:hAnsiTheme="minorHAnsi" w:cstheme="minorHAnsi"/>
          <w:color w:val="000000"/>
        </w:rPr>
      </w:pPr>
      <w:r w:rsidRPr="00837145">
        <w:rPr>
          <w:rFonts w:asciiTheme="minorHAnsi" w:eastAsia="Arial Unicode MS" w:hAnsiTheme="minorHAnsi" w:cstheme="minorHAnsi"/>
          <w:color w:val="000000"/>
        </w:rPr>
        <w:t xml:space="preserve">Il </w:t>
      </w:r>
      <w:r w:rsidR="00BF70A5">
        <w:rPr>
          <w:rFonts w:asciiTheme="minorHAnsi" w:eastAsia="Arial Unicode MS" w:hAnsiTheme="minorHAnsi" w:cstheme="minorHAnsi"/>
          <w:color w:val="000000"/>
        </w:rPr>
        <w:t xml:space="preserve">a par ailleurs été </w:t>
      </w:r>
      <w:r w:rsidRPr="00837145">
        <w:rPr>
          <w:rFonts w:asciiTheme="minorHAnsi" w:eastAsia="Arial Unicode MS" w:hAnsiTheme="minorHAnsi" w:cstheme="minorHAnsi"/>
          <w:color w:val="000000"/>
        </w:rPr>
        <w:t xml:space="preserve">ajouté une disposition prévoyant que l’aménagement constitué de déblais de terres </w:t>
      </w:r>
      <w:proofErr w:type="gramStart"/>
      <w:r w:rsidRPr="00837145">
        <w:rPr>
          <w:rFonts w:asciiTheme="minorHAnsi" w:eastAsia="Arial Unicode MS" w:hAnsiTheme="minorHAnsi" w:cstheme="minorHAnsi"/>
          <w:color w:val="000000"/>
        </w:rPr>
        <w:t>naturelles</w:t>
      </w:r>
      <w:proofErr w:type="gramEnd"/>
      <w:r w:rsidRPr="00837145">
        <w:rPr>
          <w:rFonts w:asciiTheme="minorHAnsi" w:eastAsia="Arial Unicode MS" w:hAnsiTheme="minorHAnsi" w:cstheme="minorHAnsi"/>
          <w:color w:val="000000"/>
        </w:rPr>
        <w:t xml:space="preserve"> fait l’objet </w:t>
      </w:r>
      <w:r w:rsidR="00BF70A5">
        <w:rPr>
          <w:rFonts w:asciiTheme="minorHAnsi" w:eastAsia="Arial Unicode MS" w:hAnsiTheme="minorHAnsi" w:cstheme="minorHAnsi"/>
          <w:color w:val="000000"/>
        </w:rPr>
        <w:t>d’un contrôle</w:t>
      </w:r>
      <w:r w:rsidRPr="00837145">
        <w:rPr>
          <w:rFonts w:asciiTheme="minorHAnsi" w:eastAsia="Arial Unicode MS" w:hAnsiTheme="minorHAnsi" w:cstheme="minorHAnsi"/>
          <w:color w:val="000000"/>
        </w:rPr>
        <w:t xml:space="preserve"> f</w:t>
      </w:r>
      <w:r w:rsidR="00BF70A5">
        <w:rPr>
          <w:rFonts w:asciiTheme="minorHAnsi" w:eastAsia="Arial Unicode MS" w:hAnsiTheme="minorHAnsi" w:cstheme="minorHAnsi"/>
          <w:color w:val="000000"/>
        </w:rPr>
        <w:t>inal par l’autorité compétente.</w:t>
      </w:r>
    </w:p>
    <w:p w14:paraId="23CEA643" w14:textId="49CD1661" w:rsidR="00837145" w:rsidRDefault="00837145" w:rsidP="005146C9">
      <w:pPr>
        <w:spacing w:before="280" w:line="240" w:lineRule="auto"/>
        <w:rPr>
          <w:rFonts w:asciiTheme="minorHAnsi" w:eastAsia="Arial Unicode MS" w:hAnsiTheme="minorHAnsi" w:cstheme="minorHAnsi"/>
          <w:color w:val="000000"/>
        </w:rPr>
      </w:pPr>
    </w:p>
    <w:p w14:paraId="3DCFFD8F" w14:textId="749A4B08" w:rsidR="00BF70A5" w:rsidRDefault="00CA0E63" w:rsidP="00BF70A5">
      <w:pPr>
        <w:pStyle w:val="western"/>
        <w:spacing w:after="198"/>
        <w:jc w:val="right"/>
        <w:rPr>
          <w:rFonts w:asciiTheme="minorHAnsi" w:hAnsiTheme="minorHAnsi" w:cstheme="minorHAnsi"/>
        </w:rPr>
      </w:pPr>
      <w:r>
        <w:rPr>
          <w:rFonts w:asciiTheme="minorHAnsi" w:hAnsiTheme="minorHAnsi" w:cstheme="minorHAnsi"/>
        </w:rPr>
        <w:t>Fait à la D</w:t>
      </w:r>
      <w:r w:rsidR="00A333E0" w:rsidRPr="008C532E">
        <w:rPr>
          <w:rFonts w:asciiTheme="minorHAnsi" w:hAnsiTheme="minorHAnsi" w:cstheme="minorHAnsi"/>
        </w:rPr>
        <w:t xml:space="preserve">éfense, le </w:t>
      </w:r>
      <w:r w:rsidR="00C02553">
        <w:rPr>
          <w:rFonts w:asciiTheme="minorHAnsi" w:hAnsiTheme="minorHAnsi" w:cstheme="minorHAnsi"/>
        </w:rPr>
        <w:t>6</w:t>
      </w:r>
      <w:r w:rsidR="00062ED3">
        <w:rPr>
          <w:rFonts w:asciiTheme="minorHAnsi" w:hAnsiTheme="minorHAnsi" w:cstheme="minorHAnsi"/>
        </w:rPr>
        <w:t xml:space="preserve"> </w:t>
      </w:r>
      <w:r w:rsidR="000F00F5">
        <w:rPr>
          <w:rFonts w:asciiTheme="minorHAnsi" w:hAnsiTheme="minorHAnsi" w:cstheme="minorHAnsi"/>
        </w:rPr>
        <w:t>déc</w:t>
      </w:r>
      <w:r w:rsidR="00062ED3">
        <w:rPr>
          <w:rFonts w:asciiTheme="minorHAnsi" w:hAnsiTheme="minorHAnsi" w:cstheme="minorHAnsi"/>
        </w:rPr>
        <w:t>embre 2021</w:t>
      </w:r>
    </w:p>
    <w:p w14:paraId="28A2DA71" w14:textId="743CE794" w:rsidR="00BF70A5" w:rsidRPr="00BF70A5" w:rsidRDefault="00BF70A5" w:rsidP="00BF70A5">
      <w:pPr>
        <w:pStyle w:val="western"/>
        <w:spacing w:after="198"/>
        <w:jc w:val="center"/>
        <w:rPr>
          <w:rFonts w:asciiTheme="minorHAnsi" w:hAnsiTheme="minorHAnsi" w:cstheme="minorHAnsi"/>
          <w:b/>
        </w:rPr>
      </w:pPr>
      <w:r>
        <w:rPr>
          <w:rFonts w:asciiTheme="minorHAnsi" w:hAnsiTheme="minorHAnsi" w:cstheme="minorHAnsi"/>
          <w:b/>
        </w:rPr>
        <w:lastRenderedPageBreak/>
        <w:t>ANNEXE</w:t>
      </w:r>
      <w:r w:rsidRPr="00BF70A5">
        <w:rPr>
          <w:rFonts w:asciiTheme="minorHAnsi" w:hAnsiTheme="minorHAnsi" w:cstheme="minorHAnsi"/>
          <w:b/>
        </w:rPr>
        <w:t xml:space="preserve"> - Synthèse des modifications demandées</w:t>
      </w:r>
    </w:p>
    <w:p w14:paraId="5C9D10E0" w14:textId="77777777" w:rsidR="00BF70A5" w:rsidRPr="00BF70A5" w:rsidRDefault="00BF70A5" w:rsidP="00BF70A5">
      <w:pPr>
        <w:pStyle w:val="western"/>
        <w:spacing w:after="198"/>
        <w:jc w:val="center"/>
        <w:rPr>
          <w:rFonts w:asciiTheme="minorHAnsi" w:hAnsiTheme="minorHAnsi" w:cstheme="minorHAnsi"/>
          <w:b/>
          <w:i/>
        </w:rPr>
      </w:pPr>
    </w:p>
    <w:p w14:paraId="0AA2FA72" w14:textId="77777777" w:rsidR="00BF70A5" w:rsidRPr="00BF70A5" w:rsidRDefault="00BF70A5" w:rsidP="00BF70A5">
      <w:pPr>
        <w:pStyle w:val="western"/>
        <w:spacing w:after="198"/>
        <w:rPr>
          <w:rFonts w:asciiTheme="minorHAnsi" w:hAnsiTheme="minorHAnsi" w:cstheme="minorHAnsi"/>
          <w:u w:val="single"/>
        </w:rPr>
      </w:pPr>
      <w:r w:rsidRPr="00BF70A5">
        <w:rPr>
          <w:rFonts w:asciiTheme="minorHAnsi" w:hAnsiTheme="minorHAnsi" w:cstheme="minorHAnsi"/>
          <w:u w:val="single"/>
        </w:rPr>
        <w:t>Des visas :</w:t>
      </w:r>
    </w:p>
    <w:p w14:paraId="296E8F47" w14:textId="77777777" w:rsidR="00BF70A5" w:rsidRPr="00BF70A5" w:rsidRDefault="00BF70A5" w:rsidP="00BF70A5">
      <w:pPr>
        <w:pStyle w:val="western"/>
        <w:numPr>
          <w:ilvl w:val="0"/>
          <w:numId w:val="1"/>
        </w:numPr>
        <w:spacing w:after="198"/>
        <w:rPr>
          <w:rFonts w:asciiTheme="minorHAnsi" w:hAnsiTheme="minorHAnsi" w:cstheme="minorHAnsi"/>
        </w:rPr>
      </w:pPr>
      <w:r w:rsidRPr="00BF70A5">
        <w:rPr>
          <w:rFonts w:asciiTheme="minorHAnsi" w:hAnsiTheme="minorHAnsi" w:cstheme="minorHAnsi"/>
        </w:rPr>
        <w:t xml:space="preserve">Une contribution interroge la pertinence du visa de la </w:t>
      </w:r>
      <w:r w:rsidRPr="00BF70A5">
        <w:rPr>
          <w:rFonts w:asciiTheme="minorHAnsi" w:hAnsiTheme="minorHAnsi" w:cstheme="minorHAnsi"/>
          <w:i/>
        </w:rPr>
        <w:t>directive (UE) 2015/1535 du Parlement européen et du Conseil du 9 septembre 2015 prévoyant une procédure d’information dans le domaine des normes et réglementations techniques et des règles relatives aux services de la société de l’information, et notamment la notification n°2021/xxx/F</w:t>
      </w:r>
      <w:r w:rsidRPr="00BF70A5">
        <w:rPr>
          <w:rFonts w:asciiTheme="minorHAnsi" w:hAnsiTheme="minorHAnsi" w:cstheme="minorHAnsi"/>
        </w:rPr>
        <w:t>.</w:t>
      </w:r>
    </w:p>
    <w:p w14:paraId="117B628C" w14:textId="77777777" w:rsidR="00BF70A5" w:rsidRPr="00BF70A5" w:rsidRDefault="00BF70A5" w:rsidP="00BF70A5">
      <w:pPr>
        <w:pStyle w:val="western"/>
        <w:spacing w:after="198"/>
        <w:rPr>
          <w:rFonts w:asciiTheme="minorHAnsi" w:hAnsiTheme="minorHAnsi" w:cstheme="minorHAnsi"/>
          <w:u w:val="single"/>
        </w:rPr>
      </w:pPr>
    </w:p>
    <w:p w14:paraId="458060D6" w14:textId="77777777" w:rsidR="00BF70A5" w:rsidRPr="00BF70A5" w:rsidRDefault="00BF70A5" w:rsidP="00BF70A5">
      <w:pPr>
        <w:pStyle w:val="western"/>
        <w:spacing w:after="198"/>
        <w:rPr>
          <w:rFonts w:asciiTheme="minorHAnsi" w:hAnsiTheme="minorHAnsi" w:cstheme="minorHAnsi"/>
          <w:u w:val="single"/>
        </w:rPr>
      </w:pPr>
      <w:r w:rsidRPr="00BF70A5">
        <w:rPr>
          <w:rFonts w:asciiTheme="minorHAnsi" w:hAnsiTheme="minorHAnsi" w:cstheme="minorHAnsi"/>
          <w:u w:val="single"/>
        </w:rPr>
        <w:t xml:space="preserve">De l’énoncé de l’objet de l’arrêté : </w:t>
      </w:r>
    </w:p>
    <w:p w14:paraId="690FD29F" w14:textId="77777777" w:rsidR="00BF70A5" w:rsidRPr="00BF70A5" w:rsidRDefault="00BF70A5" w:rsidP="00BF70A5">
      <w:pPr>
        <w:pStyle w:val="western"/>
        <w:spacing w:after="198"/>
        <w:rPr>
          <w:rFonts w:asciiTheme="minorHAnsi" w:hAnsiTheme="minorHAnsi" w:cstheme="minorHAnsi"/>
        </w:rPr>
      </w:pPr>
      <w:r w:rsidRPr="00BF70A5">
        <w:rPr>
          <w:rFonts w:asciiTheme="minorHAnsi" w:hAnsiTheme="minorHAnsi" w:cstheme="minorHAnsi"/>
        </w:rPr>
        <w:t>Deux contributeurs proposent des modifications :</w:t>
      </w:r>
    </w:p>
    <w:p w14:paraId="1F1018A5" w14:textId="77777777" w:rsidR="00BF70A5" w:rsidRPr="00BF70A5" w:rsidRDefault="00BF70A5" w:rsidP="00BF70A5">
      <w:pPr>
        <w:pStyle w:val="western"/>
        <w:numPr>
          <w:ilvl w:val="0"/>
          <w:numId w:val="1"/>
        </w:numPr>
        <w:spacing w:after="198"/>
        <w:rPr>
          <w:rFonts w:asciiTheme="minorHAnsi" w:hAnsiTheme="minorHAnsi" w:cstheme="minorHAnsi"/>
        </w:rPr>
      </w:pPr>
      <w:r w:rsidRPr="00BF70A5">
        <w:rPr>
          <w:rFonts w:asciiTheme="minorHAnsi" w:hAnsiTheme="minorHAnsi" w:cstheme="minorHAnsi"/>
          <w:u w:val="single"/>
        </w:rPr>
        <w:t>Dans le titre</w:t>
      </w:r>
      <w:r w:rsidRPr="00BF70A5">
        <w:rPr>
          <w:rFonts w:asciiTheme="minorHAnsi" w:hAnsiTheme="minorHAnsi" w:cstheme="minorHAnsi"/>
        </w:rPr>
        <w:t xml:space="preserve"> : « fixant les critères de sortie du statut de déchet pour les aménagements constitués de terres naturelles excavées </w:t>
      </w:r>
      <w:r w:rsidRPr="00BF70A5">
        <w:rPr>
          <w:rFonts w:asciiTheme="minorHAnsi" w:hAnsiTheme="minorHAnsi" w:cstheme="minorHAnsi"/>
          <w:b/>
          <w:bCs/>
        </w:rPr>
        <w:t>et réutilisées</w:t>
      </w:r>
      <w:r w:rsidRPr="00BF70A5">
        <w:rPr>
          <w:rFonts w:asciiTheme="minorHAnsi" w:hAnsiTheme="minorHAnsi" w:cstheme="minorHAnsi"/>
        </w:rPr>
        <w:t xml:space="preserve"> </w:t>
      </w:r>
      <w:r w:rsidRPr="00BF70A5">
        <w:rPr>
          <w:rFonts w:asciiTheme="minorHAnsi" w:hAnsiTheme="minorHAnsi" w:cstheme="minorHAnsi"/>
          <w:b/>
        </w:rPr>
        <w:t xml:space="preserve">dans </w:t>
      </w:r>
      <w:r w:rsidRPr="00BF70A5">
        <w:rPr>
          <w:rFonts w:asciiTheme="minorHAnsi" w:hAnsiTheme="minorHAnsi" w:cstheme="minorHAnsi"/>
          <w:b/>
          <w:bCs/>
        </w:rPr>
        <w:t>le même/au sein d’un même</w:t>
      </w:r>
      <w:r w:rsidRPr="00BF70A5">
        <w:rPr>
          <w:rFonts w:asciiTheme="minorHAnsi" w:hAnsiTheme="minorHAnsi" w:cstheme="minorHAnsi"/>
        </w:rPr>
        <w:t xml:space="preserve"> grand projet d’aménagement ou d’infrastructure. »</w:t>
      </w:r>
    </w:p>
    <w:p w14:paraId="478E4796" w14:textId="77777777" w:rsidR="00BF70A5" w:rsidRPr="00BF70A5" w:rsidRDefault="00BF70A5" w:rsidP="00BF70A5">
      <w:pPr>
        <w:pStyle w:val="western"/>
        <w:spacing w:after="198"/>
        <w:rPr>
          <w:rFonts w:asciiTheme="minorHAnsi" w:hAnsiTheme="minorHAnsi" w:cstheme="minorHAnsi"/>
        </w:rPr>
      </w:pPr>
    </w:p>
    <w:p w14:paraId="385D1092" w14:textId="77777777" w:rsidR="00BF70A5" w:rsidRPr="00BF70A5" w:rsidRDefault="00BF70A5" w:rsidP="00BF70A5">
      <w:pPr>
        <w:pStyle w:val="western"/>
        <w:numPr>
          <w:ilvl w:val="0"/>
          <w:numId w:val="1"/>
        </w:numPr>
        <w:spacing w:after="198"/>
        <w:rPr>
          <w:rFonts w:asciiTheme="minorHAnsi" w:hAnsiTheme="minorHAnsi" w:cstheme="minorHAnsi"/>
        </w:rPr>
      </w:pPr>
      <w:r w:rsidRPr="00BF70A5">
        <w:rPr>
          <w:rFonts w:asciiTheme="minorHAnsi" w:hAnsiTheme="minorHAnsi" w:cstheme="minorHAnsi"/>
          <w:u w:val="single"/>
        </w:rPr>
        <w:t xml:space="preserve">Dans la rubrique </w:t>
      </w:r>
      <w:r w:rsidRPr="00BF70A5">
        <w:rPr>
          <w:rFonts w:asciiTheme="minorHAnsi" w:hAnsiTheme="minorHAnsi" w:cstheme="minorHAnsi"/>
          <w:i/>
          <w:u w:val="single"/>
        </w:rPr>
        <w:t>Objet</w:t>
      </w:r>
      <w:r w:rsidRPr="00BF70A5">
        <w:rPr>
          <w:rFonts w:asciiTheme="minorHAnsi" w:hAnsiTheme="minorHAnsi" w:cstheme="minorHAnsi"/>
        </w:rPr>
        <w:t xml:space="preserve"> : « définition des conditions de sortie du statut de déchet pour les déblais de terres naturelles </w:t>
      </w:r>
      <w:r w:rsidRPr="00BF70A5">
        <w:rPr>
          <w:rFonts w:asciiTheme="minorHAnsi" w:hAnsiTheme="minorHAnsi" w:cstheme="minorHAnsi"/>
          <w:b/>
          <w:bCs/>
        </w:rPr>
        <w:t>issues et gérées/excavées et gérées au sein d’un même</w:t>
      </w:r>
      <w:r w:rsidRPr="00BF70A5">
        <w:rPr>
          <w:rFonts w:asciiTheme="minorHAnsi" w:hAnsiTheme="minorHAnsi" w:cstheme="minorHAnsi"/>
        </w:rPr>
        <w:t xml:space="preserve"> grand projet d’aménagement ou d’infrastructures. »</w:t>
      </w:r>
    </w:p>
    <w:p w14:paraId="65518B07" w14:textId="77777777" w:rsidR="00BF70A5" w:rsidRPr="00BF70A5" w:rsidRDefault="00BF70A5" w:rsidP="00BF70A5">
      <w:pPr>
        <w:pStyle w:val="western"/>
        <w:spacing w:after="198"/>
        <w:rPr>
          <w:rFonts w:asciiTheme="minorHAnsi" w:hAnsiTheme="minorHAnsi" w:cstheme="minorHAnsi"/>
        </w:rPr>
      </w:pPr>
    </w:p>
    <w:p w14:paraId="044F6B28" w14:textId="77777777" w:rsidR="00BF70A5" w:rsidRPr="00BF70A5" w:rsidRDefault="00BF70A5" w:rsidP="00BF70A5">
      <w:pPr>
        <w:pStyle w:val="western"/>
        <w:numPr>
          <w:ilvl w:val="0"/>
          <w:numId w:val="1"/>
        </w:numPr>
        <w:spacing w:after="198"/>
        <w:rPr>
          <w:rFonts w:asciiTheme="minorHAnsi" w:hAnsiTheme="minorHAnsi" w:cstheme="minorHAnsi"/>
        </w:rPr>
      </w:pPr>
      <w:r w:rsidRPr="00BF70A5">
        <w:rPr>
          <w:rFonts w:asciiTheme="minorHAnsi" w:hAnsiTheme="minorHAnsi" w:cstheme="minorHAnsi"/>
        </w:rPr>
        <w:t xml:space="preserve"> </w:t>
      </w:r>
      <w:r w:rsidRPr="00BF70A5">
        <w:rPr>
          <w:rFonts w:asciiTheme="minorHAnsi" w:hAnsiTheme="minorHAnsi" w:cstheme="minorHAnsi"/>
          <w:u w:val="single"/>
        </w:rPr>
        <w:t xml:space="preserve">Dans la rubrique </w:t>
      </w:r>
      <w:r w:rsidRPr="00BF70A5">
        <w:rPr>
          <w:rFonts w:asciiTheme="minorHAnsi" w:hAnsiTheme="minorHAnsi" w:cstheme="minorHAnsi"/>
          <w:i/>
          <w:u w:val="single"/>
        </w:rPr>
        <w:t>Notice</w:t>
      </w:r>
      <w:r w:rsidRPr="00BF70A5">
        <w:rPr>
          <w:rFonts w:asciiTheme="minorHAnsi" w:hAnsiTheme="minorHAnsi" w:cstheme="minorHAnsi"/>
        </w:rPr>
        <w:t xml:space="preserve"> : « le présent arrêté fixe les critères dont le respect permet de faire sortir du statut de déchet des déblais de terres naturelles </w:t>
      </w:r>
      <w:r w:rsidRPr="00BF70A5">
        <w:rPr>
          <w:rFonts w:asciiTheme="minorHAnsi" w:hAnsiTheme="minorHAnsi" w:cstheme="minorHAnsi"/>
          <w:b/>
        </w:rPr>
        <w:t>excavées puis réutilisées</w:t>
      </w:r>
      <w:r w:rsidRPr="00BF70A5">
        <w:rPr>
          <w:rFonts w:asciiTheme="minorHAnsi" w:hAnsiTheme="minorHAnsi" w:cstheme="minorHAnsi"/>
        </w:rPr>
        <w:t xml:space="preserve"> / </w:t>
      </w:r>
      <w:r w:rsidRPr="00BF70A5">
        <w:rPr>
          <w:rFonts w:asciiTheme="minorHAnsi" w:hAnsiTheme="minorHAnsi" w:cstheme="minorHAnsi"/>
          <w:b/>
          <w:bCs/>
        </w:rPr>
        <w:t>issues puis</w:t>
      </w:r>
      <w:r w:rsidRPr="00BF70A5">
        <w:rPr>
          <w:rFonts w:asciiTheme="minorHAnsi" w:hAnsiTheme="minorHAnsi" w:cstheme="minorHAnsi"/>
        </w:rPr>
        <w:t xml:space="preserve"> utilisées au sein d’un </w:t>
      </w:r>
      <w:r w:rsidRPr="00BF70A5">
        <w:rPr>
          <w:rFonts w:asciiTheme="minorHAnsi" w:hAnsiTheme="minorHAnsi" w:cstheme="minorHAnsi"/>
          <w:b/>
          <w:bCs/>
        </w:rPr>
        <w:t xml:space="preserve">même </w:t>
      </w:r>
      <w:r w:rsidRPr="00BF70A5">
        <w:rPr>
          <w:rFonts w:asciiTheme="minorHAnsi" w:hAnsiTheme="minorHAnsi" w:cstheme="minorHAnsi"/>
        </w:rPr>
        <w:t>grand projet d’aménagement ou d’infrastructures, en s’appuyant sur des opérations de contrôle. »</w:t>
      </w:r>
    </w:p>
    <w:p w14:paraId="75CE8850" w14:textId="77777777" w:rsidR="00BF70A5" w:rsidRPr="00BF70A5" w:rsidRDefault="00BF70A5" w:rsidP="00BF70A5">
      <w:pPr>
        <w:pStyle w:val="western"/>
        <w:spacing w:after="198"/>
        <w:rPr>
          <w:rFonts w:asciiTheme="minorHAnsi" w:hAnsiTheme="minorHAnsi" w:cstheme="minorHAnsi"/>
        </w:rPr>
      </w:pPr>
    </w:p>
    <w:p w14:paraId="0F505A67" w14:textId="77777777" w:rsidR="00BF70A5" w:rsidRPr="00BF70A5" w:rsidRDefault="00BF70A5" w:rsidP="00BF70A5">
      <w:pPr>
        <w:pStyle w:val="western"/>
        <w:numPr>
          <w:ilvl w:val="0"/>
          <w:numId w:val="1"/>
        </w:numPr>
        <w:spacing w:after="198"/>
        <w:rPr>
          <w:rFonts w:asciiTheme="minorHAnsi" w:hAnsiTheme="minorHAnsi" w:cstheme="minorHAnsi"/>
        </w:rPr>
      </w:pPr>
      <w:r w:rsidRPr="00BF70A5">
        <w:rPr>
          <w:rFonts w:asciiTheme="minorHAnsi" w:hAnsiTheme="minorHAnsi" w:cstheme="minorHAnsi"/>
          <w:u w:val="single"/>
        </w:rPr>
        <w:t>Dans l’annexe II</w:t>
      </w:r>
      <w:r w:rsidRPr="00BF70A5">
        <w:rPr>
          <w:rFonts w:asciiTheme="minorHAnsi" w:hAnsiTheme="minorHAnsi" w:cstheme="minorHAnsi"/>
        </w:rPr>
        <w:t xml:space="preserve"> : Il est proposé de compléter « terres naturelles excavées » par « terres naturelles excavées </w:t>
      </w:r>
      <w:r w:rsidRPr="00BF70A5">
        <w:rPr>
          <w:rFonts w:asciiTheme="minorHAnsi" w:hAnsiTheme="minorHAnsi" w:cstheme="minorHAnsi"/>
          <w:b/>
        </w:rPr>
        <w:t xml:space="preserve">et </w:t>
      </w:r>
      <w:r w:rsidRPr="00BF70A5">
        <w:rPr>
          <w:rFonts w:asciiTheme="minorHAnsi" w:hAnsiTheme="minorHAnsi" w:cstheme="minorHAnsi"/>
          <w:b/>
          <w:bCs/>
        </w:rPr>
        <w:t>gérées</w:t>
      </w:r>
      <w:r w:rsidRPr="00BF70A5">
        <w:rPr>
          <w:rFonts w:asciiTheme="minorHAnsi" w:hAnsiTheme="minorHAnsi" w:cstheme="minorHAnsi"/>
        </w:rPr>
        <w:t xml:space="preserve"> ... ».</w:t>
      </w:r>
    </w:p>
    <w:p w14:paraId="18A8E648" w14:textId="77777777" w:rsidR="00BF70A5" w:rsidRPr="00BF70A5" w:rsidRDefault="00BF70A5" w:rsidP="00BF70A5">
      <w:pPr>
        <w:pStyle w:val="western"/>
        <w:spacing w:after="198"/>
        <w:rPr>
          <w:rFonts w:asciiTheme="minorHAnsi" w:hAnsiTheme="minorHAnsi" w:cstheme="minorHAnsi"/>
        </w:rPr>
      </w:pPr>
    </w:p>
    <w:p w14:paraId="229708DD" w14:textId="0F6A0B02" w:rsidR="00BF70A5" w:rsidRPr="00BF70A5" w:rsidRDefault="00BF70A5" w:rsidP="00BF70A5">
      <w:pPr>
        <w:pStyle w:val="western"/>
        <w:numPr>
          <w:ilvl w:val="0"/>
          <w:numId w:val="2"/>
        </w:numPr>
        <w:spacing w:after="198"/>
        <w:rPr>
          <w:rFonts w:asciiTheme="minorHAnsi" w:hAnsiTheme="minorHAnsi" w:cstheme="minorHAnsi"/>
        </w:rPr>
      </w:pPr>
      <w:r w:rsidRPr="00BF70A5">
        <w:rPr>
          <w:rFonts w:asciiTheme="minorHAnsi" w:hAnsiTheme="minorHAnsi" w:cstheme="minorHAnsi"/>
        </w:rPr>
        <w:t>La formule « </w:t>
      </w:r>
      <w:r w:rsidR="008F43D0">
        <w:rPr>
          <w:rFonts w:asciiTheme="minorHAnsi" w:hAnsiTheme="minorHAnsi" w:cstheme="minorHAnsi"/>
        </w:rPr>
        <w:t>excavées et gérées au sein d’un grand projet…</w:t>
      </w:r>
      <w:r w:rsidRPr="00BF70A5">
        <w:rPr>
          <w:rFonts w:asciiTheme="minorHAnsi" w:hAnsiTheme="minorHAnsi" w:cstheme="minorHAnsi"/>
        </w:rPr>
        <w:t xml:space="preserve"> » est ajoutée aux emplacements requis de l’arrêté et de ses annexes. </w:t>
      </w:r>
    </w:p>
    <w:p w14:paraId="173BBC50" w14:textId="77777777" w:rsidR="00BF70A5" w:rsidRPr="00BF70A5" w:rsidRDefault="00BF70A5" w:rsidP="00BF70A5">
      <w:pPr>
        <w:pStyle w:val="western"/>
        <w:numPr>
          <w:ilvl w:val="0"/>
          <w:numId w:val="2"/>
        </w:numPr>
        <w:spacing w:after="198"/>
        <w:rPr>
          <w:rFonts w:asciiTheme="minorHAnsi" w:hAnsiTheme="minorHAnsi" w:cstheme="minorHAnsi"/>
        </w:rPr>
      </w:pPr>
      <w:r w:rsidRPr="00BF70A5">
        <w:rPr>
          <w:rFonts w:asciiTheme="minorHAnsi" w:hAnsiTheme="minorHAnsi" w:cstheme="minorHAnsi"/>
        </w:rPr>
        <w:t xml:space="preserve">Le mot « utilisées » est remplacé dans la notice par le mot « gérées ». </w:t>
      </w:r>
    </w:p>
    <w:p w14:paraId="69B3FB1D" w14:textId="77777777" w:rsidR="00BF70A5" w:rsidRPr="00BF70A5" w:rsidRDefault="00BF70A5" w:rsidP="00BF70A5">
      <w:pPr>
        <w:pStyle w:val="western"/>
        <w:spacing w:after="198"/>
        <w:rPr>
          <w:rFonts w:asciiTheme="minorHAnsi" w:hAnsiTheme="minorHAnsi" w:cstheme="minorHAnsi"/>
          <w:u w:val="single"/>
        </w:rPr>
      </w:pPr>
    </w:p>
    <w:p w14:paraId="38B56E43" w14:textId="77777777" w:rsidR="00BF70A5" w:rsidRPr="00BF70A5" w:rsidRDefault="00BF70A5" w:rsidP="00BF70A5">
      <w:pPr>
        <w:pStyle w:val="western"/>
        <w:spacing w:after="198"/>
        <w:rPr>
          <w:rFonts w:asciiTheme="minorHAnsi" w:hAnsiTheme="minorHAnsi" w:cstheme="minorHAnsi"/>
          <w:u w:val="single"/>
        </w:rPr>
      </w:pPr>
      <w:r w:rsidRPr="00BF70A5">
        <w:rPr>
          <w:rFonts w:asciiTheme="minorHAnsi" w:hAnsiTheme="minorHAnsi" w:cstheme="minorHAnsi"/>
          <w:u w:val="single"/>
        </w:rPr>
        <w:lastRenderedPageBreak/>
        <w:t xml:space="preserve">De l’article 1 : </w:t>
      </w:r>
    </w:p>
    <w:p w14:paraId="2353DB4E" w14:textId="77777777" w:rsidR="00BF70A5" w:rsidRPr="00BF70A5" w:rsidRDefault="00BF70A5" w:rsidP="00BF70A5">
      <w:pPr>
        <w:pStyle w:val="western"/>
        <w:numPr>
          <w:ilvl w:val="0"/>
          <w:numId w:val="1"/>
        </w:numPr>
        <w:spacing w:after="198"/>
        <w:rPr>
          <w:rFonts w:asciiTheme="minorHAnsi" w:hAnsiTheme="minorHAnsi" w:cstheme="minorHAnsi"/>
        </w:rPr>
      </w:pPr>
      <w:r w:rsidRPr="00BF70A5">
        <w:rPr>
          <w:rFonts w:asciiTheme="minorHAnsi" w:hAnsiTheme="minorHAnsi" w:cstheme="minorHAnsi"/>
        </w:rPr>
        <w:t xml:space="preserve">Trois contributions demandent de clarifier la définition de « site ». </w:t>
      </w:r>
    </w:p>
    <w:p w14:paraId="63110671" w14:textId="77777777" w:rsidR="00BF70A5" w:rsidRPr="00BF70A5" w:rsidRDefault="00BF70A5" w:rsidP="00BF70A5">
      <w:pPr>
        <w:pStyle w:val="western"/>
        <w:numPr>
          <w:ilvl w:val="0"/>
          <w:numId w:val="1"/>
        </w:numPr>
        <w:spacing w:after="198"/>
        <w:rPr>
          <w:rFonts w:asciiTheme="minorHAnsi" w:hAnsiTheme="minorHAnsi" w:cstheme="minorHAnsi"/>
        </w:rPr>
      </w:pPr>
      <w:r w:rsidRPr="00BF70A5">
        <w:rPr>
          <w:rFonts w:asciiTheme="minorHAnsi" w:hAnsiTheme="minorHAnsi" w:cstheme="minorHAnsi"/>
        </w:rPr>
        <w:t>Deux contributions demandent d’actualiser la référence à l’article L. 11-2 du code de l’expropriation pour cause d’utilité publique.</w:t>
      </w:r>
    </w:p>
    <w:p w14:paraId="1F31055A" w14:textId="77777777" w:rsidR="00BF70A5" w:rsidRPr="00BF70A5" w:rsidRDefault="00BF70A5" w:rsidP="00BF70A5">
      <w:pPr>
        <w:pStyle w:val="western"/>
        <w:numPr>
          <w:ilvl w:val="0"/>
          <w:numId w:val="1"/>
        </w:numPr>
        <w:spacing w:after="198"/>
        <w:rPr>
          <w:rFonts w:asciiTheme="minorHAnsi" w:hAnsiTheme="minorHAnsi" w:cstheme="minorHAnsi"/>
        </w:rPr>
      </w:pPr>
      <w:r w:rsidRPr="00BF70A5">
        <w:rPr>
          <w:rFonts w:asciiTheme="minorHAnsi" w:hAnsiTheme="minorHAnsi" w:cstheme="minorHAnsi"/>
        </w:rPr>
        <w:t>Trois contributions proposent de modifier dans l’article 1 et la section 1 de l’annexe 1 </w:t>
      </w:r>
      <w:proofErr w:type="gramStart"/>
      <w:r w:rsidRPr="00BF70A5">
        <w:rPr>
          <w:rFonts w:asciiTheme="minorHAnsi" w:hAnsiTheme="minorHAnsi" w:cstheme="minorHAnsi"/>
        </w:rPr>
        <w:t>:  «</w:t>
      </w:r>
      <w:proofErr w:type="gramEnd"/>
      <w:r w:rsidRPr="00BF70A5">
        <w:rPr>
          <w:rFonts w:asciiTheme="minorHAnsi" w:hAnsiTheme="minorHAnsi" w:cstheme="minorHAnsi"/>
        </w:rPr>
        <w:t xml:space="preserve"> Déblais de terres naturelles : terres excédentaires issues du grand projet d’aménagement ou </w:t>
      </w:r>
      <w:r w:rsidRPr="00BF70A5">
        <w:rPr>
          <w:rFonts w:asciiTheme="minorHAnsi" w:hAnsiTheme="minorHAnsi" w:cstheme="minorHAnsi"/>
          <w:b/>
        </w:rPr>
        <w:t xml:space="preserve">d’infrastructure et ne relevant/ne </w:t>
      </w:r>
      <w:r w:rsidRPr="00BF70A5">
        <w:rPr>
          <w:rFonts w:asciiTheme="minorHAnsi" w:hAnsiTheme="minorHAnsi" w:cstheme="minorHAnsi"/>
          <w:b/>
          <w:bCs/>
        </w:rPr>
        <w:t>relèvent pas de la méthodologie de gestion des</w:t>
      </w:r>
      <w:r w:rsidRPr="00BF70A5">
        <w:rPr>
          <w:rFonts w:asciiTheme="minorHAnsi" w:hAnsiTheme="minorHAnsi" w:cstheme="minorHAnsi"/>
          <w:b/>
        </w:rPr>
        <w:t xml:space="preserve"> sites et sols pollués.</w:t>
      </w:r>
      <w:r w:rsidRPr="00BF70A5">
        <w:rPr>
          <w:rFonts w:asciiTheme="minorHAnsi" w:hAnsiTheme="minorHAnsi" w:cstheme="minorHAnsi"/>
        </w:rPr>
        <w:t> »</w:t>
      </w:r>
    </w:p>
    <w:p w14:paraId="44BE8ECA" w14:textId="035CBE8C" w:rsidR="00BF70A5" w:rsidRPr="00E857BC" w:rsidRDefault="00BF70A5" w:rsidP="00BF70A5">
      <w:pPr>
        <w:pStyle w:val="western"/>
        <w:numPr>
          <w:ilvl w:val="0"/>
          <w:numId w:val="1"/>
        </w:numPr>
        <w:spacing w:after="198"/>
        <w:rPr>
          <w:rFonts w:asciiTheme="minorHAnsi" w:hAnsiTheme="minorHAnsi" w:cstheme="minorHAnsi"/>
        </w:rPr>
      </w:pPr>
      <w:r w:rsidRPr="00BF70A5">
        <w:rPr>
          <w:rFonts w:asciiTheme="minorHAnsi" w:hAnsiTheme="minorHAnsi" w:cstheme="minorHAnsi"/>
        </w:rPr>
        <w:t>Une contribution propose de retirer de la définition du personnel compétent la mention d’une formation en matière de gestion des sites et sols pollués dans la mesure où ils sont exclus du périmètre de l’arrêté.</w:t>
      </w:r>
    </w:p>
    <w:p w14:paraId="5D78A530" w14:textId="77777777" w:rsidR="00BF70A5" w:rsidRPr="00BF70A5" w:rsidRDefault="00BF70A5" w:rsidP="00BF70A5">
      <w:pPr>
        <w:pStyle w:val="western"/>
        <w:numPr>
          <w:ilvl w:val="0"/>
          <w:numId w:val="2"/>
        </w:numPr>
        <w:spacing w:after="198"/>
        <w:rPr>
          <w:rFonts w:asciiTheme="minorHAnsi" w:hAnsiTheme="minorHAnsi" w:cstheme="minorHAnsi"/>
        </w:rPr>
      </w:pPr>
      <w:r w:rsidRPr="00BF70A5">
        <w:rPr>
          <w:rFonts w:asciiTheme="minorHAnsi" w:hAnsiTheme="minorHAnsi" w:cstheme="minorHAnsi"/>
        </w:rPr>
        <w:t>La référence à l’article L. 11-2 du code de l’expropriation pour cause d’utilité publique est remplacée par : « dans les conditions prévues par le titre II du livre Ier du code de l’expropriation pour cause d’utilité publique ».</w:t>
      </w:r>
    </w:p>
    <w:p w14:paraId="7865F90D" w14:textId="77777777" w:rsidR="00BF70A5" w:rsidRPr="00BF70A5" w:rsidRDefault="00BF70A5" w:rsidP="00BF70A5">
      <w:pPr>
        <w:pStyle w:val="western"/>
        <w:spacing w:after="198"/>
        <w:rPr>
          <w:rFonts w:asciiTheme="minorHAnsi" w:hAnsiTheme="minorHAnsi" w:cstheme="minorHAnsi"/>
          <w:b/>
        </w:rPr>
      </w:pPr>
    </w:p>
    <w:p w14:paraId="7B106706" w14:textId="77777777" w:rsidR="00BF70A5" w:rsidRPr="00BF70A5" w:rsidRDefault="00BF70A5" w:rsidP="00BF70A5">
      <w:pPr>
        <w:pStyle w:val="western"/>
        <w:spacing w:after="198"/>
        <w:rPr>
          <w:rFonts w:asciiTheme="minorHAnsi" w:hAnsiTheme="minorHAnsi" w:cstheme="minorHAnsi"/>
          <w:u w:val="single"/>
        </w:rPr>
      </w:pPr>
      <w:r w:rsidRPr="00BF70A5">
        <w:rPr>
          <w:rFonts w:asciiTheme="minorHAnsi" w:hAnsiTheme="minorHAnsi" w:cstheme="minorHAnsi"/>
          <w:u w:val="single"/>
        </w:rPr>
        <w:t xml:space="preserve">De l’annexe 1, Section 1 : </w:t>
      </w:r>
    </w:p>
    <w:p w14:paraId="3F4D4266" w14:textId="77777777" w:rsidR="00BF70A5" w:rsidRPr="00BF70A5" w:rsidRDefault="00BF70A5" w:rsidP="00BF70A5">
      <w:pPr>
        <w:pStyle w:val="western"/>
        <w:numPr>
          <w:ilvl w:val="0"/>
          <w:numId w:val="1"/>
        </w:numPr>
        <w:spacing w:after="198"/>
        <w:rPr>
          <w:rFonts w:asciiTheme="minorHAnsi" w:hAnsiTheme="minorHAnsi" w:cstheme="minorHAnsi"/>
        </w:rPr>
      </w:pPr>
      <w:r w:rsidRPr="00BF70A5">
        <w:rPr>
          <w:rFonts w:asciiTheme="minorHAnsi" w:hAnsiTheme="minorHAnsi" w:cstheme="minorHAnsi"/>
        </w:rPr>
        <w:t>Deux contributions interrogent la pertinence, dans le troisième paragraphe, des critères d’admission en installation de stockage de déchets inertes pour apprécier la qualité des déblais de terres naturelles.</w:t>
      </w:r>
    </w:p>
    <w:p w14:paraId="11F90837" w14:textId="77777777" w:rsidR="00BF70A5" w:rsidRPr="00BF70A5" w:rsidRDefault="00BF70A5" w:rsidP="00BF70A5">
      <w:pPr>
        <w:pStyle w:val="western"/>
        <w:numPr>
          <w:ilvl w:val="0"/>
          <w:numId w:val="1"/>
        </w:numPr>
        <w:spacing w:after="198"/>
        <w:rPr>
          <w:rFonts w:asciiTheme="minorHAnsi" w:hAnsiTheme="minorHAnsi" w:cstheme="minorHAnsi"/>
        </w:rPr>
      </w:pPr>
      <w:r w:rsidRPr="00BF70A5">
        <w:rPr>
          <w:rFonts w:asciiTheme="minorHAnsi" w:hAnsiTheme="minorHAnsi" w:cstheme="minorHAnsi"/>
        </w:rPr>
        <w:t xml:space="preserve">Trois contributions demandent d’inclure dans le troisième paragraphe une disposition relative à la réalisation systématique d’une procédure d’acceptation préalable, prévue dans l’article 3 de l’arrêté du 12 décembre 2014 visé. </w:t>
      </w:r>
    </w:p>
    <w:p w14:paraId="19BCF28F" w14:textId="77777777" w:rsidR="00BF70A5" w:rsidRPr="00BF70A5" w:rsidRDefault="00BF70A5" w:rsidP="00BF70A5">
      <w:pPr>
        <w:pStyle w:val="western"/>
        <w:numPr>
          <w:ilvl w:val="0"/>
          <w:numId w:val="1"/>
        </w:numPr>
        <w:spacing w:after="198"/>
        <w:rPr>
          <w:rFonts w:asciiTheme="minorHAnsi" w:hAnsiTheme="minorHAnsi" w:cstheme="minorHAnsi"/>
        </w:rPr>
      </w:pPr>
      <w:r w:rsidRPr="00BF70A5">
        <w:rPr>
          <w:rFonts w:asciiTheme="minorHAnsi" w:hAnsiTheme="minorHAnsi" w:cstheme="minorHAnsi"/>
        </w:rPr>
        <w:t xml:space="preserve">Un contributeur propose cet ajout : « Les déblais de terres naturelles répondent aux critères d’admission en installations de stockage de déchets inertes définis par l’annexe II de l’arrêté du 12 décembre 2014 (…) </w:t>
      </w:r>
      <w:r w:rsidRPr="00BF70A5">
        <w:rPr>
          <w:rFonts w:asciiTheme="minorHAnsi" w:hAnsiTheme="minorHAnsi" w:cstheme="minorHAnsi"/>
          <w:b/>
          <w:bCs/>
        </w:rPr>
        <w:t>Selon les caractéristiques du lieu de dépôt, des analyses complémentaires peuvent être exigibles, notamment les teneurs en métaux sur brut »</w:t>
      </w:r>
      <w:r w:rsidRPr="00BF70A5">
        <w:rPr>
          <w:rFonts w:asciiTheme="minorHAnsi" w:hAnsiTheme="minorHAnsi" w:cstheme="minorHAnsi"/>
        </w:rPr>
        <w:t>.</w:t>
      </w:r>
    </w:p>
    <w:p w14:paraId="00B223DB" w14:textId="77777777" w:rsidR="00BF70A5" w:rsidRPr="00BF70A5" w:rsidRDefault="00BF70A5" w:rsidP="00BF70A5">
      <w:pPr>
        <w:pStyle w:val="western"/>
        <w:numPr>
          <w:ilvl w:val="0"/>
          <w:numId w:val="1"/>
        </w:numPr>
        <w:spacing w:after="198"/>
        <w:rPr>
          <w:rFonts w:asciiTheme="minorHAnsi" w:hAnsiTheme="minorHAnsi" w:cstheme="minorHAnsi"/>
        </w:rPr>
      </w:pPr>
      <w:r w:rsidRPr="00BF70A5">
        <w:rPr>
          <w:rFonts w:asciiTheme="minorHAnsi" w:hAnsiTheme="minorHAnsi" w:cstheme="minorHAnsi"/>
        </w:rPr>
        <w:t xml:space="preserve">Une contribution propose de déplacer la </w:t>
      </w:r>
      <w:r w:rsidRPr="00BF70A5">
        <w:rPr>
          <w:rFonts w:asciiTheme="minorHAnsi" w:hAnsiTheme="minorHAnsi" w:cstheme="minorHAnsi"/>
          <w:iCs/>
        </w:rPr>
        <w:t>phrase « Le personnel compétent réalise les études, contrôles et analyses nécessaires pour vérifier la conformité à ces critères »</w:t>
      </w:r>
      <w:r w:rsidRPr="00BF70A5">
        <w:rPr>
          <w:rFonts w:asciiTheme="minorHAnsi" w:hAnsiTheme="minorHAnsi" w:cstheme="minorHAnsi"/>
        </w:rPr>
        <w:t xml:space="preserve"> en fin de section.</w:t>
      </w:r>
      <w:r w:rsidRPr="00BF70A5">
        <w:rPr>
          <w:rFonts w:asciiTheme="minorHAnsi" w:hAnsiTheme="minorHAnsi" w:cstheme="minorHAnsi"/>
        </w:rPr>
        <w:br/>
      </w:r>
    </w:p>
    <w:p w14:paraId="4D163C1C" w14:textId="77777777" w:rsidR="00BF70A5" w:rsidRPr="00BF70A5" w:rsidRDefault="00BF70A5" w:rsidP="00BF70A5">
      <w:pPr>
        <w:pStyle w:val="western"/>
        <w:spacing w:after="198"/>
        <w:rPr>
          <w:rFonts w:asciiTheme="minorHAnsi" w:hAnsiTheme="minorHAnsi" w:cstheme="minorHAnsi"/>
          <w:u w:val="single"/>
        </w:rPr>
      </w:pPr>
      <w:r w:rsidRPr="00BF70A5">
        <w:rPr>
          <w:rFonts w:asciiTheme="minorHAnsi" w:hAnsiTheme="minorHAnsi" w:cstheme="minorHAnsi"/>
          <w:bCs/>
          <w:u w:val="single"/>
        </w:rPr>
        <w:t>Annexe I, Section 2 :</w:t>
      </w:r>
    </w:p>
    <w:p w14:paraId="690CD6D0" w14:textId="77777777" w:rsidR="00BF70A5" w:rsidRPr="00BF70A5" w:rsidRDefault="00BF70A5" w:rsidP="00BF70A5">
      <w:pPr>
        <w:pStyle w:val="western"/>
        <w:numPr>
          <w:ilvl w:val="0"/>
          <w:numId w:val="1"/>
        </w:numPr>
        <w:spacing w:after="198"/>
        <w:rPr>
          <w:rFonts w:asciiTheme="minorHAnsi" w:hAnsiTheme="minorHAnsi" w:cstheme="minorHAnsi"/>
        </w:rPr>
      </w:pPr>
      <w:r w:rsidRPr="00BF70A5">
        <w:rPr>
          <w:rFonts w:asciiTheme="minorHAnsi" w:hAnsiTheme="minorHAnsi" w:cstheme="minorHAnsi"/>
        </w:rPr>
        <w:t xml:space="preserve">Trois contributeurs proposent de </w:t>
      </w:r>
      <w:r w:rsidRPr="00BF70A5">
        <w:rPr>
          <w:rFonts w:asciiTheme="minorHAnsi" w:hAnsiTheme="minorHAnsi" w:cstheme="minorHAnsi"/>
          <w:bCs/>
        </w:rPr>
        <w:t>retirer l’indication</w:t>
      </w:r>
      <w:r w:rsidRPr="00BF70A5">
        <w:rPr>
          <w:rFonts w:asciiTheme="minorHAnsi" w:hAnsiTheme="minorHAnsi" w:cstheme="minorHAnsi"/>
          <w:b/>
          <w:bCs/>
        </w:rPr>
        <w:t xml:space="preserve"> « sur le plan technique ». </w:t>
      </w:r>
    </w:p>
    <w:p w14:paraId="2C99CA4C" w14:textId="77777777" w:rsidR="00BF70A5" w:rsidRPr="00BF70A5" w:rsidRDefault="00BF70A5" w:rsidP="00BF70A5">
      <w:pPr>
        <w:pStyle w:val="western"/>
        <w:numPr>
          <w:ilvl w:val="0"/>
          <w:numId w:val="2"/>
        </w:numPr>
        <w:spacing w:after="198"/>
        <w:rPr>
          <w:rFonts w:asciiTheme="minorHAnsi" w:hAnsiTheme="minorHAnsi" w:cstheme="minorHAnsi"/>
        </w:rPr>
      </w:pPr>
      <w:r w:rsidRPr="00BF70A5">
        <w:rPr>
          <w:rFonts w:asciiTheme="minorHAnsi" w:hAnsiTheme="minorHAnsi" w:cstheme="minorHAnsi"/>
        </w:rPr>
        <w:t>Cette mention est conservée par distinction notamment au plan sanitaire.</w:t>
      </w:r>
    </w:p>
    <w:p w14:paraId="22F28C32" w14:textId="77777777" w:rsidR="00BF70A5" w:rsidRPr="00BF70A5" w:rsidRDefault="00BF70A5" w:rsidP="00BF70A5">
      <w:pPr>
        <w:pStyle w:val="western"/>
        <w:spacing w:after="198"/>
        <w:rPr>
          <w:rFonts w:asciiTheme="minorHAnsi" w:hAnsiTheme="minorHAnsi" w:cstheme="minorHAnsi"/>
          <w:b/>
          <w:bCs/>
        </w:rPr>
      </w:pPr>
    </w:p>
    <w:p w14:paraId="4DF911AF" w14:textId="77777777" w:rsidR="00BF70A5" w:rsidRPr="00BF70A5" w:rsidRDefault="00BF70A5" w:rsidP="00BF70A5">
      <w:pPr>
        <w:pStyle w:val="western"/>
        <w:spacing w:after="198"/>
        <w:rPr>
          <w:rFonts w:asciiTheme="minorHAnsi" w:hAnsiTheme="minorHAnsi" w:cstheme="minorHAnsi"/>
          <w:bCs/>
          <w:u w:val="single"/>
        </w:rPr>
      </w:pPr>
      <w:r w:rsidRPr="00BF70A5">
        <w:rPr>
          <w:rFonts w:asciiTheme="minorHAnsi" w:hAnsiTheme="minorHAnsi" w:cstheme="minorHAnsi"/>
          <w:bCs/>
          <w:u w:val="single"/>
        </w:rPr>
        <w:lastRenderedPageBreak/>
        <w:t>Annexe I, Section 3 :</w:t>
      </w:r>
    </w:p>
    <w:p w14:paraId="67285744" w14:textId="77777777" w:rsidR="00BF70A5" w:rsidRPr="00BF70A5" w:rsidRDefault="00BF70A5" w:rsidP="00BF70A5">
      <w:pPr>
        <w:pStyle w:val="western"/>
        <w:numPr>
          <w:ilvl w:val="0"/>
          <w:numId w:val="1"/>
        </w:numPr>
        <w:spacing w:after="198"/>
        <w:rPr>
          <w:rFonts w:asciiTheme="minorHAnsi" w:hAnsiTheme="minorHAnsi" w:cstheme="minorHAnsi"/>
        </w:rPr>
      </w:pPr>
      <w:r w:rsidRPr="00BF70A5">
        <w:rPr>
          <w:rFonts w:asciiTheme="minorHAnsi" w:hAnsiTheme="minorHAnsi" w:cstheme="minorHAnsi"/>
        </w:rPr>
        <w:t xml:space="preserve">Plusieurs contributeurs invitent à remplacer le visa et la mention, dans la section 3 de l’annexe I, de </w:t>
      </w:r>
      <w:r w:rsidRPr="00BF70A5">
        <w:rPr>
          <w:rFonts w:asciiTheme="minorHAnsi" w:hAnsiTheme="minorHAnsi" w:cstheme="minorHAnsi"/>
          <w:i/>
        </w:rPr>
        <w:t xml:space="preserve">l’arrêté du 29 février 2012 </w:t>
      </w:r>
      <w:r w:rsidRPr="00BF70A5">
        <w:rPr>
          <w:rFonts w:asciiTheme="minorHAnsi" w:hAnsiTheme="minorHAnsi" w:cstheme="minorHAnsi"/>
          <w:i/>
          <w:iCs/>
        </w:rPr>
        <w:t>fixant le contenu des registres mentionnés aux articles R. 541-43 et R. 541-46 du code de l’environnement</w:t>
      </w:r>
      <w:r w:rsidRPr="00BF70A5">
        <w:rPr>
          <w:rFonts w:asciiTheme="minorHAnsi" w:hAnsiTheme="minorHAnsi" w:cstheme="minorHAnsi"/>
        </w:rPr>
        <w:t xml:space="preserve"> (abrogé au 1er janvier 2022) par </w:t>
      </w:r>
      <w:r w:rsidRPr="00BF70A5">
        <w:rPr>
          <w:rFonts w:asciiTheme="minorHAnsi" w:hAnsiTheme="minorHAnsi" w:cstheme="minorHAnsi"/>
          <w:b/>
          <w:i/>
        </w:rPr>
        <w:t xml:space="preserve">l’arrêté du 31 mai 2021 </w:t>
      </w:r>
      <w:r w:rsidRPr="00BF70A5">
        <w:rPr>
          <w:rFonts w:asciiTheme="minorHAnsi" w:hAnsiTheme="minorHAnsi" w:cstheme="minorHAnsi"/>
          <w:b/>
          <w:i/>
          <w:iCs/>
        </w:rPr>
        <w:t>fixant le contenu des registres déchets, terres excavées et sédiments mentionnés aux articles R. 541-43 et R. 541-43-1 du code de l’environnement</w:t>
      </w:r>
      <w:r w:rsidRPr="00BF70A5">
        <w:rPr>
          <w:rFonts w:asciiTheme="minorHAnsi" w:hAnsiTheme="minorHAnsi" w:cstheme="minorHAnsi"/>
        </w:rPr>
        <w:t xml:space="preserve">). </w:t>
      </w:r>
    </w:p>
    <w:p w14:paraId="11A8ACBD" w14:textId="3EE98E42" w:rsidR="00BF70A5" w:rsidRPr="00BF70A5" w:rsidRDefault="00BF70A5" w:rsidP="00BF70A5">
      <w:pPr>
        <w:pStyle w:val="western"/>
        <w:numPr>
          <w:ilvl w:val="0"/>
          <w:numId w:val="1"/>
        </w:numPr>
        <w:spacing w:after="198"/>
        <w:rPr>
          <w:rFonts w:asciiTheme="minorHAnsi" w:hAnsiTheme="minorHAnsi" w:cstheme="minorHAnsi"/>
        </w:rPr>
      </w:pPr>
      <w:r w:rsidRPr="00BF70A5">
        <w:rPr>
          <w:rFonts w:asciiTheme="minorHAnsi" w:hAnsiTheme="minorHAnsi" w:cstheme="minorHAnsi"/>
        </w:rPr>
        <w:t>Plusieurs contributions interrogent la cohérence des obligations de traçabilité prévues par le projet de texte avec les disposition</w:t>
      </w:r>
      <w:r w:rsidR="00C31329">
        <w:rPr>
          <w:rFonts w:asciiTheme="minorHAnsi" w:hAnsiTheme="minorHAnsi" w:cstheme="minorHAnsi"/>
        </w:rPr>
        <w:t>s</w:t>
      </w:r>
      <w:r w:rsidRPr="00BF70A5">
        <w:rPr>
          <w:rFonts w:asciiTheme="minorHAnsi" w:hAnsiTheme="minorHAnsi" w:cstheme="minorHAnsi"/>
        </w:rPr>
        <w:t xml:space="preserve"> en vigueur du code de l’environnement et issues du </w:t>
      </w:r>
      <w:r w:rsidRPr="00BF70A5">
        <w:rPr>
          <w:rFonts w:asciiTheme="minorHAnsi" w:hAnsiTheme="minorHAnsi" w:cstheme="minorHAnsi"/>
          <w:i/>
        </w:rPr>
        <w:t>décret n°2021-321 du 25 mars 2021 relatif à la traçabilité des déchets, des terres excavées et des sédiments</w:t>
      </w:r>
      <w:r w:rsidRPr="00BF70A5">
        <w:rPr>
          <w:rFonts w:asciiTheme="minorHAnsi" w:hAnsiTheme="minorHAnsi" w:cstheme="minorHAnsi"/>
        </w:rPr>
        <w:t>.</w:t>
      </w:r>
    </w:p>
    <w:p w14:paraId="0EF78AC2" w14:textId="77777777" w:rsidR="00BF70A5" w:rsidRPr="00BF70A5" w:rsidRDefault="00BF70A5" w:rsidP="00BF70A5">
      <w:pPr>
        <w:pStyle w:val="western"/>
        <w:numPr>
          <w:ilvl w:val="0"/>
          <w:numId w:val="1"/>
        </w:numPr>
        <w:spacing w:after="198"/>
        <w:rPr>
          <w:rFonts w:asciiTheme="minorHAnsi" w:hAnsiTheme="minorHAnsi" w:cstheme="minorHAnsi"/>
        </w:rPr>
      </w:pPr>
      <w:r w:rsidRPr="00BF70A5">
        <w:rPr>
          <w:rFonts w:asciiTheme="minorHAnsi" w:hAnsiTheme="minorHAnsi" w:cstheme="minorHAnsi"/>
        </w:rPr>
        <w:t xml:space="preserve">Une contribution propose d’ajouter une obligation de transmission des données au registre national et une accessibilité de ces données du registre aux régions. </w:t>
      </w:r>
    </w:p>
    <w:p w14:paraId="4992DB84" w14:textId="77777777" w:rsidR="00BF70A5" w:rsidRPr="00BF70A5" w:rsidRDefault="00BF70A5" w:rsidP="00BF70A5">
      <w:pPr>
        <w:pStyle w:val="western"/>
        <w:numPr>
          <w:ilvl w:val="0"/>
          <w:numId w:val="1"/>
        </w:numPr>
        <w:spacing w:after="198"/>
        <w:rPr>
          <w:rFonts w:asciiTheme="minorHAnsi" w:hAnsiTheme="minorHAnsi" w:cstheme="minorHAnsi"/>
          <w:bCs/>
        </w:rPr>
      </w:pPr>
      <w:r w:rsidRPr="00BF70A5">
        <w:rPr>
          <w:rFonts w:asciiTheme="minorHAnsi" w:hAnsiTheme="minorHAnsi" w:cstheme="minorHAnsi"/>
          <w:bCs/>
        </w:rPr>
        <w:t xml:space="preserve"> Une contribution propose qu’après « </w:t>
      </w:r>
      <w:r w:rsidRPr="00BF70A5">
        <w:rPr>
          <w:rFonts w:asciiTheme="minorHAnsi" w:hAnsiTheme="minorHAnsi" w:cstheme="minorHAnsi"/>
          <w:bCs/>
          <w:iCs/>
        </w:rPr>
        <w:t>les caractérisations en lien avec les exigences définies par la section 1 de la présente annexe</w:t>
      </w:r>
      <w:r w:rsidRPr="00BF70A5">
        <w:rPr>
          <w:rFonts w:asciiTheme="minorHAnsi" w:hAnsiTheme="minorHAnsi" w:cstheme="minorHAnsi"/>
          <w:bCs/>
        </w:rPr>
        <w:t> » soit ajouté « </w:t>
      </w:r>
      <w:r w:rsidRPr="00BF70A5">
        <w:rPr>
          <w:rFonts w:asciiTheme="minorHAnsi" w:hAnsiTheme="minorHAnsi" w:cstheme="minorHAnsi"/>
          <w:b/>
          <w:bCs/>
        </w:rPr>
        <w:t>ainsi que les éléments justifiant de la stabilité du déchet tel qu’évoqué en paragraphe 4 de cette section 1 </w:t>
      </w:r>
      <w:proofErr w:type="gramStart"/>
      <w:r w:rsidRPr="00BF70A5">
        <w:rPr>
          <w:rFonts w:asciiTheme="minorHAnsi" w:hAnsiTheme="minorHAnsi" w:cstheme="minorHAnsi"/>
          <w:b/>
          <w:bCs/>
        </w:rPr>
        <w:t>»</w:t>
      </w:r>
      <w:r w:rsidRPr="00BF70A5">
        <w:rPr>
          <w:rFonts w:asciiTheme="minorHAnsi" w:hAnsiTheme="minorHAnsi" w:cstheme="minorHAnsi"/>
          <w:bCs/>
        </w:rPr>
        <w:t xml:space="preserve"> .</w:t>
      </w:r>
      <w:proofErr w:type="gramEnd"/>
    </w:p>
    <w:p w14:paraId="21FC22C8" w14:textId="43300E58" w:rsidR="00BF70A5" w:rsidRPr="00BF70A5" w:rsidRDefault="00322593" w:rsidP="00322593">
      <w:pPr>
        <w:pStyle w:val="western"/>
        <w:numPr>
          <w:ilvl w:val="0"/>
          <w:numId w:val="2"/>
        </w:numPr>
        <w:spacing w:after="198"/>
        <w:rPr>
          <w:rFonts w:asciiTheme="minorHAnsi" w:hAnsiTheme="minorHAnsi" w:cstheme="minorHAnsi"/>
          <w:bCs/>
        </w:rPr>
      </w:pPr>
      <w:r>
        <w:rPr>
          <w:rFonts w:asciiTheme="minorHAnsi" w:hAnsiTheme="minorHAnsi" w:cstheme="minorHAnsi"/>
          <w:bCs/>
        </w:rPr>
        <w:t>Les références législative</w:t>
      </w:r>
      <w:r w:rsidR="00D3702D">
        <w:rPr>
          <w:rFonts w:asciiTheme="minorHAnsi" w:hAnsiTheme="minorHAnsi" w:cstheme="minorHAnsi"/>
          <w:bCs/>
        </w:rPr>
        <w:t>s</w:t>
      </w:r>
      <w:r>
        <w:rPr>
          <w:rFonts w:asciiTheme="minorHAnsi" w:hAnsiTheme="minorHAnsi" w:cstheme="minorHAnsi"/>
          <w:bCs/>
        </w:rPr>
        <w:t xml:space="preserve"> et réglementaire</w:t>
      </w:r>
      <w:r w:rsidR="009953FF">
        <w:rPr>
          <w:rFonts w:asciiTheme="minorHAnsi" w:hAnsiTheme="minorHAnsi" w:cstheme="minorHAnsi"/>
          <w:bCs/>
        </w:rPr>
        <w:t>s</w:t>
      </w:r>
      <w:r>
        <w:rPr>
          <w:rFonts w:asciiTheme="minorHAnsi" w:hAnsiTheme="minorHAnsi" w:cstheme="minorHAnsi"/>
          <w:bCs/>
        </w:rPr>
        <w:t xml:space="preserve"> relative</w:t>
      </w:r>
      <w:r w:rsidR="00D3702D">
        <w:rPr>
          <w:rFonts w:asciiTheme="minorHAnsi" w:hAnsiTheme="minorHAnsi" w:cstheme="minorHAnsi"/>
          <w:bCs/>
        </w:rPr>
        <w:t>s</w:t>
      </w:r>
      <w:r>
        <w:rPr>
          <w:rFonts w:asciiTheme="minorHAnsi" w:hAnsiTheme="minorHAnsi" w:cstheme="minorHAnsi"/>
          <w:bCs/>
        </w:rPr>
        <w:t xml:space="preserve"> aux registres sont mises en cohérence.</w:t>
      </w:r>
    </w:p>
    <w:p w14:paraId="60CF259A" w14:textId="77777777" w:rsidR="00BF70A5" w:rsidRPr="00BF70A5" w:rsidRDefault="00BF70A5" w:rsidP="00BF70A5">
      <w:pPr>
        <w:pStyle w:val="western"/>
        <w:spacing w:after="198"/>
        <w:rPr>
          <w:rFonts w:asciiTheme="minorHAnsi" w:hAnsiTheme="minorHAnsi" w:cstheme="minorHAnsi"/>
          <w:bCs/>
          <w:u w:val="single"/>
        </w:rPr>
      </w:pPr>
      <w:r w:rsidRPr="00BF70A5">
        <w:rPr>
          <w:rFonts w:asciiTheme="minorHAnsi" w:hAnsiTheme="minorHAnsi" w:cstheme="minorHAnsi"/>
          <w:bCs/>
          <w:u w:val="single"/>
        </w:rPr>
        <w:t>Annexe II :</w:t>
      </w:r>
    </w:p>
    <w:p w14:paraId="05E261B6" w14:textId="77777777" w:rsidR="00BF70A5" w:rsidRPr="00BF70A5" w:rsidRDefault="00BF70A5" w:rsidP="00BF70A5">
      <w:pPr>
        <w:pStyle w:val="western"/>
        <w:numPr>
          <w:ilvl w:val="0"/>
          <w:numId w:val="1"/>
        </w:numPr>
        <w:spacing w:after="198"/>
        <w:rPr>
          <w:rFonts w:asciiTheme="minorHAnsi" w:hAnsiTheme="minorHAnsi" w:cstheme="minorHAnsi"/>
          <w:bCs/>
        </w:rPr>
      </w:pPr>
      <w:r w:rsidRPr="00BF70A5">
        <w:rPr>
          <w:rFonts w:asciiTheme="minorHAnsi" w:hAnsiTheme="minorHAnsi" w:cstheme="minorHAnsi"/>
        </w:rPr>
        <w:t xml:space="preserve">Trois contributeurs proposent l’ajout d’un item </w:t>
      </w:r>
      <w:r w:rsidRPr="00BF70A5">
        <w:rPr>
          <w:rFonts w:asciiTheme="minorHAnsi" w:hAnsiTheme="minorHAnsi" w:cstheme="minorHAnsi"/>
          <w:iCs/>
        </w:rPr>
        <w:t>« </w:t>
      </w:r>
      <w:r w:rsidRPr="00BF70A5">
        <w:rPr>
          <w:rFonts w:asciiTheme="minorHAnsi" w:hAnsiTheme="minorHAnsi" w:cstheme="minorHAnsi"/>
          <w:b/>
          <w:iCs/>
        </w:rPr>
        <w:t>référence de l’autorisation environnementale</w:t>
      </w:r>
      <w:r w:rsidRPr="00BF70A5">
        <w:rPr>
          <w:rFonts w:asciiTheme="minorHAnsi" w:hAnsiTheme="minorHAnsi" w:cstheme="minorHAnsi"/>
          <w:iCs/>
        </w:rPr>
        <w:t> »</w:t>
      </w:r>
      <w:r w:rsidRPr="00BF70A5">
        <w:rPr>
          <w:rFonts w:asciiTheme="minorHAnsi" w:hAnsiTheme="minorHAnsi" w:cstheme="minorHAnsi"/>
        </w:rPr>
        <w:t>.</w:t>
      </w:r>
    </w:p>
    <w:p w14:paraId="58CB31A5" w14:textId="77777777" w:rsidR="00BF70A5" w:rsidRPr="00BF70A5" w:rsidRDefault="00BF70A5" w:rsidP="00BF70A5">
      <w:pPr>
        <w:pStyle w:val="western"/>
        <w:numPr>
          <w:ilvl w:val="0"/>
          <w:numId w:val="2"/>
        </w:numPr>
        <w:spacing w:after="198"/>
        <w:rPr>
          <w:rFonts w:asciiTheme="minorHAnsi" w:hAnsiTheme="minorHAnsi" w:cstheme="minorHAnsi"/>
        </w:rPr>
      </w:pPr>
      <w:r w:rsidRPr="00BF70A5">
        <w:rPr>
          <w:rFonts w:asciiTheme="minorHAnsi" w:hAnsiTheme="minorHAnsi" w:cstheme="minorHAnsi"/>
        </w:rPr>
        <w:t>Une ligne est ajoutée dans l’annexe II afin que soit renseignée la référence de l’autorisation environnementale.</w:t>
      </w:r>
    </w:p>
    <w:p w14:paraId="5D7531D4" w14:textId="77777777" w:rsidR="00A333E0" w:rsidRPr="008C532E" w:rsidRDefault="00A333E0" w:rsidP="00BF70A5">
      <w:pPr>
        <w:pStyle w:val="western"/>
        <w:spacing w:after="198"/>
        <w:rPr>
          <w:rFonts w:asciiTheme="minorHAnsi" w:hAnsiTheme="minorHAnsi" w:cstheme="minorHAnsi"/>
        </w:rPr>
      </w:pPr>
    </w:p>
    <w:sectPr w:rsidR="00A333E0" w:rsidRPr="008C53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CB9"/>
    <w:multiLevelType w:val="hybridMultilevel"/>
    <w:tmpl w:val="800A7274"/>
    <w:lvl w:ilvl="0" w:tplc="F4A61A90">
      <w:start w:val="2"/>
      <w:numFmt w:val="bullet"/>
      <w:lvlText w:val=""/>
      <w:lvlJc w:val="left"/>
      <w:pPr>
        <w:ind w:left="720" w:hanging="360"/>
      </w:pPr>
      <w:rPr>
        <w:rFonts w:ascii="Wingdings" w:eastAsia="MS Mincho"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2510C3"/>
    <w:multiLevelType w:val="hybridMultilevel"/>
    <w:tmpl w:val="D6E82D9C"/>
    <w:lvl w:ilvl="0" w:tplc="D910DAAE">
      <w:numFmt w:val="bullet"/>
      <w:lvlText w:val="-"/>
      <w:lvlJc w:val="left"/>
      <w:pPr>
        <w:tabs>
          <w:tab w:val="num" w:pos="720"/>
        </w:tabs>
        <w:ind w:left="720" w:hanging="360"/>
      </w:pPr>
      <w:rPr>
        <w:rFonts w:ascii="Times New Roman" w:eastAsia="MS Mincho"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944870"/>
    <w:multiLevelType w:val="hybridMultilevel"/>
    <w:tmpl w:val="9976BE34"/>
    <w:lvl w:ilvl="0" w:tplc="53D44586">
      <w:start w:val="2"/>
      <w:numFmt w:val="bullet"/>
      <w:lvlText w:val=""/>
      <w:lvlJc w:val="left"/>
      <w:pPr>
        <w:ind w:left="720" w:hanging="360"/>
      </w:pPr>
      <w:rPr>
        <w:rFonts w:ascii="Wingdings" w:eastAsia="Arial Unicode MS"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C08"/>
    <w:rsid w:val="00020E1C"/>
    <w:rsid w:val="00031A67"/>
    <w:rsid w:val="00037656"/>
    <w:rsid w:val="00062ED3"/>
    <w:rsid w:val="000872BE"/>
    <w:rsid w:val="000B6D40"/>
    <w:rsid w:val="000F00F5"/>
    <w:rsid w:val="000F7896"/>
    <w:rsid w:val="00101657"/>
    <w:rsid w:val="00112957"/>
    <w:rsid w:val="00166275"/>
    <w:rsid w:val="00183CA3"/>
    <w:rsid w:val="00184816"/>
    <w:rsid w:val="00195F92"/>
    <w:rsid w:val="00197E21"/>
    <w:rsid w:val="001C1B07"/>
    <w:rsid w:val="001D76EE"/>
    <w:rsid w:val="001E197B"/>
    <w:rsid w:val="001F588C"/>
    <w:rsid w:val="002049A3"/>
    <w:rsid w:val="00217290"/>
    <w:rsid w:val="0028455D"/>
    <w:rsid w:val="002C2FC4"/>
    <w:rsid w:val="002D1D7E"/>
    <w:rsid w:val="0031192B"/>
    <w:rsid w:val="00313884"/>
    <w:rsid w:val="00322593"/>
    <w:rsid w:val="00336862"/>
    <w:rsid w:val="00353436"/>
    <w:rsid w:val="003774C4"/>
    <w:rsid w:val="0038094A"/>
    <w:rsid w:val="003A4621"/>
    <w:rsid w:val="003B1DFB"/>
    <w:rsid w:val="003C6985"/>
    <w:rsid w:val="003D5278"/>
    <w:rsid w:val="003D7411"/>
    <w:rsid w:val="003E0E2D"/>
    <w:rsid w:val="003E4089"/>
    <w:rsid w:val="00442A96"/>
    <w:rsid w:val="00450DD2"/>
    <w:rsid w:val="00464869"/>
    <w:rsid w:val="00477AF5"/>
    <w:rsid w:val="00486FFE"/>
    <w:rsid w:val="004A680E"/>
    <w:rsid w:val="004D51D4"/>
    <w:rsid w:val="005146C9"/>
    <w:rsid w:val="00527792"/>
    <w:rsid w:val="00540727"/>
    <w:rsid w:val="005419BA"/>
    <w:rsid w:val="0054365E"/>
    <w:rsid w:val="0055232F"/>
    <w:rsid w:val="00552786"/>
    <w:rsid w:val="005552B2"/>
    <w:rsid w:val="00570A3D"/>
    <w:rsid w:val="005751F4"/>
    <w:rsid w:val="00575B13"/>
    <w:rsid w:val="00586F3A"/>
    <w:rsid w:val="005B1B4D"/>
    <w:rsid w:val="005B4185"/>
    <w:rsid w:val="005B5D40"/>
    <w:rsid w:val="005C3174"/>
    <w:rsid w:val="005D5917"/>
    <w:rsid w:val="005D5F49"/>
    <w:rsid w:val="006078F0"/>
    <w:rsid w:val="006410D0"/>
    <w:rsid w:val="00644B65"/>
    <w:rsid w:val="0066166A"/>
    <w:rsid w:val="00682CAE"/>
    <w:rsid w:val="0069546A"/>
    <w:rsid w:val="006A483A"/>
    <w:rsid w:val="006B0606"/>
    <w:rsid w:val="006E2DA9"/>
    <w:rsid w:val="00700CFC"/>
    <w:rsid w:val="0071311E"/>
    <w:rsid w:val="007161A4"/>
    <w:rsid w:val="00790EAA"/>
    <w:rsid w:val="0079494D"/>
    <w:rsid w:val="007A0D4E"/>
    <w:rsid w:val="007C3D36"/>
    <w:rsid w:val="007C595B"/>
    <w:rsid w:val="007F5327"/>
    <w:rsid w:val="007F7787"/>
    <w:rsid w:val="0082086D"/>
    <w:rsid w:val="00837145"/>
    <w:rsid w:val="0085457B"/>
    <w:rsid w:val="00860EC3"/>
    <w:rsid w:val="008666A2"/>
    <w:rsid w:val="00871753"/>
    <w:rsid w:val="00876C18"/>
    <w:rsid w:val="00877C9D"/>
    <w:rsid w:val="008A443F"/>
    <w:rsid w:val="008B0425"/>
    <w:rsid w:val="008B7F5B"/>
    <w:rsid w:val="008C4473"/>
    <w:rsid w:val="008C532E"/>
    <w:rsid w:val="008F43D0"/>
    <w:rsid w:val="009001D8"/>
    <w:rsid w:val="00901016"/>
    <w:rsid w:val="00917D15"/>
    <w:rsid w:val="00933E41"/>
    <w:rsid w:val="00935D6B"/>
    <w:rsid w:val="0094011B"/>
    <w:rsid w:val="00944260"/>
    <w:rsid w:val="009442FE"/>
    <w:rsid w:val="009749CE"/>
    <w:rsid w:val="009771C2"/>
    <w:rsid w:val="009922A1"/>
    <w:rsid w:val="009953FF"/>
    <w:rsid w:val="009A03C2"/>
    <w:rsid w:val="009A5447"/>
    <w:rsid w:val="009B6E22"/>
    <w:rsid w:val="009D5E5D"/>
    <w:rsid w:val="009E5A22"/>
    <w:rsid w:val="00A0284F"/>
    <w:rsid w:val="00A1408C"/>
    <w:rsid w:val="00A333E0"/>
    <w:rsid w:val="00A570FC"/>
    <w:rsid w:val="00AA0B89"/>
    <w:rsid w:val="00AA0C32"/>
    <w:rsid w:val="00AC014C"/>
    <w:rsid w:val="00AD2412"/>
    <w:rsid w:val="00AD56BE"/>
    <w:rsid w:val="00AD6FFE"/>
    <w:rsid w:val="00AF6EA7"/>
    <w:rsid w:val="00B03EFC"/>
    <w:rsid w:val="00B10FFC"/>
    <w:rsid w:val="00B115B4"/>
    <w:rsid w:val="00B17BF2"/>
    <w:rsid w:val="00B20788"/>
    <w:rsid w:val="00B74D08"/>
    <w:rsid w:val="00B819AF"/>
    <w:rsid w:val="00BB3CA8"/>
    <w:rsid w:val="00BE400F"/>
    <w:rsid w:val="00BF70A5"/>
    <w:rsid w:val="00C02553"/>
    <w:rsid w:val="00C31329"/>
    <w:rsid w:val="00C57368"/>
    <w:rsid w:val="00C624F9"/>
    <w:rsid w:val="00C66C3C"/>
    <w:rsid w:val="00C7467A"/>
    <w:rsid w:val="00CA0E63"/>
    <w:rsid w:val="00CD750C"/>
    <w:rsid w:val="00CE32EB"/>
    <w:rsid w:val="00D1190C"/>
    <w:rsid w:val="00D21ABD"/>
    <w:rsid w:val="00D3702D"/>
    <w:rsid w:val="00D52557"/>
    <w:rsid w:val="00D6646F"/>
    <w:rsid w:val="00D833F8"/>
    <w:rsid w:val="00D957D3"/>
    <w:rsid w:val="00DA3246"/>
    <w:rsid w:val="00DA47D0"/>
    <w:rsid w:val="00DF275B"/>
    <w:rsid w:val="00E54B47"/>
    <w:rsid w:val="00E72A91"/>
    <w:rsid w:val="00E857BC"/>
    <w:rsid w:val="00EA1708"/>
    <w:rsid w:val="00EC09FC"/>
    <w:rsid w:val="00EF49C8"/>
    <w:rsid w:val="00F1692D"/>
    <w:rsid w:val="00F50AF1"/>
    <w:rsid w:val="00F83CF3"/>
    <w:rsid w:val="00F904F2"/>
    <w:rsid w:val="00F91C1E"/>
    <w:rsid w:val="00F91E1A"/>
    <w:rsid w:val="00F96374"/>
    <w:rsid w:val="00F96C08"/>
    <w:rsid w:val="00FB0991"/>
    <w:rsid w:val="00FD3DA9"/>
    <w:rsid w:val="00FE14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A0D55"/>
  <w15:chartTrackingRefBased/>
  <w15:docId w15:val="{DB694351-B8A2-4361-B222-1F916EFE3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0A5"/>
    <w:pPr>
      <w:suppressAutoHyphens/>
      <w:spacing w:after="200" w:line="276" w:lineRule="auto"/>
    </w:pPr>
    <w:rPr>
      <w:rFonts w:ascii="Calibri" w:eastAsia="MS Mincho" w:hAnsi="Calibri" w:cs="Calibri"/>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570FC"/>
    <w:rPr>
      <w:color w:val="0563C1" w:themeColor="hyperlink"/>
      <w:u w:val="single"/>
    </w:rPr>
  </w:style>
  <w:style w:type="paragraph" w:styleId="NormalWeb">
    <w:name w:val="Normal (Web)"/>
    <w:basedOn w:val="Normal"/>
    <w:uiPriority w:val="99"/>
    <w:semiHidden/>
    <w:unhideWhenUsed/>
    <w:rsid w:val="00450DD2"/>
    <w:rPr>
      <w:rFonts w:ascii="Times New Roman" w:hAnsi="Times New Roman" w:cs="Times New Roman"/>
      <w:sz w:val="24"/>
      <w:szCs w:val="24"/>
    </w:rPr>
  </w:style>
  <w:style w:type="paragraph" w:styleId="Paragraphedeliste">
    <w:name w:val="List Paragraph"/>
    <w:basedOn w:val="Normal"/>
    <w:uiPriority w:val="34"/>
    <w:qFormat/>
    <w:rsid w:val="00450DD2"/>
    <w:pPr>
      <w:ind w:left="720"/>
      <w:contextualSpacing/>
    </w:pPr>
  </w:style>
  <w:style w:type="character" w:styleId="Marquedecommentaire">
    <w:name w:val="annotation reference"/>
    <w:basedOn w:val="Policepardfaut"/>
    <w:uiPriority w:val="99"/>
    <w:semiHidden/>
    <w:unhideWhenUsed/>
    <w:rsid w:val="001C1B07"/>
    <w:rPr>
      <w:sz w:val="16"/>
      <w:szCs w:val="16"/>
    </w:rPr>
  </w:style>
  <w:style w:type="paragraph" w:styleId="Commentaire">
    <w:name w:val="annotation text"/>
    <w:basedOn w:val="Normal"/>
    <w:link w:val="CommentaireCar"/>
    <w:uiPriority w:val="99"/>
    <w:unhideWhenUsed/>
    <w:rsid w:val="001C1B07"/>
    <w:pPr>
      <w:spacing w:line="240" w:lineRule="auto"/>
    </w:pPr>
    <w:rPr>
      <w:sz w:val="20"/>
      <w:szCs w:val="20"/>
    </w:rPr>
  </w:style>
  <w:style w:type="character" w:customStyle="1" w:styleId="CommentaireCar">
    <w:name w:val="Commentaire Car"/>
    <w:basedOn w:val="Policepardfaut"/>
    <w:link w:val="Commentaire"/>
    <w:uiPriority w:val="99"/>
    <w:rsid w:val="001C1B07"/>
    <w:rPr>
      <w:rFonts w:ascii="Calibri" w:eastAsia="MS Mincho" w:hAnsi="Calibri" w:cs="Calibri"/>
      <w:sz w:val="20"/>
      <w:szCs w:val="20"/>
      <w:lang w:eastAsia="ar-SA"/>
    </w:rPr>
  </w:style>
  <w:style w:type="paragraph" w:styleId="Objetducommentaire">
    <w:name w:val="annotation subject"/>
    <w:basedOn w:val="Commentaire"/>
    <w:next w:val="Commentaire"/>
    <w:link w:val="ObjetducommentaireCar"/>
    <w:uiPriority w:val="99"/>
    <w:semiHidden/>
    <w:unhideWhenUsed/>
    <w:rsid w:val="001C1B07"/>
    <w:rPr>
      <w:b/>
      <w:bCs/>
    </w:rPr>
  </w:style>
  <w:style w:type="character" w:customStyle="1" w:styleId="ObjetducommentaireCar">
    <w:name w:val="Objet du commentaire Car"/>
    <w:basedOn w:val="CommentaireCar"/>
    <w:link w:val="Objetducommentaire"/>
    <w:uiPriority w:val="99"/>
    <w:semiHidden/>
    <w:rsid w:val="001C1B07"/>
    <w:rPr>
      <w:rFonts w:ascii="Calibri" w:eastAsia="MS Mincho" w:hAnsi="Calibri" w:cs="Calibri"/>
      <w:b/>
      <w:bCs/>
      <w:sz w:val="20"/>
      <w:szCs w:val="20"/>
      <w:lang w:eastAsia="ar-SA"/>
    </w:rPr>
  </w:style>
  <w:style w:type="paragraph" w:styleId="Textedebulles">
    <w:name w:val="Balloon Text"/>
    <w:basedOn w:val="Normal"/>
    <w:link w:val="TextedebullesCar"/>
    <w:uiPriority w:val="99"/>
    <w:semiHidden/>
    <w:unhideWhenUsed/>
    <w:rsid w:val="001C1B0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C1B07"/>
    <w:rPr>
      <w:rFonts w:ascii="Segoe UI" w:eastAsia="MS Mincho" w:hAnsi="Segoe UI" w:cs="Segoe UI"/>
      <w:sz w:val="18"/>
      <w:szCs w:val="18"/>
      <w:lang w:eastAsia="ar-SA"/>
    </w:rPr>
  </w:style>
  <w:style w:type="table" w:styleId="Grilledutableau">
    <w:name w:val="Table Grid"/>
    <w:basedOn w:val="TableauNormal"/>
    <w:uiPriority w:val="39"/>
    <w:rsid w:val="001C1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94011B"/>
    <w:pPr>
      <w:suppressAutoHyphens w:val="0"/>
      <w:spacing w:before="100" w:beforeAutospacing="1" w:after="119"/>
    </w:pPr>
    <w:rPr>
      <w:rFonts w:eastAsia="Times New Roman" w:cs="Times New Roman"/>
      <w:color w:val="000000"/>
      <w:lang w:eastAsia="fr-FR"/>
    </w:rPr>
  </w:style>
  <w:style w:type="paragraph" w:styleId="Rvision">
    <w:name w:val="Revision"/>
    <w:hidden/>
    <w:uiPriority w:val="99"/>
    <w:semiHidden/>
    <w:rsid w:val="00FB0991"/>
    <w:pPr>
      <w:spacing w:after="0" w:line="240" w:lineRule="auto"/>
    </w:pPr>
    <w:rPr>
      <w:rFonts w:ascii="Calibri" w:eastAsia="MS Mincho" w:hAnsi="Calibri" w:cs="Calibri"/>
      <w:lang w:eastAsia="ar-SA"/>
    </w:rPr>
  </w:style>
  <w:style w:type="character" w:styleId="Lienhypertextesuivivisit">
    <w:name w:val="FollowedHyperlink"/>
    <w:basedOn w:val="Policepardfaut"/>
    <w:uiPriority w:val="99"/>
    <w:semiHidden/>
    <w:unhideWhenUsed/>
    <w:rsid w:val="00EC09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70241">
      <w:bodyDiv w:val="1"/>
      <w:marLeft w:val="0"/>
      <w:marRight w:val="0"/>
      <w:marTop w:val="0"/>
      <w:marBottom w:val="0"/>
      <w:divBdr>
        <w:top w:val="none" w:sz="0" w:space="0" w:color="auto"/>
        <w:left w:val="none" w:sz="0" w:space="0" w:color="auto"/>
        <w:bottom w:val="none" w:sz="0" w:space="0" w:color="auto"/>
        <w:right w:val="none" w:sz="0" w:space="0" w:color="auto"/>
      </w:divBdr>
    </w:div>
    <w:div w:id="540872102">
      <w:bodyDiv w:val="1"/>
      <w:marLeft w:val="0"/>
      <w:marRight w:val="0"/>
      <w:marTop w:val="0"/>
      <w:marBottom w:val="0"/>
      <w:divBdr>
        <w:top w:val="none" w:sz="0" w:space="0" w:color="auto"/>
        <w:left w:val="none" w:sz="0" w:space="0" w:color="auto"/>
        <w:bottom w:val="none" w:sz="0" w:space="0" w:color="auto"/>
        <w:right w:val="none" w:sz="0" w:space="0" w:color="auto"/>
      </w:divBdr>
    </w:div>
    <w:div w:id="893154125">
      <w:bodyDiv w:val="1"/>
      <w:marLeft w:val="0"/>
      <w:marRight w:val="0"/>
      <w:marTop w:val="0"/>
      <w:marBottom w:val="0"/>
      <w:divBdr>
        <w:top w:val="none" w:sz="0" w:space="0" w:color="auto"/>
        <w:left w:val="none" w:sz="0" w:space="0" w:color="auto"/>
        <w:bottom w:val="none" w:sz="0" w:space="0" w:color="auto"/>
        <w:right w:val="none" w:sz="0" w:space="0" w:color="auto"/>
      </w:divBdr>
    </w:div>
    <w:div w:id="1006980007">
      <w:bodyDiv w:val="1"/>
      <w:marLeft w:val="0"/>
      <w:marRight w:val="0"/>
      <w:marTop w:val="0"/>
      <w:marBottom w:val="0"/>
      <w:divBdr>
        <w:top w:val="none" w:sz="0" w:space="0" w:color="auto"/>
        <w:left w:val="none" w:sz="0" w:space="0" w:color="auto"/>
        <w:bottom w:val="none" w:sz="0" w:space="0" w:color="auto"/>
        <w:right w:val="none" w:sz="0" w:space="0" w:color="auto"/>
      </w:divBdr>
    </w:div>
    <w:div w:id="1041318306">
      <w:bodyDiv w:val="1"/>
      <w:marLeft w:val="0"/>
      <w:marRight w:val="0"/>
      <w:marTop w:val="0"/>
      <w:marBottom w:val="0"/>
      <w:divBdr>
        <w:top w:val="none" w:sz="0" w:space="0" w:color="auto"/>
        <w:left w:val="none" w:sz="0" w:space="0" w:color="auto"/>
        <w:bottom w:val="none" w:sz="0" w:space="0" w:color="auto"/>
        <w:right w:val="none" w:sz="0" w:space="0" w:color="auto"/>
      </w:divBdr>
    </w:div>
    <w:div w:id="1258949223">
      <w:bodyDiv w:val="1"/>
      <w:marLeft w:val="0"/>
      <w:marRight w:val="0"/>
      <w:marTop w:val="0"/>
      <w:marBottom w:val="0"/>
      <w:divBdr>
        <w:top w:val="none" w:sz="0" w:space="0" w:color="auto"/>
        <w:left w:val="none" w:sz="0" w:space="0" w:color="auto"/>
        <w:bottom w:val="none" w:sz="0" w:space="0" w:color="auto"/>
        <w:right w:val="none" w:sz="0" w:space="0" w:color="auto"/>
      </w:divBdr>
    </w:div>
    <w:div w:id="1281842478">
      <w:bodyDiv w:val="1"/>
      <w:marLeft w:val="0"/>
      <w:marRight w:val="0"/>
      <w:marTop w:val="0"/>
      <w:marBottom w:val="0"/>
      <w:divBdr>
        <w:top w:val="none" w:sz="0" w:space="0" w:color="auto"/>
        <w:left w:val="none" w:sz="0" w:space="0" w:color="auto"/>
        <w:bottom w:val="none" w:sz="0" w:space="0" w:color="auto"/>
        <w:right w:val="none" w:sz="0" w:space="0" w:color="auto"/>
      </w:divBdr>
    </w:div>
    <w:div w:id="1317687493">
      <w:bodyDiv w:val="1"/>
      <w:marLeft w:val="0"/>
      <w:marRight w:val="0"/>
      <w:marTop w:val="0"/>
      <w:marBottom w:val="0"/>
      <w:divBdr>
        <w:top w:val="none" w:sz="0" w:space="0" w:color="auto"/>
        <w:left w:val="none" w:sz="0" w:space="0" w:color="auto"/>
        <w:bottom w:val="none" w:sz="0" w:space="0" w:color="auto"/>
        <w:right w:val="none" w:sz="0" w:space="0" w:color="auto"/>
      </w:divBdr>
    </w:div>
    <w:div w:id="1625960470">
      <w:bodyDiv w:val="1"/>
      <w:marLeft w:val="0"/>
      <w:marRight w:val="0"/>
      <w:marTop w:val="0"/>
      <w:marBottom w:val="0"/>
      <w:divBdr>
        <w:top w:val="none" w:sz="0" w:space="0" w:color="auto"/>
        <w:left w:val="none" w:sz="0" w:space="0" w:color="auto"/>
        <w:bottom w:val="none" w:sz="0" w:space="0" w:color="auto"/>
        <w:right w:val="none" w:sz="0" w:space="0" w:color="auto"/>
      </w:divBdr>
    </w:div>
    <w:div w:id="1717971856">
      <w:bodyDiv w:val="1"/>
      <w:marLeft w:val="0"/>
      <w:marRight w:val="0"/>
      <w:marTop w:val="0"/>
      <w:marBottom w:val="0"/>
      <w:divBdr>
        <w:top w:val="none" w:sz="0" w:space="0" w:color="auto"/>
        <w:left w:val="none" w:sz="0" w:space="0" w:color="auto"/>
        <w:bottom w:val="none" w:sz="0" w:space="0" w:color="auto"/>
        <w:right w:val="none" w:sz="0" w:space="0" w:color="auto"/>
      </w:divBdr>
    </w:div>
    <w:div w:id="1817602480">
      <w:bodyDiv w:val="1"/>
      <w:marLeft w:val="0"/>
      <w:marRight w:val="0"/>
      <w:marTop w:val="0"/>
      <w:marBottom w:val="0"/>
      <w:divBdr>
        <w:top w:val="none" w:sz="0" w:space="0" w:color="auto"/>
        <w:left w:val="none" w:sz="0" w:space="0" w:color="auto"/>
        <w:bottom w:val="none" w:sz="0" w:space="0" w:color="auto"/>
        <w:right w:val="none" w:sz="0" w:space="0" w:color="auto"/>
      </w:divBdr>
    </w:div>
    <w:div w:id="181957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e-publique.fr/consultations/281260-projet-arrete-sortie-statut-de-dechet-deblais-grand-projet-damenagement" TargetMode="External"/><Relationship Id="rId3" Type="http://schemas.openxmlformats.org/officeDocument/2006/relationships/styles" Target="styles.xml"/><Relationship Id="rId7" Type="http://schemas.openxmlformats.org/officeDocument/2006/relationships/hyperlink" Target="http://www.consultations-publiques.developpement-durable.gouv.fr/projet-d-arrete-fixant-les-criteres-de-sortie-du-a2484.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B5D35-F63D-47E1-8237-AA37E80CD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11433</TotalTime>
  <Pages>5</Pages>
  <Words>1604</Words>
  <Characters>8822</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Baptiste</dc:creator>
  <cp:keywords/>
  <dc:description/>
  <cp:lastModifiedBy>NEGRE Laura</cp:lastModifiedBy>
  <cp:revision>154</cp:revision>
  <dcterms:created xsi:type="dcterms:W3CDTF">2021-10-05T08:19:00Z</dcterms:created>
  <dcterms:modified xsi:type="dcterms:W3CDTF">2021-12-07T16:59:00Z</dcterms:modified>
</cp:coreProperties>
</file>