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CEC93" w14:textId="5380E459" w:rsidR="00F05BBD" w:rsidRPr="00102414" w:rsidRDefault="005F6061" w:rsidP="007923EE">
      <w:pPr>
        <w:jc w:val="both"/>
        <w:rPr>
          <w:rFonts w:ascii="Marianne" w:hAnsi="Marianne"/>
          <w:b/>
          <w:bCs/>
          <w:color w:val="000000" w:themeColor="text1"/>
          <w:sz w:val="20"/>
          <w:szCs w:val="20"/>
        </w:rPr>
      </w:pPr>
      <w:r w:rsidRPr="00102414">
        <w:rPr>
          <w:rFonts w:ascii="Marianne" w:hAnsi="Marianne"/>
          <w:b/>
          <w:bCs/>
          <w:color w:val="000000" w:themeColor="text1"/>
          <w:sz w:val="20"/>
          <w:szCs w:val="20"/>
        </w:rPr>
        <w:t xml:space="preserve">Synthèse de la consultation publique sur le </w:t>
      </w:r>
      <w:r w:rsidR="00D406AE" w:rsidRPr="00102414">
        <w:rPr>
          <w:rFonts w:ascii="Marianne" w:hAnsi="Marianne"/>
          <w:b/>
          <w:bCs/>
          <w:color w:val="000000" w:themeColor="text1"/>
          <w:sz w:val="20"/>
          <w:szCs w:val="20"/>
        </w:rPr>
        <w:t>p</w:t>
      </w:r>
      <w:r w:rsidR="00001AFA" w:rsidRPr="00102414">
        <w:rPr>
          <w:rFonts w:ascii="Marianne" w:hAnsi="Marianne"/>
          <w:b/>
          <w:bCs/>
          <w:color w:val="000000" w:themeColor="text1"/>
          <w:sz w:val="20"/>
          <w:szCs w:val="20"/>
        </w:rPr>
        <w:t>rojet d’arrêté modifiant des dispositions relatives aux fiches d’opérations standardisées BAR-TH-171 « Pompe à chaleur de type air/eau » et BAR-TH-172 « Pompe à chaleur de type eau/eau ou sol/eau » dans le cadre du dispositif des certificats d’économie d’énergie</w:t>
      </w:r>
    </w:p>
    <w:p w14:paraId="45633AC4" w14:textId="0AD2456D" w:rsidR="00001AFA" w:rsidRPr="00102414" w:rsidRDefault="00001AFA" w:rsidP="007923EE">
      <w:pPr>
        <w:jc w:val="both"/>
        <w:rPr>
          <w:rFonts w:ascii="Marianne" w:hAnsi="Marianne"/>
          <w:color w:val="000000" w:themeColor="text1"/>
          <w:sz w:val="20"/>
          <w:szCs w:val="20"/>
        </w:rPr>
      </w:pPr>
      <w:r w:rsidRPr="00102414">
        <w:rPr>
          <w:rFonts w:ascii="Marianne" w:hAnsi="Marianne"/>
          <w:color w:val="000000" w:themeColor="text1"/>
          <w:sz w:val="20"/>
          <w:szCs w:val="20"/>
        </w:rPr>
        <w:t>Consultation du 04/11/2025 au 24/11/2025 - 19 contributions</w:t>
      </w:r>
    </w:p>
    <w:p w14:paraId="0F9BF9E8" w14:textId="348AB5E0" w:rsidR="00674128" w:rsidRPr="00102414" w:rsidRDefault="005F6061" w:rsidP="007923EE">
      <w:pPr>
        <w:pStyle w:val="Paragraphedeliste"/>
        <w:numPr>
          <w:ilvl w:val="0"/>
          <w:numId w:val="1"/>
        </w:numPr>
        <w:jc w:val="both"/>
        <w:rPr>
          <w:rFonts w:ascii="Marianne" w:hAnsi="Marianne"/>
          <w:b/>
          <w:color w:val="000000" w:themeColor="text1"/>
          <w:sz w:val="20"/>
          <w:szCs w:val="20"/>
          <w:u w:val="single"/>
        </w:rPr>
      </w:pPr>
      <w:r w:rsidRPr="00102414">
        <w:rPr>
          <w:rFonts w:ascii="Marianne" w:hAnsi="Marianne"/>
          <w:b/>
          <w:color w:val="000000" w:themeColor="text1"/>
          <w:sz w:val="20"/>
          <w:szCs w:val="20"/>
          <w:u w:val="single"/>
        </w:rPr>
        <w:t xml:space="preserve">Introduction </w:t>
      </w:r>
    </w:p>
    <w:p w14:paraId="3F7967D1" w14:textId="4542D5EF" w:rsidR="00AF6B50" w:rsidRPr="00102414" w:rsidRDefault="00AF6B50" w:rsidP="007923EE">
      <w:pPr>
        <w:jc w:val="both"/>
        <w:rPr>
          <w:rFonts w:ascii="Marianne" w:hAnsi="Marianne"/>
          <w:color w:val="000000" w:themeColor="text1"/>
          <w:sz w:val="20"/>
          <w:szCs w:val="20"/>
        </w:rPr>
      </w:pPr>
      <w:r w:rsidRPr="00102414">
        <w:rPr>
          <w:rFonts w:ascii="Marianne" w:hAnsi="Marianne"/>
          <w:color w:val="000000" w:themeColor="text1"/>
          <w:sz w:val="20"/>
          <w:szCs w:val="20"/>
        </w:rPr>
        <w:t>Le présent projet d’arrêté concerne le dispositif des certificats d’économies d’énergie (CEE) régi par les articles L. 221-1 et suivants du code de l’énergie.</w:t>
      </w:r>
      <w:r w:rsidR="00001AFA" w:rsidRPr="00102414">
        <w:rPr>
          <w:rFonts w:ascii="Marianne" w:hAnsi="Marianne"/>
          <w:color w:val="000000" w:themeColor="text1"/>
          <w:sz w:val="20"/>
          <w:szCs w:val="20"/>
        </w:rPr>
        <w:t xml:space="preserve"> </w:t>
      </w:r>
    </w:p>
    <w:p w14:paraId="3EB4BE13" w14:textId="0EFFA7E8" w:rsidR="005F6061" w:rsidRPr="00102414" w:rsidRDefault="005F6061" w:rsidP="007923EE">
      <w:pPr>
        <w:pStyle w:val="Paragraphedeliste"/>
        <w:numPr>
          <w:ilvl w:val="0"/>
          <w:numId w:val="1"/>
        </w:numPr>
        <w:jc w:val="both"/>
        <w:rPr>
          <w:rFonts w:ascii="Marianne" w:hAnsi="Marianne"/>
          <w:b/>
          <w:color w:val="000000" w:themeColor="text1"/>
          <w:sz w:val="20"/>
          <w:szCs w:val="20"/>
          <w:u w:val="single"/>
        </w:rPr>
      </w:pPr>
      <w:r w:rsidRPr="00102414">
        <w:rPr>
          <w:rFonts w:ascii="Marianne" w:hAnsi="Marianne"/>
          <w:b/>
          <w:color w:val="000000" w:themeColor="text1"/>
          <w:sz w:val="20"/>
          <w:szCs w:val="20"/>
          <w:u w:val="single"/>
        </w:rPr>
        <w:t xml:space="preserve">Objet de la consultation </w:t>
      </w:r>
    </w:p>
    <w:p w14:paraId="42D9A575" w14:textId="3BA7E920" w:rsidR="00686056" w:rsidRPr="00102414" w:rsidRDefault="00686056" w:rsidP="007923EE">
      <w:pPr>
        <w:pStyle w:val="NormalWeb"/>
        <w:tabs>
          <w:tab w:val="right" w:pos="9637"/>
        </w:tabs>
        <w:spacing w:after="0"/>
        <w:jc w:val="both"/>
        <w:rPr>
          <w:rFonts w:ascii="Marianne" w:hAnsi="Marianne"/>
          <w:color w:val="000000" w:themeColor="text1"/>
          <w:sz w:val="20"/>
          <w:szCs w:val="20"/>
        </w:rPr>
      </w:pPr>
      <w:r w:rsidRPr="00102414">
        <w:rPr>
          <w:rFonts w:ascii="Marianne" w:hAnsi="Marianne"/>
          <w:color w:val="000000" w:themeColor="text1"/>
          <w:sz w:val="20"/>
          <w:szCs w:val="20"/>
        </w:rPr>
        <w:t>Le projet d’arrêté porte sur les fiches d’opérations standardisées CEE BAR-TH-171 « Pompe à chaleur de type air/eau » et BAR-TH-172 « Pompe à chaleur de type eau/eau ou sol/eau ».</w:t>
      </w:r>
    </w:p>
    <w:p w14:paraId="05FBD02A" w14:textId="33A735F0" w:rsidR="00001AFA" w:rsidRPr="00102414" w:rsidRDefault="00001AFA" w:rsidP="007923EE">
      <w:pPr>
        <w:pStyle w:val="NormalWeb"/>
        <w:tabs>
          <w:tab w:val="right" w:pos="9637"/>
        </w:tabs>
        <w:spacing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Depuis leur entrée en vigueur le 1</w:t>
      </w:r>
      <w:r w:rsidRPr="00102414">
        <w:rPr>
          <w:rFonts w:ascii="Marianne" w:eastAsiaTheme="minorHAnsi" w:hAnsi="Marianne" w:cstheme="minorBidi"/>
          <w:color w:val="000000" w:themeColor="text1"/>
          <w:sz w:val="20"/>
          <w:szCs w:val="20"/>
          <w:vertAlign w:val="superscript"/>
          <w:lang w:eastAsia="en-US"/>
        </w:rPr>
        <w:t>er</w:t>
      </w:r>
      <w:r w:rsidRPr="00102414">
        <w:rPr>
          <w:rFonts w:ascii="Marianne" w:eastAsiaTheme="minorHAnsi" w:hAnsi="Marianne" w:cstheme="minorBidi"/>
          <w:color w:val="000000" w:themeColor="text1"/>
          <w:sz w:val="20"/>
          <w:szCs w:val="20"/>
          <w:lang w:eastAsia="en-US"/>
        </w:rPr>
        <w:t xml:space="preserve"> octobre 2025, plusieurs demandes de précision et de simplification ont été portées à la connaissance de la DGEC concernant </w:t>
      </w:r>
      <w:r w:rsidR="00686056" w:rsidRPr="00102414">
        <w:rPr>
          <w:rFonts w:ascii="Marianne" w:eastAsiaTheme="minorHAnsi" w:hAnsi="Marianne" w:cstheme="minorBidi"/>
          <w:color w:val="000000" w:themeColor="text1"/>
          <w:sz w:val="20"/>
          <w:szCs w:val="20"/>
          <w:lang w:eastAsia="en-US"/>
        </w:rPr>
        <w:t>c</w:t>
      </w:r>
      <w:r w:rsidRPr="00102414">
        <w:rPr>
          <w:rFonts w:ascii="Marianne" w:eastAsiaTheme="minorHAnsi" w:hAnsi="Marianne" w:cstheme="minorBidi"/>
          <w:color w:val="000000" w:themeColor="text1"/>
          <w:sz w:val="20"/>
          <w:szCs w:val="20"/>
          <w:lang w:eastAsia="en-US"/>
        </w:rPr>
        <w:t>es fi</w:t>
      </w:r>
      <w:r w:rsidR="00686056" w:rsidRPr="00102414">
        <w:rPr>
          <w:rFonts w:ascii="Marianne" w:eastAsiaTheme="minorHAnsi" w:hAnsi="Marianne" w:cstheme="minorBidi"/>
          <w:color w:val="000000" w:themeColor="text1"/>
          <w:sz w:val="20"/>
          <w:szCs w:val="20"/>
          <w:lang w:eastAsia="en-US"/>
        </w:rPr>
        <w:t xml:space="preserve">ches d’opérations standardisées. </w:t>
      </w:r>
      <w:r w:rsidRPr="00102414">
        <w:rPr>
          <w:rFonts w:ascii="Marianne" w:eastAsiaTheme="minorHAnsi" w:hAnsi="Marianne" w:cstheme="minorBidi"/>
          <w:color w:val="000000" w:themeColor="text1"/>
          <w:sz w:val="20"/>
          <w:szCs w:val="20"/>
          <w:lang w:eastAsia="en-US"/>
        </w:rPr>
        <w:t>Les modifications du présent arrêté portent donc en particulier sur des précisions de critères, des précisions sur la manière de déclarer certains paramètres liés au calcul du forfait et sur la simplification du forfait de ces fiches :</w:t>
      </w:r>
    </w:p>
    <w:p w14:paraId="6AB05923" w14:textId="5EB09ADB"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 xml:space="preserve">Non cumul des fiches BAR-TH-171 et BAR-TH-172 avec les fiches BAR-TH-101 « Chauffe-eau solaire individuel (France métropolitaine) », BAR-TH-124 « Chauffe-eau solaire individuel (Outre-mer) », </w:t>
      </w:r>
      <w:r w:rsidR="005F3AF4">
        <w:rPr>
          <w:rFonts w:ascii="Marianne" w:eastAsiaTheme="minorHAnsi" w:hAnsi="Marianne" w:cstheme="minorBidi"/>
          <w:color w:val="000000" w:themeColor="text1"/>
          <w:sz w:val="20"/>
          <w:szCs w:val="20"/>
          <w:lang w:eastAsia="en-US"/>
        </w:rPr>
        <w:t xml:space="preserve">BAR-TH-143 « Système solaire combiné (France métropolitaine) », </w:t>
      </w:r>
      <w:r w:rsidRPr="00102414">
        <w:rPr>
          <w:rFonts w:ascii="Marianne" w:eastAsiaTheme="minorHAnsi" w:hAnsi="Marianne" w:cstheme="minorBidi"/>
          <w:color w:val="000000" w:themeColor="text1"/>
          <w:sz w:val="20"/>
          <w:szCs w:val="20"/>
          <w:lang w:eastAsia="en-US"/>
        </w:rPr>
        <w:t>BAR-TH-148 « Chauffe-eau thermodynamique à accumulation » et BAR-TH-168 « Dispositif solaire ther</w:t>
      </w:r>
      <w:r w:rsidR="00F95CE2">
        <w:rPr>
          <w:rFonts w:ascii="Marianne" w:eastAsiaTheme="minorHAnsi" w:hAnsi="Marianne" w:cstheme="minorBidi"/>
          <w:color w:val="000000" w:themeColor="text1"/>
          <w:sz w:val="20"/>
          <w:szCs w:val="20"/>
          <w:lang w:eastAsia="en-US"/>
        </w:rPr>
        <w:t xml:space="preserve">mique (France métropolitaine) » </w:t>
      </w:r>
      <w:r w:rsidRPr="00102414">
        <w:rPr>
          <w:rFonts w:ascii="Marianne" w:eastAsiaTheme="minorHAnsi" w:hAnsi="Marianne" w:cstheme="minorBidi"/>
          <w:color w:val="000000" w:themeColor="text1"/>
          <w:sz w:val="20"/>
          <w:szCs w:val="20"/>
          <w:lang w:eastAsia="en-US"/>
        </w:rPr>
        <w:t>;</w:t>
      </w:r>
      <w:bookmarkStart w:id="0" w:name="_GoBack"/>
      <w:bookmarkEnd w:id="0"/>
    </w:p>
    <w:p w14:paraId="6BE2F10F" w14:textId="77777777"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Précisions sur la déclaration de l’efficacité énergétique saisonnière (Etas) de la PAC ;</w:t>
      </w:r>
    </w:p>
    <w:p w14:paraId="0B529AC7" w14:textId="069966E1"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Exigences et précisions concernant les associations de systèmes déportés à la PAC installée, permettant la production de l’eau chaude sanitaire par celle-ci ;</w:t>
      </w:r>
    </w:p>
    <w:p w14:paraId="36DAECAB" w14:textId="2C094405"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Demande de la fiche d’information sur le produit de la PAC (définie par le règlement (UE) 2017/1369 établissant un cadre pour l’étiquetage énergétique) et du numéro d’enregistrement de la PAC sur la base de données EPREL définie à l’article 14 du Règlement (UE) 2024/994 du 2 avril 2024 établissant les modalités opérationnelles de la base de données sur les produits ;</w:t>
      </w:r>
    </w:p>
    <w:p w14:paraId="5F123C57" w14:textId="77777777"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Simplification du forfait : il ne dépend plus de l’usage de la PAC (chauffage ou chauffage et chaude sanitaire), dépend de 2 classes d’efficacité énergétique (Etas) seulement, et le coefficient correctif de surface est plafonné à 1, correspondant à la surface moyenne du parc des logements ;</w:t>
      </w:r>
    </w:p>
    <w:p w14:paraId="707DFB5C" w14:textId="0DFA86CE"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Il est précisé que la surface chauffée par la PAC correspond à la surface habitable, au sens de l’article R. 156-1 du code de la construction et de l’habitation, chauffée par la PAC installée et correspond aux surfaces des pièces disposant d’un émetteur de chaleur alimenté par la PAC installée.</w:t>
      </w:r>
    </w:p>
    <w:p w14:paraId="2C20F7A7" w14:textId="77777777" w:rsidR="00001AFA" w:rsidRPr="00102414" w:rsidRDefault="00001AFA" w:rsidP="007923EE">
      <w:pPr>
        <w:pStyle w:val="NormalWeb"/>
        <w:tabs>
          <w:tab w:val="right" w:pos="9637"/>
        </w:tabs>
        <w:spacing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Le projet d’arrêté prévoit également les modifications suivantes :</w:t>
      </w:r>
    </w:p>
    <w:p w14:paraId="07C985A2" w14:textId="51B06506"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La demande d’une attestation de déclaration de l’aide MaPrimeRénov’ ;</w:t>
      </w:r>
    </w:p>
    <w:p w14:paraId="129BD7E0" w14:textId="3D5AF7F0"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 xml:space="preserve">La hausse du taux de contrôle sur site à 50% pour les opérations BAR-TH-171 et BAR-TH-172 et la mise en cohérence du référentiel de contrôle </w:t>
      </w:r>
      <w:r w:rsidR="00F95CE2">
        <w:rPr>
          <w:rFonts w:ascii="Marianne" w:eastAsiaTheme="minorHAnsi" w:hAnsi="Marianne" w:cstheme="minorBidi"/>
          <w:color w:val="000000" w:themeColor="text1"/>
          <w:sz w:val="20"/>
          <w:szCs w:val="20"/>
          <w:lang w:eastAsia="en-US"/>
        </w:rPr>
        <w:t xml:space="preserve">de ces fiches </w:t>
      </w:r>
      <w:r w:rsidRPr="00102414">
        <w:rPr>
          <w:rFonts w:ascii="Marianne" w:eastAsiaTheme="minorHAnsi" w:hAnsi="Marianne" w:cstheme="minorBidi"/>
          <w:color w:val="000000" w:themeColor="text1"/>
          <w:sz w:val="20"/>
          <w:szCs w:val="20"/>
          <w:lang w:eastAsia="en-US"/>
        </w:rPr>
        <w:t>;</w:t>
      </w:r>
    </w:p>
    <w:p w14:paraId="7FB559EE" w14:textId="1F5D2387" w:rsidR="00001AFA" w:rsidRPr="00102414" w:rsidRDefault="00001AFA" w:rsidP="007923EE">
      <w:pPr>
        <w:pStyle w:val="NormalWeb"/>
        <w:numPr>
          <w:ilvl w:val="0"/>
          <w:numId w:val="9"/>
        </w:numPr>
        <w:tabs>
          <w:tab w:val="right" w:pos="9637"/>
        </w:tabs>
        <w:spacing w:before="0" w:after="0"/>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Enfin, l’avis d’imposition ou de non-imposition des occupants du logement pour justifier du statut d’occupation en tant que résidence principale et bénéficier de la bonification « Coup de pouce Chauffage » relative aux fiches BAR-TH-171 et BAR-TH-</w:t>
      </w:r>
      <w:r w:rsidRPr="00102414">
        <w:rPr>
          <w:rFonts w:ascii="Marianne" w:eastAsiaTheme="minorHAnsi" w:hAnsi="Marianne" w:cstheme="minorBidi"/>
          <w:color w:val="000000" w:themeColor="text1"/>
          <w:sz w:val="20"/>
          <w:szCs w:val="20"/>
          <w:lang w:eastAsia="en-US"/>
        </w:rPr>
        <w:lastRenderedPageBreak/>
        <w:t>172 n’est plus exigé en tant que pièce justificative pour les bailleurs sociaux uniquement.</w:t>
      </w:r>
    </w:p>
    <w:p w14:paraId="7A1F21F7" w14:textId="6531476E" w:rsidR="00F95CE2" w:rsidRPr="00102414" w:rsidRDefault="00001AFA" w:rsidP="00F95CE2">
      <w:pPr>
        <w:pStyle w:val="NormalWeb"/>
        <w:tabs>
          <w:tab w:val="right" w:pos="9637"/>
        </w:tabs>
        <w:jc w:val="both"/>
        <w:rPr>
          <w:rFonts w:ascii="Marianne" w:eastAsiaTheme="minorHAnsi" w:hAnsi="Marianne" w:cstheme="minorBidi"/>
          <w:color w:val="000000" w:themeColor="text1"/>
          <w:sz w:val="20"/>
          <w:szCs w:val="20"/>
          <w:lang w:eastAsia="en-US"/>
        </w:rPr>
      </w:pPr>
      <w:r w:rsidRPr="00102414">
        <w:rPr>
          <w:rFonts w:ascii="Marianne" w:eastAsiaTheme="minorHAnsi" w:hAnsi="Marianne" w:cstheme="minorBidi"/>
          <w:color w:val="000000" w:themeColor="text1"/>
          <w:sz w:val="20"/>
          <w:szCs w:val="20"/>
          <w:lang w:eastAsia="en-US"/>
        </w:rPr>
        <w:t>Enfin, le projet d’arrêté rectifie un point de contrôle des référentiels des fiches d’opérations standardisées TRA-EQ-114, TRA-EQ-117, TRA-EQ-128, TRA-EQ-129 et TRA-EQ-130 relatif aux véhicules de démonstration, en précisant que c’est le demandeur de certificats qui fournit à l’organisme de contrôle la copie du précédent certificat d’immatriculation. Il met à jour le nom de la fiche TRA-EQ-117 dans l’arrêté relatif aux modalités d’application du dispositif des certificats d’économies d’énergie.</w:t>
      </w:r>
    </w:p>
    <w:p w14:paraId="7F13D519" w14:textId="6BA1508E" w:rsidR="005F6061" w:rsidRPr="00102414" w:rsidRDefault="005F6061" w:rsidP="007923EE">
      <w:pPr>
        <w:pStyle w:val="Paragraphedeliste"/>
        <w:numPr>
          <w:ilvl w:val="0"/>
          <w:numId w:val="1"/>
        </w:numPr>
        <w:jc w:val="both"/>
        <w:rPr>
          <w:rFonts w:ascii="Marianne" w:hAnsi="Marianne"/>
          <w:b/>
          <w:color w:val="000000" w:themeColor="text1"/>
          <w:sz w:val="20"/>
          <w:szCs w:val="20"/>
          <w:u w:val="single"/>
        </w:rPr>
      </w:pPr>
      <w:r w:rsidRPr="00102414">
        <w:rPr>
          <w:rFonts w:ascii="Marianne" w:hAnsi="Marianne"/>
          <w:b/>
          <w:color w:val="000000" w:themeColor="text1"/>
          <w:sz w:val="20"/>
          <w:szCs w:val="20"/>
          <w:u w:val="single"/>
        </w:rPr>
        <w:t xml:space="preserve">Organisation de la consultation </w:t>
      </w:r>
    </w:p>
    <w:p w14:paraId="269C5A43" w14:textId="060F61EB" w:rsidR="000E498D" w:rsidRPr="00102414" w:rsidRDefault="000E498D" w:rsidP="007923EE">
      <w:pPr>
        <w:jc w:val="both"/>
        <w:rPr>
          <w:rFonts w:ascii="Marianne" w:hAnsi="Marianne"/>
          <w:color w:val="000000" w:themeColor="text1"/>
          <w:sz w:val="20"/>
          <w:szCs w:val="20"/>
        </w:rPr>
      </w:pPr>
      <w:r w:rsidRPr="00102414">
        <w:rPr>
          <w:rFonts w:ascii="Marianne" w:hAnsi="Marianne"/>
          <w:color w:val="000000" w:themeColor="text1"/>
          <w:sz w:val="20"/>
          <w:szCs w:val="20"/>
        </w:rPr>
        <w:t xml:space="preserve">Le projet d’arrêté, accompagné d’une note de présentation, a été mis en consultation publique du </w:t>
      </w:r>
      <w:r w:rsidR="00001AFA" w:rsidRPr="00102414">
        <w:rPr>
          <w:rFonts w:ascii="Marianne" w:hAnsi="Marianne"/>
          <w:color w:val="000000" w:themeColor="text1"/>
          <w:sz w:val="20"/>
          <w:szCs w:val="20"/>
        </w:rPr>
        <w:t>4 novembre 2025</w:t>
      </w:r>
      <w:r w:rsidR="000077C6" w:rsidRPr="00102414">
        <w:rPr>
          <w:rFonts w:ascii="Marianne" w:hAnsi="Marianne"/>
          <w:color w:val="000000" w:themeColor="text1"/>
          <w:sz w:val="20"/>
          <w:szCs w:val="20"/>
        </w:rPr>
        <w:t xml:space="preserve"> au </w:t>
      </w:r>
      <w:r w:rsidR="00001AFA" w:rsidRPr="00102414">
        <w:rPr>
          <w:rFonts w:ascii="Marianne" w:hAnsi="Marianne"/>
          <w:color w:val="000000" w:themeColor="text1"/>
          <w:sz w:val="20"/>
          <w:szCs w:val="20"/>
        </w:rPr>
        <w:t xml:space="preserve">24 novembre </w:t>
      </w:r>
      <w:r w:rsidR="000077C6" w:rsidRPr="00102414">
        <w:rPr>
          <w:rFonts w:ascii="Marianne" w:hAnsi="Marianne"/>
          <w:color w:val="000000" w:themeColor="text1"/>
          <w:sz w:val="20"/>
          <w:szCs w:val="20"/>
        </w:rPr>
        <w:t xml:space="preserve">2025 </w:t>
      </w:r>
      <w:r w:rsidRPr="00102414">
        <w:rPr>
          <w:rFonts w:ascii="Marianne" w:hAnsi="Marianne"/>
          <w:color w:val="000000" w:themeColor="text1"/>
          <w:sz w:val="20"/>
          <w:szCs w:val="20"/>
        </w:rPr>
        <w:t>sur le site « Consultations publiques Les consultations publiques du ministère de la Transition écologique », à la page accessible suivant ce</w:t>
      </w:r>
      <w:r w:rsidR="000077C6" w:rsidRPr="00102414">
        <w:rPr>
          <w:rFonts w:ascii="Marianne" w:hAnsi="Marianne"/>
          <w:color w:val="000000" w:themeColor="text1"/>
          <w:sz w:val="20"/>
          <w:szCs w:val="20"/>
        </w:rPr>
        <w:t xml:space="preserve"> </w:t>
      </w:r>
      <w:hyperlink r:id="rId8" w:history="1">
        <w:r w:rsidRPr="00102414">
          <w:rPr>
            <w:rStyle w:val="Lienhypertexte"/>
            <w:rFonts w:ascii="Marianne" w:hAnsi="Marianne"/>
            <w:color w:val="000000" w:themeColor="text1"/>
            <w:sz w:val="20"/>
            <w:szCs w:val="20"/>
          </w:rPr>
          <w:t>lien</w:t>
        </w:r>
      </w:hyperlink>
      <w:r w:rsidRPr="00102414">
        <w:rPr>
          <w:rFonts w:ascii="Marianne" w:hAnsi="Marianne"/>
          <w:color w:val="000000" w:themeColor="text1"/>
          <w:sz w:val="20"/>
          <w:szCs w:val="20"/>
        </w:rPr>
        <w:t>.</w:t>
      </w:r>
    </w:p>
    <w:p w14:paraId="3F793B2D" w14:textId="3A5365BF" w:rsidR="005F6061" w:rsidRPr="00102414" w:rsidRDefault="005F6061" w:rsidP="007923EE">
      <w:pPr>
        <w:pStyle w:val="Paragraphedeliste"/>
        <w:numPr>
          <w:ilvl w:val="0"/>
          <w:numId w:val="1"/>
        </w:numPr>
        <w:jc w:val="both"/>
        <w:rPr>
          <w:rFonts w:ascii="Marianne" w:hAnsi="Marianne"/>
          <w:b/>
          <w:color w:val="000000" w:themeColor="text1"/>
          <w:sz w:val="20"/>
          <w:szCs w:val="20"/>
          <w:u w:val="single"/>
        </w:rPr>
      </w:pPr>
      <w:r w:rsidRPr="00102414">
        <w:rPr>
          <w:rFonts w:ascii="Marianne" w:hAnsi="Marianne"/>
          <w:b/>
          <w:color w:val="000000" w:themeColor="text1"/>
          <w:sz w:val="20"/>
          <w:szCs w:val="20"/>
          <w:u w:val="single"/>
        </w:rPr>
        <w:t xml:space="preserve">Synthèse de la consultation </w:t>
      </w:r>
    </w:p>
    <w:p w14:paraId="2C73329F" w14:textId="77777777" w:rsidR="00803F40" w:rsidRPr="00102414" w:rsidRDefault="00803F40" w:rsidP="007923EE">
      <w:pPr>
        <w:pStyle w:val="Paragraphedeliste"/>
        <w:jc w:val="both"/>
        <w:rPr>
          <w:rFonts w:ascii="Marianne" w:hAnsi="Marianne"/>
          <w:b/>
          <w:color w:val="000000" w:themeColor="text1"/>
          <w:sz w:val="20"/>
          <w:szCs w:val="20"/>
          <w:u w:val="single"/>
        </w:rPr>
      </w:pPr>
    </w:p>
    <w:p w14:paraId="03AD2FED" w14:textId="002D298B" w:rsidR="005F6061" w:rsidRPr="00102414" w:rsidRDefault="005F6061" w:rsidP="007923EE">
      <w:pPr>
        <w:pStyle w:val="Paragraphedeliste"/>
        <w:numPr>
          <w:ilvl w:val="1"/>
          <w:numId w:val="1"/>
        </w:numPr>
        <w:jc w:val="both"/>
        <w:rPr>
          <w:rFonts w:ascii="Marianne" w:hAnsi="Marianne"/>
          <w:b/>
          <w:color w:val="000000" w:themeColor="text1"/>
          <w:sz w:val="20"/>
          <w:szCs w:val="20"/>
        </w:rPr>
      </w:pPr>
      <w:r w:rsidRPr="00102414">
        <w:rPr>
          <w:rFonts w:ascii="Marianne" w:hAnsi="Marianne"/>
          <w:b/>
          <w:color w:val="000000" w:themeColor="text1"/>
          <w:sz w:val="20"/>
          <w:szCs w:val="20"/>
        </w:rPr>
        <w:t>Participation à la consultation</w:t>
      </w:r>
    </w:p>
    <w:p w14:paraId="5F9F68ED" w14:textId="788D280C" w:rsidR="00D8500E" w:rsidRPr="00102414" w:rsidRDefault="00D8500E" w:rsidP="007923EE">
      <w:pPr>
        <w:jc w:val="both"/>
        <w:rPr>
          <w:rFonts w:ascii="Marianne" w:hAnsi="Marianne"/>
          <w:color w:val="000000" w:themeColor="text1"/>
          <w:sz w:val="20"/>
          <w:szCs w:val="20"/>
        </w:rPr>
      </w:pPr>
      <w:r w:rsidRPr="00102414">
        <w:rPr>
          <w:rFonts w:ascii="Marianne" w:hAnsi="Marianne"/>
          <w:color w:val="000000" w:themeColor="text1"/>
          <w:sz w:val="20"/>
          <w:szCs w:val="20"/>
        </w:rPr>
        <w:t xml:space="preserve">À la suite de la publication sur le site de mise à la consultation publique du Ministère de la transition écologique, </w:t>
      </w:r>
      <w:r w:rsidR="00001AFA" w:rsidRPr="00102414">
        <w:rPr>
          <w:rFonts w:ascii="Marianne" w:hAnsi="Marianne"/>
          <w:color w:val="000000" w:themeColor="text1"/>
          <w:sz w:val="20"/>
          <w:szCs w:val="20"/>
        </w:rPr>
        <w:t>19</w:t>
      </w:r>
      <w:r w:rsidR="00AF6B50" w:rsidRPr="00102414">
        <w:rPr>
          <w:rFonts w:ascii="Marianne" w:hAnsi="Marianne"/>
          <w:color w:val="000000" w:themeColor="text1"/>
          <w:sz w:val="20"/>
          <w:szCs w:val="20"/>
        </w:rPr>
        <w:t xml:space="preserve"> </w:t>
      </w:r>
      <w:r w:rsidR="00001AFA" w:rsidRPr="00102414">
        <w:rPr>
          <w:rFonts w:ascii="Marianne" w:hAnsi="Marianne"/>
          <w:color w:val="000000" w:themeColor="text1"/>
          <w:sz w:val="20"/>
          <w:szCs w:val="20"/>
        </w:rPr>
        <w:t>contributions ont été reçues.</w:t>
      </w:r>
    </w:p>
    <w:p w14:paraId="7749C57A" w14:textId="6B209878" w:rsidR="005F6061" w:rsidRPr="00102414" w:rsidRDefault="005F6061" w:rsidP="007923EE">
      <w:pPr>
        <w:pStyle w:val="Paragraphedeliste"/>
        <w:numPr>
          <w:ilvl w:val="1"/>
          <w:numId w:val="1"/>
        </w:numPr>
        <w:jc w:val="both"/>
        <w:rPr>
          <w:rFonts w:ascii="Marianne" w:hAnsi="Marianne"/>
          <w:b/>
          <w:color w:val="000000" w:themeColor="text1"/>
          <w:sz w:val="20"/>
          <w:szCs w:val="20"/>
        </w:rPr>
      </w:pPr>
      <w:r w:rsidRPr="00102414">
        <w:rPr>
          <w:rFonts w:ascii="Marianne" w:hAnsi="Marianne"/>
          <w:b/>
          <w:color w:val="000000" w:themeColor="text1"/>
          <w:sz w:val="20"/>
          <w:szCs w:val="20"/>
        </w:rPr>
        <w:t>Contenu de l’avis</w:t>
      </w:r>
    </w:p>
    <w:p w14:paraId="0E3AE11C" w14:textId="37172A9C" w:rsidR="000077C6" w:rsidRPr="00102414" w:rsidRDefault="00686056" w:rsidP="007923EE">
      <w:pPr>
        <w:jc w:val="both"/>
        <w:rPr>
          <w:rFonts w:ascii="Marianne" w:hAnsi="Marianne"/>
          <w:color w:val="000000" w:themeColor="text1"/>
          <w:sz w:val="20"/>
          <w:szCs w:val="20"/>
          <w:u w:val="single"/>
        </w:rPr>
      </w:pPr>
      <w:r w:rsidRPr="00102414">
        <w:rPr>
          <w:rFonts w:ascii="Marianne" w:hAnsi="Marianne"/>
          <w:color w:val="000000" w:themeColor="text1"/>
          <w:sz w:val="20"/>
          <w:szCs w:val="20"/>
          <w:u w:val="single"/>
        </w:rPr>
        <w:t>S’agissant d’aspects généraux, l</w:t>
      </w:r>
      <w:r w:rsidR="00D8500E" w:rsidRPr="00102414">
        <w:rPr>
          <w:rFonts w:ascii="Marianne" w:hAnsi="Marianne"/>
          <w:color w:val="000000" w:themeColor="text1"/>
          <w:sz w:val="20"/>
          <w:szCs w:val="20"/>
          <w:u w:val="single"/>
        </w:rPr>
        <w:t>es contributions émises </w:t>
      </w:r>
      <w:r w:rsidR="000077C6" w:rsidRPr="00102414">
        <w:rPr>
          <w:rFonts w:ascii="Marianne" w:hAnsi="Marianne"/>
          <w:color w:val="000000" w:themeColor="text1"/>
          <w:sz w:val="20"/>
          <w:szCs w:val="20"/>
          <w:u w:val="single"/>
        </w:rPr>
        <w:t>:</w:t>
      </w:r>
    </w:p>
    <w:p w14:paraId="4DFBABCE" w14:textId="42A08CEE" w:rsidR="00657CEB" w:rsidRPr="00102414" w:rsidRDefault="00B40FEF" w:rsidP="007923EE">
      <w:pPr>
        <w:pStyle w:val="Paragraphedeliste"/>
        <w:numPr>
          <w:ilvl w:val="0"/>
          <w:numId w:val="11"/>
        </w:numPr>
        <w:jc w:val="both"/>
        <w:rPr>
          <w:rFonts w:ascii="Marianne" w:hAnsi="Marianne"/>
          <w:color w:val="000000" w:themeColor="text1"/>
          <w:sz w:val="20"/>
          <w:szCs w:val="20"/>
        </w:rPr>
      </w:pPr>
      <w:r w:rsidRPr="00102414">
        <w:rPr>
          <w:rFonts w:ascii="Marianne" w:hAnsi="Marianne"/>
          <w:color w:val="000000" w:themeColor="text1"/>
          <w:sz w:val="20"/>
          <w:szCs w:val="20"/>
        </w:rPr>
        <w:t>Rappellent</w:t>
      </w:r>
      <w:r w:rsidR="00DB6F01" w:rsidRPr="00102414">
        <w:rPr>
          <w:rFonts w:ascii="Marianne" w:hAnsi="Marianne"/>
          <w:color w:val="000000" w:themeColor="text1"/>
          <w:sz w:val="20"/>
          <w:szCs w:val="20"/>
        </w:rPr>
        <w:t xml:space="preserve"> la nécessité d’avoir un dispositif stable </w:t>
      </w:r>
      <w:r w:rsidR="00657CEB" w:rsidRPr="00102414">
        <w:rPr>
          <w:rFonts w:ascii="Marianne" w:hAnsi="Marianne"/>
          <w:color w:val="000000" w:themeColor="text1"/>
          <w:sz w:val="20"/>
          <w:szCs w:val="20"/>
        </w:rPr>
        <w:t>et que toute</w:t>
      </w:r>
      <w:r w:rsidR="00DB6F01" w:rsidRPr="00102414">
        <w:rPr>
          <w:rFonts w:ascii="Marianne" w:hAnsi="Marianne"/>
          <w:color w:val="000000" w:themeColor="text1"/>
          <w:sz w:val="20"/>
          <w:szCs w:val="20"/>
        </w:rPr>
        <w:t xml:space="preserve"> modification</w:t>
      </w:r>
      <w:r w:rsidR="00657CEB" w:rsidRPr="00102414">
        <w:rPr>
          <w:rFonts w:ascii="Marianne" w:hAnsi="Marianne"/>
          <w:color w:val="000000" w:themeColor="text1"/>
          <w:sz w:val="20"/>
          <w:szCs w:val="20"/>
        </w:rPr>
        <w:t xml:space="preserve"> </w:t>
      </w:r>
      <w:r w:rsidR="00713A20" w:rsidRPr="00102414">
        <w:rPr>
          <w:rFonts w:ascii="Marianne" w:hAnsi="Marianne"/>
          <w:color w:val="000000" w:themeColor="text1"/>
          <w:sz w:val="20"/>
          <w:szCs w:val="20"/>
        </w:rPr>
        <w:t xml:space="preserve">doit permettre aux </w:t>
      </w:r>
      <w:r w:rsidR="00657CEB" w:rsidRPr="00102414">
        <w:rPr>
          <w:rFonts w:ascii="Marianne" w:hAnsi="Marianne"/>
          <w:color w:val="000000" w:themeColor="text1"/>
          <w:sz w:val="20"/>
          <w:szCs w:val="20"/>
        </w:rPr>
        <w:t xml:space="preserve">parties prenantes de procéder à une analyse approfondie des propositions </w:t>
      </w:r>
      <w:r w:rsidRPr="00102414">
        <w:rPr>
          <w:rFonts w:ascii="Marianne" w:hAnsi="Marianne"/>
          <w:color w:val="000000" w:themeColor="text1"/>
          <w:sz w:val="20"/>
          <w:szCs w:val="20"/>
        </w:rPr>
        <w:t>pour s</w:t>
      </w:r>
      <w:r w:rsidR="00657CEB" w:rsidRPr="00102414">
        <w:rPr>
          <w:rFonts w:ascii="Marianne" w:hAnsi="Marianne"/>
          <w:color w:val="000000" w:themeColor="text1"/>
          <w:sz w:val="20"/>
          <w:szCs w:val="20"/>
        </w:rPr>
        <w:t xml:space="preserve">’assurer de </w:t>
      </w:r>
      <w:r w:rsidRPr="00102414">
        <w:rPr>
          <w:rFonts w:ascii="Marianne" w:hAnsi="Marianne"/>
          <w:color w:val="000000" w:themeColor="text1"/>
          <w:sz w:val="20"/>
          <w:szCs w:val="20"/>
        </w:rPr>
        <w:t>leur</w:t>
      </w:r>
      <w:r w:rsidR="00657CEB" w:rsidRPr="00102414">
        <w:rPr>
          <w:rFonts w:ascii="Marianne" w:hAnsi="Marianne"/>
          <w:color w:val="000000" w:themeColor="text1"/>
          <w:sz w:val="20"/>
          <w:szCs w:val="20"/>
        </w:rPr>
        <w:t xml:space="preserve"> robustesse</w:t>
      </w:r>
      <w:r w:rsidR="00713A20" w:rsidRPr="00102414">
        <w:rPr>
          <w:rFonts w:ascii="Marianne" w:hAnsi="Marianne"/>
          <w:color w:val="000000" w:themeColor="text1"/>
          <w:sz w:val="20"/>
          <w:szCs w:val="20"/>
        </w:rPr>
        <w:t xml:space="preserve"> et de leur pertinence ;</w:t>
      </w:r>
    </w:p>
    <w:p w14:paraId="219E98EB" w14:textId="5E72A6DC" w:rsidR="00DB6F01" w:rsidRPr="00102414" w:rsidRDefault="00657CEB" w:rsidP="007923EE">
      <w:pPr>
        <w:pStyle w:val="Paragraphedeliste"/>
        <w:numPr>
          <w:ilvl w:val="0"/>
          <w:numId w:val="11"/>
        </w:numPr>
        <w:jc w:val="both"/>
        <w:rPr>
          <w:rFonts w:ascii="Marianne" w:hAnsi="Marianne"/>
          <w:color w:val="000000" w:themeColor="text1"/>
          <w:sz w:val="20"/>
          <w:szCs w:val="20"/>
        </w:rPr>
      </w:pPr>
      <w:r w:rsidRPr="00102414">
        <w:rPr>
          <w:rFonts w:ascii="Marianne" w:hAnsi="Marianne"/>
          <w:color w:val="000000" w:themeColor="text1"/>
          <w:sz w:val="20"/>
          <w:szCs w:val="20"/>
        </w:rPr>
        <w:t>Soutiennent les évolutions mises en œuvre pour lutte</w:t>
      </w:r>
      <w:r w:rsidR="00B40FEF" w:rsidRPr="00102414">
        <w:rPr>
          <w:rFonts w:ascii="Marianne" w:hAnsi="Marianne"/>
          <w:color w:val="000000" w:themeColor="text1"/>
          <w:sz w:val="20"/>
          <w:szCs w:val="20"/>
        </w:rPr>
        <w:t>r</w:t>
      </w:r>
      <w:r w:rsidRPr="00102414">
        <w:rPr>
          <w:rFonts w:ascii="Marianne" w:hAnsi="Marianne"/>
          <w:color w:val="000000" w:themeColor="text1"/>
          <w:sz w:val="20"/>
          <w:szCs w:val="20"/>
        </w:rPr>
        <w:t xml:space="preserve"> contre la fraude</w:t>
      </w:r>
      <w:r w:rsidR="00B40FEF" w:rsidRPr="00102414">
        <w:rPr>
          <w:rFonts w:ascii="Marianne" w:hAnsi="Marianne"/>
          <w:color w:val="000000" w:themeColor="text1"/>
          <w:sz w:val="20"/>
          <w:szCs w:val="20"/>
        </w:rPr>
        <w:t> ;</w:t>
      </w:r>
    </w:p>
    <w:p w14:paraId="44F1566E" w14:textId="0E78DAB7" w:rsidR="00713A20" w:rsidRPr="00102414" w:rsidRDefault="00713A20" w:rsidP="007923EE">
      <w:pPr>
        <w:pStyle w:val="Paragraphedeliste"/>
        <w:numPr>
          <w:ilvl w:val="0"/>
          <w:numId w:val="11"/>
        </w:numPr>
        <w:jc w:val="both"/>
        <w:rPr>
          <w:rFonts w:ascii="Marianne" w:hAnsi="Marianne"/>
          <w:color w:val="000000" w:themeColor="text1"/>
          <w:sz w:val="20"/>
          <w:szCs w:val="20"/>
        </w:rPr>
      </w:pPr>
      <w:r w:rsidRPr="00102414">
        <w:rPr>
          <w:rFonts w:ascii="Marianne" w:hAnsi="Marianne"/>
          <w:color w:val="000000" w:themeColor="text1"/>
          <w:sz w:val="20"/>
          <w:szCs w:val="20"/>
        </w:rPr>
        <w:t>S</w:t>
      </w:r>
      <w:r w:rsidR="00B40FEF" w:rsidRPr="00102414">
        <w:rPr>
          <w:rFonts w:ascii="Marianne" w:hAnsi="Marianne"/>
          <w:color w:val="000000" w:themeColor="text1"/>
          <w:sz w:val="20"/>
          <w:szCs w:val="20"/>
        </w:rPr>
        <w:t xml:space="preserve">’étonnent </w:t>
      </w:r>
      <w:r w:rsidRPr="00102414">
        <w:rPr>
          <w:rFonts w:ascii="Marianne" w:hAnsi="Marianne"/>
          <w:color w:val="000000" w:themeColor="text1"/>
          <w:sz w:val="20"/>
          <w:szCs w:val="20"/>
        </w:rPr>
        <w:t>pour certaines</w:t>
      </w:r>
      <w:r w:rsidR="00B40FEF" w:rsidRPr="00102414">
        <w:rPr>
          <w:rFonts w:ascii="Marianne" w:hAnsi="Marianne"/>
          <w:color w:val="000000" w:themeColor="text1"/>
          <w:sz w:val="20"/>
          <w:szCs w:val="20"/>
        </w:rPr>
        <w:t xml:space="preserve">, </w:t>
      </w:r>
      <w:r w:rsidR="00686056" w:rsidRPr="00102414">
        <w:rPr>
          <w:rFonts w:ascii="Marianne" w:hAnsi="Marianne"/>
          <w:color w:val="000000" w:themeColor="text1"/>
          <w:sz w:val="20"/>
          <w:szCs w:val="20"/>
        </w:rPr>
        <w:t>que</w:t>
      </w:r>
      <w:r w:rsidR="00B40FEF" w:rsidRPr="00102414">
        <w:rPr>
          <w:rFonts w:ascii="Marianne" w:hAnsi="Marianne"/>
          <w:color w:val="000000" w:themeColor="text1"/>
          <w:sz w:val="20"/>
          <w:szCs w:val="20"/>
        </w:rPr>
        <w:t xml:space="preserve"> la bonification associée</w:t>
      </w:r>
      <w:r w:rsidRPr="00102414">
        <w:rPr>
          <w:rFonts w:ascii="Marianne" w:hAnsi="Marianne"/>
          <w:color w:val="000000" w:themeColor="text1"/>
          <w:sz w:val="20"/>
          <w:szCs w:val="20"/>
        </w:rPr>
        <w:t xml:space="preserve"> </w:t>
      </w:r>
      <w:r w:rsidR="00686056" w:rsidRPr="00102414">
        <w:rPr>
          <w:rFonts w:ascii="Marianne" w:hAnsi="Marianne"/>
          <w:color w:val="000000" w:themeColor="text1"/>
          <w:sz w:val="20"/>
          <w:szCs w:val="20"/>
        </w:rPr>
        <w:t>n’a</w:t>
      </w:r>
      <w:r w:rsidR="006974D4">
        <w:rPr>
          <w:rFonts w:ascii="Marianne" w:hAnsi="Marianne"/>
          <w:color w:val="000000" w:themeColor="text1"/>
          <w:sz w:val="20"/>
          <w:szCs w:val="20"/>
        </w:rPr>
        <w:t>it</w:t>
      </w:r>
      <w:r w:rsidR="00686056" w:rsidRPr="00102414">
        <w:rPr>
          <w:rFonts w:ascii="Marianne" w:hAnsi="Marianne"/>
          <w:color w:val="000000" w:themeColor="text1"/>
          <w:sz w:val="20"/>
          <w:szCs w:val="20"/>
        </w:rPr>
        <w:t xml:space="preserve"> pas été modifiée, </w:t>
      </w:r>
      <w:r w:rsidRPr="00102414">
        <w:rPr>
          <w:rFonts w:ascii="Marianne" w:hAnsi="Marianne"/>
          <w:color w:val="000000" w:themeColor="text1"/>
          <w:sz w:val="20"/>
          <w:szCs w:val="20"/>
        </w:rPr>
        <w:t>compte tenu du montant d’aide plus important</w:t>
      </w:r>
      <w:r w:rsidR="005F3AF4">
        <w:rPr>
          <w:rFonts w:ascii="Marianne" w:hAnsi="Marianne"/>
          <w:color w:val="000000" w:themeColor="text1"/>
          <w:sz w:val="20"/>
          <w:szCs w:val="20"/>
        </w:rPr>
        <w:t>, dans certains cas, que celui en vigueur au 30 septembre 2025</w:t>
      </w:r>
      <w:r w:rsidRPr="00102414">
        <w:rPr>
          <w:rFonts w:ascii="Marianne" w:hAnsi="Marianne"/>
          <w:color w:val="000000" w:themeColor="text1"/>
          <w:sz w:val="20"/>
          <w:szCs w:val="20"/>
        </w:rPr>
        <w:t>,</w:t>
      </w:r>
      <w:r w:rsidR="00B40FEF" w:rsidRPr="00102414">
        <w:rPr>
          <w:rFonts w:ascii="Marianne" w:hAnsi="Marianne"/>
          <w:color w:val="000000" w:themeColor="text1"/>
          <w:sz w:val="20"/>
          <w:szCs w:val="20"/>
        </w:rPr>
        <w:t xml:space="preserve"> et </w:t>
      </w:r>
      <w:r w:rsidR="00686056" w:rsidRPr="00102414">
        <w:rPr>
          <w:rFonts w:ascii="Marianne" w:hAnsi="Marianne"/>
          <w:color w:val="000000" w:themeColor="text1"/>
          <w:sz w:val="20"/>
          <w:szCs w:val="20"/>
        </w:rPr>
        <w:t>supposent</w:t>
      </w:r>
      <w:r w:rsidR="00B40FEF" w:rsidRPr="00102414">
        <w:rPr>
          <w:rFonts w:ascii="Marianne" w:hAnsi="Marianne"/>
          <w:color w:val="000000" w:themeColor="text1"/>
          <w:sz w:val="20"/>
          <w:szCs w:val="20"/>
        </w:rPr>
        <w:t xml:space="preserve"> qu’au </w:t>
      </w:r>
      <w:r w:rsidR="00686056" w:rsidRPr="00102414">
        <w:rPr>
          <w:rFonts w:ascii="Marianne" w:hAnsi="Marianne"/>
          <w:color w:val="000000" w:themeColor="text1"/>
          <w:sz w:val="20"/>
          <w:szCs w:val="20"/>
        </w:rPr>
        <w:t>regard</w:t>
      </w:r>
      <w:r w:rsidR="00B40FEF" w:rsidRPr="00102414">
        <w:rPr>
          <w:rFonts w:ascii="Marianne" w:hAnsi="Marianne"/>
          <w:color w:val="000000" w:themeColor="text1"/>
          <w:sz w:val="20"/>
          <w:szCs w:val="20"/>
        </w:rPr>
        <w:t xml:space="preserve"> des montants </w:t>
      </w:r>
      <w:r w:rsidRPr="00102414">
        <w:rPr>
          <w:rFonts w:ascii="Marianne" w:hAnsi="Marianne"/>
          <w:color w:val="000000" w:themeColor="text1"/>
          <w:sz w:val="20"/>
          <w:szCs w:val="20"/>
        </w:rPr>
        <w:t xml:space="preserve">d’aide CEE </w:t>
      </w:r>
      <w:r w:rsidR="00B40FEF" w:rsidRPr="00102414">
        <w:rPr>
          <w:rFonts w:ascii="Marianne" w:hAnsi="Marianne"/>
          <w:color w:val="000000" w:themeColor="text1"/>
          <w:sz w:val="20"/>
          <w:szCs w:val="20"/>
        </w:rPr>
        <w:t>importants, l’aide MPR ne sera plus sollicité</w:t>
      </w:r>
      <w:r w:rsidRPr="00102414">
        <w:rPr>
          <w:rFonts w:ascii="Marianne" w:hAnsi="Marianne"/>
          <w:color w:val="000000" w:themeColor="text1"/>
          <w:sz w:val="20"/>
          <w:szCs w:val="20"/>
        </w:rPr>
        <w:t>e ;</w:t>
      </w:r>
    </w:p>
    <w:p w14:paraId="60FF45B7" w14:textId="154F7430" w:rsidR="00DB6F01" w:rsidRPr="00102414" w:rsidRDefault="00DB6F01" w:rsidP="007923EE">
      <w:pPr>
        <w:jc w:val="both"/>
        <w:rPr>
          <w:rFonts w:ascii="Marianne" w:hAnsi="Marianne"/>
          <w:color w:val="000000" w:themeColor="text1"/>
          <w:sz w:val="20"/>
          <w:szCs w:val="20"/>
        </w:rPr>
      </w:pPr>
      <w:r w:rsidRPr="00102414">
        <w:rPr>
          <w:rFonts w:ascii="Marianne" w:hAnsi="Marianne"/>
          <w:color w:val="000000" w:themeColor="text1"/>
          <w:sz w:val="20"/>
          <w:szCs w:val="20"/>
          <w:u w:val="single"/>
        </w:rPr>
        <w:t xml:space="preserve">S’agissant </w:t>
      </w:r>
      <w:r w:rsidR="004B459C" w:rsidRPr="00102414">
        <w:rPr>
          <w:rFonts w:ascii="Marianne" w:hAnsi="Marianne"/>
          <w:color w:val="000000" w:themeColor="text1"/>
          <w:sz w:val="20"/>
          <w:szCs w:val="20"/>
          <w:u w:val="single"/>
        </w:rPr>
        <w:t>du paramètre</w:t>
      </w:r>
      <w:r w:rsidRPr="00102414">
        <w:rPr>
          <w:rFonts w:ascii="Marianne" w:hAnsi="Marianne"/>
          <w:color w:val="000000" w:themeColor="text1"/>
          <w:sz w:val="20"/>
          <w:szCs w:val="20"/>
          <w:u w:val="single"/>
        </w:rPr>
        <w:t xml:space="preserve"> lié</w:t>
      </w:r>
      <w:r w:rsidR="004B459C" w:rsidRPr="00102414">
        <w:rPr>
          <w:rFonts w:ascii="Marianne" w:hAnsi="Marianne"/>
          <w:color w:val="000000" w:themeColor="text1"/>
          <w:sz w:val="20"/>
          <w:szCs w:val="20"/>
          <w:u w:val="single"/>
        </w:rPr>
        <w:t xml:space="preserve"> à la surface pour le </w:t>
      </w:r>
      <w:r w:rsidRPr="00102414">
        <w:rPr>
          <w:rFonts w:ascii="Marianne" w:hAnsi="Marianne"/>
          <w:color w:val="000000" w:themeColor="text1"/>
          <w:sz w:val="20"/>
          <w:szCs w:val="20"/>
          <w:u w:val="single"/>
        </w:rPr>
        <w:t>calcul du forfait</w:t>
      </w:r>
      <w:r w:rsidR="00686056" w:rsidRPr="00102414">
        <w:rPr>
          <w:rFonts w:ascii="Marianne" w:hAnsi="Marianne"/>
          <w:color w:val="000000" w:themeColor="text1"/>
          <w:sz w:val="20"/>
          <w:szCs w:val="20"/>
          <w:u w:val="single"/>
        </w:rPr>
        <w:t xml:space="preserve"> de CEE, les contributions émises :</w:t>
      </w:r>
    </w:p>
    <w:p w14:paraId="1C622FA1" w14:textId="595B3BBC" w:rsidR="00DB6F01" w:rsidRPr="00102414" w:rsidRDefault="00DB6F01"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 xml:space="preserve">Sont </w:t>
      </w:r>
      <w:r w:rsidR="00103426" w:rsidRPr="00102414">
        <w:rPr>
          <w:rFonts w:ascii="Marianne" w:hAnsi="Marianne"/>
          <w:color w:val="000000" w:themeColor="text1"/>
          <w:sz w:val="20"/>
          <w:szCs w:val="20"/>
        </w:rPr>
        <w:t xml:space="preserve">alignées avec </w:t>
      </w:r>
      <w:r w:rsidR="00597140" w:rsidRPr="00102414">
        <w:rPr>
          <w:rFonts w:ascii="Marianne" w:hAnsi="Marianne"/>
          <w:color w:val="000000" w:themeColor="text1"/>
          <w:sz w:val="20"/>
          <w:szCs w:val="20"/>
        </w:rPr>
        <w:t xml:space="preserve">(i) </w:t>
      </w:r>
      <w:r w:rsidR="00103426" w:rsidRPr="00102414">
        <w:rPr>
          <w:rFonts w:ascii="Marianne" w:hAnsi="Marianne"/>
          <w:color w:val="000000" w:themeColor="text1"/>
          <w:sz w:val="20"/>
          <w:szCs w:val="20"/>
        </w:rPr>
        <w:t>la proposition d’un plafonnement du facteur correctif de surface à 1</w:t>
      </w:r>
      <w:r w:rsidR="00B40FEF" w:rsidRPr="00102414">
        <w:rPr>
          <w:rFonts w:ascii="Marianne" w:hAnsi="Marianne"/>
          <w:color w:val="000000" w:themeColor="text1"/>
          <w:sz w:val="20"/>
          <w:szCs w:val="20"/>
        </w:rPr>
        <w:t xml:space="preserve"> (qui c</w:t>
      </w:r>
      <w:r w:rsidR="00103426" w:rsidRPr="00102414">
        <w:rPr>
          <w:rFonts w:ascii="Marianne" w:hAnsi="Marianne"/>
          <w:color w:val="000000" w:themeColor="text1"/>
          <w:sz w:val="20"/>
          <w:szCs w:val="20"/>
        </w:rPr>
        <w:t>orrespond à une surface moyenne</w:t>
      </w:r>
      <w:r w:rsidR="004B459C" w:rsidRPr="00102414">
        <w:rPr>
          <w:rFonts w:ascii="Marianne" w:hAnsi="Marianne"/>
          <w:color w:val="000000" w:themeColor="text1"/>
          <w:sz w:val="20"/>
          <w:szCs w:val="20"/>
        </w:rPr>
        <w:t xml:space="preserve"> des logements</w:t>
      </w:r>
      <w:r w:rsidR="00103426" w:rsidRPr="00102414">
        <w:rPr>
          <w:rFonts w:ascii="Marianne" w:hAnsi="Marianne"/>
          <w:color w:val="000000" w:themeColor="text1"/>
          <w:sz w:val="20"/>
          <w:szCs w:val="20"/>
        </w:rPr>
        <w:t>), compte tenu du risque de fraude lié à ce paramètre</w:t>
      </w:r>
      <w:r w:rsidR="00597140" w:rsidRPr="00102414">
        <w:rPr>
          <w:rFonts w:ascii="Marianne" w:hAnsi="Marianne"/>
          <w:color w:val="000000" w:themeColor="text1"/>
          <w:sz w:val="20"/>
          <w:szCs w:val="20"/>
        </w:rPr>
        <w:t xml:space="preserve"> (ii) et</w:t>
      </w:r>
      <w:r w:rsidR="004B459C" w:rsidRPr="00102414">
        <w:rPr>
          <w:rFonts w:ascii="Marianne" w:hAnsi="Marianne"/>
          <w:color w:val="000000" w:themeColor="text1"/>
          <w:sz w:val="20"/>
          <w:szCs w:val="20"/>
        </w:rPr>
        <w:t xml:space="preserve"> sur la</w:t>
      </w:r>
      <w:r w:rsidR="00103426" w:rsidRPr="00102414">
        <w:rPr>
          <w:rFonts w:ascii="Marianne" w:hAnsi="Marianne"/>
          <w:color w:val="000000" w:themeColor="text1"/>
          <w:sz w:val="20"/>
          <w:szCs w:val="20"/>
        </w:rPr>
        <w:t xml:space="preserve"> condition de contrôles </w:t>
      </w:r>
      <w:r w:rsidR="00B40FEF" w:rsidRPr="00102414">
        <w:rPr>
          <w:rFonts w:ascii="Marianne" w:hAnsi="Marianne"/>
          <w:color w:val="000000" w:themeColor="text1"/>
          <w:sz w:val="20"/>
          <w:szCs w:val="20"/>
        </w:rPr>
        <w:t xml:space="preserve">des surfaces pour celles en </w:t>
      </w:r>
      <w:r w:rsidR="004B459C" w:rsidRPr="00102414">
        <w:rPr>
          <w:rFonts w:ascii="Marianne" w:hAnsi="Marianne"/>
          <w:color w:val="000000" w:themeColor="text1"/>
          <w:sz w:val="20"/>
          <w:szCs w:val="20"/>
        </w:rPr>
        <w:t>deçà</w:t>
      </w:r>
      <w:r w:rsidR="00B40FEF" w:rsidRPr="00102414">
        <w:rPr>
          <w:rFonts w:ascii="Marianne" w:hAnsi="Marianne"/>
          <w:color w:val="000000" w:themeColor="text1"/>
          <w:sz w:val="20"/>
          <w:szCs w:val="20"/>
        </w:rPr>
        <w:t xml:space="preserve"> de ce seuil ;</w:t>
      </w:r>
    </w:p>
    <w:p w14:paraId="34B96B52" w14:textId="3FF94596" w:rsidR="00103426" w:rsidRPr="00102414" w:rsidRDefault="00DB6F01"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Recommande</w:t>
      </w:r>
      <w:r w:rsidR="00B40FEF" w:rsidRPr="00102414">
        <w:rPr>
          <w:rFonts w:ascii="Marianne" w:hAnsi="Marianne"/>
          <w:color w:val="000000" w:themeColor="text1"/>
          <w:sz w:val="20"/>
          <w:szCs w:val="20"/>
        </w:rPr>
        <w:t>nt</w:t>
      </w:r>
      <w:r w:rsidR="00F95CE2">
        <w:rPr>
          <w:rFonts w:ascii="Marianne" w:hAnsi="Marianne"/>
          <w:color w:val="000000" w:themeColor="text1"/>
          <w:sz w:val="20"/>
          <w:szCs w:val="20"/>
        </w:rPr>
        <w:t>,</w:t>
      </w:r>
      <w:r w:rsidRPr="00102414">
        <w:rPr>
          <w:rFonts w:ascii="Marianne" w:hAnsi="Marianne"/>
          <w:color w:val="000000" w:themeColor="text1"/>
          <w:sz w:val="20"/>
          <w:szCs w:val="20"/>
        </w:rPr>
        <w:t xml:space="preserve"> </w:t>
      </w:r>
      <w:r w:rsidR="004B459C" w:rsidRPr="00102414">
        <w:rPr>
          <w:rFonts w:ascii="Marianne" w:hAnsi="Marianne"/>
          <w:color w:val="000000" w:themeColor="text1"/>
          <w:sz w:val="20"/>
          <w:szCs w:val="20"/>
        </w:rPr>
        <w:t>pour certaines</w:t>
      </w:r>
      <w:r w:rsidR="00686056" w:rsidRPr="00102414">
        <w:rPr>
          <w:rFonts w:ascii="Marianne" w:hAnsi="Marianne"/>
          <w:color w:val="000000" w:themeColor="text1"/>
          <w:sz w:val="20"/>
          <w:szCs w:val="20"/>
        </w:rPr>
        <w:t>,</w:t>
      </w:r>
      <w:r w:rsidR="004B459C" w:rsidRPr="00102414">
        <w:rPr>
          <w:rFonts w:ascii="Marianne" w:hAnsi="Marianne"/>
          <w:color w:val="000000" w:themeColor="text1"/>
          <w:sz w:val="20"/>
          <w:szCs w:val="20"/>
        </w:rPr>
        <w:t xml:space="preserve"> </w:t>
      </w:r>
      <w:r w:rsidRPr="00102414">
        <w:rPr>
          <w:rFonts w:ascii="Marianne" w:hAnsi="Marianne"/>
          <w:color w:val="000000" w:themeColor="text1"/>
          <w:sz w:val="20"/>
          <w:szCs w:val="20"/>
        </w:rPr>
        <w:t xml:space="preserve">de supprimer le facteur correctif selon la surface chauffée et </w:t>
      </w:r>
      <w:r w:rsidR="00686056" w:rsidRPr="00102414">
        <w:rPr>
          <w:rFonts w:ascii="Marianne" w:hAnsi="Marianne"/>
          <w:color w:val="000000" w:themeColor="text1"/>
          <w:sz w:val="20"/>
          <w:szCs w:val="20"/>
        </w:rPr>
        <w:t>d’appliquer</w:t>
      </w:r>
      <w:r w:rsidRPr="00102414">
        <w:rPr>
          <w:rFonts w:ascii="Marianne" w:hAnsi="Marianne"/>
          <w:color w:val="000000" w:themeColor="text1"/>
          <w:sz w:val="20"/>
          <w:szCs w:val="20"/>
        </w:rPr>
        <w:t xml:space="preserve"> un coefficient </w:t>
      </w:r>
      <w:r w:rsidR="00686056" w:rsidRPr="00102414">
        <w:rPr>
          <w:rFonts w:ascii="Marianne" w:hAnsi="Marianne"/>
          <w:color w:val="000000" w:themeColor="text1"/>
          <w:sz w:val="20"/>
          <w:szCs w:val="20"/>
        </w:rPr>
        <w:t xml:space="preserve">correctif de surface égal à </w:t>
      </w:r>
      <w:r w:rsidR="00B40FEF" w:rsidRPr="00102414">
        <w:rPr>
          <w:rFonts w:ascii="Marianne" w:hAnsi="Marianne"/>
          <w:color w:val="000000" w:themeColor="text1"/>
          <w:sz w:val="20"/>
          <w:szCs w:val="20"/>
        </w:rPr>
        <w:t>1,1</w:t>
      </w:r>
      <w:r w:rsidRPr="00102414">
        <w:rPr>
          <w:rFonts w:ascii="Marianne" w:hAnsi="Marianne"/>
          <w:color w:val="000000" w:themeColor="text1"/>
          <w:sz w:val="20"/>
          <w:szCs w:val="20"/>
        </w:rPr>
        <w:t xml:space="preserve"> résultant de </w:t>
      </w:r>
      <w:r w:rsidR="00B40FEF" w:rsidRPr="00102414">
        <w:rPr>
          <w:rFonts w:ascii="Marianne" w:hAnsi="Marianne"/>
          <w:color w:val="000000" w:themeColor="text1"/>
          <w:sz w:val="20"/>
          <w:szCs w:val="20"/>
        </w:rPr>
        <w:t xml:space="preserve">la </w:t>
      </w:r>
      <w:r w:rsidR="004B459C" w:rsidRPr="00102414">
        <w:rPr>
          <w:rFonts w:ascii="Marianne" w:hAnsi="Marianne"/>
          <w:color w:val="000000" w:themeColor="text1"/>
          <w:sz w:val="20"/>
          <w:szCs w:val="20"/>
        </w:rPr>
        <w:t>surface moyenne des logements chauffés par une PAC </w:t>
      </w:r>
      <w:r w:rsidR="00B40FEF" w:rsidRPr="00102414">
        <w:rPr>
          <w:rFonts w:ascii="Marianne" w:hAnsi="Marianne"/>
          <w:color w:val="000000" w:themeColor="text1"/>
          <w:sz w:val="20"/>
          <w:szCs w:val="20"/>
        </w:rPr>
        <w:t xml:space="preserve">; </w:t>
      </w:r>
    </w:p>
    <w:p w14:paraId="00D39AA1" w14:textId="782A5B0B" w:rsidR="00DB6F01" w:rsidRPr="00102414" w:rsidRDefault="004B459C"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R</w:t>
      </w:r>
      <w:r w:rsidR="00DB6F01" w:rsidRPr="00102414">
        <w:rPr>
          <w:rFonts w:ascii="Marianne" w:hAnsi="Marianne"/>
          <w:color w:val="000000" w:themeColor="text1"/>
          <w:sz w:val="20"/>
          <w:szCs w:val="20"/>
        </w:rPr>
        <w:t xml:space="preserve">ecommandent </w:t>
      </w:r>
      <w:r w:rsidRPr="00102414">
        <w:rPr>
          <w:rFonts w:ascii="Marianne" w:hAnsi="Marianne"/>
          <w:color w:val="000000" w:themeColor="text1"/>
          <w:sz w:val="20"/>
          <w:szCs w:val="20"/>
        </w:rPr>
        <w:t xml:space="preserve">pour d’autres </w:t>
      </w:r>
      <w:r w:rsidR="00DB6F01" w:rsidRPr="00102414">
        <w:rPr>
          <w:rFonts w:ascii="Marianne" w:hAnsi="Marianne"/>
          <w:color w:val="000000" w:themeColor="text1"/>
          <w:sz w:val="20"/>
          <w:szCs w:val="20"/>
        </w:rPr>
        <w:t>de conserver les coefficie</w:t>
      </w:r>
      <w:r w:rsidR="00B40FEF" w:rsidRPr="00102414">
        <w:rPr>
          <w:rFonts w:ascii="Marianne" w:hAnsi="Marianne"/>
          <w:color w:val="000000" w:themeColor="text1"/>
          <w:sz w:val="20"/>
          <w:szCs w:val="20"/>
        </w:rPr>
        <w:t>nts correctifs de surface pour l</w:t>
      </w:r>
      <w:r w:rsidR="00DB6F01" w:rsidRPr="00102414">
        <w:rPr>
          <w:rFonts w:ascii="Marianne" w:hAnsi="Marianne"/>
          <w:color w:val="000000" w:themeColor="text1"/>
          <w:sz w:val="20"/>
          <w:szCs w:val="20"/>
        </w:rPr>
        <w:t xml:space="preserve">es surfaces plus </w:t>
      </w:r>
      <w:r w:rsidR="00B40FEF" w:rsidRPr="00102414">
        <w:rPr>
          <w:rFonts w:ascii="Marianne" w:hAnsi="Marianne"/>
          <w:color w:val="000000" w:themeColor="text1"/>
          <w:sz w:val="20"/>
          <w:szCs w:val="20"/>
        </w:rPr>
        <w:t>importantes</w:t>
      </w:r>
      <w:r w:rsidR="00DB6F01" w:rsidRPr="00102414">
        <w:rPr>
          <w:rFonts w:ascii="Marianne" w:hAnsi="Marianne"/>
          <w:color w:val="000000" w:themeColor="text1"/>
          <w:sz w:val="20"/>
          <w:szCs w:val="20"/>
        </w:rPr>
        <w:t xml:space="preserve">, pour éviter les risques </w:t>
      </w:r>
      <w:r w:rsidR="00B40FEF" w:rsidRPr="00102414">
        <w:rPr>
          <w:rFonts w:ascii="Marianne" w:hAnsi="Marianne"/>
          <w:color w:val="000000" w:themeColor="text1"/>
          <w:sz w:val="20"/>
          <w:szCs w:val="20"/>
        </w:rPr>
        <w:t>de sous-dimensionnement des PAC ;</w:t>
      </w:r>
    </w:p>
    <w:p w14:paraId="501BD164" w14:textId="563CC1F8" w:rsidR="00686056" w:rsidRPr="00102414" w:rsidRDefault="004B459C" w:rsidP="007923EE">
      <w:pPr>
        <w:jc w:val="both"/>
        <w:rPr>
          <w:rFonts w:ascii="Marianne" w:hAnsi="Marianne"/>
          <w:color w:val="000000" w:themeColor="text1"/>
          <w:sz w:val="20"/>
          <w:szCs w:val="20"/>
        </w:rPr>
      </w:pPr>
      <w:r w:rsidRPr="00102414">
        <w:rPr>
          <w:rFonts w:ascii="Marianne" w:hAnsi="Marianne"/>
          <w:color w:val="000000" w:themeColor="text1"/>
          <w:sz w:val="20"/>
          <w:szCs w:val="20"/>
          <w:u w:val="single"/>
        </w:rPr>
        <w:t>S’agissant du paramètre lié à l’efficacité énergétique saisonnière (Etas)</w:t>
      </w:r>
      <w:r w:rsidR="00686056" w:rsidRPr="00102414">
        <w:rPr>
          <w:rFonts w:ascii="Marianne" w:hAnsi="Marianne"/>
          <w:color w:val="000000" w:themeColor="text1"/>
          <w:sz w:val="20"/>
          <w:szCs w:val="20"/>
          <w:u w:val="single"/>
        </w:rPr>
        <w:t>, les contributions émises :</w:t>
      </w:r>
    </w:p>
    <w:p w14:paraId="150BFA9B" w14:textId="75D11222" w:rsidR="00DB6F01" w:rsidRPr="00102414" w:rsidRDefault="00DB6F01"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S’interrogent sur l</w:t>
      </w:r>
      <w:r w:rsidR="00103426" w:rsidRPr="00102414">
        <w:rPr>
          <w:rFonts w:ascii="Marianne" w:hAnsi="Marianne"/>
          <w:color w:val="000000" w:themeColor="text1"/>
          <w:sz w:val="20"/>
          <w:szCs w:val="20"/>
        </w:rPr>
        <w:t>a raison pour laquelle le seuil séparant les 2 tranche</w:t>
      </w:r>
      <w:r w:rsidR="004B459C" w:rsidRPr="00102414">
        <w:rPr>
          <w:rFonts w:ascii="Marianne" w:hAnsi="Marianne"/>
          <w:color w:val="000000" w:themeColor="text1"/>
          <w:sz w:val="20"/>
          <w:szCs w:val="20"/>
        </w:rPr>
        <w:t>s</w:t>
      </w:r>
      <w:r w:rsidR="00103426" w:rsidRPr="00102414">
        <w:rPr>
          <w:rFonts w:ascii="Marianne" w:hAnsi="Marianne"/>
          <w:color w:val="000000" w:themeColor="text1"/>
          <w:sz w:val="20"/>
          <w:szCs w:val="20"/>
        </w:rPr>
        <w:t xml:space="preserve"> d’Etas </w:t>
      </w:r>
      <w:r w:rsidR="004B459C" w:rsidRPr="00102414">
        <w:rPr>
          <w:rFonts w:ascii="Marianne" w:hAnsi="Marianne"/>
          <w:color w:val="000000" w:themeColor="text1"/>
          <w:sz w:val="20"/>
          <w:szCs w:val="20"/>
        </w:rPr>
        <w:t xml:space="preserve">dans le calcul du forfait est à 170% pour la </w:t>
      </w:r>
      <w:r w:rsidR="00103426" w:rsidRPr="00102414">
        <w:rPr>
          <w:rFonts w:ascii="Marianne" w:hAnsi="Marianne"/>
          <w:color w:val="000000" w:themeColor="text1"/>
          <w:sz w:val="20"/>
          <w:szCs w:val="20"/>
        </w:rPr>
        <w:t xml:space="preserve">BAR-TH-172 et </w:t>
      </w:r>
      <w:r w:rsidR="004B459C" w:rsidRPr="00102414">
        <w:rPr>
          <w:rFonts w:ascii="Marianne" w:hAnsi="Marianne"/>
          <w:color w:val="000000" w:themeColor="text1"/>
          <w:sz w:val="20"/>
          <w:szCs w:val="20"/>
        </w:rPr>
        <w:t xml:space="preserve">à </w:t>
      </w:r>
      <w:r w:rsidR="00103426" w:rsidRPr="00102414">
        <w:rPr>
          <w:rFonts w:ascii="Marianne" w:hAnsi="Marianne"/>
          <w:color w:val="000000" w:themeColor="text1"/>
          <w:sz w:val="20"/>
          <w:szCs w:val="20"/>
        </w:rPr>
        <w:t xml:space="preserve">140% pour la </w:t>
      </w:r>
      <w:r w:rsidR="00B40FEF" w:rsidRPr="00102414">
        <w:rPr>
          <w:rFonts w:ascii="Marianne" w:hAnsi="Marianne"/>
          <w:color w:val="000000" w:themeColor="text1"/>
          <w:sz w:val="20"/>
          <w:szCs w:val="20"/>
        </w:rPr>
        <w:t>BAR-TH-171</w:t>
      </w:r>
      <w:r w:rsidR="00686056" w:rsidRPr="00102414">
        <w:rPr>
          <w:rFonts w:ascii="Marianne" w:hAnsi="Marianne"/>
          <w:color w:val="000000" w:themeColor="text1"/>
          <w:sz w:val="20"/>
          <w:szCs w:val="20"/>
        </w:rPr>
        <w:t>. Elles</w:t>
      </w:r>
      <w:r w:rsidR="0088006C" w:rsidRPr="00102414">
        <w:rPr>
          <w:rFonts w:ascii="Marianne" w:hAnsi="Marianne"/>
          <w:color w:val="000000" w:themeColor="text1"/>
          <w:sz w:val="20"/>
          <w:szCs w:val="20"/>
        </w:rPr>
        <w:t xml:space="preserve"> proposent </w:t>
      </w:r>
      <w:r w:rsidR="004B459C" w:rsidRPr="00102414">
        <w:rPr>
          <w:rFonts w:ascii="Marianne" w:hAnsi="Marianne"/>
          <w:color w:val="000000" w:themeColor="text1"/>
          <w:sz w:val="20"/>
          <w:szCs w:val="20"/>
        </w:rPr>
        <w:t>de</w:t>
      </w:r>
      <w:r w:rsidR="00103426" w:rsidRPr="00102414">
        <w:rPr>
          <w:rFonts w:ascii="Marianne" w:hAnsi="Marianne"/>
          <w:color w:val="000000" w:themeColor="text1"/>
          <w:sz w:val="20"/>
          <w:szCs w:val="20"/>
        </w:rPr>
        <w:t xml:space="preserve"> </w:t>
      </w:r>
      <w:r w:rsidRPr="00102414">
        <w:rPr>
          <w:rFonts w:ascii="Marianne" w:hAnsi="Marianne"/>
          <w:color w:val="000000" w:themeColor="text1"/>
          <w:sz w:val="20"/>
          <w:szCs w:val="20"/>
        </w:rPr>
        <w:t xml:space="preserve">(i) </w:t>
      </w:r>
      <w:r w:rsidR="00103426" w:rsidRPr="00102414">
        <w:rPr>
          <w:rFonts w:ascii="Marianne" w:hAnsi="Marianne"/>
          <w:color w:val="000000" w:themeColor="text1"/>
          <w:sz w:val="20"/>
          <w:szCs w:val="20"/>
        </w:rPr>
        <w:t>conserver 5 tranches d</w:t>
      </w:r>
      <w:r w:rsidRPr="00102414">
        <w:rPr>
          <w:rFonts w:ascii="Marianne" w:hAnsi="Marianne"/>
          <w:color w:val="000000" w:themeColor="text1"/>
          <w:sz w:val="20"/>
          <w:szCs w:val="20"/>
        </w:rPr>
        <w:t>’Etas</w:t>
      </w:r>
      <w:r w:rsidRPr="009B76AC">
        <w:rPr>
          <w:rFonts w:ascii="Marianne" w:hAnsi="Marianne"/>
          <w:color w:val="000000" w:themeColor="text1"/>
          <w:sz w:val="20"/>
          <w:szCs w:val="20"/>
        </w:rPr>
        <w:t>, (ii) de s’aligner sur les mêmes intervalles d’Etas que la fiche BAR TH 171 (soit 111%-140%)</w:t>
      </w:r>
      <w:r w:rsidR="00B40FEF" w:rsidRPr="009B76AC">
        <w:rPr>
          <w:rFonts w:ascii="Marianne" w:hAnsi="Marianne"/>
          <w:color w:val="000000" w:themeColor="text1"/>
          <w:sz w:val="20"/>
          <w:szCs w:val="20"/>
        </w:rPr>
        <w:t>, ou</w:t>
      </w:r>
      <w:r w:rsidR="00686056" w:rsidRPr="009B76AC">
        <w:rPr>
          <w:rFonts w:ascii="Marianne" w:hAnsi="Marianne"/>
          <w:color w:val="000000" w:themeColor="text1"/>
          <w:sz w:val="20"/>
          <w:szCs w:val="20"/>
        </w:rPr>
        <w:t xml:space="preserve"> bien</w:t>
      </w:r>
      <w:r w:rsidR="00B40FEF" w:rsidRPr="009B76AC">
        <w:rPr>
          <w:rFonts w:ascii="Marianne" w:hAnsi="Marianne"/>
          <w:color w:val="000000" w:themeColor="text1"/>
          <w:sz w:val="20"/>
          <w:szCs w:val="20"/>
        </w:rPr>
        <w:t xml:space="preserve"> </w:t>
      </w:r>
      <w:r w:rsidR="00657CEB" w:rsidRPr="009B76AC">
        <w:rPr>
          <w:rFonts w:ascii="Marianne" w:hAnsi="Marianne"/>
          <w:color w:val="000000" w:themeColor="text1"/>
          <w:sz w:val="20"/>
          <w:szCs w:val="20"/>
        </w:rPr>
        <w:t>(iii) de s’aligner sur les mêmes intervalles d’Etas que la fiche BAR TH 172 (soit 111%-170%)</w:t>
      </w:r>
      <w:r w:rsidR="00B40FEF" w:rsidRPr="009B76AC">
        <w:rPr>
          <w:rFonts w:ascii="Marianne" w:hAnsi="Marianne"/>
          <w:color w:val="000000" w:themeColor="text1"/>
          <w:sz w:val="20"/>
          <w:szCs w:val="20"/>
        </w:rPr>
        <w:t> ;</w:t>
      </w:r>
    </w:p>
    <w:p w14:paraId="4436C77E" w14:textId="141E066A" w:rsidR="00B40FEF" w:rsidRPr="00102414" w:rsidRDefault="00686056"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Indiquent, pour la BAR-TH-172, </w:t>
      </w:r>
      <w:r w:rsidR="004B459C" w:rsidRPr="00102414">
        <w:rPr>
          <w:rFonts w:ascii="Marianne" w:hAnsi="Marianne"/>
          <w:color w:val="000000" w:themeColor="text1"/>
          <w:sz w:val="20"/>
          <w:szCs w:val="20"/>
        </w:rPr>
        <w:t xml:space="preserve">la nécessité de </w:t>
      </w:r>
      <w:r w:rsidR="00B40FEF" w:rsidRPr="00102414">
        <w:rPr>
          <w:rFonts w:ascii="Marianne" w:hAnsi="Marianne"/>
          <w:color w:val="000000" w:themeColor="text1"/>
          <w:sz w:val="20"/>
          <w:szCs w:val="20"/>
        </w:rPr>
        <w:t>distinguer l’application eau de nappe/eau de l’application eau glycolée/eau</w:t>
      </w:r>
      <w:r w:rsidRPr="00102414">
        <w:rPr>
          <w:rFonts w:ascii="Marianne" w:hAnsi="Marianne"/>
          <w:color w:val="000000" w:themeColor="text1"/>
          <w:sz w:val="20"/>
          <w:szCs w:val="20"/>
        </w:rPr>
        <w:t>,</w:t>
      </w:r>
      <w:r w:rsidR="00B40FEF" w:rsidRPr="00102414">
        <w:rPr>
          <w:rFonts w:ascii="Marianne" w:hAnsi="Marianne"/>
          <w:color w:val="000000" w:themeColor="text1"/>
          <w:sz w:val="20"/>
          <w:szCs w:val="20"/>
        </w:rPr>
        <w:t xml:space="preserve"> pour </w:t>
      </w:r>
      <w:r w:rsidR="004B459C" w:rsidRPr="00102414">
        <w:rPr>
          <w:rFonts w:ascii="Marianne" w:hAnsi="Marianne"/>
          <w:color w:val="000000" w:themeColor="text1"/>
          <w:sz w:val="20"/>
          <w:szCs w:val="20"/>
        </w:rPr>
        <w:t>déterminer l’Etas à considérer ;</w:t>
      </w:r>
    </w:p>
    <w:p w14:paraId="21BCC4D8" w14:textId="1E9CA482" w:rsidR="00B40FEF" w:rsidRPr="00EA4502" w:rsidRDefault="004B459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EA4502">
        <w:rPr>
          <w:rFonts w:ascii="Marianne" w:hAnsi="Marianne"/>
          <w:color w:val="000000" w:themeColor="text1"/>
          <w:sz w:val="20"/>
          <w:szCs w:val="20"/>
        </w:rPr>
        <w:t>Préconise</w:t>
      </w:r>
      <w:r w:rsidR="00F336B3">
        <w:rPr>
          <w:rFonts w:ascii="Marianne" w:hAnsi="Marianne"/>
          <w:color w:val="000000" w:themeColor="text1"/>
          <w:sz w:val="20"/>
          <w:szCs w:val="20"/>
        </w:rPr>
        <w:t>nt</w:t>
      </w:r>
      <w:r w:rsidRPr="00EA4502">
        <w:rPr>
          <w:rFonts w:ascii="Marianne" w:hAnsi="Marianne"/>
          <w:color w:val="000000" w:themeColor="text1"/>
          <w:sz w:val="20"/>
          <w:szCs w:val="20"/>
        </w:rPr>
        <w:t xml:space="preserve"> de </w:t>
      </w:r>
      <w:r w:rsidR="00B40FEF" w:rsidRPr="00EA4502">
        <w:rPr>
          <w:rFonts w:ascii="Marianne" w:hAnsi="Marianne"/>
          <w:color w:val="000000" w:themeColor="text1"/>
          <w:sz w:val="20"/>
          <w:szCs w:val="20"/>
        </w:rPr>
        <w:t xml:space="preserve">considérer </w:t>
      </w:r>
      <w:r w:rsidR="00686056" w:rsidRPr="00EA4502">
        <w:rPr>
          <w:rFonts w:ascii="Marianne" w:hAnsi="Marianne"/>
          <w:color w:val="000000" w:themeColor="text1"/>
          <w:sz w:val="20"/>
          <w:szCs w:val="20"/>
        </w:rPr>
        <w:t xml:space="preserve">la définition de l’efficacité énergétique au sens du règlement européen </w:t>
      </w:r>
      <w:r w:rsidR="00B40FEF" w:rsidRPr="00EA4502">
        <w:rPr>
          <w:rFonts w:ascii="Marianne" w:hAnsi="Marianne"/>
          <w:color w:val="000000" w:themeColor="text1"/>
          <w:sz w:val="20"/>
          <w:szCs w:val="20"/>
        </w:rPr>
        <w:t xml:space="preserve">(incluant </w:t>
      </w:r>
      <w:r w:rsidR="00686056" w:rsidRPr="00EA4502">
        <w:rPr>
          <w:rFonts w:ascii="Marianne" w:hAnsi="Marianne"/>
          <w:color w:val="000000" w:themeColor="text1"/>
          <w:sz w:val="20"/>
          <w:szCs w:val="20"/>
        </w:rPr>
        <w:t xml:space="preserve">le bénéficie lié au régulateur) </w:t>
      </w:r>
      <w:r w:rsidR="00B40FEF" w:rsidRPr="00EA4502">
        <w:rPr>
          <w:rFonts w:ascii="Marianne" w:hAnsi="Marianne"/>
          <w:color w:val="000000" w:themeColor="text1"/>
          <w:sz w:val="20"/>
          <w:szCs w:val="20"/>
        </w:rPr>
        <w:t xml:space="preserve">; </w:t>
      </w:r>
    </w:p>
    <w:p w14:paraId="516017E1" w14:textId="44C2FD59" w:rsidR="00103426" w:rsidRPr="00EA4502" w:rsidRDefault="004B459C" w:rsidP="007923EE">
      <w:pPr>
        <w:jc w:val="both"/>
        <w:rPr>
          <w:rFonts w:ascii="Marianne" w:hAnsi="Marianne"/>
          <w:color w:val="000000" w:themeColor="text1"/>
          <w:sz w:val="20"/>
          <w:szCs w:val="20"/>
          <w:u w:val="single"/>
        </w:rPr>
      </w:pPr>
      <w:r w:rsidRPr="00EA4502">
        <w:rPr>
          <w:rFonts w:ascii="Marianne" w:hAnsi="Marianne"/>
          <w:color w:val="000000" w:themeColor="text1"/>
          <w:sz w:val="20"/>
          <w:szCs w:val="20"/>
          <w:u w:val="single"/>
        </w:rPr>
        <w:t>S’agissant de l’u</w:t>
      </w:r>
      <w:r w:rsidR="00B40FEF" w:rsidRPr="00EA4502">
        <w:rPr>
          <w:rFonts w:ascii="Marianne" w:hAnsi="Marianne"/>
          <w:color w:val="000000" w:themeColor="text1"/>
          <w:sz w:val="20"/>
          <w:szCs w:val="20"/>
          <w:u w:val="single"/>
        </w:rPr>
        <w:t>sage « </w:t>
      </w:r>
      <w:r w:rsidR="00686056" w:rsidRPr="00EA4502">
        <w:rPr>
          <w:rFonts w:ascii="Marianne" w:hAnsi="Marianne"/>
          <w:color w:val="000000" w:themeColor="text1"/>
          <w:sz w:val="20"/>
          <w:szCs w:val="20"/>
          <w:u w:val="single"/>
        </w:rPr>
        <w:t>Production de l’e</w:t>
      </w:r>
      <w:r w:rsidR="00B40FEF" w:rsidRPr="00EA4502">
        <w:rPr>
          <w:rFonts w:ascii="Marianne" w:hAnsi="Marianne"/>
          <w:color w:val="000000" w:themeColor="text1"/>
          <w:sz w:val="20"/>
          <w:szCs w:val="20"/>
          <w:u w:val="single"/>
        </w:rPr>
        <w:t>au chaude sanitaire »</w:t>
      </w:r>
      <w:r w:rsidR="00686056" w:rsidRPr="00EA4502">
        <w:rPr>
          <w:rFonts w:ascii="Marianne" w:hAnsi="Marianne"/>
          <w:color w:val="000000" w:themeColor="text1"/>
          <w:sz w:val="20"/>
          <w:szCs w:val="20"/>
          <w:u w:val="single"/>
        </w:rPr>
        <w:t>, les contributions émises :</w:t>
      </w:r>
    </w:p>
    <w:p w14:paraId="1DED3795" w14:textId="162B6F1C" w:rsidR="00103426" w:rsidRPr="009B76AC" w:rsidRDefault="00320B33" w:rsidP="007923EE">
      <w:pPr>
        <w:pStyle w:val="Paragraphedeliste"/>
        <w:numPr>
          <w:ilvl w:val="0"/>
          <w:numId w:val="7"/>
        </w:numPr>
        <w:jc w:val="both"/>
        <w:rPr>
          <w:rFonts w:ascii="Marianne" w:hAnsi="Marianne"/>
          <w:color w:val="000000" w:themeColor="text1"/>
          <w:sz w:val="20"/>
          <w:szCs w:val="20"/>
        </w:rPr>
      </w:pPr>
      <w:r w:rsidRPr="009B76AC">
        <w:rPr>
          <w:rFonts w:ascii="Marianne" w:hAnsi="Marianne"/>
          <w:color w:val="000000" w:themeColor="text1"/>
          <w:sz w:val="20"/>
          <w:szCs w:val="20"/>
        </w:rPr>
        <w:t>Recommandent de conserver la distinction des forfaits « Chauffage » et « Chauffage et eau chaude sanitaire » compte tenu</w:t>
      </w:r>
      <w:r w:rsidR="00686056" w:rsidRPr="009B76AC">
        <w:rPr>
          <w:rFonts w:ascii="Marianne" w:hAnsi="Marianne"/>
          <w:color w:val="000000" w:themeColor="text1"/>
          <w:sz w:val="20"/>
          <w:szCs w:val="20"/>
        </w:rPr>
        <w:t xml:space="preserve"> de</w:t>
      </w:r>
      <w:r w:rsidRPr="009B76AC">
        <w:rPr>
          <w:rFonts w:ascii="Marianne" w:hAnsi="Marianne"/>
          <w:color w:val="000000" w:themeColor="text1"/>
          <w:sz w:val="20"/>
          <w:szCs w:val="20"/>
        </w:rPr>
        <w:t xml:space="preserve"> la différence d</w:t>
      </w:r>
      <w:r w:rsidR="00C54218" w:rsidRPr="009B76AC">
        <w:rPr>
          <w:rFonts w:ascii="Marianne" w:hAnsi="Marianne"/>
          <w:color w:val="000000" w:themeColor="text1"/>
          <w:sz w:val="20"/>
          <w:szCs w:val="20"/>
        </w:rPr>
        <w:t>’</w:t>
      </w:r>
      <w:r w:rsidRPr="009B76AC">
        <w:rPr>
          <w:rFonts w:ascii="Marianne" w:hAnsi="Marianne"/>
          <w:color w:val="000000" w:themeColor="text1"/>
          <w:sz w:val="20"/>
          <w:szCs w:val="20"/>
        </w:rPr>
        <w:t>économie d’énergie</w:t>
      </w:r>
      <w:r w:rsidR="004B459C" w:rsidRPr="009B76AC">
        <w:rPr>
          <w:rFonts w:ascii="Marianne" w:hAnsi="Marianne"/>
          <w:color w:val="000000" w:themeColor="text1"/>
          <w:sz w:val="20"/>
          <w:szCs w:val="20"/>
        </w:rPr>
        <w:t xml:space="preserve"> et</w:t>
      </w:r>
      <w:r w:rsidRPr="009B76AC">
        <w:rPr>
          <w:rFonts w:ascii="Marianne" w:hAnsi="Marianne"/>
          <w:color w:val="000000" w:themeColor="text1"/>
          <w:sz w:val="20"/>
          <w:szCs w:val="20"/>
        </w:rPr>
        <w:t xml:space="preserve"> </w:t>
      </w:r>
      <w:r w:rsidR="00B40FEF" w:rsidRPr="009B76AC">
        <w:rPr>
          <w:rFonts w:ascii="Marianne" w:hAnsi="Marianne"/>
          <w:color w:val="000000" w:themeColor="text1"/>
          <w:sz w:val="20"/>
          <w:szCs w:val="20"/>
        </w:rPr>
        <w:t>de</w:t>
      </w:r>
      <w:r w:rsidR="00C54218" w:rsidRPr="009B76AC">
        <w:rPr>
          <w:rFonts w:ascii="Marianne" w:hAnsi="Marianne"/>
          <w:color w:val="000000" w:themeColor="text1"/>
          <w:sz w:val="20"/>
          <w:szCs w:val="20"/>
        </w:rPr>
        <w:t xml:space="preserve"> la</w:t>
      </w:r>
      <w:r w:rsidR="00B40FEF" w:rsidRPr="009B76AC">
        <w:rPr>
          <w:rFonts w:ascii="Marianne" w:hAnsi="Marianne"/>
          <w:color w:val="000000" w:themeColor="text1"/>
          <w:sz w:val="20"/>
          <w:szCs w:val="20"/>
        </w:rPr>
        <w:t xml:space="preserve"> différence</w:t>
      </w:r>
      <w:r w:rsidRPr="009B76AC">
        <w:rPr>
          <w:rFonts w:ascii="Marianne" w:hAnsi="Marianne"/>
          <w:color w:val="000000" w:themeColor="text1"/>
          <w:sz w:val="20"/>
          <w:szCs w:val="20"/>
        </w:rPr>
        <w:t xml:space="preserve"> de coût </w:t>
      </w:r>
      <w:r w:rsidR="00713A20" w:rsidRPr="009B76AC">
        <w:rPr>
          <w:rFonts w:ascii="Marianne" w:hAnsi="Marianne"/>
          <w:color w:val="000000" w:themeColor="text1"/>
          <w:sz w:val="20"/>
          <w:szCs w:val="20"/>
        </w:rPr>
        <w:t xml:space="preserve">entre </w:t>
      </w:r>
      <w:r w:rsidR="00C54218" w:rsidRPr="009B76AC">
        <w:rPr>
          <w:rFonts w:ascii="Marianne" w:hAnsi="Marianne"/>
          <w:color w:val="000000" w:themeColor="text1"/>
          <w:sz w:val="20"/>
          <w:szCs w:val="20"/>
        </w:rPr>
        <w:t>une installation produisant de l’eau chaude sanitaire</w:t>
      </w:r>
      <w:r w:rsidR="00713A20" w:rsidRPr="009B76AC">
        <w:rPr>
          <w:rFonts w:ascii="Marianne" w:hAnsi="Marianne"/>
          <w:color w:val="000000" w:themeColor="text1"/>
          <w:sz w:val="20"/>
          <w:szCs w:val="20"/>
        </w:rPr>
        <w:t xml:space="preserve"> </w:t>
      </w:r>
      <w:r w:rsidR="00C54218" w:rsidRPr="009B76AC">
        <w:rPr>
          <w:rFonts w:ascii="Marianne" w:hAnsi="Marianne"/>
          <w:color w:val="000000" w:themeColor="text1"/>
          <w:sz w:val="20"/>
          <w:szCs w:val="20"/>
        </w:rPr>
        <w:t xml:space="preserve">ou non, </w:t>
      </w:r>
      <w:r w:rsidRPr="009B76AC">
        <w:rPr>
          <w:rFonts w:ascii="Marianne" w:hAnsi="Marianne"/>
          <w:color w:val="000000" w:themeColor="text1"/>
          <w:sz w:val="20"/>
          <w:szCs w:val="20"/>
        </w:rPr>
        <w:t>et pour éviter l’installation de chauffe-eau électrique pour la production de l</w:t>
      </w:r>
      <w:r w:rsidR="00713A20" w:rsidRPr="009B76AC">
        <w:rPr>
          <w:rFonts w:ascii="Marianne" w:hAnsi="Marianne"/>
          <w:color w:val="000000" w:themeColor="text1"/>
          <w:sz w:val="20"/>
          <w:szCs w:val="20"/>
        </w:rPr>
        <w:t xml:space="preserve">’ECS ; </w:t>
      </w:r>
    </w:p>
    <w:p w14:paraId="5AC001F6" w14:textId="35C9753D" w:rsidR="00B40FEF" w:rsidRPr="009B76AC" w:rsidRDefault="00B40FEF" w:rsidP="007923EE">
      <w:pPr>
        <w:pStyle w:val="Paragraphedeliste"/>
        <w:numPr>
          <w:ilvl w:val="0"/>
          <w:numId w:val="7"/>
        </w:numPr>
        <w:jc w:val="both"/>
        <w:rPr>
          <w:rFonts w:ascii="Marianne" w:hAnsi="Marianne"/>
          <w:color w:val="000000" w:themeColor="text1"/>
          <w:sz w:val="20"/>
          <w:szCs w:val="20"/>
        </w:rPr>
      </w:pPr>
      <w:r w:rsidRPr="009B76AC">
        <w:rPr>
          <w:rFonts w:ascii="Marianne" w:hAnsi="Marianne"/>
          <w:color w:val="000000" w:themeColor="text1"/>
          <w:sz w:val="20"/>
          <w:szCs w:val="20"/>
        </w:rPr>
        <w:t xml:space="preserve">Demandent </w:t>
      </w:r>
      <w:r w:rsidR="00C54218" w:rsidRPr="009B76AC">
        <w:rPr>
          <w:rFonts w:ascii="Marianne" w:hAnsi="Marianne"/>
          <w:color w:val="000000" w:themeColor="text1"/>
          <w:sz w:val="20"/>
          <w:szCs w:val="20"/>
        </w:rPr>
        <w:t xml:space="preserve">à ce que </w:t>
      </w:r>
      <w:r w:rsidRPr="009B76AC">
        <w:rPr>
          <w:rFonts w:ascii="Marianne" w:hAnsi="Marianne"/>
          <w:color w:val="000000" w:themeColor="text1"/>
          <w:sz w:val="20"/>
          <w:szCs w:val="20"/>
        </w:rPr>
        <w:t xml:space="preserve">les fiches « Chauffe-eau » </w:t>
      </w:r>
      <w:r w:rsidR="00C54218" w:rsidRPr="009B76AC">
        <w:rPr>
          <w:rFonts w:ascii="Marianne" w:hAnsi="Marianne"/>
          <w:color w:val="000000" w:themeColor="text1"/>
          <w:sz w:val="20"/>
          <w:szCs w:val="20"/>
        </w:rPr>
        <w:t xml:space="preserve">soient non cumulables avec les fiches « PAC », </w:t>
      </w:r>
      <w:r w:rsidRPr="009B76AC">
        <w:rPr>
          <w:rFonts w:ascii="Marianne" w:hAnsi="Marianne"/>
          <w:color w:val="000000" w:themeColor="text1"/>
          <w:sz w:val="20"/>
          <w:szCs w:val="20"/>
        </w:rPr>
        <w:t xml:space="preserve">uniquement lorsque la PAC </w:t>
      </w:r>
      <w:r w:rsidR="00C54218" w:rsidRPr="009B76AC">
        <w:rPr>
          <w:rFonts w:ascii="Marianne" w:hAnsi="Marianne"/>
          <w:color w:val="000000" w:themeColor="text1"/>
          <w:sz w:val="20"/>
          <w:szCs w:val="20"/>
        </w:rPr>
        <w:t>produit</w:t>
      </w:r>
      <w:r w:rsidRPr="009B76AC">
        <w:rPr>
          <w:rFonts w:ascii="Marianne" w:hAnsi="Marianne"/>
          <w:color w:val="000000" w:themeColor="text1"/>
          <w:sz w:val="20"/>
          <w:szCs w:val="20"/>
        </w:rPr>
        <w:t xml:space="preserve"> également l’eau chaude sanitaire ; </w:t>
      </w:r>
    </w:p>
    <w:p w14:paraId="6DE65F80" w14:textId="49AC0705" w:rsidR="00320B33" w:rsidRPr="00EA4502" w:rsidRDefault="00320B33" w:rsidP="007923EE">
      <w:pPr>
        <w:pStyle w:val="Paragraphedeliste"/>
        <w:numPr>
          <w:ilvl w:val="0"/>
          <w:numId w:val="7"/>
        </w:numPr>
        <w:jc w:val="both"/>
        <w:rPr>
          <w:rFonts w:ascii="Marianne" w:hAnsi="Marianne"/>
          <w:color w:val="000000" w:themeColor="text1"/>
          <w:sz w:val="20"/>
          <w:szCs w:val="20"/>
        </w:rPr>
      </w:pPr>
      <w:r w:rsidRPr="00EA4502">
        <w:rPr>
          <w:rFonts w:ascii="Marianne" w:hAnsi="Marianne"/>
          <w:color w:val="000000" w:themeColor="text1"/>
          <w:sz w:val="20"/>
          <w:szCs w:val="20"/>
        </w:rPr>
        <w:t xml:space="preserve">Recommande de remplacer </w:t>
      </w:r>
      <w:r w:rsidR="00F336B3">
        <w:rPr>
          <w:rFonts w:ascii="Marianne" w:hAnsi="Marianne"/>
          <w:color w:val="000000" w:themeColor="text1"/>
          <w:sz w:val="20"/>
          <w:szCs w:val="20"/>
        </w:rPr>
        <w:t xml:space="preserve">pour plus de clarté </w:t>
      </w:r>
      <w:r w:rsidR="004B459C" w:rsidRPr="00EA4502">
        <w:rPr>
          <w:rFonts w:ascii="Marianne" w:hAnsi="Marianne"/>
          <w:color w:val="000000" w:themeColor="text1"/>
          <w:sz w:val="20"/>
          <w:szCs w:val="20"/>
        </w:rPr>
        <w:t xml:space="preserve">les </w:t>
      </w:r>
      <w:r w:rsidR="00C54218" w:rsidRPr="00EA4502">
        <w:rPr>
          <w:rFonts w:ascii="Marianne" w:hAnsi="Marianne"/>
          <w:color w:val="000000" w:themeColor="text1"/>
          <w:sz w:val="20"/>
          <w:szCs w:val="20"/>
        </w:rPr>
        <w:t>termes</w:t>
      </w:r>
      <w:r w:rsidR="004B459C" w:rsidRPr="00EA4502">
        <w:rPr>
          <w:rFonts w:ascii="Marianne" w:hAnsi="Marianne"/>
          <w:color w:val="000000" w:themeColor="text1"/>
          <w:sz w:val="20"/>
          <w:szCs w:val="20"/>
        </w:rPr>
        <w:t xml:space="preserve"> </w:t>
      </w:r>
      <w:r w:rsidRPr="00EA4502">
        <w:rPr>
          <w:rFonts w:ascii="Marianne" w:hAnsi="Marianne"/>
          <w:color w:val="000000" w:themeColor="text1"/>
          <w:sz w:val="20"/>
          <w:szCs w:val="20"/>
        </w:rPr>
        <w:t>« systèmes déportés à la PAC installée » par « systèmes de ballon d’eau chaude sanitai</w:t>
      </w:r>
      <w:r w:rsidR="00713A20" w:rsidRPr="00EA4502">
        <w:rPr>
          <w:rFonts w:ascii="Marianne" w:hAnsi="Marianne"/>
          <w:color w:val="000000" w:themeColor="text1"/>
          <w:sz w:val="20"/>
          <w:szCs w:val="20"/>
        </w:rPr>
        <w:t>re déporté à la PAC installée » ;</w:t>
      </w:r>
    </w:p>
    <w:p w14:paraId="16CA876F" w14:textId="43A32D39" w:rsidR="00713A20" w:rsidRPr="00EA4502" w:rsidRDefault="00C54218"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EA4502">
        <w:rPr>
          <w:rFonts w:ascii="Marianne" w:hAnsi="Marianne"/>
          <w:color w:val="000000" w:themeColor="text1"/>
          <w:sz w:val="20"/>
          <w:szCs w:val="20"/>
        </w:rPr>
        <w:t>Proposent</w:t>
      </w:r>
      <w:r w:rsidR="00320B33" w:rsidRPr="00EA4502">
        <w:rPr>
          <w:rFonts w:ascii="Marianne" w:hAnsi="Marianne"/>
          <w:color w:val="000000" w:themeColor="text1"/>
          <w:sz w:val="20"/>
          <w:szCs w:val="20"/>
        </w:rPr>
        <w:t xml:space="preserve"> de clarifier qu’il peut y avoir un appoi</w:t>
      </w:r>
      <w:r w:rsidRPr="00EA4502">
        <w:rPr>
          <w:rFonts w:ascii="Marianne" w:hAnsi="Marianne"/>
          <w:color w:val="000000" w:themeColor="text1"/>
          <w:sz w:val="20"/>
          <w:szCs w:val="20"/>
        </w:rPr>
        <w:t>nt électrique à la production de l’</w:t>
      </w:r>
      <w:r w:rsidR="00320B33" w:rsidRPr="00EA4502">
        <w:rPr>
          <w:rFonts w:ascii="Marianne" w:hAnsi="Marianne"/>
          <w:color w:val="000000" w:themeColor="text1"/>
          <w:sz w:val="20"/>
          <w:szCs w:val="20"/>
        </w:rPr>
        <w:t xml:space="preserve">eau chaude sanitaire en indiquant que </w:t>
      </w:r>
      <w:r w:rsidR="004B459C" w:rsidRPr="00EA4502">
        <w:rPr>
          <w:rFonts w:ascii="Marianne" w:hAnsi="Marianne"/>
          <w:color w:val="000000" w:themeColor="text1"/>
          <w:sz w:val="20"/>
          <w:szCs w:val="20"/>
        </w:rPr>
        <w:t>pour les systèmes déportés à la PAC, « </w:t>
      </w:r>
      <w:r w:rsidR="00320B33" w:rsidRPr="00EA4502">
        <w:rPr>
          <w:rFonts w:ascii="Marianne" w:hAnsi="Marianne"/>
          <w:color w:val="000000" w:themeColor="text1"/>
          <w:sz w:val="20"/>
          <w:szCs w:val="20"/>
        </w:rPr>
        <w:t>seule la PAC produit l’eau chaude sanitaire en priorité, avec un ap</w:t>
      </w:r>
      <w:r w:rsidR="004B459C" w:rsidRPr="00EA4502">
        <w:rPr>
          <w:rFonts w:ascii="Marianne" w:hAnsi="Marianne"/>
          <w:color w:val="000000" w:themeColor="text1"/>
          <w:sz w:val="20"/>
          <w:szCs w:val="20"/>
        </w:rPr>
        <w:t>point électrique le cas échéant</w:t>
      </w:r>
      <w:r w:rsidR="00320B33" w:rsidRPr="00EA4502">
        <w:rPr>
          <w:rFonts w:ascii="Marianne" w:hAnsi="Marianne"/>
          <w:color w:val="000000" w:themeColor="text1"/>
          <w:sz w:val="20"/>
          <w:szCs w:val="20"/>
        </w:rPr>
        <w:t> »</w:t>
      </w:r>
      <w:r w:rsidR="00713A20" w:rsidRPr="00EA4502">
        <w:rPr>
          <w:rFonts w:ascii="Marianne" w:hAnsi="Marianne"/>
          <w:color w:val="000000" w:themeColor="text1"/>
          <w:sz w:val="20"/>
          <w:szCs w:val="20"/>
        </w:rPr>
        <w:t> ;</w:t>
      </w:r>
    </w:p>
    <w:p w14:paraId="50230AEA" w14:textId="4C80BF61" w:rsidR="00320B33" w:rsidRPr="00EA4502" w:rsidRDefault="00713A20"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EA4502">
        <w:rPr>
          <w:rFonts w:ascii="Marianne" w:hAnsi="Marianne"/>
          <w:color w:val="000000" w:themeColor="text1"/>
          <w:sz w:val="20"/>
          <w:szCs w:val="20"/>
        </w:rPr>
        <w:t xml:space="preserve">Demandent de reconsidérer l’exigence </w:t>
      </w:r>
      <w:r w:rsidR="006974D4">
        <w:rPr>
          <w:rFonts w:ascii="Marianne" w:hAnsi="Marianne"/>
          <w:color w:val="000000" w:themeColor="text1"/>
          <w:sz w:val="20"/>
          <w:szCs w:val="20"/>
        </w:rPr>
        <w:t>selon</w:t>
      </w:r>
      <w:r w:rsidR="006974D4" w:rsidRPr="00EA4502">
        <w:rPr>
          <w:rFonts w:ascii="Marianne" w:hAnsi="Marianne"/>
          <w:color w:val="000000" w:themeColor="text1"/>
          <w:sz w:val="20"/>
          <w:szCs w:val="20"/>
        </w:rPr>
        <w:t xml:space="preserve"> </w:t>
      </w:r>
      <w:r w:rsidRPr="00EA4502">
        <w:rPr>
          <w:rFonts w:ascii="Marianne" w:hAnsi="Marianne"/>
          <w:color w:val="000000" w:themeColor="text1"/>
          <w:sz w:val="20"/>
          <w:szCs w:val="20"/>
        </w:rPr>
        <w:t>laquelle le ballon déporté à la PAC est de même marque que celle-ci</w:t>
      </w:r>
      <w:r w:rsidR="00C54218" w:rsidRPr="00EA4502">
        <w:rPr>
          <w:rFonts w:ascii="Marianne" w:hAnsi="Marianne"/>
          <w:color w:val="000000" w:themeColor="text1"/>
          <w:sz w:val="20"/>
          <w:szCs w:val="20"/>
        </w:rPr>
        <w:t>,</w:t>
      </w:r>
      <w:r w:rsidRPr="00EA4502">
        <w:rPr>
          <w:rFonts w:ascii="Marianne" w:hAnsi="Marianne"/>
          <w:color w:val="000000" w:themeColor="text1"/>
          <w:sz w:val="20"/>
          <w:szCs w:val="20"/>
        </w:rPr>
        <w:t xml:space="preserve"> qui est un critère commercial et </w:t>
      </w:r>
      <w:r w:rsidR="004B459C" w:rsidRPr="00EA4502">
        <w:rPr>
          <w:rFonts w:ascii="Marianne" w:hAnsi="Marianne"/>
          <w:color w:val="000000" w:themeColor="text1"/>
          <w:sz w:val="20"/>
          <w:szCs w:val="20"/>
        </w:rPr>
        <w:t xml:space="preserve">non </w:t>
      </w:r>
      <w:r w:rsidRPr="00EA4502">
        <w:rPr>
          <w:rFonts w:ascii="Marianne" w:hAnsi="Marianne"/>
          <w:color w:val="000000" w:themeColor="text1"/>
          <w:sz w:val="20"/>
          <w:szCs w:val="20"/>
        </w:rPr>
        <w:t>un critère lié aux performances énergétiques de l’installation</w:t>
      </w:r>
      <w:r w:rsidR="004B459C" w:rsidRPr="00EA4502">
        <w:rPr>
          <w:rFonts w:ascii="Marianne" w:hAnsi="Marianne"/>
          <w:color w:val="000000" w:themeColor="text1"/>
          <w:sz w:val="20"/>
          <w:szCs w:val="20"/>
        </w:rPr>
        <w:t xml:space="preserve"> ; </w:t>
      </w:r>
    </w:p>
    <w:p w14:paraId="67BB8E1F" w14:textId="4DAAB752" w:rsidR="00713A20" w:rsidRPr="00EA4502" w:rsidRDefault="00713A20" w:rsidP="007923EE">
      <w:pPr>
        <w:jc w:val="both"/>
        <w:rPr>
          <w:rFonts w:ascii="Marianne" w:hAnsi="Marianne"/>
          <w:color w:val="000000" w:themeColor="text1"/>
          <w:sz w:val="20"/>
          <w:szCs w:val="20"/>
          <w:u w:val="single"/>
        </w:rPr>
      </w:pPr>
      <w:r w:rsidRPr="00EA4502">
        <w:rPr>
          <w:rFonts w:ascii="Marianne" w:hAnsi="Marianne"/>
          <w:color w:val="000000" w:themeColor="text1"/>
          <w:sz w:val="20"/>
          <w:szCs w:val="20"/>
          <w:u w:val="single"/>
        </w:rPr>
        <w:t>S’agissant d’autres critères</w:t>
      </w:r>
      <w:r w:rsidR="00C54218" w:rsidRPr="00EA4502">
        <w:rPr>
          <w:rFonts w:ascii="Marianne" w:hAnsi="Marianne"/>
          <w:color w:val="000000" w:themeColor="text1"/>
          <w:sz w:val="20"/>
          <w:szCs w:val="20"/>
          <w:u w:val="single"/>
        </w:rPr>
        <w:t>, les contributions émises :</w:t>
      </w:r>
    </w:p>
    <w:p w14:paraId="6B5D61C3" w14:textId="2947A273" w:rsidR="00713A20" w:rsidRPr="00EA4502" w:rsidRDefault="00713A20" w:rsidP="007923EE">
      <w:pPr>
        <w:pStyle w:val="Paragraphedeliste"/>
        <w:numPr>
          <w:ilvl w:val="0"/>
          <w:numId w:val="7"/>
        </w:numPr>
        <w:jc w:val="both"/>
        <w:rPr>
          <w:rFonts w:ascii="Marianne" w:hAnsi="Marianne"/>
          <w:color w:val="000000" w:themeColor="text1"/>
          <w:sz w:val="20"/>
          <w:szCs w:val="20"/>
        </w:rPr>
      </w:pPr>
      <w:r w:rsidRPr="00EA4502">
        <w:rPr>
          <w:rFonts w:ascii="Marianne" w:hAnsi="Marianne"/>
          <w:color w:val="000000" w:themeColor="text1"/>
          <w:sz w:val="20"/>
          <w:szCs w:val="20"/>
        </w:rPr>
        <w:t>Proposent de modifier la dénomination de la fiche BAR-TH-172 « Pompe à chaleur de type eau /eau ou sol/eau » par « Pompe à chaleur de type eau</w:t>
      </w:r>
      <w:r w:rsidR="00C54218" w:rsidRPr="00EA4502">
        <w:rPr>
          <w:rFonts w:ascii="Marianne" w:hAnsi="Marianne"/>
          <w:color w:val="000000" w:themeColor="text1"/>
          <w:sz w:val="20"/>
          <w:szCs w:val="20"/>
        </w:rPr>
        <w:t xml:space="preserve"> </w:t>
      </w:r>
      <w:r w:rsidRPr="00EA4502">
        <w:rPr>
          <w:rFonts w:ascii="Marianne" w:hAnsi="Marianne"/>
          <w:color w:val="000000" w:themeColor="text1"/>
          <w:sz w:val="20"/>
          <w:szCs w:val="20"/>
        </w:rPr>
        <w:t xml:space="preserve">(glycolée) /eau ou sol/eau » </w:t>
      </w:r>
      <w:r w:rsidR="004B459C" w:rsidRPr="00EA4502">
        <w:rPr>
          <w:rFonts w:ascii="Marianne" w:hAnsi="Marianne"/>
          <w:color w:val="000000" w:themeColor="text1"/>
          <w:sz w:val="20"/>
          <w:szCs w:val="20"/>
        </w:rPr>
        <w:t>pour clarifier l’éligibilité d</w:t>
      </w:r>
      <w:r w:rsidRPr="00EA4502">
        <w:rPr>
          <w:rFonts w:ascii="Marianne" w:hAnsi="Marianne"/>
          <w:color w:val="000000" w:themeColor="text1"/>
          <w:sz w:val="20"/>
          <w:szCs w:val="20"/>
        </w:rPr>
        <w:t>es échangeurs fermés</w:t>
      </w:r>
      <w:r w:rsidR="004B459C" w:rsidRPr="00EA4502">
        <w:rPr>
          <w:rFonts w:ascii="Marianne" w:hAnsi="Marianne"/>
          <w:color w:val="000000" w:themeColor="text1"/>
          <w:sz w:val="20"/>
          <w:szCs w:val="20"/>
        </w:rPr>
        <w:t> ;</w:t>
      </w:r>
    </w:p>
    <w:p w14:paraId="4CDCAAA1" w14:textId="5C68E92F" w:rsidR="00DB6F01" w:rsidRPr="00EA4502" w:rsidRDefault="004B459C" w:rsidP="007923EE">
      <w:pPr>
        <w:pStyle w:val="Paragraphedeliste"/>
        <w:numPr>
          <w:ilvl w:val="0"/>
          <w:numId w:val="7"/>
        </w:numPr>
        <w:jc w:val="both"/>
        <w:rPr>
          <w:rFonts w:ascii="Marianne" w:hAnsi="Marianne"/>
          <w:color w:val="000000" w:themeColor="text1"/>
          <w:sz w:val="20"/>
          <w:szCs w:val="20"/>
        </w:rPr>
      </w:pPr>
      <w:r w:rsidRPr="00EA4502">
        <w:rPr>
          <w:rFonts w:ascii="Marianne" w:hAnsi="Marianne"/>
          <w:color w:val="000000" w:themeColor="text1"/>
          <w:sz w:val="20"/>
          <w:szCs w:val="20"/>
        </w:rPr>
        <w:t>Suggèrent</w:t>
      </w:r>
      <w:r w:rsidR="00DB6F01" w:rsidRPr="00EA4502">
        <w:rPr>
          <w:rFonts w:ascii="Marianne" w:hAnsi="Marianne"/>
          <w:color w:val="000000" w:themeColor="text1"/>
          <w:sz w:val="20"/>
          <w:szCs w:val="20"/>
        </w:rPr>
        <w:t xml:space="preserve"> de remplacer le numéro d’enregistrement EPREL</w:t>
      </w:r>
      <w:r w:rsidR="00C54218" w:rsidRPr="00EA4502">
        <w:rPr>
          <w:rFonts w:ascii="Marianne" w:hAnsi="Marianne"/>
          <w:color w:val="000000" w:themeColor="text1"/>
          <w:sz w:val="20"/>
          <w:szCs w:val="20"/>
        </w:rPr>
        <w:t xml:space="preserve"> de la PAC</w:t>
      </w:r>
      <w:r w:rsidR="00DB6F01" w:rsidRPr="00EA4502">
        <w:rPr>
          <w:rFonts w:ascii="Marianne" w:hAnsi="Marianne"/>
          <w:color w:val="000000" w:themeColor="text1"/>
          <w:sz w:val="20"/>
          <w:szCs w:val="20"/>
        </w:rPr>
        <w:t xml:space="preserve"> par la référence du modèle de la PAC ; </w:t>
      </w:r>
    </w:p>
    <w:p w14:paraId="37181B79" w14:textId="5EF0FFDD" w:rsidR="004B459C" w:rsidRPr="00EA4502" w:rsidRDefault="00B40FEF"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EA4502">
        <w:rPr>
          <w:rFonts w:ascii="Marianne" w:hAnsi="Marianne"/>
          <w:color w:val="000000" w:themeColor="text1"/>
          <w:sz w:val="20"/>
          <w:szCs w:val="20"/>
        </w:rPr>
        <w:t xml:space="preserve">Souhaitent </w:t>
      </w:r>
      <w:r w:rsidR="004B459C" w:rsidRPr="00EA4502">
        <w:rPr>
          <w:rFonts w:ascii="Marianne" w:hAnsi="Marianne"/>
          <w:color w:val="000000" w:themeColor="text1"/>
          <w:sz w:val="20"/>
          <w:szCs w:val="20"/>
        </w:rPr>
        <w:t>que</w:t>
      </w:r>
      <w:r w:rsidRPr="00EA4502">
        <w:rPr>
          <w:rFonts w:ascii="Marianne" w:hAnsi="Marianne"/>
          <w:color w:val="000000" w:themeColor="text1"/>
          <w:sz w:val="20"/>
          <w:szCs w:val="20"/>
        </w:rPr>
        <w:t xml:space="preserve"> </w:t>
      </w:r>
      <w:r w:rsidR="007D7C36" w:rsidRPr="00EA4502">
        <w:rPr>
          <w:rFonts w:ascii="Marianne" w:hAnsi="Marianne"/>
          <w:color w:val="000000" w:themeColor="text1"/>
          <w:sz w:val="20"/>
          <w:szCs w:val="20"/>
        </w:rPr>
        <w:t xml:space="preserve">la </w:t>
      </w:r>
      <w:r w:rsidRPr="00EA4502">
        <w:rPr>
          <w:rFonts w:ascii="Marianne" w:hAnsi="Marianne"/>
          <w:color w:val="000000" w:themeColor="text1"/>
          <w:sz w:val="20"/>
          <w:szCs w:val="20"/>
        </w:rPr>
        <w:t xml:space="preserve">mise en service de la PAC </w:t>
      </w:r>
      <w:r w:rsidR="004B459C" w:rsidRPr="00EA4502">
        <w:rPr>
          <w:rFonts w:ascii="Marianne" w:hAnsi="Marianne"/>
          <w:color w:val="000000" w:themeColor="text1"/>
          <w:sz w:val="20"/>
          <w:szCs w:val="20"/>
        </w:rPr>
        <w:t xml:space="preserve">soit justifiée </w:t>
      </w:r>
      <w:r w:rsidR="00C54218" w:rsidRPr="00EA4502">
        <w:rPr>
          <w:rFonts w:ascii="Marianne" w:hAnsi="Marianne"/>
          <w:color w:val="000000" w:themeColor="text1"/>
          <w:sz w:val="20"/>
          <w:szCs w:val="20"/>
        </w:rPr>
        <w:t xml:space="preserve">à partir de </w:t>
      </w:r>
      <w:r w:rsidRPr="00EA4502">
        <w:rPr>
          <w:rFonts w:ascii="Marianne" w:hAnsi="Marianne"/>
          <w:color w:val="000000" w:themeColor="text1"/>
          <w:sz w:val="20"/>
          <w:szCs w:val="20"/>
        </w:rPr>
        <w:t>l’attestation d’essai de fonctionnement</w:t>
      </w:r>
      <w:r w:rsidR="00597140" w:rsidRPr="00EA4502">
        <w:rPr>
          <w:rFonts w:ascii="Marianne" w:hAnsi="Marianne"/>
          <w:color w:val="000000" w:themeColor="text1"/>
          <w:sz w:val="20"/>
          <w:szCs w:val="20"/>
        </w:rPr>
        <w:t xml:space="preserve"> </w:t>
      </w:r>
      <w:r w:rsidR="00C54218" w:rsidRPr="00EA4502">
        <w:rPr>
          <w:rFonts w:ascii="Marianne" w:hAnsi="Marianne"/>
          <w:color w:val="000000" w:themeColor="text1"/>
          <w:sz w:val="20"/>
          <w:szCs w:val="20"/>
        </w:rPr>
        <w:t>de la PAC transmise par le professionnel au bénéficiaire</w:t>
      </w:r>
      <w:r w:rsidR="003A709E">
        <w:rPr>
          <w:rFonts w:ascii="Marianne" w:hAnsi="Marianne"/>
          <w:color w:val="000000" w:themeColor="text1"/>
          <w:sz w:val="20"/>
          <w:szCs w:val="20"/>
        </w:rPr>
        <w:t xml:space="preserve"> </w:t>
      </w:r>
      <w:r w:rsidR="004B459C" w:rsidRPr="00EA4502">
        <w:rPr>
          <w:rFonts w:ascii="Marianne" w:hAnsi="Marianne"/>
          <w:color w:val="000000" w:themeColor="text1"/>
          <w:sz w:val="20"/>
          <w:szCs w:val="20"/>
        </w:rPr>
        <w:t>;</w:t>
      </w:r>
      <w:r w:rsidR="003316A9" w:rsidRPr="00EA4502">
        <w:rPr>
          <w:rFonts w:ascii="Marianne" w:hAnsi="Marianne"/>
          <w:color w:val="000000" w:themeColor="text1"/>
          <w:sz w:val="20"/>
          <w:szCs w:val="20"/>
        </w:rPr>
        <w:t xml:space="preserve"> </w:t>
      </w:r>
    </w:p>
    <w:p w14:paraId="2D770A3B" w14:textId="3FF9A4B8" w:rsidR="00B40FEF" w:rsidRPr="00102414" w:rsidRDefault="00713A20"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Proposent de r</w:t>
      </w:r>
      <w:r w:rsidR="00B40FEF" w:rsidRPr="00102414">
        <w:rPr>
          <w:rFonts w:ascii="Marianne" w:hAnsi="Marianne"/>
          <w:color w:val="000000" w:themeColor="text1"/>
          <w:sz w:val="20"/>
          <w:szCs w:val="20"/>
        </w:rPr>
        <w:t xml:space="preserve">endre obligatoire la présentation de </w:t>
      </w:r>
      <w:r w:rsidRPr="00102414">
        <w:rPr>
          <w:rFonts w:ascii="Marianne" w:hAnsi="Marianne"/>
          <w:color w:val="000000" w:themeColor="text1"/>
          <w:sz w:val="20"/>
          <w:szCs w:val="20"/>
        </w:rPr>
        <w:t>la note préalable de dimensionnement dès la remise du devis</w:t>
      </w:r>
      <w:r w:rsidR="00C54218" w:rsidRPr="00102414">
        <w:rPr>
          <w:rFonts w:ascii="Marianne" w:hAnsi="Marianne"/>
          <w:color w:val="000000" w:themeColor="text1"/>
          <w:sz w:val="20"/>
          <w:szCs w:val="20"/>
        </w:rPr>
        <w:t xml:space="preserve"> au bénéficiaire</w:t>
      </w:r>
      <w:r w:rsidRPr="00102414">
        <w:rPr>
          <w:rFonts w:ascii="Marianne" w:hAnsi="Marianne"/>
          <w:color w:val="000000" w:themeColor="text1"/>
          <w:sz w:val="20"/>
          <w:szCs w:val="20"/>
        </w:rPr>
        <w:t xml:space="preserve">, </w:t>
      </w:r>
      <w:r w:rsidR="004B459C" w:rsidRPr="00102414">
        <w:rPr>
          <w:rFonts w:ascii="Marianne" w:hAnsi="Marianne"/>
          <w:color w:val="000000" w:themeColor="text1"/>
          <w:sz w:val="20"/>
          <w:szCs w:val="20"/>
        </w:rPr>
        <w:t xml:space="preserve">afin </w:t>
      </w:r>
      <w:r w:rsidRPr="00102414">
        <w:rPr>
          <w:rFonts w:ascii="Marianne" w:hAnsi="Marianne"/>
          <w:color w:val="000000" w:themeColor="text1"/>
          <w:sz w:val="20"/>
          <w:szCs w:val="20"/>
        </w:rPr>
        <w:t>de f</w:t>
      </w:r>
      <w:r w:rsidR="00B40FEF" w:rsidRPr="00102414">
        <w:rPr>
          <w:rFonts w:ascii="Marianne" w:hAnsi="Marianne"/>
          <w:color w:val="000000" w:themeColor="text1"/>
          <w:sz w:val="20"/>
          <w:szCs w:val="20"/>
        </w:rPr>
        <w:t>aire reposer la responsabilité de la note de dimensionnement sur l’installateur et non sur l’obligé</w:t>
      </w:r>
      <w:r w:rsidRPr="00102414">
        <w:rPr>
          <w:rFonts w:ascii="Marianne" w:hAnsi="Marianne"/>
          <w:color w:val="000000" w:themeColor="text1"/>
          <w:sz w:val="20"/>
          <w:szCs w:val="20"/>
        </w:rPr>
        <w:t xml:space="preserve"> et de p</w:t>
      </w:r>
      <w:r w:rsidR="00B40FEF" w:rsidRPr="00102414">
        <w:rPr>
          <w:rFonts w:ascii="Marianne" w:hAnsi="Marianne"/>
          <w:color w:val="000000" w:themeColor="text1"/>
          <w:sz w:val="20"/>
          <w:szCs w:val="20"/>
        </w:rPr>
        <w:t>réciser le contenu de la note de dimensionnement afin d’harmoniser la pratique</w:t>
      </w:r>
      <w:r w:rsidR="004B459C" w:rsidRPr="00102414">
        <w:rPr>
          <w:rFonts w:ascii="Marianne" w:hAnsi="Marianne"/>
          <w:color w:val="000000" w:themeColor="text1"/>
          <w:sz w:val="20"/>
          <w:szCs w:val="20"/>
        </w:rPr>
        <w:t> ;</w:t>
      </w:r>
    </w:p>
    <w:p w14:paraId="5CFD8888" w14:textId="1B47F148" w:rsidR="00713A20" w:rsidRPr="00102414" w:rsidRDefault="00713A20" w:rsidP="007923EE">
      <w:pPr>
        <w:pStyle w:val="Paragraphedeliste"/>
        <w:numPr>
          <w:ilvl w:val="0"/>
          <w:numId w:val="7"/>
        </w:numPr>
        <w:spacing w:before="100" w:beforeAutospacing="1" w:after="100" w:afterAutospacing="1" w:line="240" w:lineRule="auto"/>
        <w:jc w:val="both"/>
        <w:rPr>
          <w:rFonts w:ascii="Marianne" w:eastAsia="Times New Roman" w:hAnsi="Marianne" w:cs="Times New Roman"/>
          <w:color w:val="000000" w:themeColor="text1"/>
          <w:sz w:val="20"/>
          <w:szCs w:val="20"/>
          <w:lang w:eastAsia="fr-FR"/>
        </w:rPr>
      </w:pPr>
      <w:r w:rsidRPr="00102414">
        <w:rPr>
          <w:rFonts w:ascii="Marianne" w:hAnsi="Marianne"/>
          <w:color w:val="000000" w:themeColor="text1"/>
          <w:sz w:val="20"/>
          <w:szCs w:val="20"/>
        </w:rPr>
        <w:t>Demandent de définir la notion de « </w:t>
      </w:r>
      <w:r w:rsidR="00B40FEF" w:rsidRPr="00102414">
        <w:rPr>
          <w:rFonts w:ascii="Marianne" w:hAnsi="Marianne"/>
          <w:color w:val="000000" w:themeColor="text1"/>
          <w:sz w:val="20"/>
          <w:szCs w:val="20"/>
        </w:rPr>
        <w:t>PAC est associée à un autre système de chauffage</w:t>
      </w:r>
      <w:r w:rsidRPr="00102414">
        <w:rPr>
          <w:rFonts w:ascii="Marianne" w:hAnsi="Marianne"/>
          <w:color w:val="000000" w:themeColor="text1"/>
          <w:sz w:val="20"/>
          <w:szCs w:val="20"/>
        </w:rPr>
        <w:t> »</w:t>
      </w:r>
      <w:r w:rsidR="004B459C" w:rsidRPr="00102414">
        <w:rPr>
          <w:rFonts w:ascii="Marianne" w:hAnsi="Marianne"/>
          <w:color w:val="000000" w:themeColor="text1"/>
          <w:sz w:val="20"/>
          <w:szCs w:val="20"/>
        </w:rPr>
        <w:t> ;</w:t>
      </w:r>
    </w:p>
    <w:p w14:paraId="2596765A" w14:textId="62A4F717" w:rsidR="00B40FEF" w:rsidRPr="00102414" w:rsidRDefault="0088006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Souhaitent que le taux de contrôles ne soit pas rehaussé </w:t>
      </w:r>
      <w:r w:rsidR="00713A20" w:rsidRPr="00102414">
        <w:rPr>
          <w:rFonts w:ascii="Marianne" w:hAnsi="Marianne"/>
          <w:color w:val="000000" w:themeColor="text1"/>
          <w:sz w:val="20"/>
          <w:szCs w:val="20"/>
        </w:rPr>
        <w:t xml:space="preserve">compte tenu du </w:t>
      </w:r>
      <w:r w:rsidR="00B40FEF" w:rsidRPr="00102414">
        <w:rPr>
          <w:rFonts w:ascii="Marianne" w:hAnsi="Marianne"/>
          <w:color w:val="000000" w:themeColor="text1"/>
          <w:sz w:val="20"/>
          <w:szCs w:val="20"/>
        </w:rPr>
        <w:t xml:space="preserve">durcissement de la réglementation </w:t>
      </w:r>
      <w:r w:rsidR="00713A20" w:rsidRPr="00102414">
        <w:rPr>
          <w:rFonts w:ascii="Marianne" w:hAnsi="Marianne"/>
          <w:color w:val="000000" w:themeColor="text1"/>
          <w:sz w:val="20"/>
          <w:szCs w:val="20"/>
        </w:rPr>
        <w:t xml:space="preserve">et proposent plutôt de </w:t>
      </w:r>
      <w:r w:rsidR="00C54218" w:rsidRPr="00102414">
        <w:rPr>
          <w:rFonts w:ascii="Marianne" w:hAnsi="Marianne"/>
          <w:color w:val="000000" w:themeColor="text1"/>
          <w:sz w:val="20"/>
          <w:szCs w:val="20"/>
        </w:rPr>
        <w:t xml:space="preserve">renforcer </w:t>
      </w:r>
      <w:r w:rsidR="00B40FEF" w:rsidRPr="00102414">
        <w:rPr>
          <w:rFonts w:ascii="Marianne" w:hAnsi="Marianne"/>
          <w:color w:val="000000" w:themeColor="text1"/>
          <w:sz w:val="20"/>
          <w:szCs w:val="20"/>
        </w:rPr>
        <w:t xml:space="preserve">les points de contrôles </w:t>
      </w:r>
      <w:r w:rsidR="00F336B3">
        <w:rPr>
          <w:rFonts w:ascii="Marianne" w:hAnsi="Marianne"/>
          <w:color w:val="000000" w:themeColor="text1"/>
          <w:sz w:val="20"/>
          <w:szCs w:val="20"/>
        </w:rPr>
        <w:t>du</w:t>
      </w:r>
      <w:r w:rsidRPr="00102414">
        <w:rPr>
          <w:rFonts w:ascii="Marianne" w:hAnsi="Marianne"/>
          <w:color w:val="000000" w:themeColor="text1"/>
          <w:sz w:val="20"/>
          <w:szCs w:val="20"/>
        </w:rPr>
        <w:t xml:space="preserve"> référentiel de contrôles ; </w:t>
      </w:r>
    </w:p>
    <w:p w14:paraId="7A72EE95" w14:textId="3209049F" w:rsidR="00B40FEF" w:rsidRPr="00102414" w:rsidRDefault="0088006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Soulignent que </w:t>
      </w:r>
      <w:r w:rsidR="00713A20" w:rsidRPr="00102414">
        <w:rPr>
          <w:rFonts w:ascii="Marianne" w:hAnsi="Marianne"/>
          <w:color w:val="000000" w:themeColor="text1"/>
          <w:sz w:val="20"/>
          <w:szCs w:val="20"/>
        </w:rPr>
        <w:t>l’avis d’imposition ou de non-imposition des occupants du logement</w:t>
      </w:r>
      <w:r w:rsidRPr="00102414">
        <w:rPr>
          <w:rFonts w:ascii="Marianne" w:hAnsi="Marianne"/>
          <w:color w:val="000000" w:themeColor="text1"/>
          <w:sz w:val="20"/>
          <w:szCs w:val="20"/>
        </w:rPr>
        <w:t xml:space="preserve"> </w:t>
      </w:r>
      <w:r w:rsidR="00713A20" w:rsidRPr="00102414">
        <w:rPr>
          <w:rFonts w:ascii="Marianne" w:hAnsi="Marianne"/>
          <w:color w:val="000000" w:themeColor="text1"/>
          <w:sz w:val="20"/>
          <w:szCs w:val="20"/>
        </w:rPr>
        <w:t xml:space="preserve">pour justifier du </w:t>
      </w:r>
      <w:r w:rsidR="00B40FEF" w:rsidRPr="00102414">
        <w:rPr>
          <w:rFonts w:ascii="Marianne" w:hAnsi="Marianne"/>
          <w:color w:val="000000" w:themeColor="text1"/>
          <w:sz w:val="20"/>
          <w:szCs w:val="20"/>
        </w:rPr>
        <w:t xml:space="preserve">statut d’occupation en tant que résidence principale </w:t>
      </w:r>
      <w:r w:rsidR="00C54218" w:rsidRPr="00102414">
        <w:rPr>
          <w:rFonts w:ascii="Marianne" w:hAnsi="Marianne"/>
          <w:color w:val="000000" w:themeColor="text1"/>
          <w:sz w:val="20"/>
          <w:szCs w:val="20"/>
        </w:rPr>
        <w:t>est</w:t>
      </w:r>
      <w:r w:rsidRPr="00102414">
        <w:rPr>
          <w:rFonts w:ascii="Marianne" w:hAnsi="Marianne"/>
          <w:color w:val="000000" w:themeColor="text1"/>
          <w:sz w:val="20"/>
          <w:szCs w:val="20"/>
        </w:rPr>
        <w:t xml:space="preserve"> inadéquats dans plusieurs cas (déménagement, achat en cours, nouveau locataire…)</w:t>
      </w:r>
      <w:r w:rsidR="00713A20" w:rsidRPr="00102414">
        <w:rPr>
          <w:rFonts w:ascii="Marianne" w:hAnsi="Marianne"/>
          <w:color w:val="000000" w:themeColor="text1"/>
          <w:sz w:val="20"/>
          <w:szCs w:val="20"/>
        </w:rPr>
        <w:t xml:space="preserve">, et proposent </w:t>
      </w:r>
      <w:r w:rsidRPr="00102414">
        <w:rPr>
          <w:rFonts w:ascii="Marianne" w:hAnsi="Marianne"/>
          <w:color w:val="000000" w:themeColor="text1"/>
          <w:sz w:val="20"/>
          <w:szCs w:val="20"/>
        </w:rPr>
        <w:t>q</w:t>
      </w:r>
      <w:r w:rsidR="00713A20" w:rsidRPr="00102414">
        <w:rPr>
          <w:rFonts w:ascii="Marianne" w:hAnsi="Marianne"/>
          <w:color w:val="000000" w:themeColor="text1"/>
          <w:sz w:val="20"/>
          <w:szCs w:val="20"/>
        </w:rPr>
        <w:t xml:space="preserve">ue </w:t>
      </w:r>
      <w:r w:rsidRPr="00102414">
        <w:rPr>
          <w:rFonts w:ascii="Marianne" w:hAnsi="Marianne"/>
          <w:color w:val="000000" w:themeColor="text1"/>
          <w:sz w:val="20"/>
          <w:szCs w:val="20"/>
        </w:rPr>
        <w:t>d’autres pièces justificatives soient acceptées (</w:t>
      </w:r>
      <w:r w:rsidR="00713A20" w:rsidRPr="00102414">
        <w:rPr>
          <w:rFonts w:ascii="Marianne" w:hAnsi="Marianne"/>
          <w:color w:val="000000" w:themeColor="text1"/>
          <w:sz w:val="20"/>
          <w:szCs w:val="20"/>
        </w:rPr>
        <w:t>assurance habitation</w:t>
      </w:r>
      <w:r w:rsidRPr="00102414">
        <w:rPr>
          <w:rFonts w:ascii="Marianne" w:hAnsi="Marianne"/>
          <w:color w:val="000000" w:themeColor="text1"/>
          <w:sz w:val="20"/>
          <w:szCs w:val="20"/>
        </w:rPr>
        <w:t xml:space="preserve"> par exemple).</w:t>
      </w:r>
    </w:p>
    <w:p w14:paraId="7AE5FBE9" w14:textId="77777777" w:rsidR="0088006C" w:rsidRPr="00102414" w:rsidRDefault="0088006C" w:rsidP="007923EE">
      <w:pPr>
        <w:pStyle w:val="Paragraphedeliste"/>
        <w:spacing w:before="100" w:beforeAutospacing="1" w:after="100" w:afterAutospacing="1" w:line="240" w:lineRule="auto"/>
        <w:ind w:left="644"/>
        <w:jc w:val="both"/>
        <w:rPr>
          <w:rFonts w:ascii="Marianne" w:hAnsi="Marianne"/>
          <w:color w:val="000000" w:themeColor="text1"/>
          <w:sz w:val="20"/>
          <w:szCs w:val="20"/>
        </w:rPr>
      </w:pPr>
    </w:p>
    <w:p w14:paraId="5897970E" w14:textId="08E9A436" w:rsidR="005F6061" w:rsidRPr="00102414" w:rsidRDefault="005F6061" w:rsidP="007923EE">
      <w:pPr>
        <w:pStyle w:val="Paragraphedeliste"/>
        <w:numPr>
          <w:ilvl w:val="1"/>
          <w:numId w:val="1"/>
        </w:numPr>
        <w:jc w:val="both"/>
        <w:rPr>
          <w:rFonts w:ascii="Marianne" w:hAnsi="Marianne"/>
          <w:b/>
          <w:color w:val="000000" w:themeColor="text1"/>
          <w:sz w:val="20"/>
          <w:szCs w:val="20"/>
        </w:rPr>
      </w:pPr>
      <w:r w:rsidRPr="00102414">
        <w:rPr>
          <w:rFonts w:ascii="Marianne" w:hAnsi="Marianne"/>
          <w:b/>
          <w:color w:val="000000" w:themeColor="text1"/>
          <w:sz w:val="20"/>
          <w:szCs w:val="20"/>
        </w:rPr>
        <w:t xml:space="preserve">Réponse de l’administration </w:t>
      </w:r>
    </w:p>
    <w:p w14:paraId="4979DD75" w14:textId="77777777" w:rsidR="00F444D6" w:rsidRPr="00102414" w:rsidRDefault="00B40FEF" w:rsidP="007923EE">
      <w:pPr>
        <w:jc w:val="both"/>
        <w:rPr>
          <w:rFonts w:ascii="Marianne" w:hAnsi="Marianne"/>
          <w:color w:val="000000" w:themeColor="text1"/>
          <w:sz w:val="20"/>
          <w:szCs w:val="20"/>
          <w:u w:val="single"/>
        </w:rPr>
      </w:pPr>
      <w:r w:rsidRPr="00102414">
        <w:rPr>
          <w:rFonts w:ascii="Marianne" w:hAnsi="Marianne"/>
          <w:color w:val="000000" w:themeColor="text1"/>
          <w:sz w:val="20"/>
          <w:szCs w:val="20"/>
          <w:u w:val="single"/>
        </w:rPr>
        <w:t>L’</w:t>
      </w:r>
      <w:r w:rsidR="0088006C" w:rsidRPr="00102414">
        <w:rPr>
          <w:rFonts w:ascii="Marianne" w:hAnsi="Marianne"/>
          <w:color w:val="000000" w:themeColor="text1"/>
          <w:sz w:val="20"/>
          <w:szCs w:val="20"/>
          <w:u w:val="single"/>
        </w:rPr>
        <w:t>administration</w:t>
      </w:r>
      <w:r w:rsidRPr="00102414">
        <w:rPr>
          <w:rFonts w:ascii="Marianne" w:hAnsi="Marianne"/>
          <w:color w:val="000000" w:themeColor="text1"/>
          <w:sz w:val="20"/>
          <w:szCs w:val="20"/>
          <w:u w:val="single"/>
        </w:rPr>
        <w:t xml:space="preserve"> retient les propositions suivantes : </w:t>
      </w:r>
    </w:p>
    <w:p w14:paraId="0951D1C8" w14:textId="13C36156" w:rsidR="00B40FEF" w:rsidRPr="00102414" w:rsidRDefault="00B40FEF" w:rsidP="007923EE">
      <w:pPr>
        <w:pStyle w:val="Paragraphedeliste"/>
        <w:numPr>
          <w:ilvl w:val="0"/>
          <w:numId w:val="12"/>
        </w:numPr>
        <w:jc w:val="both"/>
        <w:rPr>
          <w:rFonts w:ascii="Marianne" w:hAnsi="Marianne"/>
          <w:color w:val="000000" w:themeColor="text1"/>
          <w:sz w:val="20"/>
          <w:szCs w:val="20"/>
        </w:rPr>
      </w:pPr>
      <w:r w:rsidRPr="00102414">
        <w:rPr>
          <w:rFonts w:ascii="Marianne" w:hAnsi="Marianne"/>
          <w:color w:val="000000" w:themeColor="text1"/>
          <w:sz w:val="20"/>
          <w:szCs w:val="20"/>
        </w:rPr>
        <w:t xml:space="preserve">Pour la BAR-TH-172, </w:t>
      </w:r>
      <w:r w:rsidR="00CD079C" w:rsidRPr="00102414">
        <w:rPr>
          <w:rFonts w:ascii="Marianne" w:hAnsi="Marianne"/>
          <w:color w:val="000000" w:themeColor="text1"/>
          <w:sz w:val="20"/>
          <w:szCs w:val="20"/>
        </w:rPr>
        <w:t>la distinction de l’application eau de nappe/eau de l’application eau glycolée/eau pour déterminer l’Etas à considérer sera prise en compte en indiquant que</w:t>
      </w:r>
      <w:r w:rsidR="007D7C36" w:rsidRPr="00102414">
        <w:rPr>
          <w:rFonts w:ascii="Marianne" w:hAnsi="Marianne"/>
          <w:color w:val="000000" w:themeColor="text1"/>
          <w:sz w:val="20"/>
          <w:szCs w:val="20"/>
        </w:rPr>
        <w:t xml:space="preserve"> : </w:t>
      </w:r>
      <w:r w:rsidR="00CD079C" w:rsidRPr="00102414">
        <w:rPr>
          <w:rFonts w:ascii="Marianne" w:hAnsi="Marianne"/>
          <w:i/>
          <w:color w:val="000000" w:themeColor="text1"/>
          <w:sz w:val="20"/>
          <w:szCs w:val="20"/>
        </w:rPr>
        <w:t xml:space="preserve">« Pour un </w:t>
      </w:r>
      <w:r w:rsidRPr="00102414">
        <w:rPr>
          <w:rFonts w:ascii="Marianne" w:hAnsi="Marianne"/>
          <w:i/>
          <w:color w:val="000000" w:themeColor="text1"/>
          <w:sz w:val="20"/>
          <w:szCs w:val="20"/>
        </w:rPr>
        <w:t>captage d’énergie sur eau souterraine, la pompe à chaleur installée est d’application eau et l’Etas à une température de source +10°C/+7°C (entrée/sortie) est à considérer.</w:t>
      </w:r>
      <w:r w:rsidR="007D7C36" w:rsidRPr="00102414">
        <w:rPr>
          <w:rFonts w:ascii="Marianne" w:hAnsi="Marianne"/>
          <w:i/>
          <w:color w:val="000000" w:themeColor="text1"/>
          <w:sz w:val="20"/>
          <w:szCs w:val="20"/>
        </w:rPr>
        <w:t xml:space="preserve"> </w:t>
      </w:r>
      <w:r w:rsidRPr="00102414">
        <w:rPr>
          <w:rFonts w:ascii="Marianne" w:hAnsi="Marianne"/>
          <w:i/>
          <w:color w:val="000000" w:themeColor="text1"/>
          <w:sz w:val="20"/>
          <w:szCs w:val="20"/>
        </w:rPr>
        <w:t>Pour les autres types de captage d’énergie, la pompe à chaleur installée est d’application eau glycolée et l’Etas à une température de source 0°C/-3°C (entrée/sortie) est à considérer.</w:t>
      </w:r>
      <w:r w:rsidR="00CD079C" w:rsidRPr="00102414">
        <w:rPr>
          <w:rFonts w:ascii="Marianne" w:hAnsi="Marianne"/>
          <w:i/>
          <w:color w:val="000000" w:themeColor="text1"/>
          <w:sz w:val="20"/>
          <w:szCs w:val="20"/>
        </w:rPr>
        <w:t> »</w:t>
      </w:r>
      <w:r w:rsidR="007D7C36" w:rsidRPr="00102414">
        <w:rPr>
          <w:rFonts w:ascii="Marianne" w:hAnsi="Marianne"/>
          <w:i/>
          <w:color w:val="000000" w:themeColor="text1"/>
          <w:sz w:val="20"/>
          <w:szCs w:val="20"/>
        </w:rPr>
        <w:t> ;</w:t>
      </w:r>
    </w:p>
    <w:p w14:paraId="3A317205" w14:textId="0F08E624" w:rsidR="00EA4502" w:rsidRDefault="007D7C36" w:rsidP="00EA4502">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Le</w:t>
      </w:r>
      <w:r w:rsidR="00CD079C" w:rsidRPr="00102414">
        <w:rPr>
          <w:rFonts w:ascii="Marianne" w:hAnsi="Marianne"/>
          <w:color w:val="000000" w:themeColor="text1"/>
          <w:sz w:val="20"/>
          <w:szCs w:val="20"/>
        </w:rPr>
        <w:t xml:space="preserve"> numéro d’enregistrement EPREL </w:t>
      </w:r>
      <w:r w:rsidRPr="00102414">
        <w:rPr>
          <w:rFonts w:ascii="Marianne" w:hAnsi="Marianne"/>
          <w:color w:val="000000" w:themeColor="text1"/>
          <w:sz w:val="20"/>
          <w:szCs w:val="20"/>
        </w:rPr>
        <w:t xml:space="preserve">sera remplacé </w:t>
      </w:r>
      <w:r w:rsidR="00CD079C" w:rsidRPr="00102414">
        <w:rPr>
          <w:rFonts w:ascii="Marianne" w:hAnsi="Marianne"/>
          <w:color w:val="000000" w:themeColor="text1"/>
          <w:sz w:val="20"/>
          <w:szCs w:val="20"/>
        </w:rPr>
        <w:t>par la référence du modèle de la PAC </w:t>
      </w:r>
      <w:r w:rsidR="00F444D6" w:rsidRPr="00102414">
        <w:rPr>
          <w:rFonts w:ascii="Marianne" w:hAnsi="Marianne"/>
          <w:color w:val="000000" w:themeColor="text1"/>
          <w:sz w:val="20"/>
          <w:szCs w:val="20"/>
        </w:rPr>
        <w:t xml:space="preserve">dans l’attestation du l’honneur de l’opération </w:t>
      </w:r>
      <w:r w:rsidR="00CD079C" w:rsidRPr="00102414">
        <w:rPr>
          <w:rFonts w:ascii="Marianne" w:hAnsi="Marianne"/>
          <w:color w:val="000000" w:themeColor="text1"/>
          <w:sz w:val="20"/>
          <w:szCs w:val="20"/>
        </w:rPr>
        <w:t xml:space="preserve">; </w:t>
      </w:r>
    </w:p>
    <w:p w14:paraId="6371AF52" w14:textId="4AB39379" w:rsidR="00C47A93" w:rsidRPr="00C47A93" w:rsidRDefault="00C47A93" w:rsidP="0084610E">
      <w:pPr>
        <w:pStyle w:val="Paragraphedeliste"/>
        <w:numPr>
          <w:ilvl w:val="0"/>
          <w:numId w:val="7"/>
        </w:numPr>
        <w:snapToGrid w:val="0"/>
        <w:spacing w:before="100" w:beforeAutospacing="1" w:after="100" w:afterAutospacing="1" w:line="240" w:lineRule="auto"/>
        <w:jc w:val="both"/>
        <w:rPr>
          <w:rFonts w:ascii="Marianne" w:hAnsi="Marianne"/>
          <w:color w:val="000000" w:themeColor="text1"/>
          <w:sz w:val="20"/>
          <w:szCs w:val="20"/>
        </w:rPr>
      </w:pPr>
      <w:r w:rsidRPr="00C47A93">
        <w:rPr>
          <w:rFonts w:ascii="Marianne" w:hAnsi="Marianne"/>
          <w:b/>
          <w:color w:val="000000" w:themeColor="text1"/>
          <w:sz w:val="20"/>
          <w:szCs w:val="20"/>
        </w:rPr>
        <w:t xml:space="preserve">Il est proposé de rendre obligatoire la présentation de la note préalable de dimensionnement au bénéficiaire au moment de l’engagement de l’opération. Le cas échéant, la note de dimensionnement pourra être actualisée et fournie au bénéficiaire au moment de l'achèvement de l'opération. </w:t>
      </w:r>
    </w:p>
    <w:p w14:paraId="12F76C0C" w14:textId="0BDBBBCC" w:rsidR="00780EE6" w:rsidRPr="00102414" w:rsidRDefault="0023230D" w:rsidP="007923EE">
      <w:pPr>
        <w:jc w:val="both"/>
        <w:rPr>
          <w:rFonts w:ascii="Marianne" w:hAnsi="Marianne"/>
          <w:color w:val="000000" w:themeColor="text1"/>
          <w:sz w:val="20"/>
          <w:szCs w:val="20"/>
          <w:u w:val="single"/>
        </w:rPr>
      </w:pPr>
      <w:r w:rsidRPr="00102414">
        <w:rPr>
          <w:rFonts w:ascii="Marianne" w:hAnsi="Marianne"/>
          <w:color w:val="000000" w:themeColor="text1"/>
          <w:sz w:val="20"/>
          <w:szCs w:val="20"/>
          <w:u w:val="single"/>
        </w:rPr>
        <w:t xml:space="preserve">L’administration ne retient pas de modifications </w:t>
      </w:r>
      <w:r w:rsidR="0088006C" w:rsidRPr="00102414">
        <w:rPr>
          <w:rFonts w:ascii="Marianne" w:hAnsi="Marianne"/>
          <w:color w:val="000000" w:themeColor="text1"/>
          <w:sz w:val="20"/>
          <w:szCs w:val="20"/>
          <w:u w:val="single"/>
        </w:rPr>
        <w:t xml:space="preserve">suivantes : </w:t>
      </w:r>
    </w:p>
    <w:p w14:paraId="199CA28E" w14:textId="613CA967" w:rsidR="0088006C" w:rsidRPr="00102414" w:rsidRDefault="00F444D6"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u w:val="single"/>
        </w:rPr>
        <w:t>S’agissant du paramètre lié à la surface pour le calcul du forfait de CEE</w:t>
      </w:r>
      <w:r w:rsidRPr="00102414">
        <w:rPr>
          <w:rFonts w:ascii="Marianne" w:hAnsi="Marianne"/>
          <w:color w:val="000000" w:themeColor="text1"/>
          <w:sz w:val="20"/>
          <w:szCs w:val="20"/>
        </w:rPr>
        <w:t> : L</w:t>
      </w:r>
      <w:r w:rsidR="0088006C" w:rsidRPr="00102414">
        <w:rPr>
          <w:rFonts w:ascii="Marianne" w:hAnsi="Marianne"/>
          <w:color w:val="000000" w:themeColor="text1"/>
          <w:sz w:val="20"/>
          <w:szCs w:val="20"/>
        </w:rPr>
        <w:t xml:space="preserve">e facteur correctif de surface est capé à 1 </w:t>
      </w:r>
      <w:r w:rsidRPr="00102414">
        <w:rPr>
          <w:rFonts w:ascii="Marianne" w:hAnsi="Marianne"/>
          <w:color w:val="000000" w:themeColor="text1"/>
          <w:sz w:val="20"/>
          <w:szCs w:val="20"/>
        </w:rPr>
        <w:t xml:space="preserve">afin de </w:t>
      </w:r>
      <w:r w:rsidR="0088006C" w:rsidRPr="00102414">
        <w:rPr>
          <w:rFonts w:ascii="Marianne" w:hAnsi="Marianne"/>
          <w:color w:val="000000" w:themeColor="text1"/>
          <w:sz w:val="20"/>
          <w:szCs w:val="20"/>
        </w:rPr>
        <w:t>limiter les risques d’amplification du forfait en j</w:t>
      </w:r>
      <w:r w:rsidR="007D7C36" w:rsidRPr="00102414">
        <w:rPr>
          <w:rFonts w:ascii="Marianne" w:hAnsi="Marianne"/>
          <w:color w:val="000000" w:themeColor="text1"/>
          <w:sz w:val="20"/>
          <w:szCs w:val="20"/>
        </w:rPr>
        <w:t>ouant sur le critère de surface. I</w:t>
      </w:r>
      <w:r w:rsidR="0088006C" w:rsidRPr="00102414">
        <w:rPr>
          <w:rFonts w:ascii="Marianne" w:hAnsi="Marianne"/>
          <w:color w:val="000000" w:themeColor="text1"/>
          <w:sz w:val="20"/>
          <w:szCs w:val="20"/>
        </w:rPr>
        <w:t>l semble pertinent de conserver la modulation de la surface pour les logements de petite surface car les PAC installées dans ces logements sont plus petite</w:t>
      </w:r>
      <w:r w:rsidRPr="00102414">
        <w:rPr>
          <w:rFonts w:ascii="Marianne" w:hAnsi="Marianne"/>
          <w:color w:val="000000" w:themeColor="text1"/>
          <w:sz w:val="20"/>
          <w:szCs w:val="20"/>
        </w:rPr>
        <w:t>s,</w:t>
      </w:r>
      <w:r w:rsidR="0088006C" w:rsidRPr="00102414">
        <w:rPr>
          <w:rFonts w:ascii="Marianne" w:hAnsi="Marianne"/>
          <w:color w:val="000000" w:themeColor="text1"/>
          <w:sz w:val="20"/>
          <w:szCs w:val="20"/>
        </w:rPr>
        <w:t xml:space="preserve"> car de puissance plus faible et donc moins coûteuse</w:t>
      </w:r>
      <w:r w:rsidRPr="00102414">
        <w:rPr>
          <w:rFonts w:ascii="Marianne" w:hAnsi="Marianne"/>
          <w:color w:val="000000" w:themeColor="text1"/>
          <w:sz w:val="20"/>
          <w:szCs w:val="20"/>
        </w:rPr>
        <w:t>s</w:t>
      </w:r>
      <w:r w:rsidR="0088006C" w:rsidRPr="00102414">
        <w:rPr>
          <w:rFonts w:ascii="Marianne" w:hAnsi="Marianne"/>
          <w:color w:val="000000" w:themeColor="text1"/>
          <w:sz w:val="20"/>
          <w:szCs w:val="20"/>
        </w:rPr>
        <w:t>. Un coefficient correctif de 1 correspond à la surface moyenne des logements du parc (entre 90 et 110 m² pour une maison individuelle et entre 60 et 70 m²</w:t>
      </w:r>
      <w:r w:rsidRPr="00102414">
        <w:rPr>
          <w:rFonts w:ascii="Marianne" w:hAnsi="Marianne"/>
          <w:color w:val="000000" w:themeColor="text1"/>
          <w:sz w:val="20"/>
          <w:szCs w:val="20"/>
        </w:rPr>
        <w:t xml:space="preserve"> pour un appartement</w:t>
      </w:r>
      <w:r w:rsidR="0088006C" w:rsidRPr="00102414">
        <w:rPr>
          <w:rFonts w:ascii="Marianne" w:hAnsi="Marianne"/>
          <w:color w:val="000000" w:themeColor="text1"/>
          <w:sz w:val="20"/>
          <w:szCs w:val="20"/>
        </w:rPr>
        <w:t xml:space="preserve">). </w:t>
      </w:r>
      <w:r w:rsidRPr="00102414">
        <w:rPr>
          <w:rFonts w:ascii="Marianne" w:hAnsi="Marianne"/>
          <w:color w:val="000000" w:themeColor="text1"/>
          <w:sz w:val="20"/>
          <w:szCs w:val="20"/>
        </w:rPr>
        <w:t xml:space="preserve">Le dimensionnement de la PAC doit dans tous les cas prendre en compte la surface chauffée par la PAC.  </w:t>
      </w:r>
    </w:p>
    <w:p w14:paraId="04CD9646" w14:textId="5E0AA863" w:rsidR="00F444D6" w:rsidRPr="00102414" w:rsidRDefault="00F444D6" w:rsidP="007923EE">
      <w:pPr>
        <w:pStyle w:val="Paragraphedeliste"/>
        <w:ind w:left="644"/>
        <w:jc w:val="both"/>
        <w:rPr>
          <w:rFonts w:ascii="Marianne" w:hAnsi="Marianne"/>
          <w:color w:val="000000" w:themeColor="text1"/>
          <w:sz w:val="20"/>
          <w:szCs w:val="20"/>
          <w:u w:val="single"/>
        </w:rPr>
      </w:pPr>
    </w:p>
    <w:p w14:paraId="59EAB734" w14:textId="3E5DCC21" w:rsidR="00F444D6" w:rsidRPr="00102414" w:rsidRDefault="00F444D6" w:rsidP="007923EE">
      <w:pPr>
        <w:pStyle w:val="Paragraphedeliste"/>
        <w:ind w:left="644"/>
        <w:jc w:val="both"/>
        <w:rPr>
          <w:rFonts w:ascii="Marianne" w:hAnsi="Marianne"/>
          <w:color w:val="000000" w:themeColor="text1"/>
          <w:sz w:val="20"/>
          <w:szCs w:val="20"/>
          <w:u w:val="single"/>
        </w:rPr>
      </w:pPr>
      <w:r w:rsidRPr="00102414">
        <w:rPr>
          <w:rFonts w:ascii="Marianne" w:hAnsi="Marianne"/>
          <w:color w:val="000000" w:themeColor="text1"/>
          <w:sz w:val="20"/>
          <w:szCs w:val="20"/>
          <w:u w:val="single"/>
        </w:rPr>
        <w:t>S’agissant du paramètre lié à l’efficacité énergétique saisonnière (Etas) :</w:t>
      </w:r>
    </w:p>
    <w:p w14:paraId="0A18C51F" w14:textId="238AC4B5" w:rsidR="007D7C36" w:rsidRPr="00102414" w:rsidRDefault="007D7C36"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Le seuil séparant les 2 tranches d’Etas dans le calcul du forfait a été placé à 170% </w:t>
      </w:r>
      <w:r w:rsidR="00F444D6" w:rsidRPr="00102414">
        <w:rPr>
          <w:rFonts w:ascii="Marianne" w:hAnsi="Marianne"/>
          <w:color w:val="000000" w:themeColor="text1"/>
          <w:sz w:val="20"/>
          <w:szCs w:val="20"/>
        </w:rPr>
        <w:t xml:space="preserve">pour la fiche BAR-TH-172, </w:t>
      </w:r>
      <w:r w:rsidRPr="00102414">
        <w:rPr>
          <w:rFonts w:ascii="Marianne" w:hAnsi="Marianne"/>
          <w:color w:val="000000" w:themeColor="text1"/>
          <w:sz w:val="20"/>
          <w:szCs w:val="20"/>
        </w:rPr>
        <w:t xml:space="preserve">car </w:t>
      </w:r>
      <w:r w:rsidR="00F444D6" w:rsidRPr="00102414">
        <w:rPr>
          <w:rFonts w:ascii="Marianne" w:hAnsi="Marianne"/>
          <w:color w:val="000000" w:themeColor="text1"/>
          <w:sz w:val="20"/>
          <w:szCs w:val="20"/>
        </w:rPr>
        <w:t>plus de 40% des</w:t>
      </w:r>
      <w:r w:rsidRPr="00102414">
        <w:rPr>
          <w:rFonts w:ascii="Marianne" w:hAnsi="Marianne"/>
          <w:color w:val="000000" w:themeColor="text1"/>
          <w:sz w:val="20"/>
          <w:szCs w:val="20"/>
        </w:rPr>
        <w:t xml:space="preserve"> opér</w:t>
      </w:r>
      <w:r w:rsidR="00F444D6" w:rsidRPr="00102414">
        <w:rPr>
          <w:rFonts w:ascii="Marianne" w:hAnsi="Marianne"/>
          <w:color w:val="000000" w:themeColor="text1"/>
          <w:sz w:val="20"/>
          <w:szCs w:val="20"/>
        </w:rPr>
        <w:t>ations déposées sur le registre</w:t>
      </w:r>
      <w:r w:rsidRPr="00102414">
        <w:rPr>
          <w:rFonts w:ascii="Marianne" w:hAnsi="Marianne"/>
          <w:color w:val="000000" w:themeColor="text1"/>
          <w:sz w:val="20"/>
          <w:szCs w:val="20"/>
        </w:rPr>
        <w:t xml:space="preserve"> </w:t>
      </w:r>
      <w:r w:rsidR="00F444D6" w:rsidRPr="00102414">
        <w:rPr>
          <w:rFonts w:ascii="Marianne" w:hAnsi="Marianne"/>
          <w:color w:val="000000" w:themeColor="text1"/>
          <w:sz w:val="20"/>
          <w:szCs w:val="20"/>
        </w:rPr>
        <w:t>présentent</w:t>
      </w:r>
      <w:r w:rsidRPr="00102414">
        <w:rPr>
          <w:rFonts w:ascii="Marianne" w:hAnsi="Marianne"/>
          <w:color w:val="000000" w:themeColor="text1"/>
          <w:sz w:val="20"/>
          <w:szCs w:val="20"/>
        </w:rPr>
        <w:t xml:space="preserve"> un </w:t>
      </w:r>
      <w:r w:rsidR="00F444D6" w:rsidRPr="00102414">
        <w:rPr>
          <w:rFonts w:ascii="Marianne" w:hAnsi="Marianne"/>
          <w:color w:val="000000" w:themeColor="text1"/>
          <w:sz w:val="20"/>
          <w:szCs w:val="20"/>
        </w:rPr>
        <w:t>E</w:t>
      </w:r>
      <w:r w:rsidRPr="00102414">
        <w:rPr>
          <w:rFonts w:ascii="Marianne" w:hAnsi="Marianne"/>
          <w:color w:val="000000" w:themeColor="text1"/>
          <w:sz w:val="20"/>
          <w:szCs w:val="20"/>
        </w:rPr>
        <w:t xml:space="preserve">tas de plus de 170% (contre 15% pour la BAR-TH-171). Il n’est pas proposé </w:t>
      </w:r>
      <w:r w:rsidR="00F444D6" w:rsidRPr="00102414">
        <w:rPr>
          <w:rFonts w:ascii="Marianne" w:hAnsi="Marianne"/>
          <w:color w:val="000000" w:themeColor="text1"/>
          <w:sz w:val="20"/>
          <w:szCs w:val="20"/>
        </w:rPr>
        <w:t>d’harmoniser les seuils entre les fiches</w:t>
      </w:r>
      <w:r w:rsidRPr="00102414">
        <w:rPr>
          <w:rFonts w:ascii="Marianne" w:hAnsi="Marianne"/>
          <w:color w:val="000000" w:themeColor="text1"/>
          <w:sz w:val="20"/>
          <w:szCs w:val="20"/>
        </w:rPr>
        <w:t xml:space="preserve"> BAR-TH-171 et BAR-TH-172 ;</w:t>
      </w:r>
    </w:p>
    <w:p w14:paraId="6287A726" w14:textId="6F547BF0" w:rsidR="00F444D6" w:rsidRPr="00F336B3" w:rsidRDefault="00F336B3" w:rsidP="00854125">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F336B3">
        <w:rPr>
          <w:rFonts w:ascii="Marianne" w:hAnsi="Marianne"/>
          <w:color w:val="000000" w:themeColor="text1"/>
          <w:sz w:val="20"/>
          <w:szCs w:val="20"/>
        </w:rPr>
        <w:t>La rédaction actuelle de la définition de l’Etas est claire et ne nécessite pas de révision.</w:t>
      </w:r>
      <w:r>
        <w:rPr>
          <w:rFonts w:ascii="Marianne" w:hAnsi="Marianne"/>
          <w:color w:val="000000" w:themeColor="text1"/>
          <w:sz w:val="20"/>
          <w:szCs w:val="20"/>
        </w:rPr>
        <w:t xml:space="preserve"> L</w:t>
      </w:r>
      <w:r w:rsidRPr="00F336B3">
        <w:rPr>
          <w:rFonts w:ascii="Marianne" w:hAnsi="Marianne"/>
          <w:color w:val="000000" w:themeColor="text1"/>
          <w:sz w:val="20"/>
          <w:szCs w:val="20"/>
        </w:rPr>
        <w:t>a précision (hors dispositif de régulation) avait été ajoutée pour éviter les étiquettes packages composées du générateur et de sa régulation</w:t>
      </w:r>
      <w:r w:rsidR="00325A97">
        <w:rPr>
          <w:rFonts w:ascii="Marianne" w:hAnsi="Marianne"/>
          <w:color w:val="000000" w:themeColor="text1"/>
          <w:sz w:val="20"/>
          <w:szCs w:val="20"/>
        </w:rPr>
        <w:t xml:space="preserve"> (systèmes combinés)</w:t>
      </w:r>
      <w:r w:rsidRPr="00F336B3">
        <w:rPr>
          <w:rFonts w:ascii="Marianne" w:hAnsi="Marianne"/>
          <w:color w:val="000000" w:themeColor="text1"/>
          <w:sz w:val="20"/>
          <w:szCs w:val="20"/>
        </w:rPr>
        <w:t>.</w:t>
      </w:r>
    </w:p>
    <w:p w14:paraId="611E3B3D" w14:textId="77777777" w:rsidR="00F336B3" w:rsidRPr="00102414" w:rsidRDefault="00F336B3" w:rsidP="007923EE">
      <w:pPr>
        <w:pStyle w:val="Paragraphedeliste"/>
        <w:spacing w:before="100" w:beforeAutospacing="1" w:after="100" w:afterAutospacing="1" w:line="240" w:lineRule="auto"/>
        <w:ind w:left="644"/>
        <w:jc w:val="both"/>
        <w:rPr>
          <w:rFonts w:eastAsia="Times New Roman"/>
          <w:color w:val="000000" w:themeColor="text1"/>
          <w:highlight w:val="yellow"/>
        </w:rPr>
      </w:pPr>
    </w:p>
    <w:p w14:paraId="2C5B65BE" w14:textId="5FA4689A" w:rsidR="007923EE" w:rsidRPr="00102414" w:rsidRDefault="007923EE" w:rsidP="007923EE">
      <w:pPr>
        <w:pStyle w:val="Paragraphedeliste"/>
        <w:ind w:left="644"/>
        <w:jc w:val="both"/>
        <w:rPr>
          <w:rFonts w:ascii="Marianne" w:hAnsi="Marianne"/>
          <w:color w:val="000000" w:themeColor="text1"/>
          <w:sz w:val="20"/>
          <w:szCs w:val="20"/>
          <w:u w:val="single"/>
        </w:rPr>
      </w:pPr>
      <w:r w:rsidRPr="00102414">
        <w:rPr>
          <w:rFonts w:ascii="Marianne" w:hAnsi="Marianne"/>
          <w:color w:val="000000" w:themeColor="text1"/>
          <w:sz w:val="20"/>
          <w:szCs w:val="20"/>
          <w:u w:val="single"/>
        </w:rPr>
        <w:t>S’agissant de l’usage « Production de l’eau chaude sanitaire » :</w:t>
      </w:r>
    </w:p>
    <w:p w14:paraId="2BE46788" w14:textId="023AD7B1" w:rsidR="0088006C" w:rsidRPr="00102414" w:rsidRDefault="007923EE" w:rsidP="007923EE">
      <w:pPr>
        <w:pStyle w:val="Paragraphedeliste"/>
        <w:numPr>
          <w:ilvl w:val="0"/>
          <w:numId w:val="7"/>
        </w:numPr>
        <w:snapToGrid w:val="0"/>
        <w:jc w:val="both"/>
        <w:rPr>
          <w:rFonts w:ascii="Marianne" w:hAnsi="Marianne"/>
          <w:color w:val="000000" w:themeColor="text1"/>
          <w:sz w:val="20"/>
          <w:szCs w:val="20"/>
        </w:rPr>
      </w:pPr>
      <w:r w:rsidRPr="00102414">
        <w:rPr>
          <w:rFonts w:ascii="Marianne" w:hAnsi="Marianne"/>
          <w:color w:val="000000" w:themeColor="text1"/>
          <w:sz w:val="20"/>
          <w:szCs w:val="20"/>
        </w:rPr>
        <w:t>L</w:t>
      </w:r>
      <w:r w:rsidR="0088006C" w:rsidRPr="00102414">
        <w:rPr>
          <w:rFonts w:ascii="Marianne" w:hAnsi="Marianne"/>
          <w:color w:val="000000" w:themeColor="text1"/>
          <w:sz w:val="20"/>
          <w:szCs w:val="20"/>
        </w:rPr>
        <w:t xml:space="preserve">a distinction des forfaits suivant l’usage risque d’octroyer un forfait plus important « Chauffage + ECS » à des installations de PAC avec ballons ECS chauffés à </w:t>
      </w:r>
      <w:r w:rsidR="006974D4" w:rsidRPr="00102414">
        <w:rPr>
          <w:rFonts w:ascii="Marianne" w:hAnsi="Marianne"/>
          <w:color w:val="000000" w:themeColor="text1"/>
          <w:sz w:val="20"/>
          <w:szCs w:val="20"/>
        </w:rPr>
        <w:t>l’</w:t>
      </w:r>
      <w:r w:rsidR="006974D4">
        <w:rPr>
          <w:rFonts w:ascii="Marianne" w:hAnsi="Marianne"/>
          <w:color w:val="000000" w:themeColor="text1"/>
          <w:sz w:val="20"/>
          <w:szCs w:val="20"/>
        </w:rPr>
        <w:t>effet Joule</w:t>
      </w:r>
      <w:r w:rsidR="006974D4" w:rsidRPr="00102414">
        <w:rPr>
          <w:rFonts w:ascii="Marianne" w:hAnsi="Marianne"/>
          <w:color w:val="000000" w:themeColor="text1"/>
          <w:sz w:val="20"/>
          <w:szCs w:val="20"/>
        </w:rPr>
        <w:t xml:space="preserve"> </w:t>
      </w:r>
      <w:r w:rsidR="0088006C" w:rsidRPr="00102414">
        <w:rPr>
          <w:rFonts w:ascii="Marianne" w:hAnsi="Marianne"/>
          <w:color w:val="000000" w:themeColor="text1"/>
          <w:sz w:val="20"/>
          <w:szCs w:val="20"/>
        </w:rPr>
        <w:t>(sans que cela ne soit contrôlable lors contrôle sur site). Il y a également un risque d’effet d’aubaine (installation DS installée mê</w:t>
      </w:r>
      <w:r w:rsidR="007D7C36" w:rsidRPr="00102414">
        <w:rPr>
          <w:rFonts w:ascii="Marianne" w:hAnsi="Marianne"/>
          <w:color w:val="000000" w:themeColor="text1"/>
          <w:sz w:val="20"/>
          <w:szCs w:val="20"/>
        </w:rPr>
        <w:t xml:space="preserve">me sans forfait supplémentaire) ; </w:t>
      </w:r>
    </w:p>
    <w:p w14:paraId="5C2F68EC" w14:textId="45FCD2CB" w:rsidR="007D7C36" w:rsidRPr="00102414" w:rsidRDefault="00597140" w:rsidP="007923EE">
      <w:pPr>
        <w:pStyle w:val="Paragraphedeliste"/>
        <w:numPr>
          <w:ilvl w:val="0"/>
          <w:numId w:val="7"/>
        </w:numPr>
        <w:snapToGrid w:val="0"/>
        <w:jc w:val="both"/>
        <w:rPr>
          <w:rFonts w:ascii="Marianne" w:hAnsi="Marianne"/>
          <w:color w:val="000000" w:themeColor="text1"/>
          <w:sz w:val="20"/>
          <w:szCs w:val="20"/>
        </w:rPr>
      </w:pPr>
      <w:r w:rsidRPr="00102414">
        <w:rPr>
          <w:rFonts w:ascii="Marianne" w:hAnsi="Marianne"/>
          <w:color w:val="000000" w:themeColor="text1"/>
          <w:sz w:val="20"/>
          <w:szCs w:val="20"/>
        </w:rPr>
        <w:t>L’introduction de forfaits uniques indépendants de l'usage a mis un terme au cumul avec les fiches "chauffe-eau" (CET, CESI...) car ce cumul pouvait conduire à un double compte des économies d’énergie ;</w:t>
      </w:r>
      <w:r w:rsidR="007D7C36" w:rsidRPr="00102414">
        <w:rPr>
          <w:color w:val="000000" w:themeColor="text1"/>
        </w:rPr>
        <w:t xml:space="preserve"> </w:t>
      </w:r>
    </w:p>
    <w:p w14:paraId="25ADC00C" w14:textId="64AF038F" w:rsidR="00CD079C" w:rsidRPr="00102414" w:rsidRDefault="007D7C36" w:rsidP="007923EE">
      <w:pPr>
        <w:pStyle w:val="Paragraphedeliste"/>
        <w:numPr>
          <w:ilvl w:val="0"/>
          <w:numId w:val="7"/>
        </w:numPr>
        <w:snapToGrid w:val="0"/>
        <w:jc w:val="both"/>
        <w:rPr>
          <w:rFonts w:ascii="Marianne" w:hAnsi="Marianne"/>
          <w:color w:val="000000" w:themeColor="text1"/>
          <w:sz w:val="20"/>
          <w:szCs w:val="20"/>
        </w:rPr>
      </w:pPr>
      <w:r w:rsidRPr="00102414">
        <w:rPr>
          <w:rFonts w:ascii="Marianne" w:hAnsi="Marianne"/>
          <w:color w:val="000000" w:themeColor="text1"/>
          <w:sz w:val="20"/>
          <w:szCs w:val="20"/>
        </w:rPr>
        <w:t xml:space="preserve">Le forfait intégrant les doubles usages, il est important de clarifier que ces situations de double usage ne peuvent intégrer des ballons chauffés par une résistance électrique </w:t>
      </w:r>
      <w:r w:rsidR="00597140" w:rsidRPr="00102414">
        <w:rPr>
          <w:rFonts w:ascii="Marianne" w:hAnsi="Marianne"/>
          <w:color w:val="000000" w:themeColor="text1"/>
          <w:sz w:val="20"/>
          <w:szCs w:val="20"/>
        </w:rPr>
        <w:t>(hors résistance de secours et cycle anti-légionnelle) </w:t>
      </w:r>
      <w:r w:rsidRPr="00102414">
        <w:rPr>
          <w:rFonts w:ascii="Marianne" w:hAnsi="Marianne"/>
          <w:color w:val="000000" w:themeColor="text1"/>
          <w:sz w:val="20"/>
          <w:szCs w:val="20"/>
        </w:rPr>
        <w:t>;</w:t>
      </w:r>
    </w:p>
    <w:p w14:paraId="2129460F" w14:textId="6D385BB8" w:rsidR="007D7C36" w:rsidRPr="00102414" w:rsidRDefault="007D7C36" w:rsidP="00102414">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Suite à plusieurs alertes sur </w:t>
      </w:r>
      <w:r w:rsidR="007923EE" w:rsidRPr="00102414">
        <w:rPr>
          <w:rFonts w:ascii="Marianne" w:hAnsi="Marianne"/>
          <w:color w:val="000000" w:themeColor="text1"/>
          <w:sz w:val="20"/>
          <w:szCs w:val="20"/>
        </w:rPr>
        <w:t>les installations de « système déporté à la PAC installée »</w:t>
      </w:r>
      <w:r w:rsidRPr="00102414">
        <w:rPr>
          <w:rFonts w:ascii="Marianne" w:hAnsi="Marianne"/>
          <w:color w:val="000000" w:themeColor="text1"/>
          <w:sz w:val="20"/>
          <w:szCs w:val="20"/>
        </w:rPr>
        <w:t xml:space="preserve">, il est proposé de conserver </w:t>
      </w:r>
      <w:r w:rsidR="007923EE" w:rsidRPr="00102414">
        <w:rPr>
          <w:rFonts w:ascii="Marianne" w:hAnsi="Marianne"/>
          <w:color w:val="000000" w:themeColor="text1"/>
          <w:sz w:val="20"/>
          <w:szCs w:val="20"/>
        </w:rPr>
        <w:t>l</w:t>
      </w:r>
      <w:r w:rsidRPr="00102414">
        <w:rPr>
          <w:rFonts w:ascii="Marianne" w:hAnsi="Marianne"/>
          <w:color w:val="000000" w:themeColor="text1"/>
          <w:sz w:val="20"/>
          <w:szCs w:val="20"/>
        </w:rPr>
        <w:t xml:space="preserve">’exigence suivant laquelle </w:t>
      </w:r>
      <w:r w:rsidR="007923EE" w:rsidRPr="00102414">
        <w:rPr>
          <w:rFonts w:ascii="Marianne" w:hAnsi="Marianne"/>
          <w:color w:val="000000" w:themeColor="text1"/>
          <w:sz w:val="20"/>
          <w:szCs w:val="20"/>
        </w:rPr>
        <w:t xml:space="preserve">le ballon d’eau chaude sanitaire </w:t>
      </w:r>
      <w:r w:rsidRPr="00102414">
        <w:rPr>
          <w:rFonts w:ascii="Marianne" w:hAnsi="Marianne"/>
          <w:color w:val="000000" w:themeColor="text1"/>
          <w:sz w:val="20"/>
          <w:szCs w:val="20"/>
        </w:rPr>
        <w:t>e</w:t>
      </w:r>
      <w:r w:rsidR="00102414" w:rsidRPr="00102414">
        <w:rPr>
          <w:rFonts w:ascii="Marianne" w:hAnsi="Marianne"/>
          <w:color w:val="000000" w:themeColor="text1"/>
          <w:sz w:val="20"/>
          <w:szCs w:val="20"/>
        </w:rPr>
        <w:t xml:space="preserve">st de même marque que celle-ci </w:t>
      </w:r>
      <w:r w:rsidRPr="00102414">
        <w:rPr>
          <w:rFonts w:ascii="Marianne" w:hAnsi="Marianne"/>
          <w:color w:val="000000" w:themeColor="text1"/>
          <w:sz w:val="20"/>
          <w:szCs w:val="20"/>
        </w:rPr>
        <w:t xml:space="preserve">afin de </w:t>
      </w:r>
      <w:r w:rsidR="00102414" w:rsidRPr="00102414">
        <w:rPr>
          <w:rFonts w:ascii="Marianne" w:hAnsi="Marianne"/>
          <w:color w:val="000000" w:themeColor="text1"/>
          <w:sz w:val="20"/>
          <w:szCs w:val="20"/>
        </w:rPr>
        <w:t xml:space="preserve">s'assurer de la fiabilité de l'Etas déclaré par les fabricants et de </w:t>
      </w:r>
      <w:r w:rsidRPr="00102414">
        <w:rPr>
          <w:rFonts w:ascii="Marianne" w:hAnsi="Marianne"/>
          <w:color w:val="000000" w:themeColor="text1"/>
          <w:sz w:val="20"/>
          <w:szCs w:val="20"/>
        </w:rPr>
        <w:t>garantir la qualité de ces installations ;</w:t>
      </w:r>
    </w:p>
    <w:p w14:paraId="192D5D76" w14:textId="6F58F867" w:rsidR="00F444D6" w:rsidRPr="00102414" w:rsidRDefault="00102414" w:rsidP="0080492F">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Il est proposé de conserver la dénomination « systèmes déportés à la PAC installée, permettant la production de l’eau chaude sanitaire par celle-ci, » afin de s’assurer la prise en compte de tous les cas (préparateur ECS par exemple). </w:t>
      </w:r>
    </w:p>
    <w:p w14:paraId="174EA37B" w14:textId="77777777" w:rsidR="00EA4502" w:rsidRDefault="00EA4502" w:rsidP="00EA4502">
      <w:pPr>
        <w:pStyle w:val="Paragraphedeliste"/>
        <w:snapToGrid w:val="0"/>
        <w:ind w:left="644"/>
        <w:jc w:val="both"/>
        <w:rPr>
          <w:rFonts w:ascii="Marianne" w:hAnsi="Marianne"/>
          <w:color w:val="000000" w:themeColor="text1"/>
          <w:sz w:val="20"/>
          <w:szCs w:val="20"/>
          <w:u w:val="single"/>
        </w:rPr>
      </w:pPr>
    </w:p>
    <w:p w14:paraId="2A844495" w14:textId="77777777" w:rsidR="00184584" w:rsidRDefault="00EA4502" w:rsidP="00184584">
      <w:pPr>
        <w:pStyle w:val="Paragraphedeliste"/>
        <w:snapToGrid w:val="0"/>
        <w:ind w:left="644"/>
        <w:jc w:val="both"/>
        <w:rPr>
          <w:rFonts w:ascii="Marianne" w:hAnsi="Marianne"/>
          <w:color w:val="000000" w:themeColor="text1"/>
          <w:sz w:val="20"/>
          <w:szCs w:val="20"/>
        </w:rPr>
      </w:pPr>
      <w:r w:rsidRPr="00102414">
        <w:rPr>
          <w:rFonts w:ascii="Marianne" w:hAnsi="Marianne"/>
          <w:color w:val="000000" w:themeColor="text1"/>
          <w:sz w:val="20"/>
          <w:szCs w:val="20"/>
          <w:u w:val="single"/>
        </w:rPr>
        <w:t>S’agissant d’autres critères :</w:t>
      </w:r>
    </w:p>
    <w:p w14:paraId="2B283D11" w14:textId="321D51AB" w:rsidR="00EA4502" w:rsidRDefault="00EA4502" w:rsidP="003A709E">
      <w:pPr>
        <w:pStyle w:val="Paragraphedeliste"/>
        <w:numPr>
          <w:ilvl w:val="0"/>
          <w:numId w:val="7"/>
        </w:numPr>
        <w:snapToGrid w:val="0"/>
        <w:jc w:val="both"/>
        <w:rPr>
          <w:rFonts w:ascii="Marianne" w:hAnsi="Marianne"/>
          <w:color w:val="000000" w:themeColor="text1"/>
          <w:sz w:val="20"/>
          <w:szCs w:val="20"/>
        </w:rPr>
      </w:pPr>
      <w:r>
        <w:rPr>
          <w:rFonts w:ascii="Marianne" w:hAnsi="Marianne"/>
          <w:color w:val="000000" w:themeColor="text1"/>
          <w:sz w:val="20"/>
          <w:szCs w:val="20"/>
        </w:rPr>
        <w:t>L</w:t>
      </w:r>
      <w:r w:rsidRPr="00C54218">
        <w:rPr>
          <w:rFonts w:ascii="Marianne" w:hAnsi="Marianne"/>
          <w:color w:val="000000" w:themeColor="text1"/>
          <w:sz w:val="20"/>
          <w:szCs w:val="20"/>
        </w:rPr>
        <w:t xml:space="preserve">’attestation d’essai de fonctionnement de la PAC transmise par le professionnel au bénéficiaire de l’opération </w:t>
      </w:r>
      <w:r>
        <w:rPr>
          <w:rFonts w:ascii="Marianne" w:hAnsi="Marianne"/>
          <w:color w:val="000000" w:themeColor="text1"/>
          <w:sz w:val="20"/>
          <w:szCs w:val="20"/>
        </w:rPr>
        <w:t>ne permet pas de s’assurer que la PAC est mise en service et conservé</w:t>
      </w:r>
      <w:r w:rsidR="003A709E">
        <w:rPr>
          <w:rFonts w:ascii="Marianne" w:hAnsi="Marianne"/>
          <w:color w:val="000000" w:themeColor="text1"/>
          <w:sz w:val="20"/>
          <w:szCs w:val="20"/>
        </w:rPr>
        <w:t>e</w:t>
      </w:r>
      <w:r>
        <w:rPr>
          <w:rFonts w:ascii="Marianne" w:hAnsi="Marianne"/>
          <w:color w:val="000000" w:themeColor="text1"/>
          <w:sz w:val="20"/>
          <w:szCs w:val="20"/>
        </w:rPr>
        <w:t xml:space="preserve"> sur site. </w:t>
      </w:r>
      <w:r w:rsidR="00325A97">
        <w:rPr>
          <w:rFonts w:ascii="Marianne" w:hAnsi="Marianne"/>
          <w:color w:val="000000" w:themeColor="text1"/>
          <w:sz w:val="20"/>
          <w:szCs w:val="20"/>
        </w:rPr>
        <w:t xml:space="preserve">Par ailleurs, cette </w:t>
      </w:r>
      <w:r w:rsidR="00325A97" w:rsidRPr="00325A97">
        <w:rPr>
          <w:rFonts w:ascii="Marianne" w:hAnsi="Marianne"/>
          <w:color w:val="000000" w:themeColor="text1"/>
          <w:sz w:val="20"/>
          <w:szCs w:val="20"/>
        </w:rPr>
        <w:t>fiche d’intervention</w:t>
      </w:r>
      <w:r w:rsidR="003A709E" w:rsidRPr="003A709E">
        <w:rPr>
          <w:rFonts w:ascii="Marianne" w:hAnsi="Marianne"/>
          <w:color w:val="000000" w:themeColor="text1"/>
          <w:sz w:val="20"/>
          <w:szCs w:val="20"/>
        </w:rPr>
        <w:t xml:space="preserve"> </w:t>
      </w:r>
      <w:r w:rsidR="003A709E" w:rsidRPr="00C54218">
        <w:rPr>
          <w:rFonts w:ascii="Marianne" w:hAnsi="Marianne"/>
          <w:color w:val="000000" w:themeColor="text1"/>
          <w:sz w:val="20"/>
          <w:szCs w:val="20"/>
        </w:rPr>
        <w:t>de la PAC</w:t>
      </w:r>
      <w:r w:rsidR="00325A97" w:rsidRPr="00325A97">
        <w:rPr>
          <w:rFonts w:ascii="Marianne" w:hAnsi="Marianne"/>
          <w:color w:val="000000" w:themeColor="text1"/>
          <w:sz w:val="20"/>
          <w:szCs w:val="20"/>
        </w:rPr>
        <w:t xml:space="preserve"> ne peut pas être utilisée pour justifier de la mise en service de tous les types de PAC</w:t>
      </w:r>
      <w:r w:rsidR="003A709E">
        <w:rPr>
          <w:rFonts w:ascii="Marianne" w:hAnsi="Marianne"/>
          <w:color w:val="000000" w:themeColor="text1"/>
          <w:sz w:val="20"/>
          <w:szCs w:val="20"/>
        </w:rPr>
        <w:t xml:space="preserve"> (</w:t>
      </w:r>
      <w:r w:rsidR="003A709E" w:rsidRPr="003A709E">
        <w:rPr>
          <w:rFonts w:ascii="Marianne" w:hAnsi="Marianne"/>
          <w:color w:val="000000" w:themeColor="text1"/>
          <w:sz w:val="20"/>
          <w:szCs w:val="20"/>
        </w:rPr>
        <w:t>PAC monobloc à circuit hermétique, préchargée en fluide frigorigène fluoré</w:t>
      </w:r>
      <w:r w:rsidR="003A709E">
        <w:rPr>
          <w:rFonts w:ascii="Marianne" w:hAnsi="Marianne"/>
          <w:color w:val="000000" w:themeColor="text1"/>
          <w:sz w:val="20"/>
          <w:szCs w:val="20"/>
        </w:rPr>
        <w:t>)</w:t>
      </w:r>
      <w:r w:rsidR="00325A97" w:rsidRPr="00325A97">
        <w:rPr>
          <w:rFonts w:ascii="Marianne" w:hAnsi="Marianne"/>
          <w:color w:val="000000" w:themeColor="text1"/>
          <w:sz w:val="20"/>
          <w:szCs w:val="20"/>
        </w:rPr>
        <w:t>.</w:t>
      </w:r>
    </w:p>
    <w:p w14:paraId="7B2032BE" w14:textId="77777777" w:rsidR="00EA4502" w:rsidRPr="00EA4502" w:rsidRDefault="00EA4502" w:rsidP="00EA4502">
      <w:pPr>
        <w:pStyle w:val="Paragraphedeliste"/>
        <w:snapToGrid w:val="0"/>
        <w:spacing w:before="100" w:beforeAutospacing="1" w:after="100" w:afterAutospacing="1" w:line="240" w:lineRule="auto"/>
        <w:ind w:left="644"/>
        <w:jc w:val="both"/>
        <w:rPr>
          <w:rFonts w:ascii="Marianne" w:hAnsi="Marianne"/>
          <w:color w:val="000000" w:themeColor="text1"/>
          <w:sz w:val="20"/>
          <w:szCs w:val="20"/>
        </w:rPr>
      </w:pPr>
    </w:p>
    <w:p w14:paraId="18722B42" w14:textId="0D3952D0" w:rsidR="00102414" w:rsidRPr="00102414" w:rsidRDefault="00102414" w:rsidP="00102414">
      <w:pPr>
        <w:pStyle w:val="Paragraphedeliste"/>
        <w:numPr>
          <w:ilvl w:val="0"/>
          <w:numId w:val="7"/>
        </w:numPr>
        <w:snapToGrid w:val="0"/>
        <w:jc w:val="both"/>
        <w:rPr>
          <w:rFonts w:ascii="Marianne" w:hAnsi="Marianne"/>
          <w:color w:val="000000" w:themeColor="text1"/>
          <w:sz w:val="20"/>
          <w:szCs w:val="20"/>
        </w:rPr>
      </w:pPr>
      <w:r w:rsidRPr="00102414">
        <w:rPr>
          <w:rFonts w:ascii="Marianne" w:hAnsi="Marianne"/>
          <w:color w:val="000000" w:themeColor="text1"/>
          <w:sz w:val="20"/>
          <w:szCs w:val="20"/>
          <w:u w:val="single"/>
        </w:rPr>
        <w:t xml:space="preserve">S’agissant </w:t>
      </w:r>
      <w:r w:rsidR="00EA4502">
        <w:rPr>
          <w:rFonts w:ascii="Marianne" w:hAnsi="Marianne"/>
          <w:color w:val="000000" w:themeColor="text1"/>
          <w:sz w:val="20"/>
          <w:szCs w:val="20"/>
          <w:u w:val="single"/>
        </w:rPr>
        <w:t>des</w:t>
      </w:r>
      <w:r w:rsidRPr="00102414">
        <w:rPr>
          <w:rFonts w:ascii="Marianne" w:hAnsi="Marianne"/>
          <w:color w:val="000000" w:themeColor="text1"/>
          <w:sz w:val="20"/>
          <w:szCs w:val="20"/>
          <w:u w:val="single"/>
        </w:rPr>
        <w:t xml:space="preserve"> taux de contrôles</w:t>
      </w:r>
      <w:r w:rsidRPr="00102414">
        <w:rPr>
          <w:rFonts w:ascii="Marianne" w:hAnsi="Marianne"/>
          <w:color w:val="000000" w:themeColor="text1"/>
          <w:sz w:val="20"/>
          <w:szCs w:val="20"/>
        </w:rPr>
        <w:t xml:space="preserve"> : Au regard de l’enjeu lié à ces fiches bonifiées et des montants associés, ainsi que des alertes reçues, rehausser le taux de contrôles sur site est indispensable. L’administration prévoit cependant de rehausser ce taux de contrôle de manière transitoire afin d’éviter un engorgement des bureaux de contrôles, tout en amorçant des échanges sur l’évolution du taux de contrôles non satisfaisants pour les opérations qui seraient contrôlées à 100%. </w:t>
      </w:r>
    </w:p>
    <w:p w14:paraId="36581D06" w14:textId="55A19C51" w:rsidR="00D83CAF" w:rsidRPr="003A709E" w:rsidRDefault="00F444D6" w:rsidP="007923EE">
      <w:pPr>
        <w:jc w:val="both"/>
        <w:rPr>
          <w:rFonts w:ascii="Marianne" w:hAnsi="Marianne"/>
          <w:color w:val="000000" w:themeColor="text1"/>
          <w:sz w:val="20"/>
          <w:szCs w:val="20"/>
          <w:u w:val="single"/>
        </w:rPr>
      </w:pPr>
      <w:r w:rsidRPr="003A709E">
        <w:rPr>
          <w:rFonts w:ascii="Marianne" w:hAnsi="Marianne"/>
          <w:color w:val="000000" w:themeColor="text1"/>
          <w:sz w:val="20"/>
          <w:szCs w:val="20"/>
          <w:u w:val="single"/>
        </w:rPr>
        <w:t>L</w:t>
      </w:r>
      <w:r w:rsidR="00261A76" w:rsidRPr="003A709E">
        <w:rPr>
          <w:rFonts w:ascii="Marianne" w:hAnsi="Marianne"/>
          <w:color w:val="000000" w:themeColor="text1"/>
          <w:sz w:val="20"/>
          <w:szCs w:val="20"/>
          <w:u w:val="single"/>
        </w:rPr>
        <w:t xml:space="preserve">’administration précise </w:t>
      </w:r>
      <w:r w:rsidR="0088006C" w:rsidRPr="003A709E">
        <w:rPr>
          <w:rFonts w:ascii="Marianne" w:hAnsi="Marianne"/>
          <w:color w:val="000000" w:themeColor="text1"/>
          <w:sz w:val="20"/>
          <w:szCs w:val="20"/>
          <w:u w:val="single"/>
        </w:rPr>
        <w:t xml:space="preserve">par ailleurs </w:t>
      </w:r>
      <w:r w:rsidR="00261A76" w:rsidRPr="003A709E">
        <w:rPr>
          <w:rFonts w:ascii="Marianne" w:hAnsi="Marianne"/>
          <w:color w:val="000000" w:themeColor="text1"/>
          <w:sz w:val="20"/>
          <w:szCs w:val="20"/>
          <w:u w:val="single"/>
        </w:rPr>
        <w:t>les points suivants :</w:t>
      </w:r>
    </w:p>
    <w:p w14:paraId="10105185" w14:textId="10E33233" w:rsidR="00CD079C" w:rsidRPr="00102414" w:rsidRDefault="00CD079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La </w:t>
      </w:r>
      <w:r w:rsidR="00EA4502">
        <w:rPr>
          <w:rFonts w:ascii="Marianne" w:hAnsi="Marianne"/>
          <w:color w:val="000000" w:themeColor="text1"/>
          <w:sz w:val="20"/>
          <w:szCs w:val="20"/>
        </w:rPr>
        <w:t xml:space="preserve">précision consistant à distinguer </w:t>
      </w:r>
      <w:r w:rsidRPr="00102414">
        <w:rPr>
          <w:rFonts w:ascii="Marianne" w:hAnsi="Marianne"/>
          <w:color w:val="000000" w:themeColor="text1"/>
          <w:sz w:val="20"/>
          <w:szCs w:val="20"/>
        </w:rPr>
        <w:t>l’application de la PAC à 35°C et à 55°C est bien conserv</w:t>
      </w:r>
      <w:r w:rsidR="00597140" w:rsidRPr="00102414">
        <w:rPr>
          <w:rFonts w:ascii="Marianne" w:hAnsi="Marianne"/>
          <w:color w:val="000000" w:themeColor="text1"/>
          <w:sz w:val="20"/>
          <w:szCs w:val="20"/>
        </w:rPr>
        <w:t>ée ;</w:t>
      </w:r>
    </w:p>
    <w:p w14:paraId="4B3CD530" w14:textId="0448646A" w:rsidR="0088006C" w:rsidRPr="00102414" w:rsidRDefault="0088006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La demande d’attestation de l’octroi de l’aide MPR (si elle est sollicitée) rend toujours éligible les ménages aux revenus supérieurs à l’aide CEE ;</w:t>
      </w:r>
    </w:p>
    <w:p w14:paraId="1B7A4FF3" w14:textId="2671408C" w:rsidR="00CD079C" w:rsidRPr="00102414" w:rsidRDefault="00CD079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La dénomination de la fiche BAR-TH-172 « Pompe à chaleur de type eau /eau ou sol/eau » </w:t>
      </w:r>
      <w:r w:rsidR="00597140" w:rsidRPr="00102414">
        <w:rPr>
          <w:rFonts w:ascii="Marianne" w:hAnsi="Marianne"/>
          <w:color w:val="000000" w:themeColor="text1"/>
          <w:sz w:val="20"/>
          <w:szCs w:val="20"/>
        </w:rPr>
        <w:t>ne sera pas modifié</w:t>
      </w:r>
      <w:r w:rsidR="00EA4502">
        <w:rPr>
          <w:rFonts w:ascii="Marianne" w:hAnsi="Marianne"/>
          <w:color w:val="000000" w:themeColor="text1"/>
          <w:sz w:val="20"/>
          <w:szCs w:val="20"/>
        </w:rPr>
        <w:t>e</w:t>
      </w:r>
      <w:r w:rsidR="00597140" w:rsidRPr="00102414">
        <w:rPr>
          <w:rFonts w:ascii="Marianne" w:hAnsi="Marianne"/>
          <w:color w:val="000000" w:themeColor="text1"/>
          <w:sz w:val="20"/>
          <w:szCs w:val="20"/>
        </w:rPr>
        <w:t xml:space="preserve">. Il est précisé que cela </w:t>
      </w:r>
      <w:r w:rsidR="006974D4" w:rsidRPr="00102414">
        <w:rPr>
          <w:rFonts w:ascii="Marianne" w:hAnsi="Marianne"/>
          <w:color w:val="000000" w:themeColor="text1"/>
          <w:sz w:val="20"/>
          <w:szCs w:val="20"/>
        </w:rPr>
        <w:t>inclut</w:t>
      </w:r>
      <w:r w:rsidRPr="00102414">
        <w:rPr>
          <w:rFonts w:ascii="Marianne" w:hAnsi="Marianne"/>
          <w:color w:val="000000" w:themeColor="text1"/>
          <w:sz w:val="20"/>
          <w:szCs w:val="20"/>
        </w:rPr>
        <w:t xml:space="preserve"> bien les échangeurs fermés ;</w:t>
      </w:r>
    </w:p>
    <w:p w14:paraId="0742C203" w14:textId="69EA6117" w:rsidR="00CD079C" w:rsidRPr="00102414" w:rsidRDefault="0088006C"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 xml:space="preserve">L’administration </w:t>
      </w:r>
      <w:r w:rsidR="00CD079C" w:rsidRPr="00102414">
        <w:rPr>
          <w:rFonts w:ascii="Marianne" w:hAnsi="Marianne"/>
          <w:color w:val="000000" w:themeColor="text1"/>
          <w:sz w:val="20"/>
          <w:szCs w:val="20"/>
        </w:rPr>
        <w:t>a bien noté l’erreur des coefficients correctifs de surface pour la BAR-TH-172 qui sera corrigée ;</w:t>
      </w:r>
    </w:p>
    <w:p w14:paraId="0B06AABE" w14:textId="271A16B6" w:rsidR="00465371" w:rsidRPr="00102414" w:rsidRDefault="0088006C" w:rsidP="007923EE">
      <w:pPr>
        <w:pStyle w:val="Paragraphedeliste"/>
        <w:numPr>
          <w:ilvl w:val="0"/>
          <w:numId w:val="7"/>
        </w:numPr>
        <w:jc w:val="both"/>
        <w:rPr>
          <w:rFonts w:ascii="Marianne" w:hAnsi="Marianne"/>
          <w:color w:val="000000" w:themeColor="text1"/>
          <w:sz w:val="20"/>
          <w:szCs w:val="20"/>
        </w:rPr>
      </w:pPr>
      <w:r w:rsidRPr="00102414">
        <w:rPr>
          <w:rFonts w:ascii="Marianne" w:hAnsi="Marianne"/>
          <w:color w:val="000000" w:themeColor="text1"/>
          <w:sz w:val="20"/>
          <w:szCs w:val="20"/>
        </w:rPr>
        <w:t>Le 77ème arrêté concerne l'arrêté du 24 novembre 2025 relatif à la rénovation d’éclairage extérieur dans le cadre du dispositif des certificats d’économies d’énergie</w:t>
      </w:r>
      <w:r w:rsidR="00597140" w:rsidRPr="00102414">
        <w:rPr>
          <w:rFonts w:ascii="Marianne" w:hAnsi="Marianne"/>
          <w:color w:val="000000" w:themeColor="text1"/>
          <w:sz w:val="20"/>
          <w:szCs w:val="20"/>
        </w:rPr>
        <w:t> ;</w:t>
      </w:r>
      <w:r w:rsidRPr="00102414">
        <w:rPr>
          <w:rFonts w:ascii="Marianne" w:hAnsi="Marianne"/>
          <w:color w:val="000000" w:themeColor="text1"/>
          <w:sz w:val="20"/>
          <w:szCs w:val="20"/>
        </w:rPr>
        <w:t xml:space="preserve"> </w:t>
      </w:r>
    </w:p>
    <w:p w14:paraId="531B042A" w14:textId="139781DD" w:rsidR="00CD079C" w:rsidRPr="00102414" w:rsidRDefault="00CD079C" w:rsidP="007923EE">
      <w:pPr>
        <w:pStyle w:val="Paragraphedeliste"/>
        <w:numPr>
          <w:ilvl w:val="0"/>
          <w:numId w:val="7"/>
        </w:numPr>
        <w:spacing w:before="100" w:beforeAutospacing="1" w:after="100" w:afterAutospacing="1" w:line="240" w:lineRule="auto"/>
        <w:jc w:val="both"/>
        <w:rPr>
          <w:rFonts w:ascii="Marianne" w:hAnsi="Marianne"/>
          <w:color w:val="000000" w:themeColor="text1"/>
          <w:sz w:val="20"/>
          <w:szCs w:val="20"/>
        </w:rPr>
      </w:pPr>
      <w:r w:rsidRPr="00102414">
        <w:rPr>
          <w:rFonts w:ascii="Marianne" w:hAnsi="Marianne"/>
          <w:color w:val="000000" w:themeColor="text1"/>
          <w:sz w:val="20"/>
          <w:szCs w:val="20"/>
        </w:rPr>
        <w:t xml:space="preserve">Des précisions seront apportées via des FAQ concernant </w:t>
      </w:r>
      <w:r w:rsidR="00597140" w:rsidRPr="00102414">
        <w:rPr>
          <w:rFonts w:ascii="Marianne" w:hAnsi="Marianne"/>
          <w:color w:val="000000" w:themeColor="text1"/>
          <w:sz w:val="20"/>
          <w:szCs w:val="20"/>
        </w:rPr>
        <w:t xml:space="preserve">(i) </w:t>
      </w:r>
      <w:r w:rsidRPr="00102414">
        <w:rPr>
          <w:rFonts w:ascii="Marianne" w:hAnsi="Marianne"/>
          <w:color w:val="000000" w:themeColor="text1"/>
          <w:sz w:val="20"/>
          <w:szCs w:val="20"/>
        </w:rPr>
        <w:t>la règle de cumul des fiches CEE relatives aux systèmes de chauffage individuels (PAC et chaudière biomasse) avec un système de chauffage utili</w:t>
      </w:r>
      <w:r w:rsidR="00597140" w:rsidRPr="00102414">
        <w:rPr>
          <w:rFonts w:ascii="Marianne" w:hAnsi="Marianne"/>
          <w:color w:val="000000" w:themeColor="text1"/>
          <w:sz w:val="20"/>
          <w:szCs w:val="20"/>
        </w:rPr>
        <w:t>sé en appoint pour le chauffage et (ii) les</w:t>
      </w:r>
      <w:r w:rsidRPr="00102414">
        <w:rPr>
          <w:rFonts w:ascii="Marianne" w:hAnsi="Marianne"/>
          <w:color w:val="000000" w:themeColor="text1"/>
          <w:sz w:val="20"/>
          <w:szCs w:val="20"/>
        </w:rPr>
        <w:t xml:space="preserve"> documents à fournir pour justifier du statut d’occupation en tant que résidence principale </w:t>
      </w:r>
      <w:r w:rsidR="00EA4502">
        <w:rPr>
          <w:rFonts w:ascii="Marianne" w:hAnsi="Marianne"/>
          <w:color w:val="000000" w:themeColor="text1"/>
          <w:sz w:val="20"/>
          <w:szCs w:val="20"/>
        </w:rPr>
        <w:t xml:space="preserve">du logement </w:t>
      </w:r>
      <w:r w:rsidRPr="00102414">
        <w:rPr>
          <w:rFonts w:ascii="Marianne" w:hAnsi="Marianne"/>
          <w:color w:val="000000" w:themeColor="text1"/>
          <w:sz w:val="20"/>
          <w:szCs w:val="20"/>
        </w:rPr>
        <w:t>dans plusieurs cas</w:t>
      </w:r>
      <w:r w:rsidR="00597140" w:rsidRPr="00102414">
        <w:rPr>
          <w:rFonts w:ascii="Marianne" w:hAnsi="Marianne"/>
          <w:color w:val="000000" w:themeColor="text1"/>
          <w:sz w:val="20"/>
          <w:szCs w:val="20"/>
        </w:rPr>
        <w:t xml:space="preserve"> particuliers</w:t>
      </w:r>
      <w:r w:rsidRPr="00102414">
        <w:rPr>
          <w:rFonts w:ascii="Marianne" w:hAnsi="Marianne"/>
          <w:color w:val="000000" w:themeColor="text1"/>
          <w:sz w:val="20"/>
          <w:szCs w:val="20"/>
        </w:rPr>
        <w:t xml:space="preserve"> (déménagement, achat en cours, nouveau locataire…)</w:t>
      </w:r>
      <w:r w:rsidR="007D7C36" w:rsidRPr="00102414">
        <w:rPr>
          <w:rFonts w:ascii="Marianne" w:hAnsi="Marianne"/>
          <w:color w:val="000000" w:themeColor="text1"/>
          <w:sz w:val="20"/>
          <w:szCs w:val="20"/>
        </w:rPr>
        <w:t>.</w:t>
      </w:r>
    </w:p>
    <w:sectPr w:rsidR="00CD079C" w:rsidRPr="001024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09B24" w16cex:dateUtc="2025-12-07T23:32:00Z"/>
  <w16cex:commentExtensible w16cex:durableId="2CE09B8A" w16cex:dateUtc="2025-12-07T23:34:00Z"/>
  <w16cex:commentExtensible w16cex:durableId="2CE09C1D" w16cex:dateUtc="2025-12-0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12086" w16cid:durableId="2CE09B24"/>
  <w16cid:commentId w16cid:paraId="67D7D5CD" w16cid:durableId="2CE09B8A"/>
  <w16cid:commentId w16cid:paraId="381F9A3B" w16cid:durableId="2CE09C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6675B" w14:textId="77777777" w:rsidR="001A409C" w:rsidRDefault="001A409C" w:rsidP="00062BEC">
      <w:pPr>
        <w:spacing w:after="0" w:line="240" w:lineRule="auto"/>
      </w:pPr>
      <w:r>
        <w:separator/>
      </w:r>
    </w:p>
  </w:endnote>
  <w:endnote w:type="continuationSeparator" w:id="0">
    <w:p w14:paraId="5C4C7D14" w14:textId="77777777" w:rsidR="001A409C" w:rsidRDefault="001A409C" w:rsidP="0006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F7288" w14:textId="77777777" w:rsidR="001A409C" w:rsidRDefault="001A409C" w:rsidP="00062BEC">
      <w:pPr>
        <w:spacing w:after="0" w:line="240" w:lineRule="auto"/>
      </w:pPr>
      <w:r>
        <w:separator/>
      </w:r>
    </w:p>
  </w:footnote>
  <w:footnote w:type="continuationSeparator" w:id="0">
    <w:p w14:paraId="06AC4D7C" w14:textId="77777777" w:rsidR="001A409C" w:rsidRDefault="001A409C" w:rsidP="00062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45D"/>
    <w:multiLevelType w:val="hybridMultilevel"/>
    <w:tmpl w:val="9490ED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1826102"/>
    <w:multiLevelType w:val="hybridMultilevel"/>
    <w:tmpl w:val="5310F454"/>
    <w:lvl w:ilvl="0" w:tplc="E7649214">
      <w:numFmt w:val="bullet"/>
      <w:lvlText w:val="-"/>
      <w:lvlJc w:val="left"/>
      <w:pPr>
        <w:ind w:left="644" w:hanging="360"/>
      </w:pPr>
      <w:rPr>
        <w:rFonts w:ascii="Marianne" w:eastAsiaTheme="minorHAnsi" w:hAnsi="Marianne" w:cstheme="minorBidi" w:hint="default"/>
        <w:color w:val="000000" w:themeColor="text1"/>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2586316D"/>
    <w:multiLevelType w:val="multilevel"/>
    <w:tmpl w:val="E4EC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364142"/>
    <w:multiLevelType w:val="hybridMultilevel"/>
    <w:tmpl w:val="FEF8F4E8"/>
    <w:lvl w:ilvl="0" w:tplc="040C0001">
      <w:start w:val="1"/>
      <w:numFmt w:val="bullet"/>
      <w:lvlText w:val=""/>
      <w:lvlJc w:val="left"/>
      <w:pPr>
        <w:ind w:left="720" w:hanging="360"/>
      </w:pPr>
      <w:rPr>
        <w:rFonts w:ascii="Symbol" w:hAnsi="Symbol" w:hint="default"/>
      </w:rPr>
    </w:lvl>
    <w:lvl w:ilvl="1" w:tplc="19FC42CC">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25244F"/>
    <w:multiLevelType w:val="hybridMultilevel"/>
    <w:tmpl w:val="5D68B2C2"/>
    <w:lvl w:ilvl="0" w:tplc="910A9174">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6042DA"/>
    <w:multiLevelType w:val="hybridMultilevel"/>
    <w:tmpl w:val="75E42090"/>
    <w:lvl w:ilvl="0" w:tplc="910A9174">
      <w:start w:val="1"/>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830BBB"/>
    <w:multiLevelType w:val="hybridMultilevel"/>
    <w:tmpl w:val="4BD80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A12BBF"/>
    <w:multiLevelType w:val="hybridMultilevel"/>
    <w:tmpl w:val="0DD4D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3005D4"/>
    <w:multiLevelType w:val="hybridMultilevel"/>
    <w:tmpl w:val="80BC234C"/>
    <w:lvl w:ilvl="0" w:tplc="4F26DFEA">
      <w:numFmt w:val="bullet"/>
      <w:lvlText w:val="-"/>
      <w:lvlJc w:val="left"/>
      <w:pPr>
        <w:ind w:left="644"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A11602"/>
    <w:multiLevelType w:val="hybridMultilevel"/>
    <w:tmpl w:val="FC14158E"/>
    <w:lvl w:ilvl="0" w:tplc="910A9174">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AC6FC6"/>
    <w:multiLevelType w:val="hybridMultilevel"/>
    <w:tmpl w:val="A83A55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1B78F5"/>
    <w:multiLevelType w:val="hybridMultilevel"/>
    <w:tmpl w:val="BEDA50E6"/>
    <w:lvl w:ilvl="0" w:tplc="314CAA1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4"/>
  </w:num>
  <w:num w:numId="5">
    <w:abstractNumId w:val="9"/>
  </w:num>
  <w:num w:numId="6">
    <w:abstractNumId w:val="0"/>
  </w:num>
  <w:num w:numId="7">
    <w:abstractNumId w:val="1"/>
  </w:num>
  <w:num w:numId="8">
    <w:abstractNumId w:val="6"/>
  </w:num>
  <w:num w:numId="9">
    <w:abstractNumId w:val="3"/>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61"/>
    <w:rsid w:val="00001AFA"/>
    <w:rsid w:val="000077C6"/>
    <w:rsid w:val="0002016F"/>
    <w:rsid w:val="000248E3"/>
    <w:rsid w:val="00062BEC"/>
    <w:rsid w:val="00063DE6"/>
    <w:rsid w:val="000649BD"/>
    <w:rsid w:val="00086A3D"/>
    <w:rsid w:val="000E498D"/>
    <w:rsid w:val="00102414"/>
    <w:rsid w:val="00103426"/>
    <w:rsid w:val="001300BD"/>
    <w:rsid w:val="0015257E"/>
    <w:rsid w:val="00184584"/>
    <w:rsid w:val="001A409C"/>
    <w:rsid w:val="001B69C0"/>
    <w:rsid w:val="001C7F1C"/>
    <w:rsid w:val="001E1605"/>
    <w:rsid w:val="00215764"/>
    <w:rsid w:val="00224967"/>
    <w:rsid w:val="0023230D"/>
    <w:rsid w:val="002478CC"/>
    <w:rsid w:val="00261A76"/>
    <w:rsid w:val="00264199"/>
    <w:rsid w:val="0028138B"/>
    <w:rsid w:val="00281CC2"/>
    <w:rsid w:val="00282FB4"/>
    <w:rsid w:val="002E31B4"/>
    <w:rsid w:val="00320B33"/>
    <w:rsid w:val="00325A97"/>
    <w:rsid w:val="00327787"/>
    <w:rsid w:val="003316A9"/>
    <w:rsid w:val="00332EC4"/>
    <w:rsid w:val="00356CBF"/>
    <w:rsid w:val="00356F1C"/>
    <w:rsid w:val="0038193E"/>
    <w:rsid w:val="00387DD6"/>
    <w:rsid w:val="00395FBB"/>
    <w:rsid w:val="003A709E"/>
    <w:rsid w:val="003B6EF8"/>
    <w:rsid w:val="003D4379"/>
    <w:rsid w:val="004059E4"/>
    <w:rsid w:val="00405AD7"/>
    <w:rsid w:val="00432899"/>
    <w:rsid w:val="00442AB1"/>
    <w:rsid w:val="00462017"/>
    <w:rsid w:val="00465371"/>
    <w:rsid w:val="00476AB8"/>
    <w:rsid w:val="004B285A"/>
    <w:rsid w:val="004B459C"/>
    <w:rsid w:val="004C5C8C"/>
    <w:rsid w:val="004F429C"/>
    <w:rsid w:val="00502834"/>
    <w:rsid w:val="00511A59"/>
    <w:rsid w:val="00514B2F"/>
    <w:rsid w:val="00532D7E"/>
    <w:rsid w:val="00534445"/>
    <w:rsid w:val="005452C7"/>
    <w:rsid w:val="00551927"/>
    <w:rsid w:val="00567E1F"/>
    <w:rsid w:val="005869EC"/>
    <w:rsid w:val="00596670"/>
    <w:rsid w:val="00597140"/>
    <w:rsid w:val="005B79F7"/>
    <w:rsid w:val="005C0CD5"/>
    <w:rsid w:val="005C31C3"/>
    <w:rsid w:val="005D5B91"/>
    <w:rsid w:val="005E598E"/>
    <w:rsid w:val="005F3AF4"/>
    <w:rsid w:val="005F6061"/>
    <w:rsid w:val="00626FEA"/>
    <w:rsid w:val="00641193"/>
    <w:rsid w:val="00647CC4"/>
    <w:rsid w:val="00657CEB"/>
    <w:rsid w:val="00661D27"/>
    <w:rsid w:val="006649E1"/>
    <w:rsid w:val="00674128"/>
    <w:rsid w:val="00686056"/>
    <w:rsid w:val="006861D0"/>
    <w:rsid w:val="006974D4"/>
    <w:rsid w:val="006C6FBF"/>
    <w:rsid w:val="006D7588"/>
    <w:rsid w:val="00713A20"/>
    <w:rsid w:val="007256CB"/>
    <w:rsid w:val="0072599F"/>
    <w:rsid w:val="00747596"/>
    <w:rsid w:val="00780EE6"/>
    <w:rsid w:val="007923EE"/>
    <w:rsid w:val="007A00E0"/>
    <w:rsid w:val="007D7C36"/>
    <w:rsid w:val="007F6104"/>
    <w:rsid w:val="00803F40"/>
    <w:rsid w:val="00815B0C"/>
    <w:rsid w:val="008455F3"/>
    <w:rsid w:val="00850866"/>
    <w:rsid w:val="00863927"/>
    <w:rsid w:val="008775FB"/>
    <w:rsid w:val="00877BE5"/>
    <w:rsid w:val="0088006C"/>
    <w:rsid w:val="00885C37"/>
    <w:rsid w:val="008A04E7"/>
    <w:rsid w:val="008A2FBF"/>
    <w:rsid w:val="008D5AFF"/>
    <w:rsid w:val="00905F3E"/>
    <w:rsid w:val="009273EE"/>
    <w:rsid w:val="00940F3F"/>
    <w:rsid w:val="0095399B"/>
    <w:rsid w:val="009614BE"/>
    <w:rsid w:val="009624E9"/>
    <w:rsid w:val="00963016"/>
    <w:rsid w:val="00996F3F"/>
    <w:rsid w:val="009B3549"/>
    <w:rsid w:val="009B76AC"/>
    <w:rsid w:val="009F612B"/>
    <w:rsid w:val="00A40E67"/>
    <w:rsid w:val="00A44830"/>
    <w:rsid w:val="00A604D3"/>
    <w:rsid w:val="00A65779"/>
    <w:rsid w:val="00A668EC"/>
    <w:rsid w:val="00A756AA"/>
    <w:rsid w:val="00A953F1"/>
    <w:rsid w:val="00A95AB2"/>
    <w:rsid w:val="00AA59AA"/>
    <w:rsid w:val="00AC47BA"/>
    <w:rsid w:val="00AD38EE"/>
    <w:rsid w:val="00AD5092"/>
    <w:rsid w:val="00AF6B50"/>
    <w:rsid w:val="00B37FE1"/>
    <w:rsid w:val="00B40FEF"/>
    <w:rsid w:val="00B80210"/>
    <w:rsid w:val="00B86391"/>
    <w:rsid w:val="00B87539"/>
    <w:rsid w:val="00BA3167"/>
    <w:rsid w:val="00BA5B7E"/>
    <w:rsid w:val="00BD3509"/>
    <w:rsid w:val="00BE07A1"/>
    <w:rsid w:val="00BF13A7"/>
    <w:rsid w:val="00C3223C"/>
    <w:rsid w:val="00C32289"/>
    <w:rsid w:val="00C324EE"/>
    <w:rsid w:val="00C32DBE"/>
    <w:rsid w:val="00C348A6"/>
    <w:rsid w:val="00C37888"/>
    <w:rsid w:val="00C418C9"/>
    <w:rsid w:val="00C47A93"/>
    <w:rsid w:val="00C54218"/>
    <w:rsid w:val="00C97430"/>
    <w:rsid w:val="00CB0673"/>
    <w:rsid w:val="00CC13AD"/>
    <w:rsid w:val="00CC4FCF"/>
    <w:rsid w:val="00CC5B27"/>
    <w:rsid w:val="00CC6B53"/>
    <w:rsid w:val="00CD079C"/>
    <w:rsid w:val="00CE060C"/>
    <w:rsid w:val="00CF23ED"/>
    <w:rsid w:val="00D21E9B"/>
    <w:rsid w:val="00D373DE"/>
    <w:rsid w:val="00D406AE"/>
    <w:rsid w:val="00D41B12"/>
    <w:rsid w:val="00D5020D"/>
    <w:rsid w:val="00D75D61"/>
    <w:rsid w:val="00D80870"/>
    <w:rsid w:val="00D83CAF"/>
    <w:rsid w:val="00D8500E"/>
    <w:rsid w:val="00DA766E"/>
    <w:rsid w:val="00DB407F"/>
    <w:rsid w:val="00DB6F01"/>
    <w:rsid w:val="00DD10F1"/>
    <w:rsid w:val="00DD5829"/>
    <w:rsid w:val="00DF03B8"/>
    <w:rsid w:val="00DF080B"/>
    <w:rsid w:val="00DF1F49"/>
    <w:rsid w:val="00E37DE9"/>
    <w:rsid w:val="00E41F8B"/>
    <w:rsid w:val="00E47FD5"/>
    <w:rsid w:val="00E65443"/>
    <w:rsid w:val="00E660C3"/>
    <w:rsid w:val="00E67A76"/>
    <w:rsid w:val="00E926DB"/>
    <w:rsid w:val="00E93BD8"/>
    <w:rsid w:val="00EA4502"/>
    <w:rsid w:val="00EB1635"/>
    <w:rsid w:val="00EE79CC"/>
    <w:rsid w:val="00F05BBD"/>
    <w:rsid w:val="00F05E71"/>
    <w:rsid w:val="00F113AB"/>
    <w:rsid w:val="00F13AF6"/>
    <w:rsid w:val="00F336B3"/>
    <w:rsid w:val="00F444D6"/>
    <w:rsid w:val="00F458A7"/>
    <w:rsid w:val="00F50A24"/>
    <w:rsid w:val="00F6204F"/>
    <w:rsid w:val="00F711CB"/>
    <w:rsid w:val="00F95CE2"/>
    <w:rsid w:val="00FA16CD"/>
    <w:rsid w:val="00FD1C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F105"/>
  <w15:chartTrackingRefBased/>
  <w15:docId w15:val="{F69999D6-91D6-4111-8250-C44056ED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3EE"/>
  </w:style>
  <w:style w:type="paragraph" w:styleId="Titre1">
    <w:name w:val="heading 1"/>
    <w:basedOn w:val="Normal"/>
    <w:next w:val="Normal"/>
    <w:link w:val="Titre1Car"/>
    <w:uiPriority w:val="9"/>
    <w:qFormat/>
    <w:rsid w:val="009624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1E16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061"/>
    <w:pPr>
      <w:ind w:left="720"/>
      <w:contextualSpacing/>
    </w:pPr>
  </w:style>
  <w:style w:type="character" w:styleId="Lienhypertexte">
    <w:name w:val="Hyperlink"/>
    <w:basedOn w:val="Policepardfaut"/>
    <w:uiPriority w:val="99"/>
    <w:unhideWhenUsed/>
    <w:rsid w:val="000E498D"/>
    <w:rPr>
      <w:color w:val="0563C1" w:themeColor="hyperlink"/>
      <w:u w:val="single"/>
    </w:rPr>
  </w:style>
  <w:style w:type="character" w:customStyle="1" w:styleId="Mentionnonrsolue1">
    <w:name w:val="Mention non résolue1"/>
    <w:basedOn w:val="Policepardfaut"/>
    <w:uiPriority w:val="99"/>
    <w:semiHidden/>
    <w:unhideWhenUsed/>
    <w:rsid w:val="000E498D"/>
    <w:rPr>
      <w:color w:val="605E5C"/>
      <w:shd w:val="clear" w:color="auto" w:fill="E1DFDD"/>
    </w:rPr>
  </w:style>
  <w:style w:type="character" w:styleId="Marquedecommentaire">
    <w:name w:val="annotation reference"/>
    <w:basedOn w:val="Policepardfaut"/>
    <w:uiPriority w:val="99"/>
    <w:semiHidden/>
    <w:unhideWhenUsed/>
    <w:rsid w:val="00CE060C"/>
    <w:rPr>
      <w:sz w:val="16"/>
      <w:szCs w:val="16"/>
    </w:rPr>
  </w:style>
  <w:style w:type="paragraph" w:styleId="Commentaire">
    <w:name w:val="annotation text"/>
    <w:basedOn w:val="Normal"/>
    <w:link w:val="CommentaireCar"/>
    <w:uiPriority w:val="99"/>
    <w:semiHidden/>
    <w:unhideWhenUsed/>
    <w:rsid w:val="00CE060C"/>
    <w:pPr>
      <w:spacing w:line="240" w:lineRule="auto"/>
    </w:pPr>
    <w:rPr>
      <w:sz w:val="20"/>
      <w:szCs w:val="20"/>
    </w:rPr>
  </w:style>
  <w:style w:type="character" w:customStyle="1" w:styleId="CommentaireCar">
    <w:name w:val="Commentaire Car"/>
    <w:basedOn w:val="Policepardfaut"/>
    <w:link w:val="Commentaire"/>
    <w:uiPriority w:val="99"/>
    <w:semiHidden/>
    <w:rsid w:val="00CE060C"/>
    <w:rPr>
      <w:sz w:val="20"/>
      <w:szCs w:val="20"/>
    </w:rPr>
  </w:style>
  <w:style w:type="paragraph" w:styleId="Objetducommentaire">
    <w:name w:val="annotation subject"/>
    <w:basedOn w:val="Commentaire"/>
    <w:next w:val="Commentaire"/>
    <w:link w:val="ObjetducommentaireCar"/>
    <w:uiPriority w:val="99"/>
    <w:semiHidden/>
    <w:unhideWhenUsed/>
    <w:rsid w:val="00CE060C"/>
    <w:rPr>
      <w:b/>
      <w:bCs/>
    </w:rPr>
  </w:style>
  <w:style w:type="character" w:customStyle="1" w:styleId="ObjetducommentaireCar">
    <w:name w:val="Objet du commentaire Car"/>
    <w:basedOn w:val="CommentaireCar"/>
    <w:link w:val="Objetducommentaire"/>
    <w:uiPriority w:val="99"/>
    <w:semiHidden/>
    <w:rsid w:val="00CE060C"/>
    <w:rPr>
      <w:b/>
      <w:bCs/>
      <w:sz w:val="20"/>
      <w:szCs w:val="20"/>
    </w:rPr>
  </w:style>
  <w:style w:type="character" w:customStyle="1" w:styleId="Titre1Car">
    <w:name w:val="Titre 1 Car"/>
    <w:basedOn w:val="Policepardfaut"/>
    <w:link w:val="Titre1"/>
    <w:uiPriority w:val="9"/>
    <w:rsid w:val="009624E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E1605"/>
    <w:rPr>
      <w:rFonts w:ascii="Times New Roman" w:eastAsia="Times New Roman" w:hAnsi="Times New Roman" w:cs="Times New Roman"/>
      <w:b/>
      <w:bCs/>
      <w:sz w:val="36"/>
      <w:szCs w:val="36"/>
      <w:lang w:eastAsia="fr-FR"/>
    </w:rPr>
  </w:style>
  <w:style w:type="character" w:styleId="Lienhypertextesuivivisit">
    <w:name w:val="FollowedHyperlink"/>
    <w:basedOn w:val="Policepardfaut"/>
    <w:uiPriority w:val="99"/>
    <w:semiHidden/>
    <w:unhideWhenUsed/>
    <w:rsid w:val="005C31C3"/>
    <w:rPr>
      <w:color w:val="954F72" w:themeColor="followedHyperlink"/>
      <w:u w:val="single"/>
    </w:rPr>
  </w:style>
  <w:style w:type="paragraph" w:styleId="Notedebasdepage">
    <w:name w:val="footnote text"/>
    <w:basedOn w:val="Normal"/>
    <w:link w:val="NotedebasdepageCar"/>
    <w:unhideWhenUsed/>
    <w:rsid w:val="00062BEC"/>
    <w:pPr>
      <w:spacing w:after="0" w:line="240" w:lineRule="auto"/>
    </w:pPr>
    <w:rPr>
      <w:sz w:val="20"/>
      <w:szCs w:val="20"/>
    </w:rPr>
  </w:style>
  <w:style w:type="character" w:customStyle="1" w:styleId="NotedebasdepageCar">
    <w:name w:val="Note de bas de page Car"/>
    <w:basedOn w:val="Policepardfaut"/>
    <w:link w:val="Notedebasdepage"/>
    <w:rsid w:val="00062BEC"/>
    <w:rPr>
      <w:sz w:val="20"/>
      <w:szCs w:val="20"/>
    </w:rPr>
  </w:style>
  <w:style w:type="character" w:styleId="Appelnotedebasdep">
    <w:name w:val="footnote reference"/>
    <w:basedOn w:val="Policepardfaut"/>
    <w:unhideWhenUsed/>
    <w:rsid w:val="00062BEC"/>
    <w:rPr>
      <w:vertAlign w:val="superscript"/>
    </w:rPr>
  </w:style>
  <w:style w:type="paragraph" w:styleId="NormalWeb">
    <w:name w:val="Normal (Web)"/>
    <w:basedOn w:val="Normal"/>
    <w:uiPriority w:val="99"/>
    <w:rsid w:val="00A953F1"/>
    <w:pPr>
      <w:suppressAutoHyphens/>
      <w:spacing w:before="280" w:after="119" w:line="240" w:lineRule="auto"/>
    </w:pPr>
    <w:rPr>
      <w:rFonts w:ascii="Arial Unicode MS" w:eastAsia="Arial Unicode MS" w:hAnsi="Arial Unicode MS" w:cs="Arial Unicode MS"/>
      <w:sz w:val="24"/>
      <w:szCs w:val="24"/>
      <w:lang w:eastAsia="zh-CN"/>
    </w:rPr>
  </w:style>
  <w:style w:type="paragraph" w:customStyle="1" w:styleId="Contenudetableau">
    <w:name w:val="Contenu de tableau"/>
    <w:basedOn w:val="Normal"/>
    <w:rsid w:val="00A953F1"/>
    <w:pPr>
      <w:suppressLineNumbers/>
      <w:suppressAutoHyphens/>
      <w:spacing w:after="0" w:line="240" w:lineRule="auto"/>
    </w:pPr>
    <w:rPr>
      <w:rFonts w:ascii="Times New Roman" w:eastAsia="Times New Roman" w:hAnsi="Times New Roman" w:cs="Times New Roman"/>
      <w:sz w:val="24"/>
      <w:szCs w:val="24"/>
      <w:lang w:eastAsia="zh-CN"/>
    </w:rPr>
  </w:style>
  <w:style w:type="character" w:styleId="lev">
    <w:name w:val="Strong"/>
    <w:basedOn w:val="Policepardfaut"/>
    <w:uiPriority w:val="22"/>
    <w:qFormat/>
    <w:rsid w:val="00356F1C"/>
    <w:rPr>
      <w:b/>
      <w:bCs/>
    </w:rPr>
  </w:style>
  <w:style w:type="character" w:customStyle="1" w:styleId="spip-puce">
    <w:name w:val="spip-puce"/>
    <w:basedOn w:val="Policepardfaut"/>
    <w:rsid w:val="00B40FEF"/>
  </w:style>
  <w:style w:type="paragraph" w:styleId="Textedebulles">
    <w:name w:val="Balloon Text"/>
    <w:basedOn w:val="Normal"/>
    <w:link w:val="TextedebullesCar"/>
    <w:uiPriority w:val="99"/>
    <w:semiHidden/>
    <w:unhideWhenUsed/>
    <w:rsid w:val="00B40F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0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124">
      <w:bodyDiv w:val="1"/>
      <w:marLeft w:val="0"/>
      <w:marRight w:val="0"/>
      <w:marTop w:val="0"/>
      <w:marBottom w:val="0"/>
      <w:divBdr>
        <w:top w:val="none" w:sz="0" w:space="0" w:color="auto"/>
        <w:left w:val="none" w:sz="0" w:space="0" w:color="auto"/>
        <w:bottom w:val="none" w:sz="0" w:space="0" w:color="auto"/>
        <w:right w:val="none" w:sz="0" w:space="0" w:color="auto"/>
      </w:divBdr>
    </w:div>
    <w:div w:id="157234067">
      <w:bodyDiv w:val="1"/>
      <w:marLeft w:val="0"/>
      <w:marRight w:val="0"/>
      <w:marTop w:val="0"/>
      <w:marBottom w:val="0"/>
      <w:divBdr>
        <w:top w:val="none" w:sz="0" w:space="0" w:color="auto"/>
        <w:left w:val="none" w:sz="0" w:space="0" w:color="auto"/>
        <w:bottom w:val="none" w:sz="0" w:space="0" w:color="auto"/>
        <w:right w:val="none" w:sz="0" w:space="0" w:color="auto"/>
      </w:divBdr>
    </w:div>
    <w:div w:id="194199997">
      <w:bodyDiv w:val="1"/>
      <w:marLeft w:val="0"/>
      <w:marRight w:val="0"/>
      <w:marTop w:val="0"/>
      <w:marBottom w:val="0"/>
      <w:divBdr>
        <w:top w:val="none" w:sz="0" w:space="0" w:color="auto"/>
        <w:left w:val="none" w:sz="0" w:space="0" w:color="auto"/>
        <w:bottom w:val="none" w:sz="0" w:space="0" w:color="auto"/>
        <w:right w:val="none" w:sz="0" w:space="0" w:color="auto"/>
      </w:divBdr>
    </w:div>
    <w:div w:id="205684453">
      <w:bodyDiv w:val="1"/>
      <w:marLeft w:val="0"/>
      <w:marRight w:val="0"/>
      <w:marTop w:val="0"/>
      <w:marBottom w:val="0"/>
      <w:divBdr>
        <w:top w:val="none" w:sz="0" w:space="0" w:color="auto"/>
        <w:left w:val="none" w:sz="0" w:space="0" w:color="auto"/>
        <w:bottom w:val="none" w:sz="0" w:space="0" w:color="auto"/>
        <w:right w:val="none" w:sz="0" w:space="0" w:color="auto"/>
      </w:divBdr>
    </w:div>
    <w:div w:id="268857810">
      <w:bodyDiv w:val="1"/>
      <w:marLeft w:val="0"/>
      <w:marRight w:val="0"/>
      <w:marTop w:val="0"/>
      <w:marBottom w:val="0"/>
      <w:divBdr>
        <w:top w:val="none" w:sz="0" w:space="0" w:color="auto"/>
        <w:left w:val="none" w:sz="0" w:space="0" w:color="auto"/>
        <w:bottom w:val="none" w:sz="0" w:space="0" w:color="auto"/>
        <w:right w:val="none" w:sz="0" w:space="0" w:color="auto"/>
      </w:divBdr>
    </w:div>
    <w:div w:id="345637286">
      <w:bodyDiv w:val="1"/>
      <w:marLeft w:val="0"/>
      <w:marRight w:val="0"/>
      <w:marTop w:val="0"/>
      <w:marBottom w:val="0"/>
      <w:divBdr>
        <w:top w:val="none" w:sz="0" w:space="0" w:color="auto"/>
        <w:left w:val="none" w:sz="0" w:space="0" w:color="auto"/>
        <w:bottom w:val="none" w:sz="0" w:space="0" w:color="auto"/>
        <w:right w:val="none" w:sz="0" w:space="0" w:color="auto"/>
      </w:divBdr>
      <w:divsChild>
        <w:div w:id="1493834924">
          <w:marLeft w:val="0"/>
          <w:marRight w:val="0"/>
          <w:marTop w:val="0"/>
          <w:marBottom w:val="0"/>
          <w:divBdr>
            <w:top w:val="none" w:sz="0" w:space="0" w:color="auto"/>
            <w:left w:val="none" w:sz="0" w:space="0" w:color="auto"/>
            <w:bottom w:val="none" w:sz="0" w:space="0" w:color="auto"/>
            <w:right w:val="none" w:sz="0" w:space="0" w:color="auto"/>
          </w:divBdr>
          <w:divsChild>
            <w:div w:id="9690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60834">
      <w:bodyDiv w:val="1"/>
      <w:marLeft w:val="0"/>
      <w:marRight w:val="0"/>
      <w:marTop w:val="0"/>
      <w:marBottom w:val="0"/>
      <w:divBdr>
        <w:top w:val="none" w:sz="0" w:space="0" w:color="auto"/>
        <w:left w:val="none" w:sz="0" w:space="0" w:color="auto"/>
        <w:bottom w:val="none" w:sz="0" w:space="0" w:color="auto"/>
        <w:right w:val="none" w:sz="0" w:space="0" w:color="auto"/>
      </w:divBdr>
    </w:div>
    <w:div w:id="460880200">
      <w:bodyDiv w:val="1"/>
      <w:marLeft w:val="0"/>
      <w:marRight w:val="0"/>
      <w:marTop w:val="0"/>
      <w:marBottom w:val="0"/>
      <w:divBdr>
        <w:top w:val="none" w:sz="0" w:space="0" w:color="auto"/>
        <w:left w:val="none" w:sz="0" w:space="0" w:color="auto"/>
        <w:bottom w:val="none" w:sz="0" w:space="0" w:color="auto"/>
        <w:right w:val="none" w:sz="0" w:space="0" w:color="auto"/>
      </w:divBdr>
    </w:div>
    <w:div w:id="1037586221">
      <w:bodyDiv w:val="1"/>
      <w:marLeft w:val="0"/>
      <w:marRight w:val="0"/>
      <w:marTop w:val="0"/>
      <w:marBottom w:val="0"/>
      <w:divBdr>
        <w:top w:val="none" w:sz="0" w:space="0" w:color="auto"/>
        <w:left w:val="none" w:sz="0" w:space="0" w:color="auto"/>
        <w:bottom w:val="none" w:sz="0" w:space="0" w:color="auto"/>
        <w:right w:val="none" w:sz="0" w:space="0" w:color="auto"/>
      </w:divBdr>
      <w:divsChild>
        <w:div w:id="563760672">
          <w:marLeft w:val="0"/>
          <w:marRight w:val="0"/>
          <w:marTop w:val="0"/>
          <w:marBottom w:val="0"/>
          <w:divBdr>
            <w:top w:val="none" w:sz="0" w:space="0" w:color="auto"/>
            <w:left w:val="none" w:sz="0" w:space="0" w:color="auto"/>
            <w:bottom w:val="none" w:sz="0" w:space="0" w:color="auto"/>
            <w:right w:val="none" w:sz="0" w:space="0" w:color="auto"/>
          </w:divBdr>
          <w:divsChild>
            <w:div w:id="457182940">
              <w:marLeft w:val="0"/>
              <w:marRight w:val="0"/>
              <w:marTop w:val="0"/>
              <w:marBottom w:val="0"/>
              <w:divBdr>
                <w:top w:val="none" w:sz="0" w:space="0" w:color="auto"/>
                <w:left w:val="none" w:sz="0" w:space="0" w:color="auto"/>
                <w:bottom w:val="none" w:sz="0" w:space="0" w:color="auto"/>
                <w:right w:val="none" w:sz="0" w:space="0" w:color="auto"/>
              </w:divBdr>
              <w:divsChild>
                <w:div w:id="12380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5315">
      <w:bodyDiv w:val="1"/>
      <w:marLeft w:val="0"/>
      <w:marRight w:val="0"/>
      <w:marTop w:val="0"/>
      <w:marBottom w:val="0"/>
      <w:divBdr>
        <w:top w:val="none" w:sz="0" w:space="0" w:color="auto"/>
        <w:left w:val="none" w:sz="0" w:space="0" w:color="auto"/>
        <w:bottom w:val="none" w:sz="0" w:space="0" w:color="auto"/>
        <w:right w:val="none" w:sz="0" w:space="0" w:color="auto"/>
      </w:divBdr>
    </w:div>
    <w:div w:id="1168474046">
      <w:bodyDiv w:val="1"/>
      <w:marLeft w:val="0"/>
      <w:marRight w:val="0"/>
      <w:marTop w:val="0"/>
      <w:marBottom w:val="0"/>
      <w:divBdr>
        <w:top w:val="none" w:sz="0" w:space="0" w:color="auto"/>
        <w:left w:val="none" w:sz="0" w:space="0" w:color="auto"/>
        <w:bottom w:val="none" w:sz="0" w:space="0" w:color="auto"/>
        <w:right w:val="none" w:sz="0" w:space="0" w:color="auto"/>
      </w:divBdr>
    </w:div>
    <w:div w:id="1217740694">
      <w:bodyDiv w:val="1"/>
      <w:marLeft w:val="0"/>
      <w:marRight w:val="0"/>
      <w:marTop w:val="0"/>
      <w:marBottom w:val="0"/>
      <w:divBdr>
        <w:top w:val="none" w:sz="0" w:space="0" w:color="auto"/>
        <w:left w:val="none" w:sz="0" w:space="0" w:color="auto"/>
        <w:bottom w:val="none" w:sz="0" w:space="0" w:color="auto"/>
        <w:right w:val="none" w:sz="0" w:space="0" w:color="auto"/>
      </w:divBdr>
    </w:div>
    <w:div w:id="1260026411">
      <w:bodyDiv w:val="1"/>
      <w:marLeft w:val="0"/>
      <w:marRight w:val="0"/>
      <w:marTop w:val="0"/>
      <w:marBottom w:val="0"/>
      <w:divBdr>
        <w:top w:val="none" w:sz="0" w:space="0" w:color="auto"/>
        <w:left w:val="none" w:sz="0" w:space="0" w:color="auto"/>
        <w:bottom w:val="none" w:sz="0" w:space="0" w:color="auto"/>
        <w:right w:val="none" w:sz="0" w:space="0" w:color="auto"/>
      </w:divBdr>
    </w:div>
    <w:div w:id="1309091724">
      <w:bodyDiv w:val="1"/>
      <w:marLeft w:val="0"/>
      <w:marRight w:val="0"/>
      <w:marTop w:val="0"/>
      <w:marBottom w:val="0"/>
      <w:divBdr>
        <w:top w:val="none" w:sz="0" w:space="0" w:color="auto"/>
        <w:left w:val="none" w:sz="0" w:space="0" w:color="auto"/>
        <w:bottom w:val="none" w:sz="0" w:space="0" w:color="auto"/>
        <w:right w:val="none" w:sz="0" w:space="0" w:color="auto"/>
      </w:divBdr>
    </w:div>
    <w:div w:id="1353722578">
      <w:bodyDiv w:val="1"/>
      <w:marLeft w:val="0"/>
      <w:marRight w:val="0"/>
      <w:marTop w:val="0"/>
      <w:marBottom w:val="0"/>
      <w:divBdr>
        <w:top w:val="none" w:sz="0" w:space="0" w:color="auto"/>
        <w:left w:val="none" w:sz="0" w:space="0" w:color="auto"/>
        <w:bottom w:val="none" w:sz="0" w:space="0" w:color="auto"/>
        <w:right w:val="none" w:sz="0" w:space="0" w:color="auto"/>
      </w:divBdr>
    </w:div>
    <w:div w:id="1814521035">
      <w:bodyDiv w:val="1"/>
      <w:marLeft w:val="0"/>
      <w:marRight w:val="0"/>
      <w:marTop w:val="0"/>
      <w:marBottom w:val="0"/>
      <w:divBdr>
        <w:top w:val="none" w:sz="0" w:space="0" w:color="auto"/>
        <w:left w:val="none" w:sz="0" w:space="0" w:color="auto"/>
        <w:bottom w:val="none" w:sz="0" w:space="0" w:color="auto"/>
        <w:right w:val="none" w:sz="0" w:space="0" w:color="auto"/>
      </w:divBdr>
    </w:div>
    <w:div w:id="1836847154">
      <w:bodyDiv w:val="1"/>
      <w:marLeft w:val="0"/>
      <w:marRight w:val="0"/>
      <w:marTop w:val="0"/>
      <w:marBottom w:val="0"/>
      <w:divBdr>
        <w:top w:val="none" w:sz="0" w:space="0" w:color="auto"/>
        <w:left w:val="none" w:sz="0" w:space="0" w:color="auto"/>
        <w:bottom w:val="none" w:sz="0" w:space="0" w:color="auto"/>
        <w:right w:val="none" w:sz="0" w:space="0" w:color="auto"/>
      </w:divBdr>
      <w:divsChild>
        <w:div w:id="69087228">
          <w:marLeft w:val="0"/>
          <w:marRight w:val="0"/>
          <w:marTop w:val="0"/>
          <w:marBottom w:val="0"/>
          <w:divBdr>
            <w:top w:val="none" w:sz="0" w:space="0" w:color="auto"/>
            <w:left w:val="none" w:sz="0" w:space="0" w:color="auto"/>
            <w:bottom w:val="none" w:sz="0" w:space="0" w:color="auto"/>
            <w:right w:val="none" w:sz="0" w:space="0" w:color="auto"/>
          </w:divBdr>
        </w:div>
        <w:div w:id="2089226998">
          <w:marLeft w:val="0"/>
          <w:marRight w:val="0"/>
          <w:marTop w:val="0"/>
          <w:marBottom w:val="0"/>
          <w:divBdr>
            <w:top w:val="none" w:sz="0" w:space="0" w:color="auto"/>
            <w:left w:val="none" w:sz="0" w:space="0" w:color="auto"/>
            <w:bottom w:val="none" w:sz="0" w:space="0" w:color="auto"/>
            <w:right w:val="none" w:sz="0" w:space="0" w:color="auto"/>
          </w:divBdr>
        </w:div>
      </w:divsChild>
    </w:div>
    <w:div w:id="1904632780">
      <w:bodyDiv w:val="1"/>
      <w:marLeft w:val="0"/>
      <w:marRight w:val="0"/>
      <w:marTop w:val="0"/>
      <w:marBottom w:val="0"/>
      <w:divBdr>
        <w:top w:val="none" w:sz="0" w:space="0" w:color="auto"/>
        <w:left w:val="none" w:sz="0" w:space="0" w:color="auto"/>
        <w:bottom w:val="none" w:sz="0" w:space="0" w:color="auto"/>
        <w:right w:val="none" w:sz="0" w:space="0" w:color="auto"/>
      </w:divBdr>
    </w:div>
    <w:div w:id="1983195733">
      <w:bodyDiv w:val="1"/>
      <w:marLeft w:val="0"/>
      <w:marRight w:val="0"/>
      <w:marTop w:val="0"/>
      <w:marBottom w:val="0"/>
      <w:divBdr>
        <w:top w:val="none" w:sz="0" w:space="0" w:color="auto"/>
        <w:left w:val="none" w:sz="0" w:space="0" w:color="auto"/>
        <w:bottom w:val="none" w:sz="0" w:space="0" w:color="auto"/>
        <w:right w:val="none" w:sz="0" w:space="0" w:color="auto"/>
      </w:divBdr>
      <w:divsChild>
        <w:div w:id="438378104">
          <w:marLeft w:val="0"/>
          <w:marRight w:val="0"/>
          <w:marTop w:val="0"/>
          <w:marBottom w:val="0"/>
          <w:divBdr>
            <w:top w:val="none" w:sz="0" w:space="0" w:color="auto"/>
            <w:left w:val="none" w:sz="0" w:space="0" w:color="auto"/>
            <w:bottom w:val="none" w:sz="0" w:space="0" w:color="auto"/>
            <w:right w:val="none" w:sz="0" w:space="0" w:color="auto"/>
          </w:divBdr>
          <w:divsChild>
            <w:div w:id="1937980544">
              <w:marLeft w:val="0"/>
              <w:marRight w:val="0"/>
              <w:marTop w:val="0"/>
              <w:marBottom w:val="0"/>
              <w:divBdr>
                <w:top w:val="none" w:sz="0" w:space="0" w:color="auto"/>
                <w:left w:val="none" w:sz="0" w:space="0" w:color="auto"/>
                <w:bottom w:val="none" w:sz="0" w:space="0" w:color="auto"/>
                <w:right w:val="none" w:sz="0" w:space="0" w:color="auto"/>
              </w:divBdr>
              <w:divsChild>
                <w:div w:id="1586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5770">
      <w:bodyDiv w:val="1"/>
      <w:marLeft w:val="0"/>
      <w:marRight w:val="0"/>
      <w:marTop w:val="0"/>
      <w:marBottom w:val="0"/>
      <w:divBdr>
        <w:top w:val="none" w:sz="0" w:space="0" w:color="auto"/>
        <w:left w:val="none" w:sz="0" w:space="0" w:color="auto"/>
        <w:bottom w:val="none" w:sz="0" w:space="0" w:color="auto"/>
        <w:right w:val="none" w:sz="0" w:space="0" w:color="auto"/>
      </w:divBdr>
    </w:div>
    <w:div w:id="2064401006">
      <w:bodyDiv w:val="1"/>
      <w:marLeft w:val="0"/>
      <w:marRight w:val="0"/>
      <w:marTop w:val="0"/>
      <w:marBottom w:val="0"/>
      <w:divBdr>
        <w:top w:val="none" w:sz="0" w:space="0" w:color="auto"/>
        <w:left w:val="none" w:sz="0" w:space="0" w:color="auto"/>
        <w:bottom w:val="none" w:sz="0" w:space="0" w:color="auto"/>
        <w:right w:val="none" w:sz="0" w:space="0" w:color="auto"/>
      </w:divBdr>
      <w:divsChild>
        <w:div w:id="369300995">
          <w:marLeft w:val="0"/>
          <w:marRight w:val="0"/>
          <w:marTop w:val="0"/>
          <w:marBottom w:val="0"/>
          <w:divBdr>
            <w:top w:val="none" w:sz="0" w:space="0" w:color="auto"/>
            <w:left w:val="none" w:sz="0" w:space="0" w:color="auto"/>
            <w:bottom w:val="none" w:sz="0" w:space="0" w:color="auto"/>
            <w:right w:val="none" w:sz="0" w:space="0" w:color="auto"/>
          </w:divBdr>
          <w:divsChild>
            <w:div w:id="8494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tions-publiques.developpement-durable.gouv.fr/projet-d-arrete-modifiant-des-dispositions-a326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9340-7041-488C-92C3-13D73128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2402</Words>
  <Characters>13216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TAUFOUR Clarisse</dc:creator>
  <cp:keywords/>
  <dc:description/>
  <cp:lastModifiedBy>DIETRICH Marie</cp:lastModifiedBy>
  <cp:revision>2</cp:revision>
  <dcterms:created xsi:type="dcterms:W3CDTF">2025-12-15T13:39:00Z</dcterms:created>
  <dcterms:modified xsi:type="dcterms:W3CDTF">2025-12-15T13:39:00Z</dcterms:modified>
</cp:coreProperties>
</file>