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4FEF2" w14:textId="77777777" w:rsidR="004A2D02" w:rsidRDefault="00CB0043">
      <w:pPr>
        <w:jc w:val="both"/>
        <w:rPr>
          <w:rFonts w:ascii="Marianne" w:hAnsi="Marianne"/>
          <w:b/>
          <w:bCs/>
          <w:sz w:val="20"/>
          <w:szCs w:val="20"/>
        </w:rPr>
      </w:pPr>
      <w:bookmarkStart w:id="0" w:name="_Hlk230074698"/>
      <w:r>
        <w:rPr>
          <w:rFonts w:ascii="Marianne" w:hAnsi="Marianne"/>
          <w:b/>
          <w:bCs/>
          <w:sz w:val="20"/>
          <w:szCs w:val="20"/>
        </w:rPr>
        <w:t xml:space="preserve">Synthèse de la consultation publique sur le </w:t>
      </w:r>
      <w:bookmarkStart w:id="1" w:name="_Hlk221798384"/>
      <w:bookmarkEnd w:id="0"/>
      <w:r>
        <w:rPr>
          <w:rFonts w:ascii="Marianne" w:hAnsi="Marianne"/>
          <w:b/>
          <w:bCs/>
          <w:sz w:val="20"/>
          <w:szCs w:val="20"/>
        </w:rPr>
        <w:t>projet d’arrêté relatif à la possibilité de remplacer des chaudières à combustible déjà valorisées dans le cadre du dispositif des certificats d’économies d’énergie</w:t>
      </w:r>
    </w:p>
    <w:bookmarkEnd w:id="1"/>
    <w:p w14:paraId="4F156FF7" w14:textId="77777777" w:rsidR="004A2D02" w:rsidRDefault="00CB0043">
      <w:pPr>
        <w:jc w:val="both"/>
        <w:rPr>
          <w:rFonts w:ascii="Marianne" w:hAnsi="Marianne"/>
          <w:sz w:val="20"/>
          <w:szCs w:val="20"/>
        </w:rPr>
      </w:pPr>
      <w:r>
        <w:rPr>
          <w:rFonts w:ascii="Marianne" w:hAnsi="Marianne"/>
          <w:sz w:val="20"/>
          <w:szCs w:val="20"/>
        </w:rPr>
        <w:t>Consultation du 27/07/2026 au 16/08/2026 - 33 contributions</w:t>
      </w:r>
    </w:p>
    <w:p w14:paraId="04753FB5" w14:textId="77777777" w:rsidR="004A2D02" w:rsidRDefault="004A2D02">
      <w:pPr>
        <w:jc w:val="both"/>
        <w:rPr>
          <w:rFonts w:ascii="Marianne" w:hAnsi="Marianne"/>
          <w:sz w:val="20"/>
          <w:szCs w:val="20"/>
        </w:rPr>
      </w:pPr>
    </w:p>
    <w:p w14:paraId="2119C897" w14:textId="77777777" w:rsidR="004A2D02" w:rsidRDefault="00CB0043">
      <w:pPr>
        <w:pStyle w:val="Paragraphedeliste"/>
        <w:numPr>
          <w:ilvl w:val="0"/>
          <w:numId w:val="1"/>
        </w:numPr>
        <w:jc w:val="both"/>
        <w:rPr>
          <w:rFonts w:ascii="Marianne" w:hAnsi="Marianne"/>
          <w:sz w:val="20"/>
          <w:szCs w:val="20"/>
          <w:u w:val="single"/>
        </w:rPr>
      </w:pPr>
      <w:r>
        <w:rPr>
          <w:rFonts w:ascii="Marianne" w:hAnsi="Marianne"/>
          <w:sz w:val="20"/>
          <w:szCs w:val="20"/>
          <w:u w:val="single"/>
        </w:rPr>
        <w:t xml:space="preserve">Introduction </w:t>
      </w:r>
    </w:p>
    <w:p w14:paraId="7531076B" w14:textId="77777777" w:rsidR="004A2D02" w:rsidRDefault="00CB0043">
      <w:pPr>
        <w:jc w:val="both"/>
        <w:rPr>
          <w:rFonts w:ascii="Marianne" w:hAnsi="Marianne"/>
          <w:sz w:val="20"/>
          <w:szCs w:val="20"/>
        </w:rPr>
      </w:pPr>
      <w:r>
        <w:rPr>
          <w:rFonts w:ascii="Marianne" w:hAnsi="Marianne"/>
          <w:sz w:val="20"/>
          <w:szCs w:val="20"/>
        </w:rPr>
        <w:t xml:space="preserve">Le présent texte concerne le dispositif des certificats d’économies d’énergie (CEE) régi notamment par les articles L. 221-1 et suivants du code de l’énergie. </w:t>
      </w:r>
    </w:p>
    <w:p w14:paraId="74F68768" w14:textId="77777777" w:rsidR="004A2D02" w:rsidRDefault="00CB0043">
      <w:pPr>
        <w:jc w:val="both"/>
        <w:rPr>
          <w:rFonts w:ascii="Marianne" w:hAnsi="Marianne"/>
          <w:sz w:val="20"/>
          <w:szCs w:val="20"/>
        </w:rPr>
      </w:pPr>
      <w:r>
        <w:rPr>
          <w:rFonts w:ascii="Marianne" w:hAnsi="Marianne"/>
          <w:sz w:val="20"/>
          <w:szCs w:val="20"/>
        </w:rPr>
        <w:t>Le présent arrêté vise l’instauration d’une dérogation à l’arrêté du 22 décembre 2014 définissant les opérations standardisées d'économies d'énergie, en autorisant le remplacement des chaudières fossile dans les secteurs résidentiel et tertiaire, ayant bénéficié d’un soutien au titre d’un certain nombre de fiches CEE, et avant l’échéance de leur durée de vie conventionnelle, par des équipements décarbonés également soutenus par des fiches CEE.</w:t>
      </w:r>
    </w:p>
    <w:p w14:paraId="30B5A495" w14:textId="77777777" w:rsidR="004A2D02" w:rsidRDefault="00CB0043">
      <w:pPr>
        <w:pStyle w:val="Paragraphedeliste"/>
        <w:numPr>
          <w:ilvl w:val="0"/>
          <w:numId w:val="1"/>
        </w:numPr>
        <w:jc w:val="both"/>
        <w:rPr>
          <w:rFonts w:ascii="Marianne" w:hAnsi="Marianne"/>
          <w:sz w:val="20"/>
          <w:szCs w:val="20"/>
          <w:u w:val="single"/>
        </w:rPr>
      </w:pPr>
      <w:r>
        <w:rPr>
          <w:rFonts w:ascii="Marianne" w:hAnsi="Marianne"/>
          <w:sz w:val="20"/>
          <w:szCs w:val="20"/>
          <w:u w:val="single"/>
        </w:rPr>
        <w:t xml:space="preserve">Objet de la consultation </w:t>
      </w:r>
    </w:p>
    <w:p w14:paraId="4377AF16" w14:textId="77777777" w:rsidR="004A2D02" w:rsidRDefault="00CB0043">
      <w:pPr>
        <w:jc w:val="both"/>
        <w:rPr>
          <w:rFonts w:ascii="Marianne" w:hAnsi="Marianne"/>
          <w:b/>
          <w:sz w:val="20"/>
          <w:szCs w:val="20"/>
        </w:rPr>
      </w:pPr>
      <w:r>
        <w:rPr>
          <w:rFonts w:ascii="Marianne" w:hAnsi="Marianne"/>
          <w:b/>
          <w:sz w:val="20"/>
          <w:szCs w:val="20"/>
        </w:rPr>
        <w:t>Généralités</w:t>
      </w:r>
    </w:p>
    <w:p w14:paraId="6184B95B" w14:textId="77777777" w:rsidR="004A2D02" w:rsidRDefault="00CB0043">
      <w:pPr>
        <w:jc w:val="both"/>
        <w:rPr>
          <w:rFonts w:ascii="Marianne" w:hAnsi="Marianne"/>
          <w:sz w:val="20"/>
          <w:szCs w:val="20"/>
        </w:rPr>
      </w:pPr>
      <w:r>
        <w:rPr>
          <w:rFonts w:ascii="Marianne" w:hAnsi="Marianne"/>
          <w:sz w:val="20"/>
          <w:szCs w:val="20"/>
        </w:rPr>
        <w:t>En l’état actuel du dispositif, il n’est pas possible de bénéficier de CEE pour le remplacement d’un système de chauffage ayant déjà lui-même bénéficié de CEE, avant la fin de la durée de vie conventionnelle de ce dernier. En effet, la durée de vie, indiquée dans chaque fiche d’opération standardisée CEE, est utilisée pour calculer le volume de CEE prévu par la fiche, ce volume étant égal aux économies d’énergie finale cumulées sur la durée de vie.</w:t>
      </w:r>
    </w:p>
    <w:p w14:paraId="3BC7B425" w14:textId="77777777" w:rsidR="004A2D02" w:rsidRDefault="00CB0043">
      <w:pPr>
        <w:jc w:val="both"/>
        <w:rPr>
          <w:rFonts w:ascii="Marianne" w:hAnsi="Marianne"/>
          <w:sz w:val="20"/>
          <w:szCs w:val="20"/>
        </w:rPr>
      </w:pPr>
      <w:r>
        <w:rPr>
          <w:rFonts w:ascii="Marianne" w:hAnsi="Marianne"/>
          <w:sz w:val="20"/>
          <w:szCs w:val="20"/>
        </w:rPr>
        <w:t>Le second alinéa de l’article 2 quater de l’arrêté du 22 décembre 2014 définissant les opérations standardisées d'économies d'énergie dispose ainsi :</w:t>
      </w:r>
    </w:p>
    <w:p w14:paraId="7756D258" w14:textId="77777777" w:rsidR="004A2D02" w:rsidRDefault="00CB0043">
      <w:pPr>
        <w:jc w:val="both"/>
        <w:rPr>
          <w:rFonts w:ascii="Marianne" w:hAnsi="Marianne"/>
          <w:i/>
          <w:sz w:val="20"/>
          <w:szCs w:val="20"/>
        </w:rPr>
      </w:pPr>
      <w:r>
        <w:rPr>
          <w:rFonts w:ascii="Marianne" w:hAnsi="Marianne"/>
          <w:i/>
          <w:sz w:val="20"/>
          <w:szCs w:val="20"/>
        </w:rPr>
        <w:t>« Durant la durée de vie conventionnelle mentionnée par une fiche d’opération standardisée comptabilisée à compter de la date d’achèvement d’une opération engagée au titre de cette fiche, les opérations conduisant au remplacement des équipements ou matériaux mis en place dans le cadre de la première opération ne peuvent donner à délivrance de certificats d’économies d’énergie. »</w:t>
      </w:r>
    </w:p>
    <w:p w14:paraId="1EE608EA" w14:textId="77777777" w:rsidR="006B75D7" w:rsidRDefault="00CB0043">
      <w:pPr>
        <w:jc w:val="both"/>
        <w:rPr>
          <w:rFonts w:ascii="Marianne" w:hAnsi="Marianne"/>
          <w:sz w:val="20"/>
          <w:szCs w:val="20"/>
        </w:rPr>
      </w:pPr>
      <w:r>
        <w:rPr>
          <w:rFonts w:ascii="Marianne" w:hAnsi="Marianne"/>
          <w:sz w:val="20"/>
          <w:szCs w:val="20"/>
        </w:rPr>
        <w:t>Ce principe historique du dispositif est aujourd’hui susceptible de ralentir les politiques de décarbonation mises en place par le Gouvernement : lorsqu’un bâtiment a bénéficié de CEE par le passé pour l’installation d’une chaudière à combustible, il n’est pas éligible à la valorisation de CEE pour l’installation d’une pompe à chaleur air/eau ou eau/eau individuelle ou collective, d’un système géothermique ou pour son raccordement à un réseau de chaleur, tant que la durée de vie conventionnelle de la chaudière à combustible (de 16 à 21 ans) n’a pas expiré.</w:t>
      </w:r>
    </w:p>
    <w:p w14:paraId="58D0712E" w14:textId="4649B05E" w:rsidR="004A2D02" w:rsidRDefault="00CB0043">
      <w:pPr>
        <w:jc w:val="both"/>
        <w:rPr>
          <w:rFonts w:ascii="Marianne" w:hAnsi="Marianne"/>
          <w:sz w:val="20"/>
          <w:szCs w:val="20"/>
        </w:rPr>
      </w:pPr>
      <w:r>
        <w:rPr>
          <w:rFonts w:ascii="Marianne" w:hAnsi="Marianne"/>
          <w:sz w:val="20"/>
          <w:szCs w:val="20"/>
        </w:rPr>
        <w:br/>
        <w:t>Le présent texte propose une dérogation au second alinéa de l’article 2 quater susmentionné, permettant de lever cette contrainte, sans remettre en cause le principe de l’utilisation de la durée de vie conventionnelle dans le calcul des forfaits CEE</w:t>
      </w:r>
      <w:r w:rsidR="006B75D7">
        <w:rPr>
          <w:rFonts w:ascii="Marianne" w:hAnsi="Marianne"/>
          <w:sz w:val="20"/>
          <w:szCs w:val="20"/>
        </w:rPr>
        <w:t>.</w:t>
      </w:r>
    </w:p>
    <w:p w14:paraId="4F92CB40" w14:textId="77777777" w:rsidR="004A2D02" w:rsidRDefault="00CB0043">
      <w:pPr>
        <w:jc w:val="both"/>
        <w:rPr>
          <w:rFonts w:ascii="Marianne" w:hAnsi="Marianne"/>
          <w:b/>
          <w:sz w:val="20"/>
          <w:szCs w:val="20"/>
        </w:rPr>
      </w:pPr>
      <w:r>
        <w:rPr>
          <w:rFonts w:ascii="Marianne" w:hAnsi="Marianne"/>
          <w:b/>
          <w:sz w:val="20"/>
          <w:szCs w:val="20"/>
        </w:rPr>
        <w:t>Articulation avec les exigences de la directive « Efficacité énergétique »</w:t>
      </w:r>
    </w:p>
    <w:p w14:paraId="4D8C3269" w14:textId="13FFE157" w:rsidR="004A2D02" w:rsidRDefault="00CB0043">
      <w:pPr>
        <w:jc w:val="both"/>
        <w:rPr>
          <w:rFonts w:ascii="Marianne" w:hAnsi="Marianne"/>
          <w:sz w:val="20"/>
          <w:szCs w:val="20"/>
        </w:rPr>
      </w:pPr>
      <w:r>
        <w:rPr>
          <w:rFonts w:ascii="Marianne" w:hAnsi="Marianne"/>
          <w:sz w:val="20"/>
          <w:szCs w:val="20"/>
        </w:rPr>
        <w:lastRenderedPageBreak/>
        <w:t>Le dispositif des CEE constitue le mécanisme d’obligations en matière d’efficacité énergétique prévu à l’article 9, paragraphe 1, de la directive « Efficacité énergétique » (DEE) permettant notamment de remplir les obligations d’économies d’énergie requises au titre des articles 4 et 8 de cette même directive. Les États membres transmettent, tous les deux ans, à la Commission européenne le volume des économies d’énergie finale annuelles associées aux CEE délivrés, par année d’engagement des opérations d’économies d’énergie. Le prochain rapportage est à réaliser pour le 15 mars 2027 pour les économies d’énergie des années 2024 et 2025.</w:t>
      </w:r>
    </w:p>
    <w:p w14:paraId="1676D005" w14:textId="77777777" w:rsidR="004A2D02" w:rsidRDefault="00CB0043">
      <w:pPr>
        <w:jc w:val="both"/>
        <w:rPr>
          <w:rFonts w:ascii="Marianne" w:hAnsi="Marianne"/>
          <w:sz w:val="20"/>
          <w:szCs w:val="20"/>
        </w:rPr>
      </w:pPr>
      <w:r>
        <w:rPr>
          <w:rFonts w:ascii="Marianne" w:hAnsi="Marianne"/>
          <w:sz w:val="20"/>
          <w:szCs w:val="20"/>
        </w:rPr>
        <w:t>Dans ce rapportage, seules doivent être comptabilisées les économies d’énergie réellement générées (donc hors bonifications, en particulier). Toutefois, seules les économies d’énergie annuelles induites par les opérations engagées à compter du 1er janvier 2021 sont rapportées et comptabilisées pour le respect de l’article 8 de la DEE d’ici 2030 (i.e. les économies annuelles liées à des opérations antérieures ne sont pas comptabilisées).</w:t>
      </w:r>
    </w:p>
    <w:p w14:paraId="67171C8A" w14:textId="77777777" w:rsidR="004A2D02" w:rsidRDefault="00CB0043">
      <w:pPr>
        <w:jc w:val="both"/>
        <w:rPr>
          <w:rFonts w:ascii="Marianne" w:hAnsi="Marianne"/>
          <w:sz w:val="20"/>
          <w:szCs w:val="20"/>
        </w:rPr>
      </w:pPr>
      <w:r>
        <w:rPr>
          <w:rFonts w:ascii="Marianne" w:hAnsi="Marianne"/>
          <w:sz w:val="20"/>
          <w:szCs w:val="20"/>
        </w:rPr>
        <w:t xml:space="preserve">Dans ces conditions, il est proposé de limiter la possibilité du remplacement des chaudières avant expiration de la durée de vie conventionnelle aux seules chaudières installées qui avaient été engagées avant le 1er janvier 2021. La pertinence du choix de cette date est renforcée par le fait que seules les chaudières les plus anciennes seront susceptibles d’être remplacées d’ici 2030. </w:t>
      </w:r>
    </w:p>
    <w:p w14:paraId="7CAEDA55" w14:textId="77777777" w:rsidR="004A2D02" w:rsidRDefault="00CB0043">
      <w:pPr>
        <w:jc w:val="both"/>
        <w:rPr>
          <w:rFonts w:ascii="Marianne" w:hAnsi="Marianne"/>
          <w:sz w:val="20"/>
          <w:szCs w:val="20"/>
        </w:rPr>
      </w:pPr>
      <w:r>
        <w:rPr>
          <w:rFonts w:ascii="Marianne" w:hAnsi="Marianne"/>
          <w:sz w:val="20"/>
          <w:szCs w:val="20"/>
        </w:rPr>
        <w:t>Les dispositions entrent en vigueur à compter du lendemain de la publication du présent arrêté et sont applicables aux opérations engagées à compter de cette date.</w:t>
      </w:r>
    </w:p>
    <w:p w14:paraId="5AFAE6EA" w14:textId="77777777" w:rsidR="004A2D02" w:rsidRDefault="00CB0043">
      <w:pPr>
        <w:pStyle w:val="Paragraphedeliste"/>
        <w:numPr>
          <w:ilvl w:val="0"/>
          <w:numId w:val="1"/>
        </w:numPr>
        <w:jc w:val="both"/>
        <w:rPr>
          <w:rFonts w:ascii="Marianne" w:hAnsi="Marianne"/>
          <w:sz w:val="20"/>
          <w:szCs w:val="20"/>
          <w:u w:val="single"/>
        </w:rPr>
      </w:pPr>
      <w:r>
        <w:rPr>
          <w:rFonts w:ascii="Marianne" w:hAnsi="Marianne"/>
          <w:sz w:val="20"/>
          <w:szCs w:val="20"/>
          <w:u w:val="single"/>
        </w:rPr>
        <w:t xml:space="preserve">Organisation de la consultation </w:t>
      </w:r>
    </w:p>
    <w:p w14:paraId="6679788C" w14:textId="77777777" w:rsidR="004A2D02" w:rsidRDefault="00CB0043">
      <w:pPr>
        <w:jc w:val="both"/>
        <w:rPr>
          <w:rFonts w:ascii="Marianne" w:hAnsi="Marianne"/>
          <w:sz w:val="20"/>
          <w:szCs w:val="20"/>
        </w:rPr>
      </w:pPr>
      <w:r>
        <w:rPr>
          <w:rFonts w:ascii="Marianne" w:hAnsi="Marianne"/>
          <w:sz w:val="20"/>
          <w:szCs w:val="20"/>
        </w:rPr>
        <w:t xml:space="preserve">Le projet d’arrêté, accompagné d’une note de présentation, a été mis en consultation publique du 27 juillet 2026 au 16 août 2026 sur le site « Consultations publiques Les consultations publiques du ministère de la Transition écologique », à la page accessible suivant ce </w:t>
      </w:r>
      <w:hyperlink r:id="rId8" w:history="1">
        <w:r>
          <w:rPr>
            <w:rStyle w:val="Lienhypertexte"/>
            <w:rFonts w:ascii="Marianne" w:hAnsi="Marianne"/>
            <w:sz w:val="20"/>
            <w:szCs w:val="20"/>
          </w:rPr>
          <w:t>lien</w:t>
        </w:r>
      </w:hyperlink>
      <w:r>
        <w:rPr>
          <w:rFonts w:ascii="Marianne" w:hAnsi="Marianne"/>
          <w:sz w:val="20"/>
          <w:szCs w:val="20"/>
        </w:rPr>
        <w:t>.</w:t>
      </w:r>
    </w:p>
    <w:p w14:paraId="5D126F05" w14:textId="77777777" w:rsidR="004A2D02" w:rsidRDefault="00CB0043">
      <w:pPr>
        <w:pStyle w:val="Paragraphedeliste"/>
        <w:numPr>
          <w:ilvl w:val="0"/>
          <w:numId w:val="1"/>
        </w:numPr>
        <w:jc w:val="both"/>
        <w:rPr>
          <w:rFonts w:ascii="Marianne" w:hAnsi="Marianne"/>
          <w:sz w:val="20"/>
          <w:szCs w:val="20"/>
          <w:u w:val="single"/>
        </w:rPr>
      </w:pPr>
      <w:r>
        <w:rPr>
          <w:rFonts w:ascii="Marianne" w:hAnsi="Marianne"/>
          <w:sz w:val="20"/>
          <w:szCs w:val="20"/>
          <w:u w:val="single"/>
        </w:rPr>
        <w:t xml:space="preserve">Synthèse de la consultation </w:t>
      </w:r>
    </w:p>
    <w:p w14:paraId="2739FCB1" w14:textId="77777777" w:rsidR="004A2D02" w:rsidRDefault="00CB0043">
      <w:pPr>
        <w:pStyle w:val="Paragraphedeliste"/>
        <w:numPr>
          <w:ilvl w:val="1"/>
          <w:numId w:val="1"/>
        </w:numPr>
        <w:jc w:val="both"/>
        <w:rPr>
          <w:rFonts w:ascii="Marianne" w:hAnsi="Marianne"/>
          <w:sz w:val="20"/>
          <w:szCs w:val="20"/>
        </w:rPr>
      </w:pPr>
      <w:r>
        <w:rPr>
          <w:rFonts w:ascii="Marianne" w:hAnsi="Marianne"/>
          <w:sz w:val="20"/>
          <w:szCs w:val="20"/>
        </w:rPr>
        <w:t>Participation à la consultation</w:t>
      </w:r>
    </w:p>
    <w:p w14:paraId="769FDF06" w14:textId="77777777" w:rsidR="004A2D02" w:rsidRDefault="00CB0043">
      <w:pPr>
        <w:jc w:val="both"/>
        <w:rPr>
          <w:rFonts w:ascii="Marianne" w:hAnsi="Marianne"/>
          <w:sz w:val="20"/>
          <w:szCs w:val="20"/>
        </w:rPr>
      </w:pPr>
      <w:r>
        <w:rPr>
          <w:rFonts w:ascii="Marianne" w:hAnsi="Marianne"/>
          <w:sz w:val="20"/>
          <w:szCs w:val="20"/>
        </w:rPr>
        <w:t>À la suite de la publication sur le site de mise à la consultation publique du Ministère de la transition écologique, 33 contributions ont été reçues, dont 24 hors sujet.</w:t>
      </w:r>
    </w:p>
    <w:p w14:paraId="6E3BE961" w14:textId="7BC1F8F8" w:rsidR="004A2D02" w:rsidRDefault="00064316">
      <w:pPr>
        <w:pStyle w:val="Paragraphedeliste"/>
        <w:numPr>
          <w:ilvl w:val="1"/>
          <w:numId w:val="1"/>
        </w:numPr>
        <w:jc w:val="both"/>
        <w:rPr>
          <w:rFonts w:ascii="Marianne" w:hAnsi="Marianne"/>
          <w:sz w:val="20"/>
          <w:szCs w:val="20"/>
        </w:rPr>
      </w:pPr>
      <w:r>
        <w:rPr>
          <w:rFonts w:ascii="Marianne" w:hAnsi="Marianne"/>
          <w:sz w:val="20"/>
          <w:szCs w:val="20"/>
        </w:rPr>
        <w:t>Synthèse des o</w:t>
      </w:r>
      <w:r w:rsidR="00024AD3" w:rsidRPr="00024AD3">
        <w:rPr>
          <w:rFonts w:ascii="Marianne" w:hAnsi="Marianne"/>
          <w:sz w:val="20"/>
          <w:szCs w:val="20"/>
        </w:rPr>
        <w:t>bservations du public</w:t>
      </w:r>
    </w:p>
    <w:p w14:paraId="0B75265A" w14:textId="77777777" w:rsidR="004A2D02" w:rsidRDefault="00CB0043">
      <w:pPr>
        <w:spacing w:after="0"/>
        <w:jc w:val="both"/>
        <w:rPr>
          <w:rFonts w:ascii="Marianne" w:hAnsi="Marianne"/>
          <w:sz w:val="20"/>
          <w:szCs w:val="20"/>
        </w:rPr>
      </w:pPr>
      <w:r>
        <w:rPr>
          <w:rFonts w:ascii="Marianne" w:hAnsi="Marianne"/>
          <w:sz w:val="20"/>
          <w:szCs w:val="20"/>
        </w:rPr>
        <w:t>Des contributeurs signalent leur accord sur le texte proposé.</w:t>
      </w:r>
    </w:p>
    <w:p w14:paraId="284D04C4" w14:textId="77777777" w:rsidR="004A2D02" w:rsidRDefault="004A2D02">
      <w:pPr>
        <w:spacing w:after="0"/>
        <w:jc w:val="both"/>
        <w:rPr>
          <w:rFonts w:ascii="Marianne" w:hAnsi="Marianne"/>
          <w:sz w:val="20"/>
          <w:szCs w:val="20"/>
        </w:rPr>
      </w:pPr>
    </w:p>
    <w:p w14:paraId="2DBCA447" w14:textId="77777777" w:rsidR="004A2D02" w:rsidRDefault="00CB0043">
      <w:pPr>
        <w:spacing w:after="0"/>
        <w:jc w:val="both"/>
        <w:rPr>
          <w:rFonts w:ascii="Marianne" w:hAnsi="Marianne"/>
          <w:sz w:val="20"/>
          <w:szCs w:val="20"/>
        </w:rPr>
      </w:pPr>
      <w:r>
        <w:rPr>
          <w:rFonts w:ascii="Marianne" w:hAnsi="Marianne"/>
          <w:sz w:val="20"/>
          <w:szCs w:val="20"/>
        </w:rPr>
        <w:t>Des contributeurs considèrent qu’un frein similaire existe pour les ménages et copropriétés ayant réalisé une rénovation globale au titre des anciennes fiches BAR-TH-164 ou BAR-TH-145, sans y avoir inclus le remplacement de leur système de chauffage.</w:t>
      </w:r>
    </w:p>
    <w:p w14:paraId="38F6FFCD" w14:textId="77777777" w:rsidR="004A2D02" w:rsidRDefault="004A2D02">
      <w:pPr>
        <w:spacing w:after="0"/>
        <w:jc w:val="both"/>
        <w:rPr>
          <w:rFonts w:ascii="Marianne" w:hAnsi="Marianne"/>
          <w:sz w:val="20"/>
          <w:szCs w:val="20"/>
        </w:rPr>
      </w:pPr>
    </w:p>
    <w:p w14:paraId="76C0244D" w14:textId="77777777" w:rsidR="004A2D02" w:rsidRDefault="00CB0043">
      <w:pPr>
        <w:spacing w:after="0"/>
        <w:jc w:val="both"/>
        <w:rPr>
          <w:rFonts w:ascii="Marianne" w:hAnsi="Marianne"/>
          <w:sz w:val="20"/>
          <w:szCs w:val="20"/>
        </w:rPr>
      </w:pPr>
      <w:r>
        <w:rPr>
          <w:rFonts w:ascii="Marianne" w:hAnsi="Marianne"/>
          <w:sz w:val="20"/>
          <w:szCs w:val="20"/>
        </w:rPr>
        <w:t>Il est soutenu que la dérogation fragiliserait le rapportage français au titre de la directive « Efficacité énergétique » du fait des forfaits rapportés qui ne refléteraient pas les économies réelles.</w:t>
      </w:r>
    </w:p>
    <w:p w14:paraId="443D8D17" w14:textId="77777777" w:rsidR="004A2D02" w:rsidRDefault="004A2D02">
      <w:pPr>
        <w:spacing w:after="0"/>
        <w:jc w:val="both"/>
        <w:rPr>
          <w:rFonts w:ascii="Marianne" w:hAnsi="Marianne"/>
          <w:sz w:val="20"/>
          <w:szCs w:val="20"/>
        </w:rPr>
      </w:pPr>
    </w:p>
    <w:p w14:paraId="085A9396" w14:textId="77777777" w:rsidR="004A2D02" w:rsidRDefault="00CB0043">
      <w:pPr>
        <w:spacing w:after="0"/>
        <w:jc w:val="both"/>
        <w:rPr>
          <w:rFonts w:ascii="Marianne" w:hAnsi="Marianne"/>
          <w:sz w:val="20"/>
          <w:szCs w:val="20"/>
        </w:rPr>
      </w:pPr>
      <w:r>
        <w:rPr>
          <w:rFonts w:ascii="Marianne" w:hAnsi="Marianne"/>
          <w:sz w:val="20"/>
          <w:szCs w:val="20"/>
        </w:rPr>
        <w:t>Un contributeur souhaite que les équipements remplaçant prématurément des chaudières à combustible puissent bénéficier des bonifications prévues par les Coups de pouce.</w:t>
      </w:r>
    </w:p>
    <w:p w14:paraId="15DC8802" w14:textId="77777777" w:rsidR="004A2D02" w:rsidRDefault="004A2D02">
      <w:pPr>
        <w:spacing w:after="0"/>
        <w:jc w:val="both"/>
        <w:rPr>
          <w:rFonts w:ascii="Marianne" w:hAnsi="Marianne"/>
          <w:sz w:val="20"/>
          <w:szCs w:val="20"/>
        </w:rPr>
      </w:pPr>
    </w:p>
    <w:p w14:paraId="51730C82" w14:textId="5A747C41" w:rsidR="004A2D02" w:rsidRDefault="00CB0043">
      <w:pPr>
        <w:spacing w:after="0"/>
        <w:jc w:val="both"/>
        <w:rPr>
          <w:rFonts w:ascii="Marianne" w:hAnsi="Marianne"/>
          <w:sz w:val="20"/>
          <w:szCs w:val="20"/>
        </w:rPr>
      </w:pPr>
      <w:r>
        <w:rPr>
          <w:rFonts w:ascii="Marianne" w:hAnsi="Marianne"/>
          <w:sz w:val="20"/>
          <w:szCs w:val="20"/>
        </w:rPr>
        <w:lastRenderedPageBreak/>
        <w:t>Des contributeurs considèrent que le texte proposé autorise une nouvelle valorisation sans tenir compte de la durée de vie résiduelle de l’équipement déjà financé, sans préciser suffisamment la nature du nouvel équipement et sans définir les conditions réelles de mise hors service de la chaudière existante.</w:t>
      </w:r>
    </w:p>
    <w:p w14:paraId="19A82A55" w14:textId="41CFA58D" w:rsidR="004A2D02" w:rsidRDefault="00CB0043">
      <w:pPr>
        <w:spacing w:after="0"/>
        <w:jc w:val="both"/>
        <w:rPr>
          <w:rFonts w:ascii="Marianne" w:hAnsi="Marianne"/>
          <w:sz w:val="20"/>
          <w:szCs w:val="20"/>
        </w:rPr>
      </w:pPr>
      <w:r>
        <w:rPr>
          <w:rFonts w:ascii="Marianne" w:hAnsi="Marianne"/>
          <w:sz w:val="20"/>
          <w:szCs w:val="20"/>
        </w:rPr>
        <w:t>Cette modification peut conduire, selon eux, à financer deux fois une même période d’économies d’énergie et à encourager le remplacement prématuré de chaudières encore récentes et performantes. Le remplacement d’un équipement récent et performant génère, selon des contributeurs, des économies réelles très inférieures aux forfaits des fiches, ce qui conduirait à dégrader le ratio coût-efficacité du dispositif et ne contribuerait pas réellement, selon ces contributeurs, à l’atteinte des objectifs nationaux d’efficacité énergétique.</w:t>
      </w:r>
    </w:p>
    <w:p w14:paraId="636CC7C8" w14:textId="77777777" w:rsidR="004A2D02" w:rsidRDefault="00CB0043">
      <w:pPr>
        <w:spacing w:after="0"/>
        <w:jc w:val="both"/>
        <w:rPr>
          <w:rFonts w:ascii="Marianne" w:hAnsi="Marianne"/>
          <w:sz w:val="20"/>
          <w:szCs w:val="20"/>
        </w:rPr>
      </w:pPr>
      <w:r>
        <w:rPr>
          <w:rFonts w:ascii="Marianne" w:hAnsi="Marianne"/>
          <w:sz w:val="20"/>
          <w:szCs w:val="20"/>
        </w:rPr>
        <w:t>La rentabilisation des dépenses engagées pour les chaudières à combustible, financées par les consommateurs d’énergie, suppose, selon des contributeurs, que ces équipements encore récents ne soient pas remplacés prématurément.</w:t>
      </w:r>
    </w:p>
    <w:p w14:paraId="5F3939BE" w14:textId="77777777" w:rsidR="004A2D02" w:rsidRDefault="004A2D02">
      <w:pPr>
        <w:spacing w:after="0"/>
        <w:jc w:val="both"/>
        <w:rPr>
          <w:rFonts w:ascii="Marianne" w:hAnsi="Marianne"/>
          <w:sz w:val="20"/>
          <w:szCs w:val="20"/>
        </w:rPr>
      </w:pPr>
    </w:p>
    <w:p w14:paraId="3169120E" w14:textId="77777777" w:rsidR="004A2D02" w:rsidRDefault="00CB0043">
      <w:pPr>
        <w:spacing w:after="0"/>
        <w:jc w:val="both"/>
        <w:rPr>
          <w:rFonts w:ascii="Marianne" w:hAnsi="Marianne"/>
          <w:sz w:val="20"/>
          <w:szCs w:val="20"/>
        </w:rPr>
      </w:pPr>
      <w:r>
        <w:rPr>
          <w:rFonts w:ascii="Marianne" w:hAnsi="Marianne"/>
          <w:sz w:val="20"/>
          <w:szCs w:val="20"/>
        </w:rPr>
        <w:t>Il est soutenu que cette dérogation est contraire aux principes de l’économie circulaire et de la sobriété matérielle : elle génère des déchets d’équipements en état de marche et génère également des émissions de carbone liées à la fabrication des équipements installés, sans que le bilan environnemental global de l’opération ne soit établi dans la note de présentation.</w:t>
      </w:r>
    </w:p>
    <w:p w14:paraId="26E6695F" w14:textId="77777777" w:rsidR="004A2D02" w:rsidRDefault="004A2D02">
      <w:pPr>
        <w:spacing w:after="0"/>
        <w:jc w:val="both"/>
        <w:rPr>
          <w:rFonts w:ascii="Marianne" w:hAnsi="Marianne"/>
          <w:sz w:val="20"/>
          <w:szCs w:val="20"/>
        </w:rPr>
      </w:pPr>
    </w:p>
    <w:p w14:paraId="70652385" w14:textId="77777777" w:rsidR="004A2D02" w:rsidRDefault="00CB0043">
      <w:pPr>
        <w:spacing w:after="0"/>
        <w:jc w:val="both"/>
        <w:rPr>
          <w:rFonts w:ascii="Marianne" w:hAnsi="Marianne"/>
          <w:sz w:val="20"/>
          <w:szCs w:val="20"/>
        </w:rPr>
      </w:pPr>
      <w:r>
        <w:rPr>
          <w:rFonts w:ascii="Marianne" w:hAnsi="Marianne"/>
          <w:sz w:val="20"/>
          <w:szCs w:val="20"/>
        </w:rPr>
        <w:t>La durée de vie conventionnelle est un paramètre clé dans le calcul du forfait CEE. Y déroger pour une catégorie d’opérations, fût-elle circonscrite, ouvrirait la voie, selon un contributeur, à des demandes d’extension à d’autres fiches et à d’autres filières, chacune pouvant se prévaloir d’un objectif de politique publique légitime.</w:t>
      </w:r>
    </w:p>
    <w:p w14:paraId="7310A67D" w14:textId="77777777" w:rsidR="004A2D02" w:rsidRDefault="004A2D02">
      <w:pPr>
        <w:spacing w:after="0"/>
        <w:jc w:val="both"/>
        <w:rPr>
          <w:rFonts w:ascii="Marianne" w:hAnsi="Marianne"/>
          <w:sz w:val="20"/>
          <w:szCs w:val="20"/>
        </w:rPr>
      </w:pPr>
    </w:p>
    <w:p w14:paraId="60D00F4E" w14:textId="560EE731" w:rsidR="004A2D02" w:rsidRDefault="00CB0043">
      <w:pPr>
        <w:spacing w:after="0"/>
        <w:jc w:val="both"/>
        <w:rPr>
          <w:rFonts w:ascii="Marianne" w:hAnsi="Marianne"/>
          <w:sz w:val="20"/>
          <w:szCs w:val="20"/>
        </w:rPr>
      </w:pPr>
      <w:r>
        <w:rPr>
          <w:rFonts w:ascii="Marianne" w:hAnsi="Marianne"/>
          <w:sz w:val="20"/>
          <w:szCs w:val="20"/>
        </w:rPr>
        <w:t>Un contributeur propose de limiter aux seuls cas de panne l’attribution d’une nouvelle prime CEE pour le remplacement, avant l’expiration de sa durée de vie conventionnelle, d’un équipement ayant déjà bénéficié d’une prime CEE.</w:t>
      </w:r>
    </w:p>
    <w:p w14:paraId="28E813F4" w14:textId="77777777" w:rsidR="004A2D02" w:rsidRDefault="004A2D02">
      <w:pPr>
        <w:spacing w:after="0"/>
        <w:jc w:val="both"/>
        <w:rPr>
          <w:rFonts w:ascii="Marianne" w:hAnsi="Marianne"/>
          <w:sz w:val="20"/>
          <w:szCs w:val="20"/>
        </w:rPr>
      </w:pPr>
    </w:p>
    <w:p w14:paraId="6A5251B4" w14:textId="77777777" w:rsidR="004A2D02" w:rsidRDefault="00CB0043">
      <w:pPr>
        <w:spacing w:after="0"/>
        <w:jc w:val="both"/>
        <w:rPr>
          <w:rFonts w:ascii="Marianne" w:hAnsi="Marianne"/>
          <w:sz w:val="20"/>
          <w:szCs w:val="20"/>
        </w:rPr>
      </w:pPr>
      <w:r>
        <w:rPr>
          <w:rFonts w:ascii="Marianne" w:hAnsi="Marianne"/>
          <w:sz w:val="20"/>
          <w:szCs w:val="20"/>
        </w:rPr>
        <w:t>La date du 1</w:t>
      </w:r>
      <w:r>
        <w:rPr>
          <w:rFonts w:ascii="Marianne" w:hAnsi="Marianne"/>
          <w:sz w:val="20"/>
          <w:szCs w:val="20"/>
          <w:vertAlign w:val="superscript"/>
        </w:rPr>
        <w:t>er</w:t>
      </w:r>
      <w:r>
        <w:rPr>
          <w:rFonts w:ascii="Marianne" w:hAnsi="Marianne"/>
          <w:sz w:val="20"/>
          <w:szCs w:val="20"/>
        </w:rPr>
        <w:t xml:space="preserve"> janvier 2021 a été retenue parce que les opérations engagées avant cette date ne sont plus intégrées au rapportage français relatif aux objectifs européens pour 2030. Cette justification relève avant tout, selon des contributeurs, d’une logique administrative et comptable. Elle ne tient pas compte, selon eux, de la réalité physique des économies d’énergie déjà financées. En effet, le fait que les anciennes économies ne figurent plus dans le rapportage européen ne signifie pas qu’elles n’ont pas été payées. La nouvelle valorisation devrait donc tenir compte, selon ces contributeurs, de la part résiduelle des certificats accordés pour l’équipement remplacé. À défaut, le dispositif risquerait de financer deux fois la même période d’économies.</w:t>
      </w:r>
    </w:p>
    <w:p w14:paraId="73154CF7" w14:textId="77777777" w:rsidR="004A2D02" w:rsidRDefault="004A2D02">
      <w:pPr>
        <w:spacing w:after="0"/>
        <w:jc w:val="both"/>
        <w:rPr>
          <w:rFonts w:ascii="Marianne" w:hAnsi="Marianne"/>
          <w:sz w:val="20"/>
          <w:szCs w:val="20"/>
        </w:rPr>
      </w:pPr>
    </w:p>
    <w:p w14:paraId="13369320" w14:textId="77777777" w:rsidR="004A2D02" w:rsidRDefault="00CB0043">
      <w:pPr>
        <w:spacing w:after="0"/>
        <w:jc w:val="both"/>
        <w:rPr>
          <w:rFonts w:ascii="Marianne" w:hAnsi="Marianne"/>
          <w:sz w:val="20"/>
          <w:szCs w:val="20"/>
        </w:rPr>
      </w:pPr>
      <w:r>
        <w:rPr>
          <w:rFonts w:ascii="Marianne" w:hAnsi="Marianne"/>
          <w:sz w:val="20"/>
          <w:szCs w:val="20"/>
        </w:rPr>
        <w:t>Dans cette logique, il est considéré que, pour appliquer correctement le projet d’arrêté, il faudrait pouvoir déterminer si la chaudière a déjà bénéficié de CEE, sous quelle fiche, à quelle date et pour quel volume. Or, dans la pratique, ces informations ne sont pas toujours disponibles chez le propriétaire actuel.</w:t>
      </w:r>
    </w:p>
    <w:p w14:paraId="2FB6DB9D" w14:textId="77777777" w:rsidR="004A2D02" w:rsidRDefault="004A2D02">
      <w:pPr>
        <w:spacing w:after="0"/>
        <w:jc w:val="both"/>
        <w:rPr>
          <w:rFonts w:ascii="Marianne" w:hAnsi="Marianne"/>
          <w:sz w:val="20"/>
          <w:szCs w:val="20"/>
        </w:rPr>
      </w:pPr>
    </w:p>
    <w:p w14:paraId="1513D73A" w14:textId="77777777" w:rsidR="004A2D02" w:rsidRDefault="00CB0043">
      <w:pPr>
        <w:spacing w:after="0"/>
        <w:jc w:val="both"/>
        <w:rPr>
          <w:rFonts w:ascii="Marianne" w:hAnsi="Marianne"/>
          <w:sz w:val="20"/>
          <w:szCs w:val="20"/>
        </w:rPr>
      </w:pPr>
      <w:r>
        <w:rPr>
          <w:rFonts w:ascii="Marianne" w:hAnsi="Marianne"/>
          <w:sz w:val="20"/>
          <w:szCs w:val="20"/>
        </w:rPr>
        <w:t>Des contributeurs considèrent, par ailleurs, que c’est la date de mise en service qui devrait être retenue comme référence, et non la date d’engagement des opérations.</w:t>
      </w:r>
    </w:p>
    <w:p w14:paraId="35348099" w14:textId="77777777" w:rsidR="004A2D02" w:rsidRDefault="004A2D02">
      <w:pPr>
        <w:spacing w:after="0"/>
        <w:jc w:val="both"/>
        <w:rPr>
          <w:rFonts w:ascii="Marianne" w:hAnsi="Marianne"/>
          <w:sz w:val="20"/>
          <w:szCs w:val="20"/>
        </w:rPr>
      </w:pPr>
    </w:p>
    <w:p w14:paraId="3A362DB9" w14:textId="77777777" w:rsidR="004A2D02" w:rsidRDefault="00CB0043">
      <w:pPr>
        <w:spacing w:after="0"/>
        <w:jc w:val="both"/>
        <w:rPr>
          <w:rFonts w:ascii="Marianne" w:hAnsi="Marianne"/>
          <w:sz w:val="20"/>
          <w:szCs w:val="20"/>
        </w:rPr>
      </w:pPr>
      <w:r>
        <w:rPr>
          <w:rFonts w:ascii="Marianne" w:hAnsi="Marianne"/>
          <w:sz w:val="20"/>
          <w:szCs w:val="20"/>
        </w:rPr>
        <w:lastRenderedPageBreak/>
        <w:t>Il est indiqué que la rédaction proposée ne précise pas clairement que la nouvelle installation doit supprimer l’usage d’un combustible fossile. Il est ainsi considéré que le texte devrait indiquer précisément quelles technologies ouvrent droit à la dérogation et dans quelles conditions.</w:t>
      </w:r>
    </w:p>
    <w:p w14:paraId="4B84D844" w14:textId="77777777" w:rsidR="004A2D02" w:rsidRDefault="004A2D02">
      <w:pPr>
        <w:spacing w:after="0"/>
        <w:jc w:val="both"/>
        <w:rPr>
          <w:rFonts w:ascii="Marianne" w:hAnsi="Marianne"/>
          <w:sz w:val="20"/>
          <w:szCs w:val="20"/>
        </w:rPr>
      </w:pPr>
    </w:p>
    <w:p w14:paraId="42697C2C" w14:textId="77777777" w:rsidR="004A2D02" w:rsidRDefault="00CB0043">
      <w:pPr>
        <w:spacing w:after="0"/>
        <w:jc w:val="both"/>
        <w:rPr>
          <w:rFonts w:ascii="Marianne" w:hAnsi="Marianne"/>
          <w:sz w:val="20"/>
          <w:szCs w:val="20"/>
        </w:rPr>
      </w:pPr>
      <w:r>
        <w:rPr>
          <w:rFonts w:ascii="Marianne" w:hAnsi="Marianne"/>
          <w:sz w:val="20"/>
          <w:szCs w:val="20"/>
        </w:rPr>
        <w:t>Dans une chaufferie collective comportant plusieurs chaudières, le terme « remplacement » peut couvrir des situations très différentes. Il est considéré que le projet devrait fixer un taux minimal de substitution de l’énergie fossile. Et préciser la part de chaleur qui devra être réellement fournie par le nouvel équipement.</w:t>
      </w:r>
    </w:p>
    <w:p w14:paraId="63CD8B29" w14:textId="77777777" w:rsidR="004A2D02" w:rsidRDefault="004A2D02">
      <w:pPr>
        <w:spacing w:after="0"/>
        <w:jc w:val="both"/>
        <w:rPr>
          <w:rFonts w:ascii="Marianne" w:hAnsi="Marianne"/>
          <w:sz w:val="20"/>
          <w:szCs w:val="20"/>
        </w:rPr>
      </w:pPr>
    </w:p>
    <w:p w14:paraId="5F60824D" w14:textId="77777777" w:rsidR="004A2D02" w:rsidRDefault="00CB0043">
      <w:pPr>
        <w:spacing w:after="0"/>
        <w:jc w:val="both"/>
        <w:rPr>
          <w:rFonts w:ascii="Marianne" w:hAnsi="Marianne"/>
          <w:sz w:val="20"/>
          <w:szCs w:val="20"/>
        </w:rPr>
      </w:pPr>
      <w:r>
        <w:rPr>
          <w:rFonts w:ascii="Marianne" w:hAnsi="Marianne"/>
          <w:sz w:val="20"/>
          <w:szCs w:val="20"/>
        </w:rPr>
        <w:t>La fiche BAT-TH-49 « Unité de chauffage au gaz en toiture à haute efficacité énergétique » concerne la mise en place d’une unité de chauffage en toiture (Roof Top) à haute efficacité énergétique alimentée par un brûleur gaz. Or le texte ne vise que le remplacement des chaudières à combustible.</w:t>
      </w:r>
    </w:p>
    <w:p w14:paraId="1473BF15" w14:textId="77777777" w:rsidR="004A2D02" w:rsidRDefault="004A2D02">
      <w:pPr>
        <w:spacing w:after="0"/>
        <w:jc w:val="both"/>
        <w:rPr>
          <w:rFonts w:ascii="Marianne" w:hAnsi="Marianne"/>
          <w:sz w:val="20"/>
          <w:szCs w:val="20"/>
        </w:rPr>
      </w:pPr>
    </w:p>
    <w:p w14:paraId="37764CD1" w14:textId="77777777" w:rsidR="004A2D02" w:rsidRDefault="00CB0043">
      <w:pPr>
        <w:spacing w:after="0"/>
        <w:jc w:val="both"/>
        <w:rPr>
          <w:rFonts w:ascii="Marianne" w:hAnsi="Marianne"/>
          <w:sz w:val="20"/>
          <w:szCs w:val="20"/>
        </w:rPr>
      </w:pPr>
      <w:r>
        <w:rPr>
          <w:rFonts w:ascii="Marianne" w:hAnsi="Marianne"/>
          <w:sz w:val="20"/>
          <w:szCs w:val="20"/>
        </w:rPr>
        <w:t>Des contributeurs considèrent que le remplacement d’une chaudière par une pompe à chaleur ne garantit pas automatiquement une réduction importante des consommations. Pour les installations collectives et tertiaires, il est considéré qu’une étude préalable devrait être obligatoire.</w:t>
      </w:r>
    </w:p>
    <w:p w14:paraId="506DACA4" w14:textId="77777777" w:rsidR="004A2D02" w:rsidRDefault="004A2D02">
      <w:pPr>
        <w:spacing w:after="0"/>
        <w:jc w:val="both"/>
        <w:rPr>
          <w:rFonts w:ascii="Marianne" w:hAnsi="Marianne"/>
          <w:sz w:val="20"/>
          <w:szCs w:val="20"/>
        </w:rPr>
      </w:pPr>
    </w:p>
    <w:p w14:paraId="1A84EAB2" w14:textId="77777777" w:rsidR="004A2D02" w:rsidRDefault="00CB0043">
      <w:pPr>
        <w:spacing w:after="0"/>
        <w:jc w:val="both"/>
        <w:rPr>
          <w:rFonts w:ascii="Marianne" w:hAnsi="Marianne"/>
          <w:sz w:val="20"/>
          <w:szCs w:val="20"/>
        </w:rPr>
      </w:pPr>
      <w:r>
        <w:rPr>
          <w:rFonts w:ascii="Marianne" w:hAnsi="Marianne"/>
          <w:sz w:val="20"/>
          <w:szCs w:val="20"/>
        </w:rPr>
        <w:t>Dans le cas d’une chaudière installée en 2019 ou en 2020, il est indiqué que le bénéfice environnemental d’un remplacement immédiat peut être moins évident que pour une chaudière réellement en fin de vie.</w:t>
      </w:r>
    </w:p>
    <w:p w14:paraId="782C5D57" w14:textId="77777777" w:rsidR="004A2D02" w:rsidRDefault="004A2D02">
      <w:pPr>
        <w:spacing w:after="0"/>
        <w:jc w:val="both"/>
        <w:rPr>
          <w:rFonts w:ascii="Marianne" w:hAnsi="Marianne"/>
          <w:sz w:val="20"/>
          <w:szCs w:val="20"/>
        </w:rPr>
      </w:pPr>
    </w:p>
    <w:p w14:paraId="5905D907" w14:textId="77777777" w:rsidR="004A2D02" w:rsidRDefault="00CB0043">
      <w:pPr>
        <w:spacing w:after="0"/>
        <w:jc w:val="both"/>
        <w:rPr>
          <w:rFonts w:ascii="Marianne" w:hAnsi="Marianne"/>
          <w:sz w:val="20"/>
          <w:szCs w:val="20"/>
        </w:rPr>
      </w:pPr>
      <w:r>
        <w:rPr>
          <w:rFonts w:ascii="Marianne" w:hAnsi="Marianne"/>
          <w:sz w:val="20"/>
          <w:szCs w:val="20"/>
        </w:rPr>
        <w:t>Il est fait état du risque d’effet d’aubaine et de hausse des prix.</w:t>
      </w:r>
    </w:p>
    <w:p w14:paraId="5063B649" w14:textId="77777777" w:rsidR="004A2D02" w:rsidRDefault="004A2D02">
      <w:pPr>
        <w:spacing w:after="0"/>
        <w:jc w:val="both"/>
        <w:rPr>
          <w:rFonts w:ascii="Marianne" w:hAnsi="Marianne"/>
          <w:sz w:val="20"/>
          <w:szCs w:val="20"/>
        </w:rPr>
      </w:pPr>
    </w:p>
    <w:p w14:paraId="1C54F912" w14:textId="77777777" w:rsidR="004A2D02" w:rsidRDefault="00CB0043">
      <w:pPr>
        <w:spacing w:after="0"/>
        <w:jc w:val="both"/>
        <w:rPr>
          <w:rFonts w:ascii="Marianne" w:hAnsi="Marianne"/>
          <w:sz w:val="20"/>
          <w:szCs w:val="20"/>
        </w:rPr>
      </w:pPr>
      <w:r>
        <w:rPr>
          <w:rFonts w:ascii="Marianne" w:hAnsi="Marianne"/>
          <w:sz w:val="20"/>
          <w:szCs w:val="20"/>
        </w:rPr>
        <w:t>Il est remarqué qu’aucune fiche du secteur industriel n’apparaît dans la liste.</w:t>
      </w:r>
    </w:p>
    <w:p w14:paraId="02E3E642" w14:textId="77777777" w:rsidR="004A2D02" w:rsidRDefault="004A2D02">
      <w:pPr>
        <w:spacing w:after="0"/>
        <w:jc w:val="both"/>
        <w:rPr>
          <w:rFonts w:ascii="Marianne" w:hAnsi="Marianne"/>
          <w:sz w:val="20"/>
          <w:szCs w:val="20"/>
        </w:rPr>
      </w:pPr>
    </w:p>
    <w:p w14:paraId="7C0526B9" w14:textId="77777777" w:rsidR="004A2D02" w:rsidRDefault="00CB0043">
      <w:pPr>
        <w:spacing w:after="0"/>
        <w:jc w:val="both"/>
        <w:rPr>
          <w:rFonts w:ascii="Marianne" w:hAnsi="Marianne"/>
          <w:sz w:val="20"/>
          <w:szCs w:val="20"/>
        </w:rPr>
      </w:pPr>
      <w:r>
        <w:rPr>
          <w:rFonts w:ascii="Marianne" w:hAnsi="Marianne"/>
          <w:sz w:val="20"/>
          <w:szCs w:val="20"/>
        </w:rPr>
        <w:t>Il est indiqué que la date du 1</w:t>
      </w:r>
      <w:r>
        <w:rPr>
          <w:rFonts w:ascii="Marianne" w:hAnsi="Marianne"/>
          <w:sz w:val="20"/>
          <w:szCs w:val="20"/>
          <w:vertAlign w:val="superscript"/>
        </w:rPr>
        <w:t>er</w:t>
      </w:r>
      <w:r>
        <w:rPr>
          <w:rFonts w:ascii="Marianne" w:hAnsi="Marianne"/>
          <w:sz w:val="20"/>
          <w:szCs w:val="20"/>
        </w:rPr>
        <w:t xml:space="preserve"> janvier 2021 restreint la dérogation aux équipements les plus anciens, réduisant mécaniquement l’impact potentiel sur la décarbonation d’ici 2030. </w:t>
      </w:r>
    </w:p>
    <w:p w14:paraId="6CAB829D" w14:textId="77777777" w:rsidR="004A2D02" w:rsidRDefault="004A2D02">
      <w:pPr>
        <w:spacing w:after="0"/>
        <w:jc w:val="both"/>
        <w:rPr>
          <w:rFonts w:ascii="Marianne" w:hAnsi="Marianne"/>
          <w:sz w:val="20"/>
          <w:szCs w:val="20"/>
        </w:rPr>
      </w:pPr>
    </w:p>
    <w:p w14:paraId="0ABEB81A" w14:textId="0BEDF190" w:rsidR="004A2D02" w:rsidRDefault="00024AD3">
      <w:pPr>
        <w:pStyle w:val="Paragraphedeliste"/>
        <w:numPr>
          <w:ilvl w:val="1"/>
          <w:numId w:val="1"/>
        </w:numPr>
        <w:jc w:val="both"/>
        <w:rPr>
          <w:rFonts w:ascii="Marianne" w:hAnsi="Marianne"/>
          <w:sz w:val="20"/>
          <w:szCs w:val="20"/>
        </w:rPr>
      </w:pPr>
      <w:r>
        <w:rPr>
          <w:rFonts w:ascii="Marianne" w:hAnsi="Marianne"/>
          <w:sz w:val="20"/>
          <w:szCs w:val="20"/>
        </w:rPr>
        <w:t>M</w:t>
      </w:r>
      <w:r w:rsidRPr="00024AD3">
        <w:rPr>
          <w:rFonts w:ascii="Marianne" w:hAnsi="Marianne"/>
          <w:sz w:val="20"/>
          <w:szCs w:val="20"/>
        </w:rPr>
        <w:t>otifs de la décision</w:t>
      </w:r>
    </w:p>
    <w:p w14:paraId="51A962AF" w14:textId="77777777" w:rsidR="004A2D02" w:rsidRDefault="00CB0043">
      <w:pPr>
        <w:spacing w:after="0"/>
        <w:jc w:val="both"/>
        <w:rPr>
          <w:rFonts w:ascii="Marianne" w:hAnsi="Marianne"/>
          <w:sz w:val="20"/>
          <w:szCs w:val="20"/>
        </w:rPr>
      </w:pPr>
      <w:r>
        <w:rPr>
          <w:rFonts w:ascii="Marianne" w:hAnsi="Marianne"/>
          <w:sz w:val="20"/>
          <w:szCs w:val="20"/>
        </w:rPr>
        <w:t>Le projet d’arrêté ne traite pas du sujet des fiches BAR-TH-164 et BAR-TH-145. Ce sujet pourra être examiné ultérieurement si la nécessité de proposer une dérogation équivalente était démontrée.</w:t>
      </w:r>
    </w:p>
    <w:p w14:paraId="6A3BB7FA" w14:textId="77777777" w:rsidR="004A2D02" w:rsidRDefault="004A2D02">
      <w:pPr>
        <w:spacing w:after="0"/>
        <w:jc w:val="both"/>
        <w:rPr>
          <w:rFonts w:ascii="Marianne" w:hAnsi="Marianne"/>
          <w:sz w:val="20"/>
          <w:szCs w:val="20"/>
        </w:rPr>
      </w:pPr>
    </w:p>
    <w:p w14:paraId="100DDAF3" w14:textId="77777777" w:rsidR="004A2D02" w:rsidRDefault="00CB0043">
      <w:pPr>
        <w:spacing w:after="0"/>
        <w:jc w:val="both"/>
        <w:rPr>
          <w:rFonts w:ascii="Marianne" w:hAnsi="Marianne"/>
          <w:sz w:val="20"/>
          <w:szCs w:val="20"/>
        </w:rPr>
      </w:pPr>
      <w:r>
        <w:rPr>
          <w:rFonts w:ascii="Marianne" w:hAnsi="Marianne"/>
          <w:sz w:val="20"/>
          <w:szCs w:val="20"/>
        </w:rPr>
        <w:t>Le remplacement de chaudières avant l’expiration de leur durée de vie conventionnelle est justifié par les politiques de décarbonation, tout en permettant des économies d’énergie. Le remplacement des chaudières concernera, de fait, préférentiellement les chaudières les plus anciennes, pour lesquelles une proportion relativement conséquente de la durée de vie conventionnelle a pu être atteinte.</w:t>
      </w:r>
    </w:p>
    <w:p w14:paraId="7E9549AE" w14:textId="77777777" w:rsidR="004A2D02" w:rsidRDefault="004A2D02">
      <w:pPr>
        <w:spacing w:after="0"/>
        <w:jc w:val="both"/>
        <w:rPr>
          <w:rFonts w:ascii="Marianne" w:hAnsi="Marianne"/>
          <w:sz w:val="20"/>
          <w:szCs w:val="20"/>
        </w:rPr>
      </w:pPr>
    </w:p>
    <w:p w14:paraId="40389B43" w14:textId="77777777" w:rsidR="004A2D02" w:rsidRDefault="00CB0043">
      <w:pPr>
        <w:spacing w:after="0"/>
        <w:jc w:val="both"/>
        <w:rPr>
          <w:rFonts w:ascii="Marianne" w:hAnsi="Marianne"/>
          <w:sz w:val="20"/>
          <w:szCs w:val="20"/>
        </w:rPr>
      </w:pPr>
      <w:r>
        <w:rPr>
          <w:rFonts w:ascii="Marianne" w:hAnsi="Marianne"/>
          <w:sz w:val="20"/>
          <w:szCs w:val="20"/>
        </w:rPr>
        <w:t>La dérogation ne fragilisera pas le rapportage français au titre de la directive « Efficacité énergétique ». En effet, d’une part seules les économies d’énergie liées aux opérations engagées à compter du 1</w:t>
      </w:r>
      <w:r>
        <w:rPr>
          <w:rFonts w:ascii="Marianne" w:hAnsi="Marianne"/>
          <w:sz w:val="20"/>
          <w:szCs w:val="20"/>
          <w:vertAlign w:val="superscript"/>
        </w:rPr>
        <w:t>er</w:t>
      </w:r>
      <w:r>
        <w:rPr>
          <w:rFonts w:ascii="Marianne" w:hAnsi="Marianne"/>
          <w:sz w:val="20"/>
          <w:szCs w:val="20"/>
        </w:rPr>
        <w:t xml:space="preserve"> janvier 2021 seront comptabilisées ; d’autre part, la situation de référence à prendre pour calculer les économies d’énergie est une situation de référence </w:t>
      </w:r>
      <w:r>
        <w:rPr>
          <w:rFonts w:ascii="Marianne" w:hAnsi="Marianne"/>
          <w:sz w:val="20"/>
          <w:szCs w:val="20"/>
        </w:rPr>
        <w:lastRenderedPageBreak/>
        <w:t>« marché », laquelle compare l’efficacité énergétique de l’équipement à installer avec la moyenne des équipements du marché (et non du parc des équipements). Ces deux éléments permettent de s’assurer de l’absence de doubles-comptes dans les économies d’énergie à rapporter et de leur fiabilité.</w:t>
      </w:r>
    </w:p>
    <w:p w14:paraId="56A92757" w14:textId="77777777" w:rsidR="004A2D02" w:rsidRDefault="004A2D02">
      <w:pPr>
        <w:spacing w:after="0"/>
        <w:jc w:val="both"/>
        <w:rPr>
          <w:rFonts w:ascii="Marianne" w:hAnsi="Marianne"/>
          <w:sz w:val="20"/>
          <w:szCs w:val="20"/>
        </w:rPr>
      </w:pPr>
    </w:p>
    <w:p w14:paraId="325711D1" w14:textId="77777777" w:rsidR="004A2D02" w:rsidRDefault="00CB0043">
      <w:pPr>
        <w:spacing w:after="0"/>
        <w:jc w:val="both"/>
        <w:rPr>
          <w:rFonts w:ascii="Marianne" w:hAnsi="Marianne"/>
          <w:sz w:val="20"/>
          <w:szCs w:val="20"/>
        </w:rPr>
      </w:pPr>
      <w:r>
        <w:rPr>
          <w:rFonts w:ascii="Marianne" w:hAnsi="Marianne"/>
          <w:sz w:val="20"/>
          <w:szCs w:val="20"/>
        </w:rPr>
        <w:t>Prendre comme référence la date d’engagement des opérations (et non la date de mise en service) permet d’assurer l’articulation avec le rapportage européen. Cette référence doit donc être conservée.</w:t>
      </w:r>
    </w:p>
    <w:p w14:paraId="51535744" w14:textId="77777777" w:rsidR="004A2D02" w:rsidRDefault="004A2D02">
      <w:pPr>
        <w:spacing w:after="0"/>
        <w:jc w:val="both"/>
        <w:rPr>
          <w:rFonts w:ascii="Marianne" w:hAnsi="Marianne"/>
          <w:sz w:val="20"/>
          <w:szCs w:val="20"/>
        </w:rPr>
      </w:pPr>
    </w:p>
    <w:p w14:paraId="0547AB77" w14:textId="77777777" w:rsidR="004A2D02" w:rsidRDefault="00CB0043">
      <w:pPr>
        <w:spacing w:after="0"/>
        <w:jc w:val="both"/>
        <w:rPr>
          <w:rFonts w:ascii="Marianne" w:hAnsi="Marianne"/>
          <w:sz w:val="20"/>
          <w:szCs w:val="20"/>
        </w:rPr>
      </w:pPr>
      <w:r>
        <w:rPr>
          <w:rFonts w:ascii="Marianne" w:hAnsi="Marianne"/>
          <w:sz w:val="20"/>
          <w:szCs w:val="20"/>
        </w:rPr>
        <w:t>L’absence de doubles-comptes permet, de plus, de s’extraire de la nécessité de déterminer, opération par opération, si la chaudière a déjà bénéficié de CEE.</w:t>
      </w:r>
    </w:p>
    <w:p w14:paraId="2989ACF4" w14:textId="77777777" w:rsidR="004A2D02" w:rsidRDefault="004A2D02">
      <w:pPr>
        <w:spacing w:after="0"/>
        <w:jc w:val="both"/>
        <w:rPr>
          <w:rFonts w:ascii="Marianne" w:hAnsi="Marianne"/>
          <w:sz w:val="20"/>
          <w:szCs w:val="20"/>
        </w:rPr>
      </w:pPr>
    </w:p>
    <w:p w14:paraId="21BCD360" w14:textId="77777777" w:rsidR="004A2D02" w:rsidRDefault="00CB0043">
      <w:pPr>
        <w:spacing w:after="0"/>
        <w:jc w:val="both"/>
        <w:rPr>
          <w:rFonts w:ascii="Marianne" w:hAnsi="Marianne"/>
          <w:sz w:val="20"/>
          <w:szCs w:val="20"/>
        </w:rPr>
      </w:pPr>
      <w:r>
        <w:rPr>
          <w:rFonts w:ascii="Marianne" w:hAnsi="Marianne"/>
          <w:sz w:val="20"/>
          <w:szCs w:val="20"/>
        </w:rPr>
        <w:t>Les opérations conduisant au remplacement de chaudières avant l’expiration de leur durée de vie conventionnelle pourront, le cas échéant, bénéficier des Coups de pouce.</w:t>
      </w:r>
    </w:p>
    <w:p w14:paraId="6405CF55" w14:textId="77777777" w:rsidR="004A2D02" w:rsidRDefault="004A2D02">
      <w:pPr>
        <w:spacing w:after="0"/>
        <w:jc w:val="both"/>
        <w:rPr>
          <w:rFonts w:ascii="Marianne" w:hAnsi="Marianne"/>
          <w:sz w:val="20"/>
          <w:szCs w:val="20"/>
        </w:rPr>
      </w:pPr>
    </w:p>
    <w:p w14:paraId="4DEFD854" w14:textId="7FCC22AF" w:rsidR="004A2D02" w:rsidRDefault="00CB0043">
      <w:pPr>
        <w:spacing w:after="0"/>
        <w:jc w:val="both"/>
        <w:rPr>
          <w:rFonts w:ascii="Marianne" w:hAnsi="Marianne"/>
          <w:sz w:val="20"/>
          <w:szCs w:val="20"/>
        </w:rPr>
      </w:pPr>
      <w:r>
        <w:rPr>
          <w:rFonts w:ascii="Marianne" w:hAnsi="Marianne"/>
          <w:sz w:val="20"/>
          <w:szCs w:val="20"/>
        </w:rPr>
        <w:t>Il n’est pas nécessaire de préciser que la nouvelle installation doit supprimer l’usage d’un combustible fossile. En effet, les conditions liées au remplacement des équipements existants ne sont pas</w:t>
      </w:r>
      <w:r w:rsidR="000F1AB6">
        <w:rPr>
          <w:rFonts w:ascii="Marianne" w:hAnsi="Marianne"/>
          <w:sz w:val="20"/>
          <w:szCs w:val="20"/>
        </w:rPr>
        <w:t>, dans le cas général,</w:t>
      </w:r>
      <w:r>
        <w:rPr>
          <w:rFonts w:ascii="Marianne" w:hAnsi="Marianne"/>
          <w:sz w:val="20"/>
          <w:szCs w:val="20"/>
        </w:rPr>
        <w:t xml:space="preserve"> prévues dans les fiches d’opérations standardisées. Elles peuvent exister dans le cadre des bonifications des Coups de pouce. Dans ce cas, ces conditions s’appliqueront au remplacement des chaudières concernées.</w:t>
      </w:r>
    </w:p>
    <w:p w14:paraId="054AF04D" w14:textId="77777777" w:rsidR="004A2D02" w:rsidRDefault="004A2D02">
      <w:pPr>
        <w:spacing w:after="0"/>
        <w:jc w:val="both"/>
        <w:rPr>
          <w:rFonts w:ascii="Marianne" w:hAnsi="Marianne"/>
          <w:sz w:val="20"/>
          <w:szCs w:val="20"/>
        </w:rPr>
      </w:pPr>
    </w:p>
    <w:p w14:paraId="26F16F06" w14:textId="77777777" w:rsidR="004A2D02" w:rsidRDefault="00CB0043">
      <w:pPr>
        <w:spacing w:after="0"/>
        <w:jc w:val="both"/>
        <w:rPr>
          <w:rFonts w:ascii="Marianne" w:hAnsi="Marianne"/>
          <w:sz w:val="20"/>
          <w:szCs w:val="20"/>
        </w:rPr>
      </w:pPr>
      <w:r>
        <w:rPr>
          <w:rFonts w:ascii="Marianne" w:hAnsi="Marianne"/>
          <w:sz w:val="20"/>
          <w:szCs w:val="20"/>
        </w:rPr>
        <w:t>S’agissant d’une dérogation au principe du non-remplacement d’équipements avant l’expiration de leur durée de vie conventionnelle, il n’est pas nécessaire que le projet fixe un taux minimal de substitution de l’énergie fossile ou précise la part de chaleur devant être réellement fournie par le nouvel équipement.</w:t>
      </w:r>
    </w:p>
    <w:p w14:paraId="173D03BC" w14:textId="77777777" w:rsidR="004A2D02" w:rsidRDefault="004A2D02">
      <w:pPr>
        <w:spacing w:after="0"/>
        <w:jc w:val="both"/>
        <w:rPr>
          <w:rFonts w:ascii="Marianne" w:hAnsi="Marianne"/>
          <w:sz w:val="20"/>
          <w:szCs w:val="20"/>
        </w:rPr>
      </w:pPr>
    </w:p>
    <w:p w14:paraId="1AC512E0" w14:textId="77777777" w:rsidR="004A2D02" w:rsidRDefault="00CB0043">
      <w:pPr>
        <w:spacing w:after="0"/>
        <w:jc w:val="both"/>
        <w:rPr>
          <w:rFonts w:ascii="Marianne" w:hAnsi="Marianne"/>
          <w:sz w:val="20"/>
          <w:szCs w:val="20"/>
        </w:rPr>
      </w:pPr>
      <w:r>
        <w:rPr>
          <w:rFonts w:ascii="Marianne" w:hAnsi="Marianne"/>
          <w:sz w:val="20"/>
          <w:szCs w:val="20"/>
        </w:rPr>
        <w:t>L’une des fiches concernées par la dérogation est la fiche BAT-TH-49 « Unité de chauffage au gaz en toiture à haute efficacité énergétique », qui concerne la mise en place d’une unité de chauffage en toiture (Roof Top) à haute efficacité énergétique alimentée par un brûleur gaz. Ces « Roof Top » n’étant pas désignés par l’appellation « chaudière », le texte de l’arrêté mentionnera non plus les chaudières mais les équipements fonctionnant avec un combustible.</w:t>
      </w:r>
    </w:p>
    <w:p w14:paraId="1571CB1B" w14:textId="77777777" w:rsidR="004A2D02" w:rsidRDefault="004A2D02">
      <w:pPr>
        <w:spacing w:after="0"/>
        <w:jc w:val="both"/>
        <w:rPr>
          <w:rFonts w:ascii="Marianne" w:hAnsi="Marianne"/>
          <w:sz w:val="20"/>
          <w:szCs w:val="20"/>
        </w:rPr>
      </w:pPr>
    </w:p>
    <w:p w14:paraId="49899955" w14:textId="77777777" w:rsidR="004A2D02" w:rsidRDefault="00CB0043">
      <w:pPr>
        <w:spacing w:after="0"/>
        <w:jc w:val="both"/>
        <w:rPr>
          <w:rFonts w:ascii="Marianne" w:hAnsi="Marianne"/>
          <w:sz w:val="20"/>
          <w:szCs w:val="20"/>
        </w:rPr>
      </w:pPr>
      <w:r>
        <w:rPr>
          <w:rFonts w:ascii="Marianne" w:hAnsi="Marianne"/>
          <w:sz w:val="20"/>
          <w:szCs w:val="20"/>
        </w:rPr>
        <w:t>Enfin, les risques d’effet d’aubaine et de hausse des prix ne sont pas avérés.</w:t>
      </w:r>
    </w:p>
    <w:sectPr w:rsidR="004A2D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AE9A2" w14:textId="77777777" w:rsidR="004A2D02" w:rsidRDefault="00CB0043">
      <w:pPr>
        <w:spacing w:after="0" w:line="240" w:lineRule="auto"/>
      </w:pPr>
      <w:r>
        <w:separator/>
      </w:r>
    </w:p>
  </w:endnote>
  <w:endnote w:type="continuationSeparator" w:id="0">
    <w:p w14:paraId="2F12ADF2" w14:textId="77777777" w:rsidR="004A2D02" w:rsidRDefault="00CB0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DD439" w14:textId="77777777" w:rsidR="004A2D02" w:rsidRDefault="00CB0043">
      <w:pPr>
        <w:spacing w:after="0" w:line="240" w:lineRule="auto"/>
      </w:pPr>
      <w:r>
        <w:separator/>
      </w:r>
    </w:p>
  </w:footnote>
  <w:footnote w:type="continuationSeparator" w:id="0">
    <w:p w14:paraId="6135D3CF" w14:textId="77777777" w:rsidR="004A2D02" w:rsidRDefault="00CB00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3E00"/>
    <w:multiLevelType w:val="hybridMultilevel"/>
    <w:tmpl w:val="A70CFE6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86316D"/>
    <w:multiLevelType w:val="multilevel"/>
    <w:tmpl w:val="E4ECB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D17E64"/>
    <w:multiLevelType w:val="hybridMultilevel"/>
    <w:tmpl w:val="0A606E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4C0EC7"/>
    <w:multiLevelType w:val="hybridMultilevel"/>
    <w:tmpl w:val="8D66EB8E"/>
    <w:lvl w:ilvl="0" w:tplc="C6A2BA0A">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32F55DC"/>
    <w:multiLevelType w:val="hybridMultilevel"/>
    <w:tmpl w:val="A4AE507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36042DA"/>
    <w:multiLevelType w:val="hybridMultilevel"/>
    <w:tmpl w:val="75E42090"/>
    <w:lvl w:ilvl="0" w:tplc="910A9174">
      <w:start w:val="1"/>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50D21D3"/>
    <w:multiLevelType w:val="hybridMultilevel"/>
    <w:tmpl w:val="D8C2484A"/>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671844ED"/>
    <w:multiLevelType w:val="hybridMultilevel"/>
    <w:tmpl w:val="659ED2C8"/>
    <w:lvl w:ilvl="0" w:tplc="220CA924">
      <w:numFmt w:val="bullet"/>
      <w:lvlText w:val="-"/>
      <w:lvlJc w:val="left"/>
      <w:pPr>
        <w:ind w:left="1065" w:hanging="705"/>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3AC6FC6"/>
    <w:multiLevelType w:val="hybridMultilevel"/>
    <w:tmpl w:val="CA0E1552"/>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F5D5BD5"/>
    <w:multiLevelType w:val="hybridMultilevel"/>
    <w:tmpl w:val="91026B90"/>
    <w:lvl w:ilvl="0" w:tplc="B8C6F8E0">
      <w:numFmt w:val="bullet"/>
      <w:lvlText w:val="-"/>
      <w:lvlJc w:val="left"/>
      <w:pPr>
        <w:ind w:left="720" w:hanging="360"/>
      </w:pPr>
      <w:rPr>
        <w:rFonts w:ascii="Marianne" w:eastAsiaTheme="minorHAnsi" w:hAnsi="Marianne" w:cstheme="minorBidi" w:hint="default"/>
      </w:rPr>
    </w:lvl>
    <w:lvl w:ilvl="1" w:tplc="040C0003">
      <w:start w:val="1"/>
      <w:numFmt w:val="bullet"/>
      <w:lvlText w:val="o"/>
      <w:lvlJc w:val="left"/>
      <w:pPr>
        <w:ind w:left="1440" w:hanging="360"/>
      </w:pPr>
      <w:rPr>
        <w:rFonts w:ascii="Courier New" w:hAnsi="Courier New" w:cs="Courier New" w:hint="default"/>
      </w:rPr>
    </w:lvl>
    <w:lvl w:ilvl="2" w:tplc="536A8DDC">
      <w:numFmt w:val="bullet"/>
      <w:lvlText w:val="–"/>
      <w:lvlJc w:val="left"/>
      <w:pPr>
        <w:ind w:left="2160" w:hanging="360"/>
      </w:pPr>
      <w:rPr>
        <w:rFonts w:ascii="Times New Roman" w:eastAsia="Times New Roman" w:hAnsi="Times New Roman" w:cs="Times New Roman" w:hint="default"/>
        <w:b/>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
  </w:num>
  <w:num w:numId="4">
    <w:abstractNumId w:val="3"/>
  </w:num>
  <w:num w:numId="5">
    <w:abstractNumId w:val="2"/>
  </w:num>
  <w:num w:numId="6">
    <w:abstractNumId w:val="7"/>
  </w:num>
  <w:num w:numId="7">
    <w:abstractNumId w:val="4"/>
  </w:num>
  <w:num w:numId="8">
    <w:abstractNumId w:val="9"/>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D02"/>
    <w:rsid w:val="00024AD3"/>
    <w:rsid w:val="00064316"/>
    <w:rsid w:val="000F1AB6"/>
    <w:rsid w:val="004A2D02"/>
    <w:rsid w:val="006B75D7"/>
    <w:rsid w:val="00735050"/>
    <w:rsid w:val="00CB00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B752F"/>
  <w15:chartTrackingRefBased/>
  <w15:docId w15:val="{F69999D6-91D6-4111-8250-C44056ED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character" w:customStyle="1" w:styleId="Mentionnonrsolue1">
    <w:name w:val="Mention non résolue1"/>
    <w:basedOn w:val="Policepardfaut"/>
    <w:uiPriority w:val="99"/>
    <w:semiHidden/>
    <w:unhideWhenUsed/>
    <w:rPr>
      <w:color w:val="605E5C"/>
      <w:shd w:val="clear" w:color="auto" w:fill="E1DFDD"/>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Pr>
      <w:rFonts w:ascii="Times New Roman" w:eastAsia="Times New Roman" w:hAnsi="Times New Roman" w:cs="Times New Roman"/>
      <w:b/>
      <w:bCs/>
      <w:sz w:val="36"/>
      <w:szCs w:val="36"/>
      <w:lang w:eastAsia="fr-FR"/>
    </w:rPr>
  </w:style>
  <w:style w:type="character" w:styleId="Lienhypertextesuivivisit">
    <w:name w:val="FollowedHyperlink"/>
    <w:basedOn w:val="Policepardfaut"/>
    <w:uiPriority w:val="99"/>
    <w:semiHidden/>
    <w:unhideWhenUsed/>
    <w:rPr>
      <w:color w:val="954F72" w:themeColor="followedHyperlink"/>
      <w:u w:val="single"/>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paragraph" w:styleId="Corpsdetexte">
    <w:name w:val="Body Text"/>
    <w:basedOn w:val="Normal"/>
    <w:link w:val="CorpsdetexteCar"/>
    <w:uiPriority w:val="99"/>
    <w:semiHidden/>
    <w:unhideWhenUsed/>
    <w:pPr>
      <w:spacing w:after="120"/>
    </w:pPr>
  </w:style>
  <w:style w:type="character" w:customStyle="1" w:styleId="CorpsdetexteCar">
    <w:name w:val="Corps de texte Car"/>
    <w:basedOn w:val="Policepardfaut"/>
    <w:link w:val="Corpsdetexte"/>
    <w:uiPriority w:val="99"/>
    <w:semiHidden/>
  </w:style>
  <w:style w:type="character" w:customStyle="1" w:styleId="Mentionnonrsolue2">
    <w:name w:val="Mention non résolue2"/>
    <w:basedOn w:val="Policepardfaut"/>
    <w:uiPriority w:val="99"/>
    <w:semiHidden/>
    <w:unhideWhenUsed/>
    <w:rPr>
      <w:color w:val="605E5C"/>
      <w:shd w:val="clear" w:color="auto" w:fill="E1DFDD"/>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pip-puce">
    <w:name w:val="spip-puce"/>
    <w:basedOn w:val="Policepardfaut"/>
  </w:style>
  <w:style w:type="paragraph" w:styleId="Rvision">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370148">
      <w:bodyDiv w:val="1"/>
      <w:marLeft w:val="0"/>
      <w:marRight w:val="0"/>
      <w:marTop w:val="0"/>
      <w:marBottom w:val="0"/>
      <w:divBdr>
        <w:top w:val="none" w:sz="0" w:space="0" w:color="auto"/>
        <w:left w:val="none" w:sz="0" w:space="0" w:color="auto"/>
        <w:bottom w:val="none" w:sz="0" w:space="0" w:color="auto"/>
        <w:right w:val="none" w:sz="0" w:space="0" w:color="auto"/>
      </w:divBdr>
    </w:div>
    <w:div w:id="310331226">
      <w:bodyDiv w:val="1"/>
      <w:marLeft w:val="0"/>
      <w:marRight w:val="0"/>
      <w:marTop w:val="0"/>
      <w:marBottom w:val="0"/>
      <w:divBdr>
        <w:top w:val="none" w:sz="0" w:space="0" w:color="auto"/>
        <w:left w:val="none" w:sz="0" w:space="0" w:color="auto"/>
        <w:bottom w:val="none" w:sz="0" w:space="0" w:color="auto"/>
        <w:right w:val="none" w:sz="0" w:space="0" w:color="auto"/>
      </w:divBdr>
    </w:div>
    <w:div w:id="396976875">
      <w:bodyDiv w:val="1"/>
      <w:marLeft w:val="0"/>
      <w:marRight w:val="0"/>
      <w:marTop w:val="0"/>
      <w:marBottom w:val="0"/>
      <w:divBdr>
        <w:top w:val="none" w:sz="0" w:space="0" w:color="auto"/>
        <w:left w:val="none" w:sz="0" w:space="0" w:color="auto"/>
        <w:bottom w:val="none" w:sz="0" w:space="0" w:color="auto"/>
        <w:right w:val="none" w:sz="0" w:space="0" w:color="auto"/>
      </w:divBdr>
    </w:div>
    <w:div w:id="460880200">
      <w:bodyDiv w:val="1"/>
      <w:marLeft w:val="0"/>
      <w:marRight w:val="0"/>
      <w:marTop w:val="0"/>
      <w:marBottom w:val="0"/>
      <w:divBdr>
        <w:top w:val="none" w:sz="0" w:space="0" w:color="auto"/>
        <w:left w:val="none" w:sz="0" w:space="0" w:color="auto"/>
        <w:bottom w:val="none" w:sz="0" w:space="0" w:color="auto"/>
        <w:right w:val="none" w:sz="0" w:space="0" w:color="auto"/>
      </w:divBdr>
    </w:div>
    <w:div w:id="534926540">
      <w:bodyDiv w:val="1"/>
      <w:marLeft w:val="0"/>
      <w:marRight w:val="0"/>
      <w:marTop w:val="0"/>
      <w:marBottom w:val="0"/>
      <w:divBdr>
        <w:top w:val="none" w:sz="0" w:space="0" w:color="auto"/>
        <w:left w:val="none" w:sz="0" w:space="0" w:color="auto"/>
        <w:bottom w:val="none" w:sz="0" w:space="0" w:color="auto"/>
        <w:right w:val="none" w:sz="0" w:space="0" w:color="auto"/>
      </w:divBdr>
    </w:div>
    <w:div w:id="627247502">
      <w:bodyDiv w:val="1"/>
      <w:marLeft w:val="0"/>
      <w:marRight w:val="0"/>
      <w:marTop w:val="0"/>
      <w:marBottom w:val="0"/>
      <w:divBdr>
        <w:top w:val="none" w:sz="0" w:space="0" w:color="auto"/>
        <w:left w:val="none" w:sz="0" w:space="0" w:color="auto"/>
        <w:bottom w:val="none" w:sz="0" w:space="0" w:color="auto"/>
        <w:right w:val="none" w:sz="0" w:space="0" w:color="auto"/>
      </w:divBdr>
    </w:div>
    <w:div w:id="752776035">
      <w:bodyDiv w:val="1"/>
      <w:marLeft w:val="0"/>
      <w:marRight w:val="0"/>
      <w:marTop w:val="0"/>
      <w:marBottom w:val="0"/>
      <w:divBdr>
        <w:top w:val="none" w:sz="0" w:space="0" w:color="auto"/>
        <w:left w:val="none" w:sz="0" w:space="0" w:color="auto"/>
        <w:bottom w:val="none" w:sz="0" w:space="0" w:color="auto"/>
        <w:right w:val="none" w:sz="0" w:space="0" w:color="auto"/>
      </w:divBdr>
    </w:div>
    <w:div w:id="967785157">
      <w:bodyDiv w:val="1"/>
      <w:marLeft w:val="0"/>
      <w:marRight w:val="0"/>
      <w:marTop w:val="0"/>
      <w:marBottom w:val="0"/>
      <w:divBdr>
        <w:top w:val="none" w:sz="0" w:space="0" w:color="auto"/>
        <w:left w:val="none" w:sz="0" w:space="0" w:color="auto"/>
        <w:bottom w:val="none" w:sz="0" w:space="0" w:color="auto"/>
        <w:right w:val="none" w:sz="0" w:space="0" w:color="auto"/>
      </w:divBdr>
    </w:div>
    <w:div w:id="991568424">
      <w:bodyDiv w:val="1"/>
      <w:marLeft w:val="0"/>
      <w:marRight w:val="0"/>
      <w:marTop w:val="0"/>
      <w:marBottom w:val="0"/>
      <w:divBdr>
        <w:top w:val="none" w:sz="0" w:space="0" w:color="auto"/>
        <w:left w:val="none" w:sz="0" w:space="0" w:color="auto"/>
        <w:bottom w:val="none" w:sz="0" w:space="0" w:color="auto"/>
        <w:right w:val="none" w:sz="0" w:space="0" w:color="auto"/>
      </w:divBdr>
    </w:div>
    <w:div w:id="1037586221">
      <w:bodyDiv w:val="1"/>
      <w:marLeft w:val="0"/>
      <w:marRight w:val="0"/>
      <w:marTop w:val="0"/>
      <w:marBottom w:val="0"/>
      <w:divBdr>
        <w:top w:val="none" w:sz="0" w:space="0" w:color="auto"/>
        <w:left w:val="none" w:sz="0" w:space="0" w:color="auto"/>
        <w:bottom w:val="none" w:sz="0" w:space="0" w:color="auto"/>
        <w:right w:val="none" w:sz="0" w:space="0" w:color="auto"/>
      </w:divBdr>
      <w:divsChild>
        <w:div w:id="563760672">
          <w:marLeft w:val="0"/>
          <w:marRight w:val="0"/>
          <w:marTop w:val="0"/>
          <w:marBottom w:val="0"/>
          <w:divBdr>
            <w:top w:val="none" w:sz="0" w:space="0" w:color="auto"/>
            <w:left w:val="none" w:sz="0" w:space="0" w:color="auto"/>
            <w:bottom w:val="none" w:sz="0" w:space="0" w:color="auto"/>
            <w:right w:val="none" w:sz="0" w:space="0" w:color="auto"/>
          </w:divBdr>
          <w:divsChild>
            <w:div w:id="457182940">
              <w:marLeft w:val="0"/>
              <w:marRight w:val="0"/>
              <w:marTop w:val="0"/>
              <w:marBottom w:val="0"/>
              <w:divBdr>
                <w:top w:val="none" w:sz="0" w:space="0" w:color="auto"/>
                <w:left w:val="none" w:sz="0" w:space="0" w:color="auto"/>
                <w:bottom w:val="none" w:sz="0" w:space="0" w:color="auto"/>
                <w:right w:val="none" w:sz="0" w:space="0" w:color="auto"/>
              </w:divBdr>
              <w:divsChild>
                <w:div w:id="123805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98649">
      <w:bodyDiv w:val="1"/>
      <w:marLeft w:val="0"/>
      <w:marRight w:val="0"/>
      <w:marTop w:val="0"/>
      <w:marBottom w:val="0"/>
      <w:divBdr>
        <w:top w:val="none" w:sz="0" w:space="0" w:color="auto"/>
        <w:left w:val="none" w:sz="0" w:space="0" w:color="auto"/>
        <w:bottom w:val="none" w:sz="0" w:space="0" w:color="auto"/>
        <w:right w:val="none" w:sz="0" w:space="0" w:color="auto"/>
      </w:divBdr>
    </w:div>
    <w:div w:id="1309091724">
      <w:bodyDiv w:val="1"/>
      <w:marLeft w:val="0"/>
      <w:marRight w:val="0"/>
      <w:marTop w:val="0"/>
      <w:marBottom w:val="0"/>
      <w:divBdr>
        <w:top w:val="none" w:sz="0" w:space="0" w:color="auto"/>
        <w:left w:val="none" w:sz="0" w:space="0" w:color="auto"/>
        <w:bottom w:val="none" w:sz="0" w:space="0" w:color="auto"/>
        <w:right w:val="none" w:sz="0" w:space="0" w:color="auto"/>
      </w:divBdr>
    </w:div>
    <w:div w:id="1353722578">
      <w:bodyDiv w:val="1"/>
      <w:marLeft w:val="0"/>
      <w:marRight w:val="0"/>
      <w:marTop w:val="0"/>
      <w:marBottom w:val="0"/>
      <w:divBdr>
        <w:top w:val="none" w:sz="0" w:space="0" w:color="auto"/>
        <w:left w:val="none" w:sz="0" w:space="0" w:color="auto"/>
        <w:bottom w:val="none" w:sz="0" w:space="0" w:color="auto"/>
        <w:right w:val="none" w:sz="0" w:space="0" w:color="auto"/>
      </w:divBdr>
    </w:div>
    <w:div w:id="1814521035">
      <w:bodyDiv w:val="1"/>
      <w:marLeft w:val="0"/>
      <w:marRight w:val="0"/>
      <w:marTop w:val="0"/>
      <w:marBottom w:val="0"/>
      <w:divBdr>
        <w:top w:val="none" w:sz="0" w:space="0" w:color="auto"/>
        <w:left w:val="none" w:sz="0" w:space="0" w:color="auto"/>
        <w:bottom w:val="none" w:sz="0" w:space="0" w:color="auto"/>
        <w:right w:val="none" w:sz="0" w:space="0" w:color="auto"/>
      </w:divBdr>
    </w:div>
    <w:div w:id="1983195733">
      <w:bodyDiv w:val="1"/>
      <w:marLeft w:val="0"/>
      <w:marRight w:val="0"/>
      <w:marTop w:val="0"/>
      <w:marBottom w:val="0"/>
      <w:divBdr>
        <w:top w:val="none" w:sz="0" w:space="0" w:color="auto"/>
        <w:left w:val="none" w:sz="0" w:space="0" w:color="auto"/>
        <w:bottom w:val="none" w:sz="0" w:space="0" w:color="auto"/>
        <w:right w:val="none" w:sz="0" w:space="0" w:color="auto"/>
      </w:divBdr>
      <w:divsChild>
        <w:div w:id="438378104">
          <w:marLeft w:val="0"/>
          <w:marRight w:val="0"/>
          <w:marTop w:val="0"/>
          <w:marBottom w:val="0"/>
          <w:divBdr>
            <w:top w:val="none" w:sz="0" w:space="0" w:color="auto"/>
            <w:left w:val="none" w:sz="0" w:space="0" w:color="auto"/>
            <w:bottom w:val="none" w:sz="0" w:space="0" w:color="auto"/>
            <w:right w:val="none" w:sz="0" w:space="0" w:color="auto"/>
          </w:divBdr>
          <w:divsChild>
            <w:div w:id="1937980544">
              <w:marLeft w:val="0"/>
              <w:marRight w:val="0"/>
              <w:marTop w:val="0"/>
              <w:marBottom w:val="0"/>
              <w:divBdr>
                <w:top w:val="none" w:sz="0" w:space="0" w:color="auto"/>
                <w:left w:val="none" w:sz="0" w:space="0" w:color="auto"/>
                <w:bottom w:val="none" w:sz="0" w:space="0" w:color="auto"/>
                <w:right w:val="none" w:sz="0" w:space="0" w:color="auto"/>
              </w:divBdr>
              <w:divsChild>
                <w:div w:id="158611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585770">
      <w:bodyDiv w:val="1"/>
      <w:marLeft w:val="0"/>
      <w:marRight w:val="0"/>
      <w:marTop w:val="0"/>
      <w:marBottom w:val="0"/>
      <w:divBdr>
        <w:top w:val="none" w:sz="0" w:space="0" w:color="auto"/>
        <w:left w:val="none" w:sz="0" w:space="0" w:color="auto"/>
        <w:bottom w:val="none" w:sz="0" w:space="0" w:color="auto"/>
        <w:right w:val="none" w:sz="0" w:space="0" w:color="auto"/>
      </w:divBdr>
    </w:div>
    <w:div w:id="2064401006">
      <w:bodyDiv w:val="1"/>
      <w:marLeft w:val="0"/>
      <w:marRight w:val="0"/>
      <w:marTop w:val="0"/>
      <w:marBottom w:val="0"/>
      <w:divBdr>
        <w:top w:val="none" w:sz="0" w:space="0" w:color="auto"/>
        <w:left w:val="none" w:sz="0" w:space="0" w:color="auto"/>
        <w:bottom w:val="none" w:sz="0" w:space="0" w:color="auto"/>
        <w:right w:val="none" w:sz="0" w:space="0" w:color="auto"/>
      </w:divBdr>
      <w:divsChild>
        <w:div w:id="369300995">
          <w:marLeft w:val="0"/>
          <w:marRight w:val="0"/>
          <w:marTop w:val="0"/>
          <w:marBottom w:val="0"/>
          <w:divBdr>
            <w:top w:val="none" w:sz="0" w:space="0" w:color="auto"/>
            <w:left w:val="none" w:sz="0" w:space="0" w:color="auto"/>
            <w:bottom w:val="none" w:sz="0" w:space="0" w:color="auto"/>
            <w:right w:val="none" w:sz="0" w:space="0" w:color="auto"/>
          </w:divBdr>
          <w:divsChild>
            <w:div w:id="84941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tions-publiques.developpement-durable.gouv.fr/projet-d-arrete-modifiant-les-fiches-d-operations-a3397.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A2442-1354-4BC3-A93D-B2780EAF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5</Pages>
  <Words>2145</Words>
  <Characters>11801</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TAUFOUR Clarisse</dc:creator>
  <cp:keywords/>
  <dc:description/>
  <cp:lastModifiedBy>GOISLOT Damien</cp:lastModifiedBy>
  <cp:revision>72</cp:revision>
  <cp:lastPrinted>2026-07-16T09:57:00Z</cp:lastPrinted>
  <dcterms:created xsi:type="dcterms:W3CDTF">2026-08-26T16:25:00Z</dcterms:created>
  <dcterms:modified xsi:type="dcterms:W3CDTF">2026-09-04T09:16:00Z</dcterms:modified>
</cp:coreProperties>
</file>