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53" w:rsidRDefault="00E54C53" w:rsidP="00E54C53">
      <w:pPr>
        <w:jc w:val="center"/>
        <w:rPr>
          <w:b/>
          <w:sz w:val="24"/>
          <w:szCs w:val="24"/>
          <w:u w:val="single"/>
        </w:rPr>
      </w:pPr>
      <w:r w:rsidRPr="00814D25">
        <w:rPr>
          <w:b/>
          <w:noProof/>
          <w:sz w:val="24"/>
          <w:szCs w:val="24"/>
          <w:u w:val="single"/>
          <w:lang w:eastAsia="fr-FR"/>
        </w:rPr>
        <w:drawing>
          <wp:inline distT="0" distB="0" distL="0" distR="0" wp14:anchorId="021A6A48" wp14:editId="4A6C0DDE">
            <wp:extent cx="1276350" cy="74661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25055" cy="775102"/>
                    </a:xfrm>
                    <a:prstGeom prst="rect">
                      <a:avLst/>
                    </a:prstGeom>
                  </pic:spPr>
                </pic:pic>
              </a:graphicData>
            </a:graphic>
          </wp:inline>
        </w:drawing>
      </w:r>
    </w:p>
    <w:p w:rsidR="00E54C53" w:rsidRDefault="00E54C53" w:rsidP="00E54C53">
      <w:pPr>
        <w:jc w:val="center"/>
        <w:rPr>
          <w:b/>
          <w:sz w:val="24"/>
          <w:szCs w:val="24"/>
          <w:u w:val="single"/>
        </w:rPr>
      </w:pPr>
    </w:p>
    <w:p w:rsidR="00E54C53" w:rsidRDefault="00E54C53" w:rsidP="00E54C53">
      <w:pPr>
        <w:jc w:val="center"/>
        <w:rPr>
          <w:b/>
          <w:sz w:val="24"/>
          <w:szCs w:val="24"/>
          <w:u w:val="single"/>
        </w:rPr>
      </w:pPr>
      <w:r w:rsidRPr="00F177D2">
        <w:rPr>
          <w:b/>
          <w:sz w:val="24"/>
          <w:szCs w:val="24"/>
          <w:u w:val="single"/>
        </w:rPr>
        <w:t xml:space="preserve">Synthèse des contributions – </w:t>
      </w:r>
      <w:r>
        <w:rPr>
          <w:b/>
          <w:sz w:val="24"/>
          <w:szCs w:val="24"/>
          <w:u w:val="single"/>
        </w:rPr>
        <w:t>C</w:t>
      </w:r>
      <w:r w:rsidRPr="00F177D2">
        <w:rPr>
          <w:b/>
          <w:sz w:val="24"/>
          <w:szCs w:val="24"/>
          <w:u w:val="single"/>
        </w:rPr>
        <w:t xml:space="preserve">onsultation du public sur le projet </w:t>
      </w:r>
      <w:r w:rsidR="00CE6C33">
        <w:rPr>
          <w:b/>
          <w:sz w:val="24"/>
          <w:szCs w:val="24"/>
          <w:u w:val="single"/>
        </w:rPr>
        <w:t xml:space="preserve">d’arrêté </w:t>
      </w:r>
      <w:r w:rsidR="0040372B">
        <w:rPr>
          <w:b/>
          <w:sz w:val="24"/>
          <w:szCs w:val="24"/>
          <w:u w:val="single"/>
        </w:rPr>
        <w:t xml:space="preserve">modifiant le </w:t>
      </w:r>
      <w:r w:rsidRPr="00A0432A">
        <w:rPr>
          <w:b/>
          <w:sz w:val="24"/>
          <w:szCs w:val="24"/>
          <w:u w:val="single"/>
        </w:rPr>
        <w:t>cahier des charges des éco-organismes</w:t>
      </w:r>
      <w:r>
        <w:rPr>
          <w:b/>
          <w:sz w:val="24"/>
          <w:szCs w:val="24"/>
          <w:u w:val="single"/>
        </w:rPr>
        <w:t xml:space="preserve"> </w:t>
      </w:r>
      <w:r w:rsidRPr="00A0432A">
        <w:rPr>
          <w:b/>
          <w:sz w:val="24"/>
          <w:szCs w:val="24"/>
          <w:u w:val="single"/>
        </w:rPr>
        <w:t xml:space="preserve">de la filière à responsabilité élargie du producteur </w:t>
      </w:r>
      <w:r w:rsidR="00C70884">
        <w:rPr>
          <w:b/>
          <w:sz w:val="24"/>
          <w:szCs w:val="24"/>
          <w:u w:val="single"/>
        </w:rPr>
        <w:t>des produits et matériaux de construction du secteur du bâtiment</w:t>
      </w:r>
    </w:p>
    <w:p w:rsidR="00E54C53" w:rsidRDefault="00E54C53" w:rsidP="00346934"/>
    <w:p w:rsidR="00406B0E" w:rsidRPr="00C70431" w:rsidRDefault="00406B0E" w:rsidP="0022261C">
      <w:pPr>
        <w:jc w:val="both"/>
        <w:rPr>
          <w:rFonts w:ascii="Times New Roman" w:eastAsia="Times New Roman" w:hAnsi="Times New Roman" w:cs="Times New Roman"/>
          <w:sz w:val="24"/>
          <w:szCs w:val="24"/>
          <w:lang w:eastAsia="zh-CN"/>
        </w:rPr>
      </w:pPr>
      <w:r w:rsidRPr="006B2E37">
        <w:rPr>
          <w:rFonts w:cstheme="minorHAnsi"/>
        </w:rPr>
        <w:t>Conformément à l’article L. 123-19-1 du code de l’environnement, le projet</w:t>
      </w:r>
      <w:r w:rsidR="00CE6C33">
        <w:rPr>
          <w:rFonts w:cstheme="minorHAnsi"/>
        </w:rPr>
        <w:t xml:space="preserve"> d’arrêté</w:t>
      </w:r>
      <w:r w:rsidRPr="006B2E37">
        <w:rPr>
          <w:rFonts w:cstheme="minorHAnsi"/>
        </w:rPr>
        <w:t xml:space="preserve"> </w:t>
      </w:r>
      <w:r w:rsidR="00C70884" w:rsidRPr="00FE27E7">
        <w:rPr>
          <w:rFonts w:eastAsia="Times New Roman" w:cstheme="minorHAnsi"/>
          <w:lang w:eastAsia="zh-CN"/>
        </w:rPr>
        <w:t>modifiant le cahier des charges des éco-organismes de la filière à responsabilité élargie du producteur des produits et matériaux de construction du secteur du bâtiment</w:t>
      </w:r>
      <w:r w:rsidR="00C70431">
        <w:rPr>
          <w:rFonts w:eastAsia="Times New Roman" w:cstheme="minorHAnsi"/>
          <w:lang w:eastAsia="zh-CN"/>
        </w:rPr>
        <w:t xml:space="preserve"> </w:t>
      </w:r>
      <w:r w:rsidRPr="006B2E37">
        <w:rPr>
          <w:rFonts w:cstheme="minorHAnsi"/>
        </w:rPr>
        <w:t>a été soumis à la consultation du public</w:t>
      </w:r>
      <w:r>
        <w:rPr>
          <w:rFonts w:cstheme="minorHAnsi"/>
        </w:rPr>
        <w:t xml:space="preserve"> qui s’est déroulée du </w:t>
      </w:r>
      <w:r w:rsidR="00C70431">
        <w:t>1</w:t>
      </w:r>
      <w:r w:rsidR="00C70431" w:rsidRPr="00F7264C">
        <w:rPr>
          <w:vertAlign w:val="superscript"/>
        </w:rPr>
        <w:t>er</w:t>
      </w:r>
      <w:r w:rsidR="00C70431">
        <w:t xml:space="preserve"> février</w:t>
      </w:r>
      <w:r w:rsidR="00C70431" w:rsidRPr="0009212D">
        <w:t xml:space="preserve"> 202</w:t>
      </w:r>
      <w:r w:rsidR="00C70431">
        <w:t xml:space="preserve">3 au 22 février </w:t>
      </w:r>
      <w:r w:rsidR="00C70431" w:rsidRPr="0009212D">
        <w:t>202</w:t>
      </w:r>
      <w:r w:rsidR="00C70431">
        <w:t>3</w:t>
      </w:r>
      <w:r w:rsidR="00C70431" w:rsidRPr="00D717A1">
        <w:t xml:space="preserve"> inclus.</w:t>
      </w:r>
      <w:r w:rsidRPr="006B2E37">
        <w:rPr>
          <w:rFonts w:cstheme="minorHAnsi"/>
        </w:rPr>
        <w:t xml:space="preserve"> </w:t>
      </w:r>
    </w:p>
    <w:p w:rsidR="00406B0E" w:rsidRDefault="00406B0E" w:rsidP="0022261C">
      <w:pPr>
        <w:spacing w:after="0" w:line="240" w:lineRule="auto"/>
        <w:jc w:val="both"/>
        <w:rPr>
          <w:rFonts w:cstheme="minorHAnsi"/>
        </w:rPr>
      </w:pPr>
      <w:r w:rsidRPr="006B2E37">
        <w:rPr>
          <w:rFonts w:cstheme="minorHAnsi"/>
        </w:rPr>
        <w:t xml:space="preserve">Cette phase de consultation s’est traduite par la mise à disposition du public </w:t>
      </w:r>
      <w:r>
        <w:rPr>
          <w:rFonts w:cstheme="minorHAnsi"/>
        </w:rPr>
        <w:t xml:space="preserve">du projet d’arrêté par </w:t>
      </w:r>
      <w:r w:rsidRPr="006B2E37">
        <w:rPr>
          <w:rFonts w:cstheme="minorHAnsi"/>
        </w:rPr>
        <w:t>voie électronique, selon des modalités permettant au public de formuler des observations.</w:t>
      </w:r>
    </w:p>
    <w:p w:rsidR="00406B0E" w:rsidRPr="006B2E37" w:rsidRDefault="00406B0E" w:rsidP="0022261C">
      <w:pPr>
        <w:spacing w:after="0" w:line="240" w:lineRule="auto"/>
        <w:jc w:val="both"/>
        <w:rPr>
          <w:rFonts w:cstheme="minorHAnsi"/>
        </w:rPr>
      </w:pPr>
    </w:p>
    <w:p w:rsidR="00406B0E" w:rsidRDefault="00406B0E" w:rsidP="0022261C">
      <w:pPr>
        <w:pStyle w:val="NormalWeb"/>
        <w:spacing w:before="0" w:beforeAutospacing="0" w:after="0" w:afterAutospacing="0"/>
        <w:jc w:val="both"/>
        <w:rPr>
          <w:rFonts w:asciiTheme="minorHAnsi" w:eastAsiaTheme="minorHAnsi" w:hAnsiTheme="minorHAnsi" w:cstheme="minorBidi"/>
          <w:sz w:val="22"/>
          <w:szCs w:val="22"/>
          <w:lang w:eastAsia="en-US"/>
        </w:rPr>
      </w:pPr>
      <w:r w:rsidRPr="00C6675C">
        <w:rPr>
          <w:rFonts w:asciiTheme="minorHAnsi" w:eastAsiaTheme="minorHAnsi" w:hAnsiTheme="minorHAnsi" w:cstheme="minorBidi"/>
          <w:sz w:val="22"/>
          <w:szCs w:val="22"/>
          <w:lang w:eastAsia="en-US"/>
        </w:rPr>
        <w:t xml:space="preserve">La consultation du public </w:t>
      </w:r>
      <w:r>
        <w:rPr>
          <w:rFonts w:asciiTheme="minorHAnsi" w:eastAsiaTheme="minorHAnsi" w:hAnsiTheme="minorHAnsi" w:cstheme="minorBidi"/>
          <w:sz w:val="22"/>
          <w:szCs w:val="22"/>
          <w:lang w:eastAsia="en-US"/>
        </w:rPr>
        <w:t xml:space="preserve">a été réalisée </w:t>
      </w:r>
      <w:r w:rsidR="007A5196">
        <w:rPr>
          <w:rFonts w:asciiTheme="minorHAnsi" w:eastAsiaTheme="minorHAnsi" w:hAnsiTheme="minorHAnsi" w:cstheme="minorBidi"/>
          <w:sz w:val="22"/>
          <w:szCs w:val="22"/>
          <w:lang w:eastAsia="en-US"/>
        </w:rPr>
        <w:t>via</w:t>
      </w:r>
      <w:r w:rsidRPr="00C6675C">
        <w:rPr>
          <w:rFonts w:asciiTheme="minorHAnsi" w:eastAsiaTheme="minorHAnsi" w:hAnsiTheme="minorHAnsi" w:cstheme="minorBidi"/>
          <w:sz w:val="22"/>
          <w:szCs w:val="22"/>
          <w:lang w:eastAsia="en-US"/>
        </w:rPr>
        <w:t xml:space="preserve"> la plate-forme</w:t>
      </w:r>
      <w:r w:rsidR="00AF6967">
        <w:rPr>
          <w:rFonts w:asciiTheme="minorHAnsi" w:eastAsiaTheme="minorHAnsi" w:hAnsiTheme="minorHAnsi" w:cstheme="minorBidi"/>
          <w:sz w:val="22"/>
          <w:szCs w:val="22"/>
          <w:lang w:eastAsia="en-US"/>
        </w:rPr>
        <w:t xml:space="preserve"> du Ministère de la </w:t>
      </w:r>
      <w:r w:rsidR="007A5196">
        <w:rPr>
          <w:rFonts w:asciiTheme="minorHAnsi" w:eastAsiaTheme="minorHAnsi" w:hAnsiTheme="minorHAnsi" w:cstheme="minorBidi"/>
          <w:sz w:val="22"/>
          <w:szCs w:val="22"/>
          <w:lang w:eastAsia="en-US"/>
        </w:rPr>
        <w:t>transition</w:t>
      </w:r>
      <w:r w:rsidR="00AF6967">
        <w:rPr>
          <w:rFonts w:asciiTheme="minorHAnsi" w:eastAsiaTheme="minorHAnsi" w:hAnsiTheme="minorHAnsi" w:cstheme="minorBidi"/>
          <w:sz w:val="22"/>
          <w:szCs w:val="22"/>
          <w:lang w:eastAsia="en-US"/>
        </w:rPr>
        <w:t xml:space="preserve"> écologique et de la cohésion des territoires</w:t>
      </w:r>
      <w:r w:rsidR="007A5196">
        <w:rPr>
          <w:rFonts w:asciiTheme="minorHAnsi" w:eastAsiaTheme="minorHAnsi" w:hAnsiTheme="minorHAnsi" w:cstheme="minorBidi"/>
          <w:sz w:val="22"/>
          <w:szCs w:val="22"/>
          <w:lang w:eastAsia="en-US"/>
        </w:rPr>
        <w:t xml:space="preserve"> (</w:t>
      </w:r>
      <w:r w:rsidR="007A5196" w:rsidRPr="007A5196">
        <w:rPr>
          <w:rFonts w:asciiTheme="minorHAnsi" w:eastAsiaTheme="minorHAnsi" w:hAnsiTheme="minorHAnsi" w:cstheme="minorBidi"/>
          <w:sz w:val="22"/>
          <w:szCs w:val="22"/>
          <w:lang w:eastAsia="en-US"/>
        </w:rPr>
        <w:t>https://www.consultations-publiques.developpement-durable.gouv.fr/prevention-des-risques-r6.html</w:t>
      </w:r>
      <w:r w:rsidR="007A5196">
        <w:rPr>
          <w:rFonts w:asciiTheme="minorHAnsi" w:eastAsiaTheme="minorHAnsi" w:hAnsiTheme="minorHAnsi" w:cstheme="minorBidi"/>
          <w:sz w:val="22"/>
          <w:szCs w:val="22"/>
          <w:lang w:eastAsia="en-US"/>
        </w:rPr>
        <w:t>)</w:t>
      </w:r>
      <w:r w:rsidR="00AF6967">
        <w:rPr>
          <w:rFonts w:asciiTheme="minorHAnsi" w:eastAsiaTheme="minorHAnsi" w:hAnsiTheme="minorHAnsi" w:cstheme="minorBidi"/>
          <w:sz w:val="22"/>
          <w:szCs w:val="22"/>
          <w:lang w:eastAsia="en-US"/>
        </w:rPr>
        <w:t xml:space="preserve">. </w:t>
      </w:r>
      <w:r w:rsidRPr="00C6675C">
        <w:rPr>
          <w:rFonts w:asciiTheme="minorHAnsi" w:eastAsiaTheme="minorHAnsi" w:hAnsiTheme="minorHAnsi" w:cstheme="minorBidi"/>
          <w:sz w:val="22"/>
          <w:szCs w:val="22"/>
          <w:lang w:eastAsia="en-US"/>
        </w:rPr>
        <w:t xml:space="preserve"> </w:t>
      </w:r>
      <w:r w:rsidR="007A5196">
        <w:rPr>
          <w:rFonts w:asciiTheme="minorHAnsi" w:eastAsiaTheme="minorHAnsi" w:hAnsiTheme="minorHAnsi" w:cstheme="minorBidi"/>
          <w:sz w:val="22"/>
          <w:szCs w:val="22"/>
          <w:lang w:eastAsia="en-US"/>
        </w:rPr>
        <w:t xml:space="preserve">Elle était également référencée sur le site </w:t>
      </w:r>
      <w:r w:rsidRPr="00C6675C">
        <w:rPr>
          <w:rFonts w:asciiTheme="minorHAnsi" w:eastAsiaTheme="minorHAnsi" w:hAnsiTheme="minorHAnsi" w:cstheme="minorBidi"/>
          <w:sz w:val="22"/>
          <w:szCs w:val="22"/>
          <w:lang w:eastAsia="en-US"/>
        </w:rPr>
        <w:t>vie-publique.fr.</w:t>
      </w:r>
    </w:p>
    <w:p w:rsidR="00E54C53" w:rsidRDefault="00E54C53" w:rsidP="0022261C">
      <w:pPr>
        <w:jc w:val="both"/>
        <w:rPr>
          <w:rFonts w:cstheme="minorHAnsi"/>
          <w:b/>
        </w:rPr>
      </w:pPr>
    </w:p>
    <w:p w:rsidR="00E54C53" w:rsidRPr="00E54C53" w:rsidRDefault="00E54C53" w:rsidP="0022261C">
      <w:pPr>
        <w:jc w:val="both"/>
        <w:rPr>
          <w:rFonts w:cstheme="minorHAnsi"/>
          <w:b/>
          <w:sz w:val="24"/>
          <w:szCs w:val="24"/>
          <w:u w:val="single"/>
        </w:rPr>
      </w:pPr>
      <w:r w:rsidRPr="00E54C53">
        <w:rPr>
          <w:rFonts w:cstheme="minorHAnsi"/>
          <w:b/>
          <w:sz w:val="24"/>
          <w:szCs w:val="24"/>
          <w:u w:val="single"/>
        </w:rPr>
        <w:t>A. Modalités de la consultation</w:t>
      </w:r>
    </w:p>
    <w:p w:rsidR="00AF6967" w:rsidRDefault="00FA3D81" w:rsidP="0022261C">
      <w:pPr>
        <w:jc w:val="both"/>
      </w:pPr>
      <w:r>
        <w:t xml:space="preserve">Dans le cadre de cette consultation, </w:t>
      </w:r>
      <w:r w:rsidR="00C70431">
        <w:t>24</w:t>
      </w:r>
      <w:r w:rsidR="007B5BC8">
        <w:t xml:space="preserve"> contributions</w:t>
      </w:r>
      <w:r>
        <w:t xml:space="preserve"> ont été déposées sur le site internet du </w:t>
      </w:r>
      <w:r w:rsidR="00FF2397">
        <w:t>Ministère</w:t>
      </w:r>
      <w:r w:rsidR="00065B2F">
        <w:t>, dont 16 sont identiques</w:t>
      </w:r>
      <w:r>
        <w:t>.</w:t>
      </w:r>
    </w:p>
    <w:p w:rsidR="00FA3D81" w:rsidRDefault="00FA3D81" w:rsidP="0022261C">
      <w:pPr>
        <w:jc w:val="both"/>
      </w:pPr>
      <w:r w:rsidRPr="00FA3D81">
        <w:t xml:space="preserve">Les contributions </w:t>
      </w:r>
      <w:r>
        <w:t>émanent</w:t>
      </w:r>
      <w:r w:rsidRPr="00FA3D81">
        <w:t xml:space="preserve"> majoritairement</w:t>
      </w:r>
      <w:r>
        <w:t> :</w:t>
      </w:r>
    </w:p>
    <w:p w:rsidR="00FA3D81" w:rsidRDefault="00FA3D81" w:rsidP="0022261C">
      <w:pPr>
        <w:pStyle w:val="Paragraphedeliste"/>
        <w:numPr>
          <w:ilvl w:val="0"/>
          <w:numId w:val="2"/>
        </w:numPr>
        <w:jc w:val="both"/>
      </w:pPr>
      <w:proofErr w:type="gramStart"/>
      <w:r w:rsidRPr="00FA3D81">
        <w:t>des</w:t>
      </w:r>
      <w:proofErr w:type="gramEnd"/>
      <w:r w:rsidRPr="00FA3D81">
        <w:t xml:space="preserve"> fédérations professionnelles représentatives des metteurs en marché</w:t>
      </w:r>
      <w:r w:rsidR="007A5196">
        <w:t>,</w:t>
      </w:r>
    </w:p>
    <w:p w:rsidR="00FA3D81" w:rsidRDefault="00FA3D81" w:rsidP="0022261C">
      <w:pPr>
        <w:pStyle w:val="Paragraphedeliste"/>
        <w:numPr>
          <w:ilvl w:val="0"/>
          <w:numId w:val="2"/>
        </w:numPr>
        <w:jc w:val="both"/>
      </w:pPr>
      <w:proofErr w:type="gramStart"/>
      <w:r>
        <w:t>des</w:t>
      </w:r>
      <w:proofErr w:type="gramEnd"/>
      <w:r>
        <w:t xml:space="preserve"> entreprises du secteur </w:t>
      </w:r>
      <w:r w:rsidR="00C70431">
        <w:t>du bâtiment</w:t>
      </w:r>
    </w:p>
    <w:p w:rsidR="00FA3D81" w:rsidRDefault="00FA3D81" w:rsidP="0022261C">
      <w:pPr>
        <w:pStyle w:val="Paragraphedeliste"/>
        <w:numPr>
          <w:ilvl w:val="0"/>
          <w:numId w:val="2"/>
        </w:numPr>
        <w:jc w:val="both"/>
      </w:pPr>
      <w:proofErr w:type="gramStart"/>
      <w:r w:rsidRPr="00FA3D81">
        <w:t>des</w:t>
      </w:r>
      <w:proofErr w:type="gramEnd"/>
      <w:r w:rsidRPr="00FA3D81">
        <w:t xml:space="preserve"> opérateurs de gestion de déchets</w:t>
      </w:r>
      <w:r>
        <w:t>,</w:t>
      </w:r>
    </w:p>
    <w:p w:rsidR="00FA3D81" w:rsidRDefault="00C70431" w:rsidP="0022261C">
      <w:pPr>
        <w:pStyle w:val="Paragraphedeliste"/>
        <w:numPr>
          <w:ilvl w:val="0"/>
          <w:numId w:val="2"/>
        </w:numPr>
        <w:jc w:val="both"/>
      </w:pPr>
      <w:proofErr w:type="gramStart"/>
      <w:r>
        <w:t>des</w:t>
      </w:r>
      <w:proofErr w:type="gramEnd"/>
      <w:r>
        <w:t xml:space="preserve"> </w:t>
      </w:r>
      <w:r w:rsidR="00FA3D81" w:rsidRPr="00FA3D81">
        <w:t xml:space="preserve">représentants des collectivités </w:t>
      </w:r>
      <w:r>
        <w:t>territoriales</w:t>
      </w:r>
    </w:p>
    <w:p w:rsidR="00C70431" w:rsidRDefault="00C70431" w:rsidP="0022261C">
      <w:pPr>
        <w:pStyle w:val="Paragraphedeliste"/>
        <w:numPr>
          <w:ilvl w:val="0"/>
          <w:numId w:val="2"/>
        </w:numPr>
        <w:jc w:val="both"/>
      </w:pPr>
      <w:proofErr w:type="gramStart"/>
      <w:r>
        <w:t>de</w:t>
      </w:r>
      <w:proofErr w:type="gramEnd"/>
      <w:r>
        <w:t xml:space="preserve"> l’</w:t>
      </w:r>
      <w:r w:rsidR="00094AB9">
        <w:t>organisme coordonnateur (</w:t>
      </w:r>
      <w:r>
        <w:t>OCAB)</w:t>
      </w:r>
    </w:p>
    <w:p w:rsidR="00084624" w:rsidRDefault="008825C5" w:rsidP="0022261C">
      <w:pPr>
        <w:jc w:val="both"/>
      </w:pPr>
      <w:r>
        <w:t>Un particulier a également</w:t>
      </w:r>
      <w:r w:rsidR="00084624">
        <w:t xml:space="preserve"> exprimé </w:t>
      </w:r>
      <w:r>
        <w:t>son</w:t>
      </w:r>
      <w:r w:rsidR="00084624">
        <w:t xml:space="preserve"> avis.</w:t>
      </w:r>
    </w:p>
    <w:p w:rsidR="00FA3D81" w:rsidRDefault="00FA3D81" w:rsidP="0022261C">
      <w:pPr>
        <w:jc w:val="both"/>
        <w:rPr>
          <w:rFonts w:cstheme="minorHAnsi"/>
          <w:b/>
          <w:sz w:val="24"/>
          <w:szCs w:val="24"/>
          <w:u w:val="single"/>
        </w:rPr>
      </w:pPr>
    </w:p>
    <w:p w:rsidR="00E54C53" w:rsidRPr="00E54C53" w:rsidRDefault="00E54C53" w:rsidP="0022261C">
      <w:pPr>
        <w:jc w:val="both"/>
        <w:rPr>
          <w:rFonts w:cstheme="minorHAnsi"/>
          <w:b/>
          <w:sz w:val="24"/>
          <w:szCs w:val="24"/>
          <w:u w:val="single"/>
        </w:rPr>
      </w:pPr>
      <w:r w:rsidRPr="00E54C53">
        <w:rPr>
          <w:rFonts w:cstheme="minorHAnsi"/>
          <w:b/>
          <w:sz w:val="24"/>
          <w:szCs w:val="24"/>
          <w:u w:val="single"/>
        </w:rPr>
        <w:t xml:space="preserve">B. Synthèse des observations </w:t>
      </w:r>
    </w:p>
    <w:p w:rsidR="00383D00" w:rsidRDefault="00D56A7D" w:rsidP="0022261C">
      <w:pPr>
        <w:jc w:val="both"/>
        <w:rPr>
          <w:b/>
        </w:rPr>
      </w:pPr>
      <w:r>
        <w:rPr>
          <w:b/>
        </w:rPr>
        <w:t xml:space="preserve">1) </w:t>
      </w:r>
      <w:r w:rsidR="00383D00" w:rsidRPr="00685010">
        <w:rPr>
          <w:b/>
        </w:rPr>
        <w:t>Remarques générales</w:t>
      </w:r>
      <w:r w:rsidR="00E54C53">
        <w:rPr>
          <w:b/>
        </w:rPr>
        <w:t xml:space="preserve"> sur le projet soumis à la consultation</w:t>
      </w:r>
    </w:p>
    <w:p w:rsidR="007C429C" w:rsidRDefault="00065B2F" w:rsidP="0022261C">
      <w:pPr>
        <w:jc w:val="both"/>
      </w:pPr>
      <w:r>
        <w:t>Plusieurs</w:t>
      </w:r>
      <w:r w:rsidRPr="003B6ADC">
        <w:t xml:space="preserve"> </w:t>
      </w:r>
      <w:r w:rsidR="007C429C" w:rsidRPr="003B6ADC">
        <w:t>contributions</w:t>
      </w:r>
      <w:r w:rsidR="007C429C">
        <w:rPr>
          <w:b/>
        </w:rPr>
        <w:t xml:space="preserve"> </w:t>
      </w:r>
      <w:r w:rsidR="00685010">
        <w:t xml:space="preserve">soulignent </w:t>
      </w:r>
      <w:r w:rsidR="007C429C">
        <w:t>que les e</w:t>
      </w:r>
      <w:r w:rsidR="007C429C" w:rsidRPr="007C429C">
        <w:t xml:space="preserve">ngagements </w:t>
      </w:r>
      <w:r w:rsidR="007C429C">
        <w:t xml:space="preserve">pris par les </w:t>
      </w:r>
      <w:r w:rsidR="0022261C">
        <w:t>é</w:t>
      </w:r>
      <w:r w:rsidR="007C429C">
        <w:t>co-organismes lors de la réunion du 21 décembre 2022 n’étaient que des engagements volontaires et portaient sur la contractualisation auprès de déchèteries professionnelles et de points de reprise distributeurs et non sur la mise en œuvre opérationnelle de ces contrats.</w:t>
      </w:r>
    </w:p>
    <w:p w:rsidR="003B6ADC" w:rsidRDefault="003B6ADC" w:rsidP="0022261C">
      <w:pPr>
        <w:jc w:val="both"/>
      </w:pPr>
      <w:r>
        <w:lastRenderedPageBreak/>
        <w:t>Un contributeur souligne le travail et les concer</w:t>
      </w:r>
      <w:r w:rsidR="0022261C">
        <w:t>tations déjà réalisées par les é</w:t>
      </w:r>
      <w:r>
        <w:t>co-organismes depuis qu’ils sont agréés.</w:t>
      </w:r>
    </w:p>
    <w:p w:rsidR="00972EA5" w:rsidRDefault="00972EA5" w:rsidP="0022261C">
      <w:pPr>
        <w:jc w:val="both"/>
      </w:pPr>
    </w:p>
    <w:p w:rsidR="00972EA5" w:rsidRDefault="00972EA5" w:rsidP="0022261C">
      <w:pPr>
        <w:jc w:val="both"/>
      </w:pPr>
      <w:r>
        <w:t xml:space="preserve">Deux contributeurs expriment leur crainte que l’ouverture aux déchetteries publiques </w:t>
      </w:r>
      <w:r w:rsidR="00065B2F">
        <w:t>n’affaiblisse</w:t>
      </w:r>
      <w:r>
        <w:t xml:space="preserve"> le réseau de déchetteries professionnelles mis en place et demandent la mise en place d’une clause </w:t>
      </w:r>
      <w:r w:rsidR="00065B2F">
        <w:t>d’enlèvement à partir d’un certain</w:t>
      </w:r>
      <w:r>
        <w:t xml:space="preserve"> tonnage</w:t>
      </w:r>
      <w:r w:rsidR="00065B2F">
        <w:t xml:space="preserve"> collecté</w:t>
      </w:r>
      <w:r>
        <w:t>.</w:t>
      </w:r>
    </w:p>
    <w:p w:rsidR="00084624" w:rsidRDefault="00084624" w:rsidP="0022261C">
      <w:pPr>
        <w:jc w:val="both"/>
      </w:pPr>
      <w:r>
        <w:t>Des contributions demandent à ce que l’information sur la localisation des points de collecte soit visible de manière centralisée</w:t>
      </w:r>
      <w:r w:rsidR="00065B2F">
        <w:t xml:space="preserve"> pour les 4 éco-organismes</w:t>
      </w:r>
      <w:r>
        <w:t>.</w:t>
      </w:r>
    </w:p>
    <w:p w:rsidR="00926EF1" w:rsidRDefault="00926EF1" w:rsidP="0022261C">
      <w:pPr>
        <w:jc w:val="both"/>
      </w:pPr>
    </w:p>
    <w:p w:rsidR="00094AB9" w:rsidRPr="003B6ADC" w:rsidRDefault="00094AB9" w:rsidP="0022261C">
      <w:pPr>
        <w:tabs>
          <w:tab w:val="left" w:pos="142"/>
          <w:tab w:val="left" w:pos="284"/>
        </w:tabs>
        <w:suppressAutoHyphens/>
        <w:spacing w:after="0" w:line="240" w:lineRule="auto"/>
        <w:ind w:right="109"/>
        <w:jc w:val="both"/>
        <w:rPr>
          <w:rFonts w:ascii="Calibri" w:eastAsia="Times New Roman" w:hAnsi="Calibri" w:cs="Calibri"/>
          <w:b/>
          <w:lang w:eastAsia="zh-CN"/>
        </w:rPr>
      </w:pPr>
      <w:r w:rsidRPr="003B6ADC">
        <w:rPr>
          <w:rFonts w:ascii="Calibri" w:eastAsia="Times New Roman" w:hAnsi="Calibri" w:cs="Calibri"/>
          <w:b/>
          <w:lang w:eastAsia="zh-CN"/>
        </w:rPr>
        <w:t xml:space="preserve">2/ Disposition relative au pourvoi </w:t>
      </w:r>
      <w:r w:rsidR="007C1DA1" w:rsidRPr="003B6ADC">
        <w:rPr>
          <w:rFonts w:ascii="Calibri" w:eastAsia="Times New Roman" w:hAnsi="Calibri" w:cs="Calibri"/>
          <w:b/>
          <w:lang w:eastAsia="zh-CN"/>
        </w:rPr>
        <w:t>et à la</w:t>
      </w:r>
      <w:r w:rsidRPr="003B6ADC">
        <w:rPr>
          <w:rFonts w:ascii="Calibri" w:eastAsia="Times New Roman" w:hAnsi="Calibri" w:cs="Calibri"/>
          <w:b/>
          <w:lang w:eastAsia="zh-CN"/>
        </w:rPr>
        <w:t xml:space="preserve"> prise en charge opérationnelle par l’éco-organisme de l’enlèvement et du traitement de déchets issus de PMCB</w:t>
      </w:r>
      <w:r w:rsidR="003B6ADC">
        <w:rPr>
          <w:rFonts w:ascii="Calibri" w:eastAsia="Times New Roman" w:hAnsi="Calibri" w:cs="Calibri"/>
          <w:b/>
          <w:lang w:eastAsia="zh-CN"/>
        </w:rPr>
        <w:t> </w:t>
      </w:r>
    </w:p>
    <w:p w:rsidR="0022261C" w:rsidRDefault="007C1DA1" w:rsidP="00B017BC">
      <w:r>
        <w:br/>
        <w:t>En ce qui concerne le délai de 30 jours entre la contractualisation et la mise en œuvre opérationnelle</w:t>
      </w:r>
      <w:r w:rsidR="00065B2F">
        <w:t xml:space="preserve"> de la reprise sans frais des déchets</w:t>
      </w:r>
      <w:r>
        <w:t xml:space="preserve">, </w:t>
      </w:r>
      <w:r w:rsidR="00065B2F">
        <w:t>plusieurs</w:t>
      </w:r>
      <w:r>
        <w:t xml:space="preserve"> contributeurs ont pointé le caractère irréaliste d’un tel délai </w:t>
      </w:r>
      <w:r w:rsidR="00065B2F">
        <w:t xml:space="preserve">en raison des délais nécessaires à la </w:t>
      </w:r>
      <w:r>
        <w:t>contractualisation avec un réseau comprena</w:t>
      </w:r>
      <w:r w:rsidR="003B6ADC">
        <w:t>nt plusieurs points de reprise</w:t>
      </w:r>
      <w:r>
        <w:t xml:space="preserve">, </w:t>
      </w:r>
      <w:r w:rsidR="00065B2F">
        <w:t xml:space="preserve">au </w:t>
      </w:r>
      <w:r>
        <w:t xml:space="preserve">besoin de formation des personnels, </w:t>
      </w:r>
      <w:r w:rsidR="00065B2F">
        <w:t>à l’</w:t>
      </w:r>
      <w:r>
        <w:t xml:space="preserve">’obtention </w:t>
      </w:r>
      <w:r w:rsidR="00065B2F">
        <w:t>des autorisations requises</w:t>
      </w:r>
      <w:r>
        <w:t xml:space="preserve">, </w:t>
      </w:r>
      <w:r w:rsidR="00065B2F">
        <w:t xml:space="preserve">à la </w:t>
      </w:r>
      <w:r>
        <w:t xml:space="preserve">fourniture </w:t>
      </w:r>
      <w:r w:rsidR="00065B2F">
        <w:t xml:space="preserve">et à l’installation </w:t>
      </w:r>
      <w:r>
        <w:t xml:space="preserve">de contenants adaptés, </w:t>
      </w:r>
      <w:r w:rsidR="00065B2F">
        <w:t>à l’</w:t>
      </w:r>
      <w:r>
        <w:t xml:space="preserve">aménagement de l’espace accessible aux déposants, </w:t>
      </w:r>
      <w:r w:rsidR="00065B2F">
        <w:t>à l’</w:t>
      </w:r>
      <w:r>
        <w:t xml:space="preserve">aménagement des accès pour les prestataires chargés de l’enlèvement,  </w:t>
      </w:r>
      <w:r w:rsidR="00065B2F">
        <w:t xml:space="preserve">à la </w:t>
      </w:r>
      <w:r>
        <w:t>mise en place des dispositifs de pesée et de traçabilité,</w:t>
      </w:r>
      <w:r w:rsidR="00065B2F">
        <w:t xml:space="preserve"> </w:t>
      </w:r>
      <w:r>
        <w:t>etc.)</w:t>
      </w:r>
      <w:r w:rsidR="00B017BC">
        <w:t>.</w:t>
      </w:r>
      <w:r w:rsidR="00FA6FAA">
        <w:t xml:space="preserve"> </w:t>
      </w:r>
      <w:r>
        <w:br/>
      </w:r>
    </w:p>
    <w:p w:rsidR="00FA6FAA" w:rsidRDefault="00FA6FAA" w:rsidP="0022261C">
      <w:pPr>
        <w:jc w:val="both"/>
      </w:pPr>
      <w:r>
        <w:t xml:space="preserve">Ils proposent que ce </w:t>
      </w:r>
      <w:r w:rsidR="007C1DA1">
        <w:t xml:space="preserve">délai de 30 jours </w:t>
      </w:r>
      <w:r>
        <w:t xml:space="preserve">soit remplacé par </w:t>
      </w:r>
      <w:r w:rsidR="007C1DA1">
        <w:t>« un délai raisonnable à compter de la date de signature du contrat par le gestionnaire de l’installation de reprise »</w:t>
      </w:r>
      <w:r>
        <w:t>.</w:t>
      </w:r>
    </w:p>
    <w:p w:rsidR="00FA6FAA" w:rsidRPr="003B6ADC" w:rsidRDefault="00FA6FAA" w:rsidP="0022261C">
      <w:pPr>
        <w:tabs>
          <w:tab w:val="left" w:pos="142"/>
          <w:tab w:val="left" w:pos="284"/>
        </w:tabs>
        <w:suppressAutoHyphens/>
        <w:spacing w:after="0" w:line="240" w:lineRule="auto"/>
        <w:ind w:right="109"/>
        <w:jc w:val="both"/>
        <w:rPr>
          <w:rFonts w:ascii="Calibri" w:hAnsi="Calibri" w:cs="Calibri"/>
          <w:b/>
        </w:rPr>
      </w:pPr>
    </w:p>
    <w:p w:rsidR="007C429C" w:rsidRDefault="003B6ADC" w:rsidP="0022261C">
      <w:pPr>
        <w:tabs>
          <w:tab w:val="left" w:pos="142"/>
          <w:tab w:val="left" w:pos="284"/>
        </w:tabs>
        <w:suppressAutoHyphens/>
        <w:spacing w:after="0" w:line="240" w:lineRule="auto"/>
        <w:ind w:right="109"/>
        <w:jc w:val="both"/>
        <w:rPr>
          <w:rFonts w:ascii="Calibri" w:eastAsia="Times New Roman" w:hAnsi="Calibri" w:cs="Calibri"/>
          <w:b/>
          <w:lang w:eastAsia="zh-CN"/>
        </w:rPr>
      </w:pPr>
      <w:r>
        <w:rPr>
          <w:rFonts w:ascii="Calibri" w:hAnsi="Calibri" w:cs="Calibri"/>
          <w:b/>
        </w:rPr>
        <w:t>3/ Disposition relative</w:t>
      </w:r>
      <w:r w:rsidR="007C429C" w:rsidRPr="003B6ADC">
        <w:rPr>
          <w:rFonts w:ascii="Calibri" w:hAnsi="Calibri" w:cs="Calibri"/>
          <w:b/>
        </w:rPr>
        <w:t xml:space="preserve"> au soutien financier </w:t>
      </w:r>
      <w:r w:rsidR="007C429C" w:rsidRPr="003B6ADC">
        <w:rPr>
          <w:rFonts w:ascii="Calibri" w:eastAsia="Times New Roman" w:hAnsi="Calibri" w:cs="Calibri"/>
          <w:b/>
          <w:lang w:eastAsia="zh-CN"/>
        </w:rPr>
        <w:t>de l’éco-organisme aux coûts de gestion des déchets du bâtiment</w:t>
      </w:r>
    </w:p>
    <w:p w:rsidR="0022261C" w:rsidRPr="003B6ADC" w:rsidRDefault="0022261C" w:rsidP="0022261C">
      <w:pPr>
        <w:tabs>
          <w:tab w:val="left" w:pos="142"/>
          <w:tab w:val="left" w:pos="284"/>
        </w:tabs>
        <w:suppressAutoHyphens/>
        <w:spacing w:after="0" w:line="240" w:lineRule="auto"/>
        <w:ind w:right="109"/>
        <w:jc w:val="both"/>
        <w:rPr>
          <w:rFonts w:ascii="Calibri" w:hAnsi="Calibri" w:cs="Calibri"/>
          <w:b/>
        </w:rPr>
      </w:pPr>
    </w:p>
    <w:p w:rsidR="0022261C" w:rsidRDefault="00FA6FAA" w:rsidP="0022261C">
      <w:pPr>
        <w:tabs>
          <w:tab w:val="left" w:pos="142"/>
          <w:tab w:val="left" w:pos="284"/>
        </w:tabs>
        <w:suppressAutoHyphens/>
        <w:spacing w:after="0" w:line="240" w:lineRule="auto"/>
        <w:ind w:right="109"/>
        <w:jc w:val="both"/>
      </w:pPr>
      <w:r>
        <w:t>Certains contributeurs pointent la nécessité d’un démarrage</w:t>
      </w:r>
      <w:r w:rsidRPr="00B0394D">
        <w:t xml:space="preserve"> </w:t>
      </w:r>
      <w:r>
        <w:t>concomitant des soutiens opérationnels et des soutiens financiers pour les acteurs de la reprise des déchets, notamment pour les déchèteries professionnelles et les distributeurs</w:t>
      </w:r>
      <w:r w:rsidR="007C429C">
        <w:t xml:space="preserve">. </w:t>
      </w:r>
    </w:p>
    <w:p w:rsidR="007C1DA1" w:rsidRDefault="007C429C" w:rsidP="0022261C">
      <w:pPr>
        <w:tabs>
          <w:tab w:val="left" w:pos="142"/>
          <w:tab w:val="left" w:pos="284"/>
        </w:tabs>
        <w:suppressAutoHyphens/>
        <w:spacing w:after="0" w:line="240" w:lineRule="auto"/>
        <w:ind w:right="109"/>
        <w:jc w:val="both"/>
      </w:pPr>
      <w:r>
        <w:t>Ils</w:t>
      </w:r>
      <w:r w:rsidR="00FA6FAA">
        <w:t xml:space="preserve"> demandent que l’obligation de couverture des coûts dès le lendemain de la signature du contrat ne concerne que le</w:t>
      </w:r>
      <w:r w:rsidR="007C1DA1">
        <w:t xml:space="preserve"> service public de gestion des déchets</w:t>
      </w:r>
      <w:r w:rsidR="00FA6FAA">
        <w:t>.</w:t>
      </w:r>
    </w:p>
    <w:p w:rsidR="003B6ADC" w:rsidRDefault="003B6ADC" w:rsidP="0022261C">
      <w:pPr>
        <w:tabs>
          <w:tab w:val="left" w:pos="142"/>
          <w:tab w:val="left" w:pos="284"/>
        </w:tabs>
        <w:suppressAutoHyphens/>
        <w:spacing w:after="0" w:line="240" w:lineRule="auto"/>
        <w:ind w:right="109"/>
        <w:jc w:val="both"/>
      </w:pPr>
    </w:p>
    <w:p w:rsidR="003B6ADC" w:rsidRDefault="003B6ADC" w:rsidP="0022261C">
      <w:pPr>
        <w:tabs>
          <w:tab w:val="left" w:pos="142"/>
          <w:tab w:val="left" w:pos="284"/>
        </w:tabs>
        <w:suppressAutoHyphens/>
        <w:spacing w:after="0" w:line="240" w:lineRule="auto"/>
        <w:ind w:right="109"/>
        <w:jc w:val="both"/>
        <w:rPr>
          <w:b/>
        </w:rPr>
      </w:pPr>
      <w:r w:rsidRPr="003B6ADC">
        <w:rPr>
          <w:b/>
        </w:rPr>
        <w:t>4/ Disposition relative au nombre minimal de point de reprise</w:t>
      </w:r>
    </w:p>
    <w:p w:rsidR="00972EA5" w:rsidRDefault="00972EA5" w:rsidP="0022261C">
      <w:pPr>
        <w:tabs>
          <w:tab w:val="left" w:pos="142"/>
          <w:tab w:val="left" w:pos="284"/>
        </w:tabs>
        <w:suppressAutoHyphens/>
        <w:spacing w:after="0" w:line="240" w:lineRule="auto"/>
        <w:ind w:right="109"/>
        <w:jc w:val="both"/>
        <w:rPr>
          <w:b/>
        </w:rPr>
      </w:pPr>
    </w:p>
    <w:p w:rsidR="00972EA5" w:rsidRPr="0022261C" w:rsidRDefault="00972EA5" w:rsidP="0022261C">
      <w:pPr>
        <w:tabs>
          <w:tab w:val="left" w:pos="142"/>
          <w:tab w:val="left" w:pos="284"/>
        </w:tabs>
        <w:suppressAutoHyphens/>
        <w:spacing w:after="0" w:line="240" w:lineRule="auto"/>
        <w:ind w:right="109"/>
        <w:jc w:val="both"/>
      </w:pPr>
      <w:r w:rsidRPr="0022261C">
        <w:t>Un contributeur souligne les risques d’interférence</w:t>
      </w:r>
      <w:r w:rsidR="000B2258">
        <w:t>s</w:t>
      </w:r>
      <w:r w:rsidRPr="0022261C">
        <w:t xml:space="preserve"> avec la mission de </w:t>
      </w:r>
      <w:r w:rsidR="000B2258" w:rsidRPr="0022261C">
        <w:t>l’</w:t>
      </w:r>
      <w:r w:rsidR="000B2258">
        <w:t>organisme coordonnateur</w:t>
      </w:r>
      <w:r w:rsidR="000B2258" w:rsidRPr="0022261C">
        <w:t xml:space="preserve"> </w:t>
      </w:r>
      <w:r w:rsidRPr="0022261C">
        <w:t xml:space="preserve">sur le maillage et la prise en charge progressive des déchets et demande </w:t>
      </w:r>
      <w:r w:rsidR="0022261C">
        <w:t xml:space="preserve">à ce que </w:t>
      </w:r>
      <w:r w:rsidR="000859D1">
        <w:t xml:space="preserve">seulement </w:t>
      </w:r>
      <w:r w:rsidRPr="0022261C">
        <w:t>deux échéances</w:t>
      </w:r>
      <w:r w:rsidR="0022261C">
        <w:t xml:space="preserve"> soient retenues</w:t>
      </w:r>
      <w:r w:rsidRPr="0022261C">
        <w:t xml:space="preserve"> </w:t>
      </w:r>
      <w:r w:rsidR="000859D1">
        <w:t xml:space="preserve">pour la mise en place effective des points de reprise sans frais des déchets </w:t>
      </w:r>
      <w:r w:rsidRPr="0022261C">
        <w:t>(30 juin</w:t>
      </w:r>
      <w:r w:rsidR="000859D1">
        <w:t xml:space="preserve"> 2023</w:t>
      </w:r>
      <w:r w:rsidRPr="0022261C">
        <w:t xml:space="preserve"> et 31 décembre</w:t>
      </w:r>
      <w:r w:rsidR="000859D1">
        <w:t xml:space="preserve"> 2023</w:t>
      </w:r>
      <w:r w:rsidRPr="0022261C">
        <w:t>)</w:t>
      </w:r>
      <w:r w:rsidR="00084624" w:rsidRPr="0022261C">
        <w:t>.</w:t>
      </w:r>
    </w:p>
    <w:p w:rsidR="00972EA5" w:rsidRPr="0022261C" w:rsidRDefault="00972EA5" w:rsidP="0022261C">
      <w:pPr>
        <w:tabs>
          <w:tab w:val="left" w:pos="142"/>
          <w:tab w:val="left" w:pos="284"/>
        </w:tabs>
        <w:suppressAutoHyphens/>
        <w:spacing w:after="0" w:line="240" w:lineRule="auto"/>
        <w:ind w:right="109"/>
        <w:jc w:val="both"/>
      </w:pPr>
    </w:p>
    <w:p w:rsidR="00972EA5" w:rsidRPr="0022261C" w:rsidRDefault="00972EA5" w:rsidP="0022261C">
      <w:pPr>
        <w:tabs>
          <w:tab w:val="left" w:pos="142"/>
          <w:tab w:val="left" w:pos="284"/>
        </w:tabs>
        <w:suppressAutoHyphens/>
        <w:spacing w:after="0" w:line="240" w:lineRule="auto"/>
        <w:ind w:right="109"/>
        <w:jc w:val="both"/>
      </w:pPr>
      <w:r w:rsidRPr="0022261C">
        <w:t xml:space="preserve">Plusieurs contributeurs demandent que les points de reprise du maillage </w:t>
      </w:r>
      <w:r w:rsidR="000536CA">
        <w:t xml:space="preserve">respectent les obligations </w:t>
      </w:r>
      <w:r w:rsidRPr="0022261C">
        <w:t xml:space="preserve">ICPE, </w:t>
      </w:r>
      <w:r w:rsidR="000536CA">
        <w:t xml:space="preserve">et </w:t>
      </w:r>
      <w:r w:rsidRPr="0022261C">
        <w:t>que les éco-organismes s’assurent de la conformité règlementaire des points de reprise</w:t>
      </w:r>
      <w:r w:rsidR="000B2258">
        <w:t xml:space="preserve"> vis-à-vis de ces obligations et de celles relatives aux déchets dangereux</w:t>
      </w:r>
      <w:r w:rsidR="0022261C">
        <w:t xml:space="preserve">. Ils souhaitent par ailleurs </w:t>
      </w:r>
      <w:r w:rsidR="000B2258">
        <w:t>que les objectifs précisent</w:t>
      </w:r>
      <w:r w:rsidR="000B2258" w:rsidRPr="0022261C">
        <w:t xml:space="preserve"> </w:t>
      </w:r>
      <w:r w:rsidRPr="0022261C">
        <w:t>le nombre de points de maillage pouvant accueillir des déchets dangereux.</w:t>
      </w:r>
    </w:p>
    <w:p w:rsidR="00972EA5" w:rsidRPr="0022261C" w:rsidRDefault="00972EA5" w:rsidP="0022261C">
      <w:pPr>
        <w:tabs>
          <w:tab w:val="left" w:pos="142"/>
          <w:tab w:val="left" w:pos="284"/>
        </w:tabs>
        <w:suppressAutoHyphens/>
        <w:spacing w:after="0" w:line="240" w:lineRule="auto"/>
        <w:ind w:right="109"/>
        <w:jc w:val="both"/>
      </w:pPr>
    </w:p>
    <w:p w:rsidR="00CB20F9" w:rsidRDefault="00084624" w:rsidP="0022261C">
      <w:pPr>
        <w:tabs>
          <w:tab w:val="left" w:pos="142"/>
          <w:tab w:val="left" w:pos="284"/>
        </w:tabs>
        <w:suppressAutoHyphens/>
        <w:spacing w:after="0" w:line="240" w:lineRule="auto"/>
        <w:ind w:right="109"/>
        <w:jc w:val="both"/>
      </w:pPr>
      <w:r w:rsidRPr="0022261C">
        <w:lastRenderedPageBreak/>
        <w:t>Une contribution met en avant la nécessité pour le maillage de s’appuyer en priorité sur l’existant.</w:t>
      </w:r>
    </w:p>
    <w:p w:rsidR="002E4641" w:rsidRDefault="002E4641" w:rsidP="0022261C">
      <w:pPr>
        <w:jc w:val="both"/>
      </w:pPr>
    </w:p>
    <w:p w:rsidR="00E54C53" w:rsidRDefault="00E54C53" w:rsidP="0022261C">
      <w:pPr>
        <w:jc w:val="both"/>
        <w:rPr>
          <w:rFonts w:cstheme="minorHAnsi"/>
          <w:b/>
        </w:rPr>
      </w:pPr>
      <w:r>
        <w:rPr>
          <w:rFonts w:cstheme="minorHAnsi"/>
          <w:b/>
        </w:rPr>
        <w:t>C. Prise en compte des observations du public</w:t>
      </w:r>
    </w:p>
    <w:p w:rsidR="00D56A7D" w:rsidRDefault="00D56A7D" w:rsidP="0022261C">
      <w:pPr>
        <w:jc w:val="both"/>
      </w:pPr>
      <w:r>
        <w:t>Le projet de texte a fait l’objet de plusieurs modifications rédaction</w:t>
      </w:r>
      <w:r w:rsidR="000B2258">
        <w:t>nelles</w:t>
      </w:r>
      <w:r>
        <w:t xml:space="preserve"> pour tenir compte des observations du public, parmi lesquelles :</w:t>
      </w:r>
    </w:p>
    <w:p w:rsidR="00D56A7D" w:rsidRDefault="000B2258" w:rsidP="0022261C">
      <w:pPr>
        <w:pStyle w:val="Paragraphedeliste"/>
        <w:numPr>
          <w:ilvl w:val="0"/>
          <w:numId w:val="2"/>
        </w:numPr>
        <w:jc w:val="both"/>
      </w:pPr>
      <w:r>
        <w:t xml:space="preserve">la </w:t>
      </w:r>
      <w:r w:rsidR="00084624">
        <w:t>révision du délai entre la contractualisation et la mise en œuvre opérationnelle</w:t>
      </w:r>
      <w:r>
        <w:t xml:space="preserve"> de la reprise sans frais des déchets : celui</w:t>
      </w:r>
      <w:r w:rsidR="00084624">
        <w:t xml:space="preserve"> –ci est porté à 60 jours</w:t>
      </w:r>
      <w:r w:rsidR="00B017BC">
        <w:t>,</w:t>
      </w:r>
      <w:bookmarkStart w:id="0" w:name="_GoBack"/>
      <w:bookmarkEnd w:id="0"/>
    </w:p>
    <w:p w:rsidR="00084624" w:rsidRDefault="000B2258" w:rsidP="0022261C">
      <w:pPr>
        <w:pStyle w:val="Paragraphedeliste"/>
        <w:numPr>
          <w:ilvl w:val="0"/>
          <w:numId w:val="2"/>
        </w:numPr>
        <w:jc w:val="both"/>
      </w:pPr>
      <w:proofErr w:type="gramStart"/>
      <w:r>
        <w:t>la</w:t>
      </w:r>
      <w:proofErr w:type="gramEnd"/>
      <w:r>
        <w:t xml:space="preserve"> m</w:t>
      </w:r>
      <w:r w:rsidR="00084624" w:rsidRPr="002553FA">
        <w:t xml:space="preserve">odification et </w:t>
      </w:r>
      <w:r>
        <w:t xml:space="preserve">la </w:t>
      </w:r>
      <w:r w:rsidR="00084624" w:rsidRPr="002553FA">
        <w:t xml:space="preserve">restructuration du paragraphe 6.1 </w:t>
      </w:r>
      <w:r>
        <w:t xml:space="preserve">du cahier des charges des éco-organismes </w:t>
      </w:r>
      <w:r w:rsidR="00084624" w:rsidRPr="002553FA">
        <w:t xml:space="preserve">pour distinguer points de maillage/points de reprise et </w:t>
      </w:r>
      <w:r w:rsidR="00084624">
        <w:t>b</w:t>
      </w:r>
      <w:r w:rsidR="00084624" w:rsidRPr="002553FA">
        <w:t>ien préciser que les obligations en 2023 portent sur le</w:t>
      </w:r>
      <w:r w:rsidR="00084624">
        <w:t>s points de reprise,</w:t>
      </w:r>
    </w:p>
    <w:p w:rsidR="00D56A7D" w:rsidRDefault="000B2258" w:rsidP="0022261C">
      <w:pPr>
        <w:pStyle w:val="Paragraphedeliste"/>
        <w:numPr>
          <w:ilvl w:val="0"/>
          <w:numId w:val="2"/>
        </w:numPr>
        <w:jc w:val="both"/>
      </w:pPr>
      <w:proofErr w:type="gramStart"/>
      <w:r>
        <w:t>l’a</w:t>
      </w:r>
      <w:r w:rsidR="00084624">
        <w:t>mélioration</w:t>
      </w:r>
      <w:proofErr w:type="gramEnd"/>
      <w:r w:rsidR="00084624">
        <w:t xml:space="preserve"> de la visibilité </w:t>
      </w:r>
      <w:r w:rsidR="00986441">
        <w:t>et de l’information sur l</w:t>
      </w:r>
      <w:r w:rsidR="00084624">
        <w:t xml:space="preserve">es points de collecte avec </w:t>
      </w:r>
      <w:r w:rsidR="00986441">
        <w:t>la</w:t>
      </w:r>
      <w:r w:rsidR="00084624">
        <w:t xml:space="preserve"> mise en place d’un site internet commun </w:t>
      </w:r>
      <w:r w:rsidR="00986441">
        <w:t>aux 4 éco-organismes d’ici le</w:t>
      </w:r>
      <w:r w:rsidR="00084624">
        <w:t xml:space="preserve"> 30 avri</w:t>
      </w:r>
      <w:r w:rsidR="00986441">
        <w:t>l 2023</w:t>
      </w:r>
      <w:r w:rsidR="00084624">
        <w:t>.</w:t>
      </w:r>
    </w:p>
    <w:p w:rsidR="001605CA" w:rsidRPr="00FD6AC3" w:rsidRDefault="001605CA" w:rsidP="00C31416">
      <w:pPr>
        <w:pStyle w:val="Paragraphedeliste"/>
        <w:ind w:left="1440"/>
        <w:jc w:val="both"/>
      </w:pPr>
    </w:p>
    <w:sectPr w:rsidR="001605CA" w:rsidRPr="00FD6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4A4"/>
    <w:multiLevelType w:val="hybridMultilevel"/>
    <w:tmpl w:val="28001108"/>
    <w:lvl w:ilvl="0" w:tplc="720A440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43DF5"/>
    <w:multiLevelType w:val="hybridMultilevel"/>
    <w:tmpl w:val="3968C34E"/>
    <w:lvl w:ilvl="0" w:tplc="720A44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81632"/>
    <w:multiLevelType w:val="hybridMultilevel"/>
    <w:tmpl w:val="4BD45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D2647A"/>
    <w:multiLevelType w:val="hybridMultilevel"/>
    <w:tmpl w:val="E0467D66"/>
    <w:lvl w:ilvl="0" w:tplc="720A44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E573BA"/>
    <w:multiLevelType w:val="hybridMultilevel"/>
    <w:tmpl w:val="EF60C4E6"/>
    <w:lvl w:ilvl="0" w:tplc="8D96298C">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B65E7C"/>
    <w:multiLevelType w:val="hybridMultilevel"/>
    <w:tmpl w:val="F3FA5B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621F25"/>
    <w:multiLevelType w:val="hybridMultilevel"/>
    <w:tmpl w:val="2F8A0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34"/>
    <w:rsid w:val="000536CA"/>
    <w:rsid w:val="00065B2F"/>
    <w:rsid w:val="00084624"/>
    <w:rsid w:val="000859D1"/>
    <w:rsid w:val="00094AB9"/>
    <w:rsid w:val="000B2258"/>
    <w:rsid w:val="001605CA"/>
    <w:rsid w:val="00194E55"/>
    <w:rsid w:val="0022261C"/>
    <w:rsid w:val="002937FC"/>
    <w:rsid w:val="002E4641"/>
    <w:rsid w:val="00346934"/>
    <w:rsid w:val="00383D00"/>
    <w:rsid w:val="003B6ADC"/>
    <w:rsid w:val="0040372B"/>
    <w:rsid w:val="00406B0E"/>
    <w:rsid w:val="004312C5"/>
    <w:rsid w:val="004562C4"/>
    <w:rsid w:val="00471DED"/>
    <w:rsid w:val="004B5B24"/>
    <w:rsid w:val="00610A10"/>
    <w:rsid w:val="00685010"/>
    <w:rsid w:val="00777B06"/>
    <w:rsid w:val="007A5196"/>
    <w:rsid w:val="007B5BC8"/>
    <w:rsid w:val="007C1DA1"/>
    <w:rsid w:val="007C429C"/>
    <w:rsid w:val="008825C5"/>
    <w:rsid w:val="00904B31"/>
    <w:rsid w:val="00926EF1"/>
    <w:rsid w:val="009272FE"/>
    <w:rsid w:val="00972EA5"/>
    <w:rsid w:val="0098008B"/>
    <w:rsid w:val="00986441"/>
    <w:rsid w:val="00993EED"/>
    <w:rsid w:val="00A06126"/>
    <w:rsid w:val="00A4714B"/>
    <w:rsid w:val="00AB4A38"/>
    <w:rsid w:val="00AF6967"/>
    <w:rsid w:val="00B017BC"/>
    <w:rsid w:val="00B0394D"/>
    <w:rsid w:val="00B14C88"/>
    <w:rsid w:val="00B46B9D"/>
    <w:rsid w:val="00B9643C"/>
    <w:rsid w:val="00C03E11"/>
    <w:rsid w:val="00C31416"/>
    <w:rsid w:val="00C60831"/>
    <w:rsid w:val="00C70431"/>
    <w:rsid w:val="00C70884"/>
    <w:rsid w:val="00C74C79"/>
    <w:rsid w:val="00CB20F9"/>
    <w:rsid w:val="00CE6C33"/>
    <w:rsid w:val="00D56A7D"/>
    <w:rsid w:val="00D850C7"/>
    <w:rsid w:val="00DA074E"/>
    <w:rsid w:val="00DE1B9A"/>
    <w:rsid w:val="00DF2B20"/>
    <w:rsid w:val="00E54C53"/>
    <w:rsid w:val="00EA4F92"/>
    <w:rsid w:val="00F702BC"/>
    <w:rsid w:val="00FA3D81"/>
    <w:rsid w:val="00FA6FAA"/>
    <w:rsid w:val="00FB69AD"/>
    <w:rsid w:val="00FB6F6C"/>
    <w:rsid w:val="00FC1DE6"/>
    <w:rsid w:val="00FC29F5"/>
    <w:rsid w:val="00FC51D3"/>
    <w:rsid w:val="00FD6AC3"/>
    <w:rsid w:val="00FE27E7"/>
    <w:rsid w:val="00FF2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1573"/>
  <w15:chartTrackingRefBased/>
  <w15:docId w15:val="{99DEA315-045B-4E95-9782-940048A1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06B0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A3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714">
      <w:bodyDiv w:val="1"/>
      <w:marLeft w:val="0"/>
      <w:marRight w:val="0"/>
      <w:marTop w:val="0"/>
      <w:marBottom w:val="0"/>
      <w:divBdr>
        <w:top w:val="none" w:sz="0" w:space="0" w:color="auto"/>
        <w:left w:val="none" w:sz="0" w:space="0" w:color="auto"/>
        <w:bottom w:val="none" w:sz="0" w:space="0" w:color="auto"/>
        <w:right w:val="none" w:sz="0" w:space="0" w:color="auto"/>
      </w:divBdr>
    </w:div>
    <w:div w:id="555891894">
      <w:bodyDiv w:val="1"/>
      <w:marLeft w:val="0"/>
      <w:marRight w:val="0"/>
      <w:marTop w:val="0"/>
      <w:marBottom w:val="0"/>
      <w:divBdr>
        <w:top w:val="none" w:sz="0" w:space="0" w:color="auto"/>
        <w:left w:val="none" w:sz="0" w:space="0" w:color="auto"/>
        <w:bottom w:val="none" w:sz="0" w:space="0" w:color="auto"/>
        <w:right w:val="none" w:sz="0" w:space="0" w:color="auto"/>
      </w:divBdr>
    </w:div>
    <w:div w:id="830020866">
      <w:bodyDiv w:val="1"/>
      <w:marLeft w:val="0"/>
      <w:marRight w:val="0"/>
      <w:marTop w:val="0"/>
      <w:marBottom w:val="0"/>
      <w:divBdr>
        <w:top w:val="none" w:sz="0" w:space="0" w:color="auto"/>
        <w:left w:val="none" w:sz="0" w:space="0" w:color="auto"/>
        <w:bottom w:val="none" w:sz="0" w:space="0" w:color="auto"/>
        <w:right w:val="none" w:sz="0" w:space="0" w:color="auto"/>
      </w:divBdr>
    </w:div>
    <w:div w:id="872232448">
      <w:bodyDiv w:val="1"/>
      <w:marLeft w:val="0"/>
      <w:marRight w:val="0"/>
      <w:marTop w:val="0"/>
      <w:marBottom w:val="0"/>
      <w:divBdr>
        <w:top w:val="none" w:sz="0" w:space="0" w:color="auto"/>
        <w:left w:val="none" w:sz="0" w:space="0" w:color="auto"/>
        <w:bottom w:val="none" w:sz="0" w:space="0" w:color="auto"/>
        <w:right w:val="none" w:sz="0" w:space="0" w:color="auto"/>
      </w:divBdr>
    </w:div>
    <w:div w:id="1184246259">
      <w:bodyDiv w:val="1"/>
      <w:marLeft w:val="0"/>
      <w:marRight w:val="0"/>
      <w:marTop w:val="0"/>
      <w:marBottom w:val="0"/>
      <w:divBdr>
        <w:top w:val="none" w:sz="0" w:space="0" w:color="auto"/>
        <w:left w:val="none" w:sz="0" w:space="0" w:color="auto"/>
        <w:bottom w:val="none" w:sz="0" w:space="0" w:color="auto"/>
        <w:right w:val="none" w:sz="0" w:space="0" w:color="auto"/>
      </w:divBdr>
    </w:div>
    <w:div w:id="1315261635">
      <w:bodyDiv w:val="1"/>
      <w:marLeft w:val="0"/>
      <w:marRight w:val="0"/>
      <w:marTop w:val="0"/>
      <w:marBottom w:val="0"/>
      <w:divBdr>
        <w:top w:val="none" w:sz="0" w:space="0" w:color="auto"/>
        <w:left w:val="none" w:sz="0" w:space="0" w:color="auto"/>
        <w:bottom w:val="none" w:sz="0" w:space="0" w:color="auto"/>
        <w:right w:val="none" w:sz="0" w:space="0" w:color="auto"/>
      </w:divBdr>
    </w:div>
    <w:div w:id="1713768140">
      <w:bodyDiv w:val="1"/>
      <w:marLeft w:val="0"/>
      <w:marRight w:val="0"/>
      <w:marTop w:val="0"/>
      <w:marBottom w:val="0"/>
      <w:divBdr>
        <w:top w:val="none" w:sz="0" w:space="0" w:color="auto"/>
        <w:left w:val="none" w:sz="0" w:space="0" w:color="auto"/>
        <w:bottom w:val="none" w:sz="0" w:space="0" w:color="auto"/>
        <w:right w:val="none" w:sz="0" w:space="0" w:color="auto"/>
      </w:divBdr>
    </w:div>
    <w:div w:id="17142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23617-5686-403F-AB55-F1DFD74C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4831</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BREP</dc:creator>
  <cp:keywords/>
  <dc:description/>
  <cp:lastModifiedBy>BOHUON Maud</cp:lastModifiedBy>
  <cp:revision>2</cp:revision>
  <dcterms:created xsi:type="dcterms:W3CDTF">2023-03-10T09:13:00Z</dcterms:created>
  <dcterms:modified xsi:type="dcterms:W3CDTF">2023-03-10T09:13:00Z</dcterms:modified>
</cp:coreProperties>
</file>