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3A598" w14:textId="77777777" w:rsidR="002275CF" w:rsidRDefault="002275CF" w:rsidP="002275CF">
      <w:pPr>
        <w:jc w:val="both"/>
        <w:rPr>
          <w:b/>
          <w:sz w:val="32"/>
          <w:szCs w:val="32"/>
        </w:rPr>
      </w:pPr>
    </w:p>
    <w:p w14:paraId="1F7A87DD" w14:textId="0AB489D2" w:rsidR="002275CF" w:rsidRDefault="002275CF">
      <w:pPr>
        <w:spacing w:after="200" w:line="276" w:lineRule="auto"/>
        <w:rPr>
          <w:rFonts w:ascii="Verdana" w:hAnsi="Verdana"/>
          <w:b/>
          <w:sz w:val="28"/>
          <w:szCs w:val="28"/>
        </w:rPr>
      </w:pPr>
    </w:p>
    <w:p w14:paraId="240887F3" w14:textId="77777777" w:rsidR="00227D1B" w:rsidRDefault="00227D1B" w:rsidP="00227D1B">
      <w:pPr>
        <w:pStyle w:val="Corpsdetexte"/>
        <w:rPr>
          <w:rFonts w:ascii="Verdana" w:hAnsi="Verdana"/>
          <w:b/>
          <w:sz w:val="28"/>
          <w:szCs w:val="28"/>
        </w:rPr>
      </w:pPr>
    </w:p>
    <w:p w14:paraId="3ABAE7A0" w14:textId="77777777" w:rsidR="00227D1B" w:rsidRDefault="00227D1B" w:rsidP="00227D1B">
      <w:pPr>
        <w:pStyle w:val="Corpsdetexte"/>
        <w:rPr>
          <w:rFonts w:ascii="Verdana" w:hAnsi="Verdana"/>
          <w:b/>
          <w:sz w:val="28"/>
          <w:szCs w:val="28"/>
        </w:rPr>
      </w:pPr>
    </w:p>
    <w:p w14:paraId="15F134E9" w14:textId="53706FA4" w:rsidR="000D11E9" w:rsidRDefault="000D11E9" w:rsidP="000D11E9">
      <w:pPr>
        <w:pStyle w:val="En-ttedetabledesmatires"/>
        <w:jc w:val="center"/>
        <w:rPr>
          <w:sz w:val="32"/>
          <w:szCs w:val="32"/>
        </w:rPr>
      </w:pPr>
      <w:r>
        <w:rPr>
          <w:sz w:val="32"/>
          <w:szCs w:val="32"/>
        </w:rPr>
        <w:t>Regulatory Ma</w:t>
      </w:r>
      <w:r w:rsidR="007D79ED">
        <w:rPr>
          <w:sz w:val="32"/>
          <w:szCs w:val="32"/>
        </w:rPr>
        <w:t>nagement Option Analysis (RMOA)</w:t>
      </w:r>
    </w:p>
    <w:p w14:paraId="7F504D0B" w14:textId="77777777" w:rsidR="00C10085" w:rsidRPr="00C10085" w:rsidRDefault="00C10085" w:rsidP="00C10085">
      <w:pPr>
        <w:rPr>
          <w:lang w:eastAsia="en-GB"/>
        </w:rPr>
      </w:pPr>
    </w:p>
    <w:p w14:paraId="2D325CE4" w14:textId="77777777" w:rsidR="00966BE8" w:rsidRDefault="00966BE8" w:rsidP="00966BE8">
      <w:pPr>
        <w:pStyle w:val="Corpsdetexte"/>
        <w:rPr>
          <w:rFonts w:ascii="Verdana" w:hAnsi="Verdana"/>
          <w:b/>
          <w:sz w:val="22"/>
          <w:szCs w:val="22"/>
        </w:rPr>
      </w:pPr>
    </w:p>
    <w:p w14:paraId="010A707E" w14:textId="5215B8CD" w:rsidR="00966BE8" w:rsidRPr="00CB647F" w:rsidRDefault="00966BE8" w:rsidP="00966BE8">
      <w:pPr>
        <w:pStyle w:val="Corpsdetexte"/>
        <w:rPr>
          <w:rFonts w:ascii="Verdana" w:hAnsi="Verdana"/>
          <w:b/>
          <w:sz w:val="22"/>
          <w:szCs w:val="22"/>
        </w:rPr>
      </w:pPr>
      <w:r w:rsidRPr="00CB647F">
        <w:rPr>
          <w:rFonts w:ascii="Verdana" w:hAnsi="Verdana"/>
          <w:b/>
          <w:sz w:val="22"/>
          <w:szCs w:val="22"/>
        </w:rPr>
        <w:t xml:space="preserve">Authority: </w:t>
      </w:r>
      <w:r w:rsidR="00487CAD">
        <w:rPr>
          <w:rFonts w:ascii="Verdana" w:hAnsi="Verdana"/>
          <w:b/>
          <w:sz w:val="22"/>
          <w:szCs w:val="22"/>
        </w:rPr>
        <w:t>France</w:t>
      </w:r>
    </w:p>
    <w:p w14:paraId="088A4D58" w14:textId="0BF01584" w:rsidR="00966BE8" w:rsidRPr="00CB647F" w:rsidRDefault="00966BE8" w:rsidP="00966BE8">
      <w:pPr>
        <w:pStyle w:val="Corpsdetexte"/>
        <w:rPr>
          <w:rFonts w:ascii="Verdana" w:hAnsi="Verdana"/>
          <w:b/>
          <w:sz w:val="22"/>
          <w:szCs w:val="22"/>
        </w:rPr>
      </w:pPr>
      <w:r w:rsidRPr="00CB647F">
        <w:rPr>
          <w:rFonts w:ascii="Verdana" w:hAnsi="Verdana"/>
          <w:b/>
          <w:sz w:val="22"/>
          <w:szCs w:val="22"/>
        </w:rPr>
        <w:t xml:space="preserve">Date: </w:t>
      </w:r>
      <w:r w:rsidR="003E19AC">
        <w:rPr>
          <w:rFonts w:ascii="Verdana" w:hAnsi="Verdana"/>
          <w:b/>
          <w:sz w:val="22"/>
          <w:szCs w:val="22"/>
        </w:rPr>
        <w:t>September 2022</w:t>
      </w:r>
    </w:p>
    <w:p w14:paraId="3CC5EBF5" w14:textId="77777777" w:rsidR="00966BE8" w:rsidRDefault="00966BE8" w:rsidP="00966BE8">
      <w:pPr>
        <w:pStyle w:val="Corpsdetexte"/>
        <w:rPr>
          <w:rFonts w:ascii="Verdana" w:hAnsi="Verdana"/>
          <w:b/>
        </w:rPr>
      </w:pPr>
    </w:p>
    <w:p w14:paraId="6E2861F3" w14:textId="168AE9B4" w:rsidR="00966BE8" w:rsidRDefault="004000FF" w:rsidP="00966BE8">
      <w:pPr>
        <w:pStyle w:val="Corpsdetexte"/>
        <w:rPr>
          <w:rFonts w:ascii="Verdana" w:hAnsi="Verdana"/>
          <w:b/>
        </w:rPr>
      </w:pPr>
      <w:r>
        <w:rPr>
          <w:rFonts w:ascii="Verdana" w:hAnsi="Verdana"/>
          <w:b/>
        </w:rPr>
        <w:t>S</w:t>
      </w:r>
      <w:r w:rsidR="000D11E9">
        <w:rPr>
          <w:rFonts w:ascii="Verdana" w:hAnsi="Verdana"/>
          <w:b/>
        </w:rPr>
        <w:t>ubstance name</w:t>
      </w:r>
      <w:r w:rsidR="00966BE8" w:rsidRPr="00ED1702">
        <w:rPr>
          <w:rFonts w:ascii="Verdana" w:hAnsi="Verdana"/>
          <w:b/>
        </w:rPr>
        <w:t xml:space="preserve">: </w:t>
      </w:r>
      <w:r w:rsidR="00351F82">
        <w:rPr>
          <w:rFonts w:ascii="Verdana" w:hAnsi="Verdana"/>
          <w:b/>
        </w:rPr>
        <w:t>Carbon disulfide</w:t>
      </w:r>
    </w:p>
    <w:p w14:paraId="767D3801" w14:textId="76F675F1" w:rsidR="008075D7" w:rsidRPr="00487CAD" w:rsidRDefault="00966BE8" w:rsidP="000D11E9">
      <w:pPr>
        <w:pStyle w:val="Corpsdetexte"/>
        <w:rPr>
          <w:rFonts w:ascii="Verdana" w:hAnsi="Verdana"/>
          <w:snapToGrid w:val="0"/>
          <w:sz w:val="20"/>
          <w:szCs w:val="20"/>
          <w:vertAlign w:val="subscript"/>
          <w:lang w:eastAsia="fi-FI"/>
        </w:rPr>
      </w:pPr>
      <w:r>
        <w:rPr>
          <w:rFonts w:ascii="Verdana" w:hAnsi="Verdana"/>
          <w:b/>
        </w:rPr>
        <w:t>General structure:</w:t>
      </w:r>
      <w:r w:rsidR="00E86B9C">
        <w:rPr>
          <w:rFonts w:ascii="Verdana" w:hAnsi="Verdana"/>
          <w:b/>
        </w:rPr>
        <w:t xml:space="preserve"> </w:t>
      </w:r>
      <w:r w:rsidR="00487CAD">
        <w:rPr>
          <w:rFonts w:ascii="Verdana" w:hAnsi="Verdana"/>
          <w:b/>
        </w:rPr>
        <w:t>CS</w:t>
      </w:r>
      <w:r w:rsidR="00487CAD" w:rsidRPr="00487CAD">
        <w:rPr>
          <w:rFonts w:ascii="Verdana" w:hAnsi="Verdana"/>
          <w:b/>
          <w:vertAlign w:val="subscript"/>
        </w:rPr>
        <w:t>2</w:t>
      </w:r>
    </w:p>
    <w:p w14:paraId="6F3E50CF" w14:textId="2B2A9CBE" w:rsidR="00ED1702" w:rsidRDefault="00487CAD" w:rsidP="00487CAD">
      <w:pPr>
        <w:pStyle w:val="Corpsdetexte"/>
        <w:jc w:val="center"/>
        <w:rPr>
          <w:rFonts w:ascii="Verdana" w:hAnsi="Verdana"/>
          <w:b/>
          <w:sz w:val="20"/>
        </w:rPr>
      </w:pPr>
      <w:r w:rsidRPr="004A03E1">
        <w:rPr>
          <w:rFonts w:eastAsiaTheme="minorEastAsia"/>
          <w:bCs/>
          <w:noProof/>
          <w:color w:val="000000"/>
          <w:lang w:val="fr-FR" w:eastAsia="fr-FR"/>
        </w:rPr>
        <w:drawing>
          <wp:inline distT="0" distB="0" distL="0" distR="0" wp14:anchorId="248E3828" wp14:editId="50B716E1">
            <wp:extent cx="647700" cy="42529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srcRect l="8457" t="20613" r="3805" b="21776"/>
                    <a:stretch/>
                  </pic:blipFill>
                  <pic:spPr bwMode="auto">
                    <a:xfrm>
                      <a:off x="0" y="0"/>
                      <a:ext cx="677820" cy="445074"/>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50C4FBE4" w14:textId="77777777" w:rsidR="00CA3CAC" w:rsidRPr="00B633C9" w:rsidRDefault="00CA3CAC" w:rsidP="00CA3CAC">
      <w:pPr>
        <w:pStyle w:val="Corpsdetexte"/>
        <w:rPr>
          <w:rFonts w:ascii="Verdana" w:hAnsi="Verdana"/>
          <w:b/>
          <w:sz w:val="20"/>
        </w:rPr>
      </w:pPr>
      <w:r w:rsidRPr="00B633C9">
        <w:rPr>
          <w:rFonts w:ascii="Verdana" w:hAnsi="Verdana"/>
          <w:b/>
          <w:sz w:val="20"/>
        </w:rPr>
        <w:t>Revision history</w:t>
      </w:r>
    </w:p>
    <w:tbl>
      <w:tblPr>
        <w:tblStyle w:val="TableauGrille4-Accentuation1"/>
        <w:tblW w:w="9776" w:type="dxa"/>
        <w:tblLook w:val="04A0" w:firstRow="1" w:lastRow="0" w:firstColumn="1" w:lastColumn="0" w:noHBand="0" w:noVBand="1"/>
      </w:tblPr>
      <w:tblGrid>
        <w:gridCol w:w="1068"/>
        <w:gridCol w:w="1319"/>
        <w:gridCol w:w="7389"/>
      </w:tblGrid>
      <w:tr w:rsidR="00CA3CAC" w:rsidRPr="00A603E9" w14:paraId="7AAB5D38" w14:textId="77777777" w:rsidTr="006202E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68" w:type="dxa"/>
            <w:tcBorders>
              <w:top w:val="none" w:sz="0" w:space="0" w:color="auto"/>
              <w:left w:val="none" w:sz="0" w:space="0" w:color="auto"/>
              <w:bottom w:val="none" w:sz="0" w:space="0" w:color="auto"/>
              <w:right w:val="none" w:sz="0" w:space="0" w:color="auto"/>
            </w:tcBorders>
          </w:tcPr>
          <w:p w14:paraId="30003072" w14:textId="77777777" w:rsidR="00CA3CAC" w:rsidRPr="00A603E9" w:rsidRDefault="00CA3CAC" w:rsidP="006202E2">
            <w:pPr>
              <w:pStyle w:val="Corpsdetexte"/>
              <w:spacing w:after="0"/>
              <w:jc w:val="center"/>
              <w:rPr>
                <w:rFonts w:ascii="Verdana" w:hAnsi="Verdana"/>
                <w:sz w:val="20"/>
              </w:rPr>
            </w:pPr>
            <w:r w:rsidRPr="00A603E9">
              <w:rPr>
                <w:rFonts w:ascii="Verdana" w:hAnsi="Verdana"/>
                <w:i/>
                <w:iCs/>
                <w:sz w:val="20"/>
              </w:rPr>
              <w:t>Version</w:t>
            </w:r>
          </w:p>
        </w:tc>
        <w:tc>
          <w:tcPr>
            <w:tcW w:w="1195" w:type="dxa"/>
            <w:tcBorders>
              <w:top w:val="none" w:sz="0" w:space="0" w:color="auto"/>
              <w:left w:val="none" w:sz="0" w:space="0" w:color="auto"/>
              <w:bottom w:val="none" w:sz="0" w:space="0" w:color="auto"/>
              <w:right w:val="none" w:sz="0" w:space="0" w:color="auto"/>
            </w:tcBorders>
          </w:tcPr>
          <w:p w14:paraId="124F5E5B" w14:textId="77777777" w:rsidR="00CA3CAC" w:rsidRPr="00A603E9" w:rsidRDefault="00CA3CAC" w:rsidP="006202E2">
            <w:pPr>
              <w:pStyle w:val="Corpsdetexte"/>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sz w:val="20"/>
              </w:rPr>
            </w:pPr>
            <w:r w:rsidRPr="00A603E9">
              <w:rPr>
                <w:rFonts w:ascii="Verdana" w:hAnsi="Verdana"/>
                <w:i/>
                <w:iCs/>
                <w:sz w:val="20"/>
              </w:rPr>
              <w:t>Date</w:t>
            </w:r>
          </w:p>
        </w:tc>
        <w:tc>
          <w:tcPr>
            <w:tcW w:w="7513" w:type="dxa"/>
            <w:tcBorders>
              <w:top w:val="none" w:sz="0" w:space="0" w:color="auto"/>
              <w:left w:val="none" w:sz="0" w:space="0" w:color="auto"/>
              <w:bottom w:val="none" w:sz="0" w:space="0" w:color="auto"/>
              <w:right w:val="none" w:sz="0" w:space="0" w:color="auto"/>
            </w:tcBorders>
          </w:tcPr>
          <w:p w14:paraId="09E393D7" w14:textId="77777777" w:rsidR="00CA3CAC" w:rsidRPr="00A603E9" w:rsidRDefault="00CA3CAC" w:rsidP="006202E2">
            <w:pPr>
              <w:pStyle w:val="Corpsdetexte"/>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sz w:val="20"/>
              </w:rPr>
            </w:pPr>
            <w:r w:rsidRPr="00A603E9">
              <w:rPr>
                <w:rFonts w:ascii="Verdana" w:hAnsi="Verdana"/>
                <w:i/>
                <w:iCs/>
                <w:sz w:val="20"/>
              </w:rPr>
              <w:t>Description</w:t>
            </w:r>
          </w:p>
        </w:tc>
      </w:tr>
      <w:tr w:rsidR="006B7A90" w:rsidRPr="003E19AC" w14:paraId="76C423BD" w14:textId="77777777" w:rsidTr="00620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B241D70" w14:textId="77777777" w:rsidR="006B7A90" w:rsidRPr="00B633C9" w:rsidRDefault="006B7A90" w:rsidP="006202E2">
            <w:pPr>
              <w:pStyle w:val="Corpsdetexte"/>
              <w:spacing w:after="0"/>
              <w:rPr>
                <w:rFonts w:ascii="Verdana" w:hAnsi="Verdana"/>
                <w:sz w:val="20"/>
              </w:rPr>
            </w:pPr>
            <w:r>
              <w:rPr>
                <w:rFonts w:ascii="Verdana" w:hAnsi="Verdana"/>
                <w:sz w:val="20"/>
              </w:rPr>
              <w:t>1</w:t>
            </w:r>
          </w:p>
        </w:tc>
        <w:tc>
          <w:tcPr>
            <w:tcW w:w="1195" w:type="dxa"/>
          </w:tcPr>
          <w:p w14:paraId="538A2156" w14:textId="221155CF" w:rsidR="006B7A90" w:rsidRPr="003E19AC" w:rsidRDefault="006B7A90" w:rsidP="006202E2">
            <w:pPr>
              <w:pStyle w:val="Corpsdetexte"/>
              <w:spacing w:after="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3E19AC">
              <w:rPr>
                <w:rFonts w:ascii="Verdana" w:hAnsi="Verdana"/>
                <w:sz w:val="20"/>
              </w:rPr>
              <w:t>September 2022</w:t>
            </w:r>
          </w:p>
        </w:tc>
        <w:tc>
          <w:tcPr>
            <w:tcW w:w="7513" w:type="dxa"/>
          </w:tcPr>
          <w:p w14:paraId="752DBD4D" w14:textId="5B57830E" w:rsidR="006B7A90" w:rsidRPr="003E19AC" w:rsidRDefault="006B7A90" w:rsidP="006202E2">
            <w:pPr>
              <w:pStyle w:val="Corpsdetexte"/>
              <w:spacing w:after="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3E19AC">
              <w:rPr>
                <w:rFonts w:ascii="Verdana" w:hAnsi="Verdana"/>
                <w:sz w:val="20"/>
              </w:rPr>
              <w:t>This RMOA is used to determine whether there is a risk to workers and if further risk management measures are necessary.</w:t>
            </w:r>
          </w:p>
        </w:tc>
      </w:tr>
    </w:tbl>
    <w:p w14:paraId="0107CD29" w14:textId="45C6D3B0" w:rsidR="006B7A90" w:rsidRDefault="006B7A90" w:rsidP="00CA3CAC">
      <w:pPr>
        <w:pStyle w:val="Corpsdetexte"/>
        <w:rPr>
          <w:rFonts w:ascii="Verdana" w:hAnsi="Verdana"/>
          <w:sz w:val="20"/>
        </w:rPr>
      </w:pPr>
    </w:p>
    <w:p w14:paraId="77B3CF9D" w14:textId="67C9B297" w:rsidR="002D5DAE" w:rsidRPr="002D5DAE" w:rsidRDefault="002D5DAE" w:rsidP="00CA3CAC">
      <w:pPr>
        <w:pStyle w:val="Corpsdetexte"/>
        <w:rPr>
          <w:rFonts w:ascii="Verdana" w:hAnsi="Verdana"/>
          <w:sz w:val="20"/>
        </w:rPr>
      </w:pPr>
      <w:r w:rsidRPr="002D5DAE">
        <w:rPr>
          <w:rFonts w:ascii="Verdana" w:hAnsi="Verdana"/>
          <w:sz w:val="20"/>
        </w:rPr>
        <w:t xml:space="preserve">General comments and additional relevant information are invited on this RMOA by </w:t>
      </w:r>
      <w:r w:rsidRPr="006202E2">
        <w:rPr>
          <w:rFonts w:ascii="Verdana" w:hAnsi="Verdana"/>
          <w:sz w:val="20"/>
          <w:highlight w:val="green"/>
        </w:rPr>
        <w:t>xxx.</w:t>
      </w:r>
    </w:p>
    <w:p w14:paraId="24C32CEA" w14:textId="7E222C04" w:rsidR="006B7A90" w:rsidRPr="006202E2" w:rsidRDefault="002D5DAE" w:rsidP="006202E2">
      <w:pPr>
        <w:pStyle w:val="Corpsdetexte"/>
        <w:spacing w:after="0"/>
        <w:rPr>
          <w:rFonts w:ascii="Verdana" w:hAnsi="Verdana"/>
          <w:b/>
          <w:sz w:val="20"/>
        </w:rPr>
      </w:pPr>
      <w:r>
        <w:rPr>
          <w:rFonts w:ascii="Verdana" w:hAnsi="Verdana"/>
          <w:b/>
          <w:sz w:val="20"/>
        </w:rPr>
        <w:t>S</w:t>
      </w:r>
      <w:r w:rsidR="006B7A90" w:rsidRPr="006202E2">
        <w:rPr>
          <w:rFonts w:ascii="Verdana" w:hAnsi="Verdana"/>
          <w:b/>
          <w:sz w:val="20"/>
        </w:rPr>
        <w:t>pecific questions:</w:t>
      </w:r>
    </w:p>
    <w:p w14:paraId="3D87C855" w14:textId="214D0F85" w:rsidR="006B7A90" w:rsidRDefault="0008259C" w:rsidP="00617EE5">
      <w:pPr>
        <w:pStyle w:val="Corpsdetexte"/>
        <w:spacing w:after="0"/>
        <w:jc w:val="both"/>
        <w:rPr>
          <w:rFonts w:ascii="Verdana" w:hAnsi="Verdana"/>
          <w:sz w:val="20"/>
        </w:rPr>
      </w:pPr>
      <w:r>
        <w:rPr>
          <w:rFonts w:ascii="Verdana" w:hAnsi="Verdana"/>
          <w:sz w:val="20"/>
        </w:rPr>
        <w:t xml:space="preserve">- Do you have information </w:t>
      </w:r>
      <w:r w:rsidR="00EA6326">
        <w:rPr>
          <w:rFonts w:ascii="Verdana" w:hAnsi="Verdana"/>
          <w:sz w:val="20"/>
        </w:rPr>
        <w:t xml:space="preserve">to complete the knowledge </w:t>
      </w:r>
      <w:r>
        <w:rPr>
          <w:rFonts w:ascii="Verdana" w:hAnsi="Verdana"/>
          <w:sz w:val="20"/>
        </w:rPr>
        <w:t>on uses and more specifically on laboratory use of the substance?</w:t>
      </w:r>
    </w:p>
    <w:p w14:paraId="40CBB90F" w14:textId="1E32B245" w:rsidR="0008259C" w:rsidRDefault="0008259C" w:rsidP="00617EE5">
      <w:pPr>
        <w:pStyle w:val="Corpsdetexte"/>
        <w:spacing w:after="0"/>
        <w:jc w:val="both"/>
        <w:rPr>
          <w:rFonts w:ascii="Verdana" w:hAnsi="Verdana"/>
          <w:sz w:val="20"/>
        </w:rPr>
      </w:pPr>
      <w:r>
        <w:rPr>
          <w:rFonts w:ascii="Verdana" w:hAnsi="Verdana"/>
          <w:sz w:val="20"/>
        </w:rPr>
        <w:t xml:space="preserve">- Do you have exposure data (e.g. exposure measurements) to </w:t>
      </w:r>
      <w:r w:rsidR="00EA6326">
        <w:rPr>
          <w:rFonts w:ascii="Verdana" w:hAnsi="Verdana"/>
          <w:sz w:val="20"/>
        </w:rPr>
        <w:t xml:space="preserve">refine </w:t>
      </w:r>
      <w:r>
        <w:rPr>
          <w:rFonts w:ascii="Verdana" w:hAnsi="Verdana"/>
          <w:sz w:val="20"/>
        </w:rPr>
        <w:t>the worker risk assessment?</w:t>
      </w:r>
    </w:p>
    <w:p w14:paraId="36872C34" w14:textId="557778A3" w:rsidR="0008259C" w:rsidRDefault="0008259C" w:rsidP="00617EE5">
      <w:pPr>
        <w:pStyle w:val="Corpsdetexte"/>
        <w:spacing w:after="0"/>
        <w:jc w:val="both"/>
        <w:rPr>
          <w:rFonts w:ascii="Verdana" w:hAnsi="Verdana"/>
          <w:sz w:val="20"/>
        </w:rPr>
      </w:pPr>
      <w:r>
        <w:rPr>
          <w:rFonts w:ascii="Verdana" w:hAnsi="Verdana"/>
          <w:sz w:val="20"/>
        </w:rPr>
        <w:t xml:space="preserve">- What is your view </w:t>
      </w:r>
      <w:r w:rsidR="00617EE5">
        <w:rPr>
          <w:rFonts w:ascii="Verdana" w:hAnsi="Verdana"/>
          <w:sz w:val="20"/>
        </w:rPr>
        <w:t xml:space="preserve">on the approach followed for </w:t>
      </w:r>
      <w:r>
        <w:rPr>
          <w:rFonts w:ascii="Verdana" w:hAnsi="Verdana"/>
          <w:sz w:val="20"/>
        </w:rPr>
        <w:t>the DNEL to be used for worker risk assessment</w:t>
      </w:r>
      <w:r w:rsidR="00617EE5">
        <w:rPr>
          <w:rFonts w:ascii="Verdana" w:hAnsi="Verdana"/>
          <w:sz w:val="20"/>
        </w:rPr>
        <w:t xml:space="preserve"> (namely </w:t>
      </w:r>
      <w:r>
        <w:rPr>
          <w:rFonts w:ascii="Verdana" w:hAnsi="Verdana"/>
          <w:sz w:val="20"/>
        </w:rPr>
        <w:t>current IOELV still appropriate</w:t>
      </w:r>
      <w:r w:rsidR="00617EE5">
        <w:rPr>
          <w:rFonts w:ascii="Verdana" w:hAnsi="Verdana"/>
          <w:sz w:val="20"/>
        </w:rPr>
        <w:t>)</w:t>
      </w:r>
      <w:r>
        <w:rPr>
          <w:rFonts w:ascii="Verdana" w:hAnsi="Verdana"/>
          <w:sz w:val="20"/>
        </w:rPr>
        <w:t>?</w:t>
      </w:r>
    </w:p>
    <w:p w14:paraId="40F64813" w14:textId="2C84FCF2" w:rsidR="000F4C18" w:rsidRDefault="00291FEA" w:rsidP="00617EE5">
      <w:pPr>
        <w:spacing w:after="200" w:line="276" w:lineRule="auto"/>
        <w:jc w:val="both"/>
        <w:rPr>
          <w:rFonts w:ascii="Verdana" w:hAnsi="Verdana"/>
          <w:b/>
          <w:sz w:val="20"/>
        </w:rPr>
      </w:pPr>
      <w:r>
        <w:rPr>
          <w:rFonts w:ascii="Verdana" w:hAnsi="Verdana"/>
          <w:sz w:val="20"/>
        </w:rPr>
        <w:t>- Do you have information on potential alternatives to carbon disulfide?</w:t>
      </w:r>
    </w:p>
    <w:p w14:paraId="44AEFB67" w14:textId="693BAB85" w:rsidR="00227D1B" w:rsidRPr="00ED1702" w:rsidRDefault="0090325A" w:rsidP="00ED1702">
      <w:pPr>
        <w:pStyle w:val="Corpsdetexte"/>
        <w:rPr>
          <w:rFonts w:ascii="Verdana" w:hAnsi="Verdana"/>
          <w:b/>
          <w:sz w:val="20"/>
        </w:rPr>
      </w:pPr>
      <w:r>
        <w:rPr>
          <w:rFonts w:ascii="Verdana" w:hAnsi="Verdana"/>
          <w:b/>
          <w:sz w:val="20"/>
        </w:rPr>
        <w:lastRenderedPageBreak/>
        <w:t xml:space="preserve">Substances within this </w:t>
      </w:r>
      <w:r w:rsidR="002D5DAE">
        <w:rPr>
          <w:rFonts w:ascii="Verdana" w:hAnsi="Verdana"/>
          <w:b/>
          <w:sz w:val="20"/>
        </w:rPr>
        <w:t>RMOA</w:t>
      </w:r>
      <w:r w:rsidR="00227D1B" w:rsidRPr="00ED1702">
        <w:rPr>
          <w:rFonts w:ascii="Verdana" w:hAnsi="Verdana"/>
          <w:b/>
          <w:sz w:val="20"/>
        </w:rPr>
        <w:t>:</w:t>
      </w:r>
    </w:p>
    <w:tbl>
      <w:tblPr>
        <w:tblStyle w:val="TableauGrille4-Accentuation6"/>
        <w:tblW w:w="9067" w:type="dxa"/>
        <w:tblLayout w:type="fixed"/>
        <w:tblLook w:val="04A0" w:firstRow="1" w:lastRow="0" w:firstColumn="1" w:lastColumn="0" w:noHBand="0" w:noVBand="1"/>
      </w:tblPr>
      <w:tblGrid>
        <w:gridCol w:w="1813"/>
        <w:gridCol w:w="1813"/>
        <w:gridCol w:w="1814"/>
        <w:gridCol w:w="1813"/>
        <w:gridCol w:w="1814"/>
      </w:tblGrid>
      <w:tr w:rsidR="0081498D" w:rsidRPr="00ED1702" w14:paraId="178FB8D4" w14:textId="053D6BBD" w:rsidTr="0081498D">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13" w:type="dxa"/>
            <w:tcBorders>
              <w:top w:val="none" w:sz="0" w:space="0" w:color="auto"/>
              <w:left w:val="none" w:sz="0" w:space="0" w:color="auto"/>
              <w:bottom w:val="none" w:sz="0" w:space="0" w:color="auto"/>
              <w:right w:val="none" w:sz="0" w:space="0" w:color="auto"/>
            </w:tcBorders>
            <w:noWrap/>
            <w:hideMark/>
          </w:tcPr>
          <w:p w14:paraId="07EF6EF8" w14:textId="48CAFDAA" w:rsidR="0081498D" w:rsidRPr="003327A2" w:rsidRDefault="0081498D" w:rsidP="0090325A">
            <w:pPr>
              <w:spacing w:before="240"/>
              <w:jc w:val="center"/>
              <w:rPr>
                <w:rFonts w:ascii="Verdana" w:hAnsi="Verdana"/>
                <w:bCs w:val="0"/>
                <w:color w:val="000000"/>
                <w:sz w:val="18"/>
                <w:szCs w:val="20"/>
                <w:lang w:eastAsia="en-GB"/>
              </w:rPr>
            </w:pPr>
            <w:r w:rsidRPr="003327A2">
              <w:rPr>
                <w:rFonts w:ascii="Verdana" w:hAnsi="Verdana"/>
                <w:color w:val="000000"/>
                <w:sz w:val="18"/>
                <w:szCs w:val="20"/>
                <w:lang w:eastAsia="en-GB"/>
              </w:rPr>
              <w:t>EC</w:t>
            </w:r>
            <w:r w:rsidR="00733E3E" w:rsidRPr="003327A2">
              <w:rPr>
                <w:rFonts w:ascii="Verdana" w:hAnsi="Verdana"/>
                <w:color w:val="000000"/>
                <w:sz w:val="18"/>
                <w:szCs w:val="20"/>
                <w:lang w:eastAsia="en-GB"/>
              </w:rPr>
              <w:t>/List number</w:t>
            </w:r>
          </w:p>
        </w:tc>
        <w:tc>
          <w:tcPr>
            <w:tcW w:w="1813" w:type="dxa"/>
            <w:tcBorders>
              <w:top w:val="none" w:sz="0" w:space="0" w:color="auto"/>
              <w:left w:val="none" w:sz="0" w:space="0" w:color="auto"/>
              <w:bottom w:val="none" w:sz="0" w:space="0" w:color="auto"/>
              <w:right w:val="none" w:sz="0" w:space="0" w:color="auto"/>
            </w:tcBorders>
            <w:noWrap/>
            <w:hideMark/>
          </w:tcPr>
          <w:p w14:paraId="0780DDB0" w14:textId="2A3361E0" w:rsidR="0081498D" w:rsidRPr="003327A2" w:rsidRDefault="0081498D" w:rsidP="0090325A">
            <w:pPr>
              <w:spacing w:before="240"/>
              <w:jc w:val="center"/>
              <w:cnfStyle w:val="100000000000" w:firstRow="1" w:lastRow="0" w:firstColumn="0" w:lastColumn="0" w:oddVBand="0" w:evenVBand="0" w:oddHBand="0" w:evenHBand="0" w:firstRowFirstColumn="0" w:firstRowLastColumn="0" w:lastRowFirstColumn="0" w:lastRowLastColumn="0"/>
              <w:rPr>
                <w:rFonts w:ascii="Verdana" w:hAnsi="Verdana"/>
                <w:bCs w:val="0"/>
                <w:color w:val="000000"/>
                <w:sz w:val="18"/>
                <w:szCs w:val="20"/>
                <w:lang w:eastAsia="en-GB"/>
              </w:rPr>
            </w:pPr>
            <w:r w:rsidRPr="003327A2">
              <w:rPr>
                <w:rFonts w:ascii="Verdana" w:hAnsi="Verdana"/>
                <w:color w:val="000000"/>
                <w:sz w:val="18"/>
                <w:szCs w:val="20"/>
                <w:lang w:eastAsia="en-GB"/>
              </w:rPr>
              <w:t>CAS</w:t>
            </w:r>
            <w:r w:rsidR="00733E3E" w:rsidRPr="003327A2">
              <w:rPr>
                <w:rFonts w:ascii="Verdana" w:hAnsi="Verdana"/>
                <w:color w:val="000000"/>
                <w:sz w:val="18"/>
                <w:szCs w:val="20"/>
                <w:lang w:eastAsia="en-GB"/>
              </w:rPr>
              <w:t xml:space="preserve"> number</w:t>
            </w:r>
          </w:p>
        </w:tc>
        <w:tc>
          <w:tcPr>
            <w:tcW w:w="1814" w:type="dxa"/>
            <w:tcBorders>
              <w:top w:val="none" w:sz="0" w:space="0" w:color="auto"/>
              <w:left w:val="none" w:sz="0" w:space="0" w:color="auto"/>
              <w:bottom w:val="none" w:sz="0" w:space="0" w:color="auto"/>
              <w:right w:val="none" w:sz="0" w:space="0" w:color="auto"/>
            </w:tcBorders>
            <w:noWrap/>
            <w:hideMark/>
          </w:tcPr>
          <w:p w14:paraId="78A32548" w14:textId="77777777" w:rsidR="0081498D" w:rsidRDefault="00733E3E" w:rsidP="00733E3E">
            <w:pPr>
              <w:spacing w:before="240"/>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8"/>
                <w:szCs w:val="20"/>
                <w:lang w:eastAsia="en-GB"/>
              </w:rPr>
            </w:pPr>
            <w:r w:rsidRPr="003327A2">
              <w:rPr>
                <w:rFonts w:ascii="Verdana" w:hAnsi="Verdana"/>
                <w:color w:val="000000"/>
                <w:sz w:val="18"/>
                <w:szCs w:val="20"/>
                <w:lang w:eastAsia="en-GB"/>
              </w:rPr>
              <w:t>Substance n</w:t>
            </w:r>
            <w:r w:rsidR="0081498D" w:rsidRPr="003327A2">
              <w:rPr>
                <w:rFonts w:ascii="Verdana" w:hAnsi="Verdana"/>
                <w:color w:val="000000"/>
                <w:sz w:val="18"/>
                <w:szCs w:val="20"/>
                <w:lang w:eastAsia="en-GB"/>
              </w:rPr>
              <w:t>ame</w:t>
            </w:r>
          </w:p>
          <w:p w14:paraId="75C56840" w14:textId="7F6CE539" w:rsidR="00A70133" w:rsidRPr="003327A2" w:rsidRDefault="00A70133" w:rsidP="00733E3E">
            <w:pPr>
              <w:spacing w:before="240"/>
              <w:jc w:val="center"/>
              <w:cnfStyle w:val="100000000000" w:firstRow="1" w:lastRow="0" w:firstColumn="0" w:lastColumn="0" w:oddVBand="0" w:evenVBand="0" w:oddHBand="0" w:evenHBand="0" w:firstRowFirstColumn="0" w:firstRowLastColumn="0" w:lastRowFirstColumn="0" w:lastRowLastColumn="0"/>
              <w:rPr>
                <w:rFonts w:ascii="Verdana" w:hAnsi="Verdana"/>
                <w:bCs w:val="0"/>
                <w:color w:val="000000"/>
                <w:sz w:val="18"/>
                <w:szCs w:val="20"/>
                <w:lang w:eastAsia="en-GB"/>
              </w:rPr>
            </w:pPr>
            <w:r w:rsidRPr="003327A2">
              <w:rPr>
                <w:rFonts w:ascii="Verdana" w:hAnsi="Verdana"/>
                <w:color w:val="000000"/>
                <w:sz w:val="18"/>
                <w:szCs w:val="20"/>
                <w:lang w:eastAsia="en-GB"/>
              </w:rPr>
              <w:t>[and Substance name acronyms (*)</w:t>
            </w:r>
            <w:r>
              <w:rPr>
                <w:rFonts w:ascii="Verdana" w:hAnsi="Verdana"/>
                <w:color w:val="000000"/>
                <w:sz w:val="18"/>
                <w:szCs w:val="20"/>
                <w:lang w:eastAsia="en-GB"/>
              </w:rPr>
              <w:t>]</w:t>
            </w:r>
          </w:p>
        </w:tc>
        <w:tc>
          <w:tcPr>
            <w:tcW w:w="1813" w:type="dxa"/>
            <w:tcBorders>
              <w:top w:val="none" w:sz="0" w:space="0" w:color="auto"/>
              <w:left w:val="none" w:sz="0" w:space="0" w:color="auto"/>
              <w:bottom w:val="none" w:sz="0" w:space="0" w:color="auto"/>
              <w:right w:val="none" w:sz="0" w:space="0" w:color="auto"/>
            </w:tcBorders>
          </w:tcPr>
          <w:p w14:paraId="6B76A8D6" w14:textId="48008448" w:rsidR="0081498D" w:rsidRPr="003327A2" w:rsidRDefault="003327A2" w:rsidP="003327A2">
            <w:pPr>
              <w:spacing w:before="240"/>
              <w:jc w:val="center"/>
              <w:cnfStyle w:val="100000000000" w:firstRow="1" w:lastRow="0" w:firstColumn="0" w:lastColumn="0" w:oddVBand="0" w:evenVBand="0" w:oddHBand="0" w:evenHBand="0" w:firstRowFirstColumn="0" w:firstRowLastColumn="0" w:lastRowFirstColumn="0" w:lastRowLastColumn="0"/>
              <w:rPr>
                <w:rFonts w:ascii="Verdana" w:hAnsi="Verdana"/>
                <w:bCs w:val="0"/>
                <w:color w:val="000000"/>
                <w:sz w:val="18"/>
                <w:szCs w:val="20"/>
                <w:lang w:eastAsia="en-GB"/>
              </w:rPr>
            </w:pPr>
            <w:r w:rsidRPr="003327A2">
              <w:rPr>
                <w:rFonts w:ascii="Verdana" w:hAnsi="Verdana"/>
                <w:color w:val="000000"/>
                <w:sz w:val="18"/>
                <w:szCs w:val="20"/>
                <w:lang w:eastAsia="en-GB"/>
              </w:rPr>
              <w:t xml:space="preserve">Chemical structures </w:t>
            </w:r>
          </w:p>
        </w:tc>
        <w:tc>
          <w:tcPr>
            <w:tcW w:w="1814" w:type="dxa"/>
            <w:tcBorders>
              <w:top w:val="none" w:sz="0" w:space="0" w:color="auto"/>
              <w:left w:val="none" w:sz="0" w:space="0" w:color="auto"/>
              <w:bottom w:val="none" w:sz="0" w:space="0" w:color="auto"/>
              <w:right w:val="none" w:sz="0" w:space="0" w:color="auto"/>
            </w:tcBorders>
          </w:tcPr>
          <w:p w14:paraId="313D4BBF" w14:textId="7C9F8D70" w:rsidR="0081498D" w:rsidRPr="003327A2" w:rsidRDefault="00CA3CAC" w:rsidP="0090325A">
            <w:pPr>
              <w:spacing w:before="240"/>
              <w:jc w:val="center"/>
              <w:cnfStyle w:val="100000000000" w:firstRow="1" w:lastRow="0" w:firstColumn="0" w:lastColumn="0" w:oddVBand="0" w:evenVBand="0" w:oddHBand="0" w:evenHBand="0" w:firstRowFirstColumn="0" w:firstRowLastColumn="0" w:lastRowFirstColumn="0" w:lastRowLastColumn="0"/>
              <w:rPr>
                <w:rFonts w:ascii="Verdana" w:hAnsi="Verdana"/>
                <w:bCs w:val="0"/>
                <w:color w:val="000000"/>
                <w:sz w:val="18"/>
                <w:szCs w:val="20"/>
                <w:lang w:eastAsia="en-GB"/>
              </w:rPr>
            </w:pPr>
            <w:r w:rsidRPr="003327A2">
              <w:rPr>
                <w:rFonts w:ascii="Verdana" w:hAnsi="Verdana"/>
                <w:color w:val="000000"/>
                <w:sz w:val="18"/>
                <w:szCs w:val="20"/>
                <w:lang w:eastAsia="en-GB"/>
              </w:rPr>
              <w:t xml:space="preserve">Registration </w:t>
            </w:r>
            <w:r>
              <w:rPr>
                <w:rFonts w:ascii="Verdana" w:hAnsi="Verdana"/>
                <w:color w:val="000000"/>
                <w:sz w:val="18"/>
                <w:szCs w:val="20"/>
                <w:lang w:eastAsia="en-GB"/>
              </w:rPr>
              <w:t>type</w:t>
            </w:r>
            <w:r w:rsidRPr="003327A2">
              <w:rPr>
                <w:rFonts w:ascii="Verdana" w:hAnsi="Verdana"/>
                <w:color w:val="000000"/>
                <w:sz w:val="18"/>
                <w:szCs w:val="20"/>
                <w:lang w:eastAsia="en-GB"/>
              </w:rPr>
              <w:t xml:space="preserve"> </w:t>
            </w:r>
            <w:r>
              <w:rPr>
                <w:rFonts w:ascii="Verdana" w:hAnsi="Verdana"/>
                <w:color w:val="000000"/>
                <w:sz w:val="18"/>
                <w:szCs w:val="20"/>
                <w:lang w:eastAsia="en-GB"/>
              </w:rPr>
              <w:t>(</w:t>
            </w:r>
            <w:r w:rsidRPr="003327A2">
              <w:rPr>
                <w:rFonts w:ascii="Verdana" w:hAnsi="Verdana"/>
                <w:color w:val="000000"/>
                <w:sz w:val="18"/>
                <w:szCs w:val="20"/>
                <w:lang w:eastAsia="en-GB"/>
              </w:rPr>
              <w:t>full</w:t>
            </w:r>
            <w:r w:rsidR="00A70133">
              <w:rPr>
                <w:rFonts w:ascii="Verdana" w:hAnsi="Verdana"/>
                <w:color w:val="000000"/>
                <w:sz w:val="18"/>
                <w:szCs w:val="20"/>
                <w:lang w:eastAsia="en-GB"/>
              </w:rPr>
              <w:t xml:space="preserve">, </w:t>
            </w:r>
            <w:r>
              <w:rPr>
                <w:rFonts w:ascii="Verdana" w:hAnsi="Verdana"/>
                <w:color w:val="000000"/>
                <w:sz w:val="18"/>
                <w:szCs w:val="20"/>
                <w:lang w:eastAsia="en-GB"/>
              </w:rPr>
              <w:t>OSI</w:t>
            </w:r>
            <w:r w:rsidR="000015DE">
              <w:rPr>
                <w:rFonts w:ascii="Verdana" w:hAnsi="Verdana"/>
                <w:color w:val="000000"/>
                <w:sz w:val="18"/>
                <w:szCs w:val="20"/>
                <w:lang w:eastAsia="en-GB"/>
              </w:rPr>
              <w:t>I</w:t>
            </w:r>
            <w:r w:rsidR="00A70133">
              <w:rPr>
                <w:rFonts w:ascii="Verdana" w:hAnsi="Verdana"/>
                <w:color w:val="000000"/>
                <w:sz w:val="18"/>
                <w:szCs w:val="20"/>
                <w:lang w:eastAsia="en-GB"/>
              </w:rPr>
              <w:t xml:space="preserve"> or </w:t>
            </w:r>
            <w:r>
              <w:rPr>
                <w:rFonts w:ascii="Verdana" w:hAnsi="Verdana"/>
                <w:color w:val="000000"/>
                <w:sz w:val="18"/>
                <w:szCs w:val="20"/>
                <w:lang w:eastAsia="en-GB"/>
              </w:rPr>
              <w:t>TII</w:t>
            </w:r>
            <w:r w:rsidR="00A70133">
              <w:rPr>
                <w:rFonts w:ascii="Verdana" w:hAnsi="Verdana"/>
                <w:color w:val="000000"/>
                <w:sz w:val="18"/>
                <w:szCs w:val="20"/>
                <w:lang w:eastAsia="en-GB"/>
              </w:rPr>
              <w:t xml:space="preserve">, </w:t>
            </w:r>
            <w:r>
              <w:rPr>
                <w:rFonts w:ascii="Verdana" w:hAnsi="Verdana"/>
                <w:color w:val="000000"/>
                <w:sz w:val="18"/>
                <w:szCs w:val="20"/>
                <w:lang w:eastAsia="en-GB"/>
              </w:rPr>
              <w:t>NONS),</w:t>
            </w:r>
            <w:r w:rsidRPr="003327A2">
              <w:rPr>
                <w:rFonts w:ascii="Verdana" w:hAnsi="Verdana"/>
                <w:color w:val="000000"/>
                <w:sz w:val="18"/>
                <w:szCs w:val="20"/>
                <w:lang w:eastAsia="en-GB"/>
              </w:rPr>
              <w:t xml:space="preserve"> </w:t>
            </w:r>
            <w:r>
              <w:rPr>
                <w:rFonts w:ascii="Verdana" w:hAnsi="Verdana"/>
                <w:color w:val="000000"/>
                <w:sz w:val="18"/>
                <w:szCs w:val="20"/>
                <w:lang w:eastAsia="en-GB"/>
              </w:rPr>
              <w:t xml:space="preserve">highest </w:t>
            </w:r>
            <w:r w:rsidRPr="003327A2">
              <w:rPr>
                <w:rFonts w:ascii="Verdana" w:hAnsi="Verdana"/>
                <w:color w:val="000000"/>
                <w:sz w:val="18"/>
                <w:szCs w:val="20"/>
                <w:lang w:eastAsia="en-GB"/>
              </w:rPr>
              <w:t>tonnage band</w:t>
            </w:r>
            <w:r>
              <w:rPr>
                <w:rFonts w:ascii="Verdana" w:hAnsi="Verdana"/>
                <w:color w:val="000000"/>
                <w:sz w:val="18"/>
                <w:szCs w:val="20"/>
                <w:lang w:eastAsia="en-GB"/>
              </w:rPr>
              <w:t xml:space="preserve"> among all the registrations (t/y</w:t>
            </w:r>
            <w:r w:rsidRPr="003327A2">
              <w:rPr>
                <w:rFonts w:ascii="Verdana" w:hAnsi="Verdana"/>
                <w:color w:val="000000"/>
                <w:sz w:val="18"/>
                <w:szCs w:val="20"/>
                <w:lang w:eastAsia="en-GB"/>
              </w:rPr>
              <w:t>)</w:t>
            </w:r>
          </w:p>
        </w:tc>
      </w:tr>
      <w:tr w:rsidR="00CA3CAC" w:rsidRPr="00227D1B" w14:paraId="5B9B7BB6" w14:textId="5C96448C" w:rsidTr="001C6F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3" w:type="dxa"/>
            <w:noWrap/>
          </w:tcPr>
          <w:p w14:paraId="7FB259B4" w14:textId="67E44C61" w:rsidR="00CA3CAC" w:rsidRPr="00BA00F0" w:rsidRDefault="00BA00F0" w:rsidP="00CA3CAC">
            <w:pPr>
              <w:spacing w:after="0"/>
              <w:rPr>
                <w:rFonts w:ascii="Verdana" w:hAnsi="Verdana"/>
                <w:b w:val="0"/>
                <w:bCs w:val="0"/>
                <w:color w:val="000000"/>
                <w:sz w:val="18"/>
                <w:szCs w:val="20"/>
                <w:lang w:eastAsia="en-GB"/>
              </w:rPr>
            </w:pPr>
            <w:r w:rsidRPr="00BA00F0">
              <w:rPr>
                <w:rFonts w:ascii="Verdana" w:hAnsi="Verdana"/>
                <w:color w:val="000000"/>
                <w:sz w:val="18"/>
                <w:szCs w:val="20"/>
                <w:lang w:eastAsia="en-GB"/>
              </w:rPr>
              <w:t>200-843-6</w:t>
            </w:r>
          </w:p>
        </w:tc>
        <w:tc>
          <w:tcPr>
            <w:tcW w:w="1813" w:type="dxa"/>
            <w:noWrap/>
          </w:tcPr>
          <w:p w14:paraId="78285389" w14:textId="597A85E8" w:rsidR="00CA3CAC" w:rsidRPr="00BA00F0" w:rsidRDefault="00BA00F0" w:rsidP="00CA3CAC">
            <w:pPr>
              <w:spacing w:after="0"/>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20"/>
                <w:lang w:eastAsia="en-GB"/>
              </w:rPr>
            </w:pPr>
            <w:r w:rsidRPr="00BA00F0">
              <w:rPr>
                <w:rFonts w:ascii="Verdana" w:hAnsi="Verdana"/>
                <w:bCs/>
                <w:color w:val="000000"/>
                <w:sz w:val="18"/>
                <w:szCs w:val="20"/>
                <w:lang w:eastAsia="en-GB"/>
              </w:rPr>
              <w:t>75-15-0</w:t>
            </w:r>
          </w:p>
        </w:tc>
        <w:tc>
          <w:tcPr>
            <w:tcW w:w="1814" w:type="dxa"/>
            <w:noWrap/>
          </w:tcPr>
          <w:p w14:paraId="3E19A66E" w14:textId="6F6FA28C" w:rsidR="00CA3CAC" w:rsidRPr="00BA00F0" w:rsidRDefault="00BA00F0" w:rsidP="00CA3CAC">
            <w:pPr>
              <w:spacing w:after="0"/>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20"/>
                <w:lang w:eastAsia="en-GB"/>
              </w:rPr>
            </w:pPr>
            <w:r w:rsidRPr="00BA00F0">
              <w:rPr>
                <w:rFonts w:ascii="Verdana" w:hAnsi="Verdana"/>
                <w:bCs/>
                <w:color w:val="000000"/>
                <w:sz w:val="18"/>
                <w:szCs w:val="20"/>
                <w:lang w:eastAsia="en-GB"/>
              </w:rPr>
              <w:t xml:space="preserve">Carbon disulfide, </w:t>
            </w:r>
            <w:r w:rsidR="00D54111">
              <w:rPr>
                <w:rFonts w:ascii="Verdana" w:hAnsi="Verdana"/>
                <w:bCs/>
                <w:color w:val="000000"/>
                <w:sz w:val="18"/>
                <w:szCs w:val="20"/>
                <w:lang w:eastAsia="en-GB"/>
              </w:rPr>
              <w:t>(</w:t>
            </w:r>
            <w:r w:rsidR="00D57BCE">
              <w:rPr>
                <w:rFonts w:ascii="Verdana" w:hAnsi="Verdana"/>
                <w:bCs/>
                <w:color w:val="000000"/>
                <w:sz w:val="18"/>
                <w:szCs w:val="20"/>
                <w:lang w:eastAsia="en-GB"/>
              </w:rPr>
              <w:t>carbon disulph</w:t>
            </w:r>
            <w:r w:rsidR="00351F82">
              <w:rPr>
                <w:rFonts w:ascii="Verdana" w:hAnsi="Verdana"/>
                <w:bCs/>
                <w:color w:val="000000"/>
                <w:sz w:val="18"/>
                <w:szCs w:val="20"/>
                <w:lang w:eastAsia="en-GB"/>
              </w:rPr>
              <w:t>ide</w:t>
            </w:r>
            <w:r w:rsidRPr="00BA00F0">
              <w:rPr>
                <w:rFonts w:ascii="Verdana" w:hAnsi="Verdana"/>
                <w:bCs/>
                <w:color w:val="000000"/>
                <w:sz w:val="18"/>
                <w:szCs w:val="20"/>
                <w:lang w:eastAsia="en-GB"/>
              </w:rPr>
              <w:t>, methandithione</w:t>
            </w:r>
            <w:r w:rsidR="00D54111">
              <w:rPr>
                <w:rFonts w:ascii="Verdana" w:hAnsi="Verdana"/>
                <w:bCs/>
                <w:color w:val="000000"/>
                <w:sz w:val="18"/>
                <w:szCs w:val="20"/>
                <w:lang w:eastAsia="en-GB"/>
              </w:rPr>
              <w:t>)</w:t>
            </w:r>
          </w:p>
        </w:tc>
        <w:tc>
          <w:tcPr>
            <w:tcW w:w="1813" w:type="dxa"/>
          </w:tcPr>
          <w:p w14:paraId="7AD866CC" w14:textId="0B86BB56" w:rsidR="00CA3CAC" w:rsidRPr="00C50AAB" w:rsidRDefault="00BA00F0" w:rsidP="00CA3CAC">
            <w:pPr>
              <w:spacing w:after="0"/>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8"/>
                <w:szCs w:val="20"/>
                <w:highlight w:val="darkGray"/>
                <w:lang w:eastAsia="en-GB"/>
              </w:rPr>
            </w:pPr>
            <w:r w:rsidRPr="00BA00F0">
              <w:rPr>
                <w:rFonts w:ascii="Verdana" w:hAnsi="Verdana"/>
                <w:bCs/>
                <w:color w:val="000000"/>
                <w:sz w:val="18"/>
                <w:szCs w:val="20"/>
                <w:lang w:eastAsia="en-GB"/>
              </w:rPr>
              <w:t>CS</w:t>
            </w:r>
            <w:r w:rsidRPr="00BA00F0">
              <w:rPr>
                <w:rFonts w:ascii="Verdana" w:hAnsi="Verdana"/>
                <w:bCs/>
                <w:color w:val="000000"/>
                <w:sz w:val="18"/>
                <w:szCs w:val="20"/>
                <w:vertAlign w:val="subscript"/>
                <w:lang w:eastAsia="en-GB"/>
              </w:rPr>
              <w:t>2</w:t>
            </w:r>
          </w:p>
        </w:tc>
        <w:tc>
          <w:tcPr>
            <w:tcW w:w="1814" w:type="dxa"/>
            <w:shd w:val="clear" w:color="auto" w:fill="auto"/>
          </w:tcPr>
          <w:p w14:paraId="606F9309" w14:textId="77777777" w:rsidR="00B16A1F" w:rsidRPr="001C6F30" w:rsidRDefault="00B16A1F" w:rsidP="00CA3CAC">
            <w:pPr>
              <w:spacing w:after="0"/>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20"/>
                <w:lang w:eastAsia="en-GB"/>
              </w:rPr>
            </w:pPr>
            <w:r w:rsidRPr="001C6F30">
              <w:rPr>
                <w:rFonts w:ascii="Verdana" w:hAnsi="Verdana"/>
                <w:bCs/>
                <w:color w:val="000000"/>
                <w:sz w:val="18"/>
                <w:szCs w:val="20"/>
                <w:lang w:eastAsia="en-GB"/>
              </w:rPr>
              <w:t>Full</w:t>
            </w:r>
          </w:p>
          <w:p w14:paraId="3556EF9F" w14:textId="77777777" w:rsidR="00B16A1F" w:rsidRPr="001C6F30" w:rsidRDefault="00B16A1F" w:rsidP="00CA3CAC">
            <w:pPr>
              <w:spacing w:after="0"/>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20"/>
                <w:lang w:eastAsia="en-GB"/>
              </w:rPr>
            </w:pPr>
          </w:p>
          <w:p w14:paraId="7912A6F2" w14:textId="63CC72A4" w:rsidR="00CA3CAC" w:rsidRPr="00C50AAB" w:rsidRDefault="00B16A1F" w:rsidP="00CA3CAC">
            <w:pPr>
              <w:spacing w:after="0"/>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8"/>
                <w:szCs w:val="20"/>
                <w:highlight w:val="darkGray"/>
                <w:lang w:eastAsia="en-GB"/>
              </w:rPr>
            </w:pPr>
            <w:r w:rsidRPr="001C6F30">
              <w:rPr>
                <w:rFonts w:ascii="Verdana" w:hAnsi="Verdana"/>
                <w:bCs/>
                <w:color w:val="000000"/>
                <w:sz w:val="18"/>
                <w:szCs w:val="20"/>
                <w:lang w:eastAsia="en-GB"/>
              </w:rPr>
              <w:t>&gt; 100,000 – 1,000,000</w:t>
            </w:r>
          </w:p>
        </w:tc>
      </w:tr>
    </w:tbl>
    <w:p w14:paraId="1F99866F" w14:textId="77777777" w:rsidR="00ED1702" w:rsidRDefault="00ED1702" w:rsidP="00227D1B">
      <w:pPr>
        <w:pStyle w:val="Corpsdetexte"/>
        <w:rPr>
          <w:rFonts w:ascii="Verdana" w:hAnsi="Verdana"/>
          <w:b/>
          <w:sz w:val="20"/>
        </w:rPr>
      </w:pPr>
    </w:p>
    <w:p w14:paraId="62298C85" w14:textId="77777777" w:rsidR="00BB53EE" w:rsidRDefault="00BB53EE">
      <w:pPr>
        <w:spacing w:after="200" w:line="276" w:lineRule="auto"/>
        <w:rPr>
          <w:rFonts w:ascii="Verdana" w:hAnsi="Verdana"/>
          <w:i/>
          <w:sz w:val="20"/>
        </w:rPr>
      </w:pPr>
      <w:r>
        <w:rPr>
          <w:rFonts w:ascii="Verdana" w:hAnsi="Verdana"/>
          <w:i/>
          <w:sz w:val="20"/>
        </w:rPr>
        <w:br w:type="page"/>
      </w:r>
    </w:p>
    <w:sdt>
      <w:sdtPr>
        <w:rPr>
          <w:rFonts w:ascii="Times New Roman" w:eastAsia="Times New Roman" w:hAnsi="Times New Roman" w:cs="Times New Roman"/>
          <w:b w:val="0"/>
          <w:bCs w:val="0"/>
          <w:snapToGrid/>
          <w:color w:val="auto"/>
          <w:sz w:val="24"/>
          <w:szCs w:val="24"/>
          <w:lang w:eastAsia="en-US"/>
        </w:rPr>
        <w:id w:val="867024997"/>
        <w:docPartObj>
          <w:docPartGallery w:val="Table of Contents"/>
          <w:docPartUnique/>
        </w:docPartObj>
      </w:sdtPr>
      <w:sdtEndPr>
        <w:rPr>
          <w:noProof/>
        </w:rPr>
      </w:sdtEndPr>
      <w:sdtContent>
        <w:p w14:paraId="7D21B14F" w14:textId="7131FBB6" w:rsidR="00227D1B" w:rsidRPr="006D5748" w:rsidRDefault="00227D1B" w:rsidP="00227D1B">
          <w:pPr>
            <w:pStyle w:val="En-ttedetabledesmatires"/>
          </w:pPr>
          <w:r w:rsidRPr="006D5748">
            <w:t>Contents</w:t>
          </w:r>
        </w:p>
        <w:bookmarkStart w:id="0" w:name="_GoBack"/>
        <w:bookmarkEnd w:id="0"/>
        <w:p w14:paraId="032B6DBF" w14:textId="7536A317" w:rsidR="000E4E66" w:rsidRDefault="00227D1B">
          <w:pPr>
            <w:pStyle w:val="TM1"/>
            <w:rPr>
              <w:rFonts w:asciiTheme="minorHAnsi" w:eastAsiaTheme="minorEastAsia" w:hAnsiTheme="minorHAnsi" w:cstheme="minorBidi"/>
              <w:b w:val="0"/>
              <w:sz w:val="22"/>
              <w:szCs w:val="22"/>
              <w:lang w:val="fr-FR" w:eastAsia="fr-FR"/>
            </w:rPr>
          </w:pPr>
          <w:r>
            <w:rPr>
              <w:b w:val="0"/>
              <w:bCs/>
            </w:rPr>
            <w:fldChar w:fldCharType="begin"/>
          </w:r>
          <w:r>
            <w:rPr>
              <w:b w:val="0"/>
              <w:bCs/>
            </w:rPr>
            <w:instrText xml:space="preserve"> TOC \o "1-3" \h \z \u </w:instrText>
          </w:r>
          <w:r>
            <w:rPr>
              <w:b w:val="0"/>
              <w:bCs/>
            </w:rPr>
            <w:fldChar w:fldCharType="separate"/>
          </w:r>
          <w:hyperlink w:anchor="_Toc117776278" w:history="1">
            <w:r w:rsidR="000E4E66" w:rsidRPr="00841332">
              <w:rPr>
                <w:rStyle w:val="Lienhypertexte"/>
                <w:lang w:eastAsia="fi-FI"/>
              </w:rPr>
              <w:t>Foreword</w:t>
            </w:r>
            <w:r w:rsidR="000E4E66">
              <w:rPr>
                <w:webHidden/>
              </w:rPr>
              <w:tab/>
            </w:r>
            <w:r w:rsidR="000E4E66">
              <w:rPr>
                <w:webHidden/>
              </w:rPr>
              <w:fldChar w:fldCharType="begin"/>
            </w:r>
            <w:r w:rsidR="000E4E66">
              <w:rPr>
                <w:webHidden/>
              </w:rPr>
              <w:instrText xml:space="preserve"> PAGEREF _Toc117776278 \h </w:instrText>
            </w:r>
            <w:r w:rsidR="000E4E66">
              <w:rPr>
                <w:webHidden/>
              </w:rPr>
            </w:r>
            <w:r w:rsidR="000E4E66">
              <w:rPr>
                <w:webHidden/>
              </w:rPr>
              <w:fldChar w:fldCharType="separate"/>
            </w:r>
            <w:r w:rsidR="000E4E66">
              <w:rPr>
                <w:webHidden/>
              </w:rPr>
              <w:t>5</w:t>
            </w:r>
            <w:r w:rsidR="000E4E66">
              <w:rPr>
                <w:webHidden/>
              </w:rPr>
              <w:fldChar w:fldCharType="end"/>
            </w:r>
          </w:hyperlink>
        </w:p>
        <w:p w14:paraId="341DDA08" w14:textId="4198FDDB" w:rsidR="000E4E66" w:rsidRDefault="000E4E66">
          <w:pPr>
            <w:pStyle w:val="TM1"/>
            <w:rPr>
              <w:rFonts w:asciiTheme="minorHAnsi" w:eastAsiaTheme="minorEastAsia" w:hAnsiTheme="minorHAnsi" w:cstheme="minorBidi"/>
              <w:b w:val="0"/>
              <w:sz w:val="22"/>
              <w:szCs w:val="22"/>
              <w:lang w:val="fr-FR" w:eastAsia="fr-FR"/>
            </w:rPr>
          </w:pPr>
          <w:hyperlink w:anchor="_Toc117776279" w:history="1">
            <w:r w:rsidRPr="00841332">
              <w:rPr>
                <w:rStyle w:val="Lienhypertexte"/>
                <w:lang w:eastAsia="fi-FI"/>
              </w:rPr>
              <w:t>Glossary</w:t>
            </w:r>
            <w:r>
              <w:rPr>
                <w:webHidden/>
              </w:rPr>
              <w:tab/>
            </w:r>
            <w:r>
              <w:rPr>
                <w:webHidden/>
              </w:rPr>
              <w:fldChar w:fldCharType="begin"/>
            </w:r>
            <w:r>
              <w:rPr>
                <w:webHidden/>
              </w:rPr>
              <w:instrText xml:space="preserve"> PAGEREF _Toc117776279 \h </w:instrText>
            </w:r>
            <w:r>
              <w:rPr>
                <w:webHidden/>
              </w:rPr>
            </w:r>
            <w:r>
              <w:rPr>
                <w:webHidden/>
              </w:rPr>
              <w:fldChar w:fldCharType="separate"/>
            </w:r>
            <w:r>
              <w:rPr>
                <w:webHidden/>
              </w:rPr>
              <w:t>6</w:t>
            </w:r>
            <w:r>
              <w:rPr>
                <w:webHidden/>
              </w:rPr>
              <w:fldChar w:fldCharType="end"/>
            </w:r>
          </w:hyperlink>
        </w:p>
        <w:p w14:paraId="78422DBC" w14:textId="1C1BDE38" w:rsidR="000E4E66" w:rsidRDefault="000E4E66">
          <w:pPr>
            <w:pStyle w:val="TM1"/>
            <w:rPr>
              <w:rFonts w:asciiTheme="minorHAnsi" w:eastAsiaTheme="minorEastAsia" w:hAnsiTheme="minorHAnsi" w:cstheme="minorBidi"/>
              <w:b w:val="0"/>
              <w:sz w:val="22"/>
              <w:szCs w:val="22"/>
              <w:lang w:val="fr-FR" w:eastAsia="fr-FR"/>
            </w:rPr>
          </w:pPr>
          <w:hyperlink w:anchor="_Toc117776280" w:history="1">
            <w:r w:rsidRPr="00841332">
              <w:rPr>
                <w:rStyle w:val="Lienhypertexte"/>
                <w:lang w:val="en-US"/>
              </w:rPr>
              <w:t>1</w:t>
            </w:r>
            <w:r>
              <w:rPr>
                <w:rFonts w:asciiTheme="minorHAnsi" w:eastAsiaTheme="minorEastAsia" w:hAnsiTheme="minorHAnsi" w:cstheme="minorBidi"/>
                <w:b w:val="0"/>
                <w:sz w:val="22"/>
                <w:szCs w:val="22"/>
                <w:lang w:val="fr-FR" w:eastAsia="fr-FR"/>
              </w:rPr>
              <w:tab/>
            </w:r>
            <w:r w:rsidRPr="00841332">
              <w:rPr>
                <w:rStyle w:val="Lienhypertexte"/>
              </w:rPr>
              <w:t>Overview of the substance</w:t>
            </w:r>
            <w:r>
              <w:rPr>
                <w:webHidden/>
              </w:rPr>
              <w:tab/>
            </w:r>
            <w:r>
              <w:rPr>
                <w:webHidden/>
              </w:rPr>
              <w:fldChar w:fldCharType="begin"/>
            </w:r>
            <w:r>
              <w:rPr>
                <w:webHidden/>
              </w:rPr>
              <w:instrText xml:space="preserve"> PAGEREF _Toc117776280 \h </w:instrText>
            </w:r>
            <w:r>
              <w:rPr>
                <w:webHidden/>
              </w:rPr>
            </w:r>
            <w:r>
              <w:rPr>
                <w:webHidden/>
              </w:rPr>
              <w:fldChar w:fldCharType="separate"/>
            </w:r>
            <w:r>
              <w:rPr>
                <w:webHidden/>
              </w:rPr>
              <w:t>8</w:t>
            </w:r>
            <w:r>
              <w:rPr>
                <w:webHidden/>
              </w:rPr>
              <w:fldChar w:fldCharType="end"/>
            </w:r>
          </w:hyperlink>
        </w:p>
        <w:p w14:paraId="1DE18B6C" w14:textId="71E4FFDB" w:rsidR="000E4E66" w:rsidRDefault="000E4E66">
          <w:pPr>
            <w:pStyle w:val="TM2"/>
            <w:rPr>
              <w:rFonts w:asciiTheme="minorHAnsi" w:eastAsiaTheme="minorEastAsia" w:hAnsiTheme="minorHAnsi" w:cstheme="minorBidi"/>
              <w:sz w:val="22"/>
              <w:szCs w:val="22"/>
              <w:lang w:val="fr-FR" w:eastAsia="fr-FR"/>
            </w:rPr>
          </w:pPr>
          <w:hyperlink w:anchor="_Toc117776281" w:history="1">
            <w:r w:rsidRPr="00841332">
              <w:rPr>
                <w:rStyle w:val="Lienhypertexte"/>
              </w:rPr>
              <w:t>1.1</w:t>
            </w:r>
            <w:r>
              <w:rPr>
                <w:rFonts w:asciiTheme="minorHAnsi" w:eastAsiaTheme="minorEastAsia" w:hAnsiTheme="minorHAnsi" w:cstheme="minorBidi"/>
                <w:sz w:val="22"/>
                <w:szCs w:val="22"/>
                <w:lang w:val="fr-FR" w:eastAsia="fr-FR"/>
              </w:rPr>
              <w:tab/>
            </w:r>
            <w:r w:rsidRPr="00841332">
              <w:rPr>
                <w:rStyle w:val="Lienhypertexte"/>
              </w:rPr>
              <w:t>Substance identifiers</w:t>
            </w:r>
            <w:r>
              <w:rPr>
                <w:webHidden/>
              </w:rPr>
              <w:tab/>
            </w:r>
            <w:r>
              <w:rPr>
                <w:webHidden/>
              </w:rPr>
              <w:fldChar w:fldCharType="begin"/>
            </w:r>
            <w:r>
              <w:rPr>
                <w:webHidden/>
              </w:rPr>
              <w:instrText xml:space="preserve"> PAGEREF _Toc117776281 \h </w:instrText>
            </w:r>
            <w:r>
              <w:rPr>
                <w:webHidden/>
              </w:rPr>
            </w:r>
            <w:r>
              <w:rPr>
                <w:webHidden/>
              </w:rPr>
              <w:fldChar w:fldCharType="separate"/>
            </w:r>
            <w:r>
              <w:rPr>
                <w:webHidden/>
              </w:rPr>
              <w:t>8</w:t>
            </w:r>
            <w:r>
              <w:rPr>
                <w:webHidden/>
              </w:rPr>
              <w:fldChar w:fldCharType="end"/>
            </w:r>
          </w:hyperlink>
        </w:p>
        <w:p w14:paraId="70AE671A" w14:textId="11FE3BA5" w:rsidR="000E4E66" w:rsidRDefault="000E4E66">
          <w:pPr>
            <w:pStyle w:val="TM2"/>
            <w:rPr>
              <w:rFonts w:asciiTheme="minorHAnsi" w:eastAsiaTheme="minorEastAsia" w:hAnsiTheme="minorHAnsi" w:cstheme="minorBidi"/>
              <w:sz w:val="22"/>
              <w:szCs w:val="22"/>
              <w:lang w:val="fr-FR" w:eastAsia="fr-FR"/>
            </w:rPr>
          </w:pPr>
          <w:hyperlink w:anchor="_Toc117776282" w:history="1">
            <w:r w:rsidRPr="00841332">
              <w:rPr>
                <w:rStyle w:val="Lienhypertexte"/>
              </w:rPr>
              <w:t>1.2</w:t>
            </w:r>
            <w:r>
              <w:rPr>
                <w:rFonts w:asciiTheme="minorHAnsi" w:eastAsiaTheme="minorEastAsia" w:hAnsiTheme="minorHAnsi" w:cstheme="minorBidi"/>
                <w:sz w:val="22"/>
                <w:szCs w:val="22"/>
                <w:lang w:val="fr-FR" w:eastAsia="fr-FR"/>
              </w:rPr>
              <w:tab/>
            </w:r>
            <w:r w:rsidRPr="00841332">
              <w:rPr>
                <w:rStyle w:val="Lienhypertexte"/>
              </w:rPr>
              <w:t>Completed or ongoing process</w:t>
            </w:r>
            <w:r>
              <w:rPr>
                <w:webHidden/>
              </w:rPr>
              <w:tab/>
            </w:r>
            <w:r>
              <w:rPr>
                <w:webHidden/>
              </w:rPr>
              <w:fldChar w:fldCharType="begin"/>
            </w:r>
            <w:r>
              <w:rPr>
                <w:webHidden/>
              </w:rPr>
              <w:instrText xml:space="preserve"> PAGEREF _Toc117776282 \h </w:instrText>
            </w:r>
            <w:r>
              <w:rPr>
                <w:webHidden/>
              </w:rPr>
            </w:r>
            <w:r>
              <w:rPr>
                <w:webHidden/>
              </w:rPr>
              <w:fldChar w:fldCharType="separate"/>
            </w:r>
            <w:r>
              <w:rPr>
                <w:webHidden/>
              </w:rPr>
              <w:t>9</w:t>
            </w:r>
            <w:r>
              <w:rPr>
                <w:webHidden/>
              </w:rPr>
              <w:fldChar w:fldCharType="end"/>
            </w:r>
          </w:hyperlink>
        </w:p>
        <w:p w14:paraId="6DB64B7A" w14:textId="13E83BDA" w:rsidR="000E4E66" w:rsidRDefault="000E4E66">
          <w:pPr>
            <w:pStyle w:val="TM2"/>
            <w:rPr>
              <w:rFonts w:asciiTheme="minorHAnsi" w:eastAsiaTheme="minorEastAsia" w:hAnsiTheme="minorHAnsi" w:cstheme="minorBidi"/>
              <w:sz w:val="22"/>
              <w:szCs w:val="22"/>
              <w:lang w:val="fr-FR" w:eastAsia="fr-FR"/>
            </w:rPr>
          </w:pPr>
          <w:hyperlink w:anchor="_Toc117776283" w:history="1">
            <w:r w:rsidRPr="00841332">
              <w:rPr>
                <w:rStyle w:val="Lienhypertexte"/>
              </w:rPr>
              <w:t>1.3</w:t>
            </w:r>
            <w:r>
              <w:rPr>
                <w:rFonts w:asciiTheme="minorHAnsi" w:eastAsiaTheme="minorEastAsia" w:hAnsiTheme="minorHAnsi" w:cstheme="minorBidi"/>
                <w:sz w:val="22"/>
                <w:szCs w:val="22"/>
                <w:lang w:val="fr-FR" w:eastAsia="fr-FR"/>
              </w:rPr>
              <w:tab/>
            </w:r>
            <w:r w:rsidRPr="00841332">
              <w:rPr>
                <w:rStyle w:val="Lienhypertexte"/>
              </w:rPr>
              <w:t>Regulatory process</w:t>
            </w:r>
            <w:r>
              <w:rPr>
                <w:webHidden/>
              </w:rPr>
              <w:tab/>
            </w:r>
            <w:r>
              <w:rPr>
                <w:webHidden/>
              </w:rPr>
              <w:fldChar w:fldCharType="begin"/>
            </w:r>
            <w:r>
              <w:rPr>
                <w:webHidden/>
              </w:rPr>
              <w:instrText xml:space="preserve"> PAGEREF _Toc117776283 \h </w:instrText>
            </w:r>
            <w:r>
              <w:rPr>
                <w:webHidden/>
              </w:rPr>
            </w:r>
            <w:r>
              <w:rPr>
                <w:webHidden/>
              </w:rPr>
              <w:fldChar w:fldCharType="separate"/>
            </w:r>
            <w:r>
              <w:rPr>
                <w:webHidden/>
              </w:rPr>
              <w:t>9</w:t>
            </w:r>
            <w:r>
              <w:rPr>
                <w:webHidden/>
              </w:rPr>
              <w:fldChar w:fldCharType="end"/>
            </w:r>
          </w:hyperlink>
        </w:p>
        <w:p w14:paraId="057A6B0E" w14:textId="425353F0" w:rsidR="000E4E66" w:rsidRDefault="000E4E66">
          <w:pPr>
            <w:pStyle w:val="TM2"/>
            <w:rPr>
              <w:rFonts w:asciiTheme="minorHAnsi" w:eastAsiaTheme="minorEastAsia" w:hAnsiTheme="minorHAnsi" w:cstheme="minorBidi"/>
              <w:sz w:val="22"/>
              <w:szCs w:val="22"/>
              <w:lang w:val="fr-FR" w:eastAsia="fr-FR"/>
            </w:rPr>
          </w:pPr>
          <w:hyperlink w:anchor="_Toc117776284" w:history="1">
            <w:r w:rsidRPr="00841332">
              <w:rPr>
                <w:rStyle w:val="Lienhypertexte"/>
              </w:rPr>
              <w:t>1.4</w:t>
            </w:r>
            <w:r>
              <w:rPr>
                <w:rFonts w:asciiTheme="minorHAnsi" w:eastAsiaTheme="minorEastAsia" w:hAnsiTheme="minorHAnsi" w:cstheme="minorBidi"/>
                <w:sz w:val="22"/>
                <w:szCs w:val="22"/>
                <w:lang w:val="fr-FR" w:eastAsia="fr-FR"/>
              </w:rPr>
              <w:tab/>
            </w:r>
            <w:r w:rsidRPr="00841332">
              <w:rPr>
                <w:rStyle w:val="Lienhypertexte"/>
              </w:rPr>
              <w:t>Information on tonnage and uses</w:t>
            </w:r>
            <w:r>
              <w:rPr>
                <w:webHidden/>
              </w:rPr>
              <w:tab/>
            </w:r>
            <w:r>
              <w:rPr>
                <w:webHidden/>
              </w:rPr>
              <w:fldChar w:fldCharType="begin"/>
            </w:r>
            <w:r>
              <w:rPr>
                <w:webHidden/>
              </w:rPr>
              <w:instrText xml:space="preserve"> PAGEREF _Toc117776284 \h </w:instrText>
            </w:r>
            <w:r>
              <w:rPr>
                <w:webHidden/>
              </w:rPr>
            </w:r>
            <w:r>
              <w:rPr>
                <w:webHidden/>
              </w:rPr>
              <w:fldChar w:fldCharType="separate"/>
            </w:r>
            <w:r>
              <w:rPr>
                <w:webHidden/>
              </w:rPr>
              <w:t>12</w:t>
            </w:r>
            <w:r>
              <w:rPr>
                <w:webHidden/>
              </w:rPr>
              <w:fldChar w:fldCharType="end"/>
            </w:r>
          </w:hyperlink>
        </w:p>
        <w:p w14:paraId="4469A292" w14:textId="08EA9DE9" w:rsidR="000E4E66" w:rsidRDefault="000E4E66">
          <w:pPr>
            <w:pStyle w:val="TM2"/>
            <w:rPr>
              <w:rFonts w:asciiTheme="minorHAnsi" w:eastAsiaTheme="minorEastAsia" w:hAnsiTheme="minorHAnsi" w:cstheme="minorBidi"/>
              <w:sz w:val="22"/>
              <w:szCs w:val="22"/>
              <w:lang w:val="fr-FR" w:eastAsia="fr-FR"/>
            </w:rPr>
          </w:pPr>
          <w:hyperlink w:anchor="_Toc117776285" w:history="1">
            <w:r w:rsidRPr="00841332">
              <w:rPr>
                <w:rStyle w:val="Lienhypertexte"/>
              </w:rPr>
              <w:t>1.5</w:t>
            </w:r>
            <w:r>
              <w:rPr>
                <w:rFonts w:asciiTheme="minorHAnsi" w:eastAsiaTheme="minorEastAsia" w:hAnsiTheme="minorHAnsi" w:cstheme="minorBidi"/>
                <w:sz w:val="22"/>
                <w:szCs w:val="22"/>
                <w:lang w:val="fr-FR" w:eastAsia="fr-FR"/>
              </w:rPr>
              <w:tab/>
            </w:r>
            <w:r w:rsidRPr="00841332">
              <w:rPr>
                <w:rStyle w:val="Lienhypertexte"/>
              </w:rPr>
              <w:t>Hazard information (including classification)</w:t>
            </w:r>
            <w:r>
              <w:rPr>
                <w:webHidden/>
              </w:rPr>
              <w:tab/>
            </w:r>
            <w:r>
              <w:rPr>
                <w:webHidden/>
              </w:rPr>
              <w:fldChar w:fldCharType="begin"/>
            </w:r>
            <w:r>
              <w:rPr>
                <w:webHidden/>
              </w:rPr>
              <w:instrText xml:space="preserve"> PAGEREF _Toc117776285 \h </w:instrText>
            </w:r>
            <w:r>
              <w:rPr>
                <w:webHidden/>
              </w:rPr>
            </w:r>
            <w:r>
              <w:rPr>
                <w:webHidden/>
              </w:rPr>
              <w:fldChar w:fldCharType="separate"/>
            </w:r>
            <w:r>
              <w:rPr>
                <w:webHidden/>
              </w:rPr>
              <w:t>18</w:t>
            </w:r>
            <w:r>
              <w:rPr>
                <w:webHidden/>
              </w:rPr>
              <w:fldChar w:fldCharType="end"/>
            </w:r>
          </w:hyperlink>
        </w:p>
        <w:p w14:paraId="238E9481" w14:textId="7AC23BFE" w:rsidR="000E4E66" w:rsidRDefault="000E4E66">
          <w:pPr>
            <w:pStyle w:val="TM2"/>
            <w:rPr>
              <w:rFonts w:asciiTheme="minorHAnsi" w:eastAsiaTheme="minorEastAsia" w:hAnsiTheme="minorHAnsi" w:cstheme="minorBidi"/>
              <w:sz w:val="22"/>
              <w:szCs w:val="22"/>
              <w:lang w:val="fr-FR" w:eastAsia="fr-FR"/>
            </w:rPr>
          </w:pPr>
          <w:hyperlink w:anchor="_Toc117776286" w:history="1">
            <w:r w:rsidRPr="00841332">
              <w:rPr>
                <w:rStyle w:val="Lienhypertexte"/>
              </w:rPr>
              <w:t>1.6</w:t>
            </w:r>
            <w:r>
              <w:rPr>
                <w:rFonts w:asciiTheme="minorHAnsi" w:eastAsiaTheme="minorEastAsia" w:hAnsiTheme="minorHAnsi" w:cstheme="minorBidi"/>
                <w:sz w:val="22"/>
                <w:szCs w:val="22"/>
                <w:lang w:val="fr-FR" w:eastAsia="fr-FR"/>
              </w:rPr>
              <w:tab/>
            </w:r>
            <w:r w:rsidRPr="00841332">
              <w:rPr>
                <w:rStyle w:val="Lienhypertexte"/>
              </w:rPr>
              <w:t>Risk characterisation</w:t>
            </w:r>
            <w:r>
              <w:rPr>
                <w:webHidden/>
              </w:rPr>
              <w:tab/>
            </w:r>
            <w:r>
              <w:rPr>
                <w:webHidden/>
              </w:rPr>
              <w:fldChar w:fldCharType="begin"/>
            </w:r>
            <w:r>
              <w:rPr>
                <w:webHidden/>
              </w:rPr>
              <w:instrText xml:space="preserve"> PAGEREF _Toc117776286 \h </w:instrText>
            </w:r>
            <w:r>
              <w:rPr>
                <w:webHidden/>
              </w:rPr>
            </w:r>
            <w:r>
              <w:rPr>
                <w:webHidden/>
              </w:rPr>
              <w:fldChar w:fldCharType="separate"/>
            </w:r>
            <w:r>
              <w:rPr>
                <w:webHidden/>
              </w:rPr>
              <w:t>22</w:t>
            </w:r>
            <w:r>
              <w:rPr>
                <w:webHidden/>
              </w:rPr>
              <w:fldChar w:fldCharType="end"/>
            </w:r>
          </w:hyperlink>
        </w:p>
        <w:p w14:paraId="2FE3EE0F" w14:textId="711379FB" w:rsidR="000E4E66" w:rsidRDefault="000E4E66">
          <w:pPr>
            <w:pStyle w:val="TM2"/>
            <w:rPr>
              <w:rFonts w:asciiTheme="minorHAnsi" w:eastAsiaTheme="minorEastAsia" w:hAnsiTheme="minorHAnsi" w:cstheme="minorBidi"/>
              <w:sz w:val="22"/>
              <w:szCs w:val="22"/>
              <w:lang w:val="fr-FR" w:eastAsia="fr-FR"/>
            </w:rPr>
          </w:pPr>
          <w:hyperlink w:anchor="_Toc117776287" w:history="1">
            <w:r w:rsidRPr="00841332">
              <w:rPr>
                <w:rStyle w:val="Lienhypertexte"/>
              </w:rPr>
              <w:t>1.7</w:t>
            </w:r>
            <w:r>
              <w:rPr>
                <w:rFonts w:asciiTheme="minorHAnsi" w:eastAsiaTheme="minorEastAsia" w:hAnsiTheme="minorHAnsi" w:cstheme="minorBidi"/>
                <w:sz w:val="22"/>
                <w:szCs w:val="22"/>
                <w:lang w:val="fr-FR" w:eastAsia="fr-FR"/>
              </w:rPr>
              <w:tab/>
            </w:r>
            <w:r w:rsidRPr="00841332">
              <w:rPr>
                <w:rStyle w:val="Lienhypertexte"/>
              </w:rPr>
              <w:t>Information on alternatives</w:t>
            </w:r>
            <w:r>
              <w:rPr>
                <w:webHidden/>
              </w:rPr>
              <w:tab/>
            </w:r>
            <w:r>
              <w:rPr>
                <w:webHidden/>
              </w:rPr>
              <w:fldChar w:fldCharType="begin"/>
            </w:r>
            <w:r>
              <w:rPr>
                <w:webHidden/>
              </w:rPr>
              <w:instrText xml:space="preserve"> PAGEREF _Toc117776287 \h </w:instrText>
            </w:r>
            <w:r>
              <w:rPr>
                <w:webHidden/>
              </w:rPr>
            </w:r>
            <w:r>
              <w:rPr>
                <w:webHidden/>
              </w:rPr>
              <w:fldChar w:fldCharType="separate"/>
            </w:r>
            <w:r>
              <w:rPr>
                <w:webHidden/>
              </w:rPr>
              <w:t>23</w:t>
            </w:r>
            <w:r>
              <w:rPr>
                <w:webHidden/>
              </w:rPr>
              <w:fldChar w:fldCharType="end"/>
            </w:r>
          </w:hyperlink>
        </w:p>
        <w:p w14:paraId="56307D14" w14:textId="293E12F5" w:rsidR="000E4E66" w:rsidRDefault="000E4E66">
          <w:pPr>
            <w:pStyle w:val="TM1"/>
            <w:rPr>
              <w:rFonts w:asciiTheme="minorHAnsi" w:eastAsiaTheme="minorEastAsia" w:hAnsiTheme="minorHAnsi" w:cstheme="minorBidi"/>
              <w:b w:val="0"/>
              <w:sz w:val="22"/>
              <w:szCs w:val="22"/>
              <w:lang w:val="fr-FR" w:eastAsia="fr-FR"/>
            </w:rPr>
          </w:pPr>
          <w:hyperlink w:anchor="_Toc117776288" w:history="1">
            <w:r w:rsidRPr="00841332">
              <w:rPr>
                <w:rStyle w:val="Lienhypertexte"/>
                <w:lang w:val="en-US"/>
              </w:rPr>
              <w:t>2</w:t>
            </w:r>
            <w:r>
              <w:rPr>
                <w:rFonts w:asciiTheme="minorHAnsi" w:eastAsiaTheme="minorEastAsia" w:hAnsiTheme="minorHAnsi" w:cstheme="minorBidi"/>
                <w:b w:val="0"/>
                <w:sz w:val="22"/>
                <w:szCs w:val="22"/>
                <w:lang w:val="fr-FR" w:eastAsia="fr-FR"/>
              </w:rPr>
              <w:tab/>
            </w:r>
            <w:r w:rsidRPr="00841332">
              <w:rPr>
                <w:rStyle w:val="Lienhypertexte"/>
              </w:rPr>
              <w:t>Justification for the (no) need for regulatory risk management action at EU level</w:t>
            </w:r>
            <w:r>
              <w:rPr>
                <w:webHidden/>
              </w:rPr>
              <w:tab/>
            </w:r>
            <w:r>
              <w:rPr>
                <w:webHidden/>
              </w:rPr>
              <w:fldChar w:fldCharType="begin"/>
            </w:r>
            <w:r>
              <w:rPr>
                <w:webHidden/>
              </w:rPr>
              <w:instrText xml:space="preserve"> PAGEREF _Toc117776288 \h </w:instrText>
            </w:r>
            <w:r>
              <w:rPr>
                <w:webHidden/>
              </w:rPr>
            </w:r>
            <w:r>
              <w:rPr>
                <w:webHidden/>
              </w:rPr>
              <w:fldChar w:fldCharType="separate"/>
            </w:r>
            <w:r>
              <w:rPr>
                <w:webHidden/>
              </w:rPr>
              <w:t>23</w:t>
            </w:r>
            <w:r>
              <w:rPr>
                <w:webHidden/>
              </w:rPr>
              <w:fldChar w:fldCharType="end"/>
            </w:r>
          </w:hyperlink>
        </w:p>
        <w:p w14:paraId="1D3B5AFC" w14:textId="623BC717" w:rsidR="000E4E66" w:rsidRDefault="000E4E66">
          <w:pPr>
            <w:pStyle w:val="TM3"/>
            <w:rPr>
              <w:rFonts w:asciiTheme="minorHAnsi" w:eastAsiaTheme="minorEastAsia" w:hAnsiTheme="minorHAnsi" w:cstheme="minorBidi"/>
              <w:noProof/>
              <w:sz w:val="22"/>
              <w:szCs w:val="22"/>
              <w:lang w:val="fr-FR" w:eastAsia="fr-FR"/>
            </w:rPr>
          </w:pPr>
          <w:hyperlink w:anchor="_Toc117776289" w:history="1">
            <w:r w:rsidRPr="00841332">
              <w:rPr>
                <w:rStyle w:val="Lienhypertexte"/>
                <w:noProof/>
              </w:rPr>
              <w:t>2.1 CLP regulation</w:t>
            </w:r>
            <w:r>
              <w:rPr>
                <w:noProof/>
                <w:webHidden/>
              </w:rPr>
              <w:tab/>
            </w:r>
            <w:r>
              <w:rPr>
                <w:noProof/>
                <w:webHidden/>
              </w:rPr>
              <w:fldChar w:fldCharType="begin"/>
            </w:r>
            <w:r>
              <w:rPr>
                <w:noProof/>
                <w:webHidden/>
              </w:rPr>
              <w:instrText xml:space="preserve"> PAGEREF _Toc117776289 \h </w:instrText>
            </w:r>
            <w:r>
              <w:rPr>
                <w:noProof/>
                <w:webHidden/>
              </w:rPr>
            </w:r>
            <w:r>
              <w:rPr>
                <w:noProof/>
                <w:webHidden/>
              </w:rPr>
              <w:fldChar w:fldCharType="separate"/>
            </w:r>
            <w:r>
              <w:rPr>
                <w:noProof/>
                <w:webHidden/>
              </w:rPr>
              <w:t>23</w:t>
            </w:r>
            <w:r>
              <w:rPr>
                <w:noProof/>
                <w:webHidden/>
              </w:rPr>
              <w:fldChar w:fldCharType="end"/>
            </w:r>
          </w:hyperlink>
        </w:p>
        <w:p w14:paraId="091E2C8C" w14:textId="0E2405E5" w:rsidR="000E4E66" w:rsidRDefault="000E4E66">
          <w:pPr>
            <w:pStyle w:val="TM3"/>
            <w:rPr>
              <w:rFonts w:asciiTheme="minorHAnsi" w:eastAsiaTheme="minorEastAsia" w:hAnsiTheme="minorHAnsi" w:cstheme="minorBidi"/>
              <w:noProof/>
              <w:sz w:val="22"/>
              <w:szCs w:val="22"/>
              <w:lang w:val="fr-FR" w:eastAsia="fr-FR"/>
            </w:rPr>
          </w:pPr>
          <w:hyperlink w:anchor="_Toc117776290" w:history="1">
            <w:r w:rsidRPr="00841332">
              <w:rPr>
                <w:rStyle w:val="Lienhypertexte"/>
                <w:noProof/>
              </w:rPr>
              <w:t>2.2. Substance Evaluation</w:t>
            </w:r>
            <w:r>
              <w:rPr>
                <w:noProof/>
                <w:webHidden/>
              </w:rPr>
              <w:tab/>
            </w:r>
            <w:r>
              <w:rPr>
                <w:noProof/>
                <w:webHidden/>
              </w:rPr>
              <w:fldChar w:fldCharType="begin"/>
            </w:r>
            <w:r>
              <w:rPr>
                <w:noProof/>
                <w:webHidden/>
              </w:rPr>
              <w:instrText xml:space="preserve"> PAGEREF _Toc117776290 \h </w:instrText>
            </w:r>
            <w:r>
              <w:rPr>
                <w:noProof/>
                <w:webHidden/>
              </w:rPr>
            </w:r>
            <w:r>
              <w:rPr>
                <w:noProof/>
                <w:webHidden/>
              </w:rPr>
              <w:fldChar w:fldCharType="separate"/>
            </w:r>
            <w:r>
              <w:rPr>
                <w:noProof/>
                <w:webHidden/>
              </w:rPr>
              <w:t>24</w:t>
            </w:r>
            <w:r>
              <w:rPr>
                <w:noProof/>
                <w:webHidden/>
              </w:rPr>
              <w:fldChar w:fldCharType="end"/>
            </w:r>
          </w:hyperlink>
        </w:p>
        <w:p w14:paraId="659FB6C5" w14:textId="25CB0178" w:rsidR="000E4E66" w:rsidRDefault="000E4E66">
          <w:pPr>
            <w:pStyle w:val="TM3"/>
            <w:rPr>
              <w:rFonts w:asciiTheme="minorHAnsi" w:eastAsiaTheme="minorEastAsia" w:hAnsiTheme="minorHAnsi" w:cstheme="minorBidi"/>
              <w:noProof/>
              <w:sz w:val="22"/>
              <w:szCs w:val="22"/>
              <w:lang w:val="fr-FR" w:eastAsia="fr-FR"/>
            </w:rPr>
          </w:pPr>
          <w:hyperlink w:anchor="_Toc117776291" w:history="1">
            <w:r w:rsidRPr="00841332">
              <w:rPr>
                <w:rStyle w:val="Lienhypertexte"/>
                <w:noProof/>
              </w:rPr>
              <w:t>2.3. Authorisation</w:t>
            </w:r>
            <w:r>
              <w:rPr>
                <w:noProof/>
                <w:webHidden/>
              </w:rPr>
              <w:tab/>
            </w:r>
            <w:r>
              <w:rPr>
                <w:noProof/>
                <w:webHidden/>
              </w:rPr>
              <w:fldChar w:fldCharType="begin"/>
            </w:r>
            <w:r>
              <w:rPr>
                <w:noProof/>
                <w:webHidden/>
              </w:rPr>
              <w:instrText xml:space="preserve"> PAGEREF _Toc117776291 \h </w:instrText>
            </w:r>
            <w:r>
              <w:rPr>
                <w:noProof/>
                <w:webHidden/>
              </w:rPr>
            </w:r>
            <w:r>
              <w:rPr>
                <w:noProof/>
                <w:webHidden/>
              </w:rPr>
              <w:fldChar w:fldCharType="separate"/>
            </w:r>
            <w:r>
              <w:rPr>
                <w:noProof/>
                <w:webHidden/>
              </w:rPr>
              <w:t>25</w:t>
            </w:r>
            <w:r>
              <w:rPr>
                <w:noProof/>
                <w:webHidden/>
              </w:rPr>
              <w:fldChar w:fldCharType="end"/>
            </w:r>
          </w:hyperlink>
        </w:p>
        <w:p w14:paraId="3B33A172" w14:textId="5F6E02ED" w:rsidR="000E4E66" w:rsidRDefault="000E4E66">
          <w:pPr>
            <w:pStyle w:val="TM3"/>
            <w:rPr>
              <w:rFonts w:asciiTheme="minorHAnsi" w:eastAsiaTheme="minorEastAsia" w:hAnsiTheme="minorHAnsi" w:cstheme="minorBidi"/>
              <w:noProof/>
              <w:sz w:val="22"/>
              <w:szCs w:val="22"/>
              <w:lang w:val="fr-FR" w:eastAsia="fr-FR"/>
            </w:rPr>
          </w:pPr>
          <w:hyperlink w:anchor="_Toc117776292" w:history="1">
            <w:r w:rsidRPr="00841332">
              <w:rPr>
                <w:rStyle w:val="Lienhypertexte"/>
                <w:noProof/>
              </w:rPr>
              <w:t>2.4 Restriction</w:t>
            </w:r>
            <w:r>
              <w:rPr>
                <w:noProof/>
                <w:webHidden/>
              </w:rPr>
              <w:tab/>
            </w:r>
            <w:r>
              <w:rPr>
                <w:noProof/>
                <w:webHidden/>
              </w:rPr>
              <w:fldChar w:fldCharType="begin"/>
            </w:r>
            <w:r>
              <w:rPr>
                <w:noProof/>
                <w:webHidden/>
              </w:rPr>
              <w:instrText xml:space="preserve"> PAGEREF _Toc117776292 \h </w:instrText>
            </w:r>
            <w:r>
              <w:rPr>
                <w:noProof/>
                <w:webHidden/>
              </w:rPr>
            </w:r>
            <w:r>
              <w:rPr>
                <w:noProof/>
                <w:webHidden/>
              </w:rPr>
              <w:fldChar w:fldCharType="separate"/>
            </w:r>
            <w:r>
              <w:rPr>
                <w:noProof/>
                <w:webHidden/>
              </w:rPr>
              <w:t>28</w:t>
            </w:r>
            <w:r>
              <w:rPr>
                <w:noProof/>
                <w:webHidden/>
              </w:rPr>
              <w:fldChar w:fldCharType="end"/>
            </w:r>
          </w:hyperlink>
        </w:p>
        <w:p w14:paraId="46C5723F" w14:textId="5317596E" w:rsidR="000E4E66" w:rsidRDefault="000E4E66">
          <w:pPr>
            <w:pStyle w:val="TM3"/>
            <w:rPr>
              <w:rFonts w:asciiTheme="minorHAnsi" w:eastAsiaTheme="minorEastAsia" w:hAnsiTheme="minorHAnsi" w:cstheme="minorBidi"/>
              <w:noProof/>
              <w:sz w:val="22"/>
              <w:szCs w:val="22"/>
              <w:lang w:val="fr-FR" w:eastAsia="fr-FR"/>
            </w:rPr>
          </w:pPr>
          <w:hyperlink w:anchor="_Toc117776293" w:history="1">
            <w:r w:rsidRPr="00841332">
              <w:rPr>
                <w:rStyle w:val="Lienhypertexte"/>
                <w:noProof/>
              </w:rPr>
              <w:t>2.5 Other EU-wide regulatory risk management measures: CAD</w:t>
            </w:r>
            <w:r>
              <w:rPr>
                <w:noProof/>
                <w:webHidden/>
              </w:rPr>
              <w:tab/>
            </w:r>
            <w:r>
              <w:rPr>
                <w:noProof/>
                <w:webHidden/>
              </w:rPr>
              <w:fldChar w:fldCharType="begin"/>
            </w:r>
            <w:r>
              <w:rPr>
                <w:noProof/>
                <w:webHidden/>
              </w:rPr>
              <w:instrText xml:space="preserve"> PAGEREF _Toc117776293 \h </w:instrText>
            </w:r>
            <w:r>
              <w:rPr>
                <w:noProof/>
                <w:webHidden/>
              </w:rPr>
            </w:r>
            <w:r>
              <w:rPr>
                <w:noProof/>
                <w:webHidden/>
              </w:rPr>
              <w:fldChar w:fldCharType="separate"/>
            </w:r>
            <w:r>
              <w:rPr>
                <w:noProof/>
                <w:webHidden/>
              </w:rPr>
              <w:t>28</w:t>
            </w:r>
            <w:r>
              <w:rPr>
                <w:noProof/>
                <w:webHidden/>
              </w:rPr>
              <w:fldChar w:fldCharType="end"/>
            </w:r>
          </w:hyperlink>
        </w:p>
        <w:p w14:paraId="1FBCC0F1" w14:textId="2C00E70C" w:rsidR="000E4E66" w:rsidRDefault="000E4E66">
          <w:pPr>
            <w:pStyle w:val="TM1"/>
            <w:rPr>
              <w:rFonts w:asciiTheme="minorHAnsi" w:eastAsiaTheme="minorEastAsia" w:hAnsiTheme="minorHAnsi" w:cstheme="minorBidi"/>
              <w:b w:val="0"/>
              <w:sz w:val="22"/>
              <w:szCs w:val="22"/>
              <w:lang w:val="fr-FR" w:eastAsia="fr-FR"/>
            </w:rPr>
          </w:pPr>
          <w:hyperlink w:anchor="_Toc117776294" w:history="1">
            <w:r w:rsidRPr="00841332">
              <w:rPr>
                <w:rStyle w:val="Lienhypertexte"/>
                <w:lang w:val="en-US"/>
              </w:rPr>
              <w:t>3</w:t>
            </w:r>
            <w:r>
              <w:rPr>
                <w:rFonts w:asciiTheme="minorHAnsi" w:eastAsiaTheme="minorEastAsia" w:hAnsiTheme="minorHAnsi" w:cstheme="minorBidi"/>
                <w:b w:val="0"/>
                <w:sz w:val="22"/>
                <w:szCs w:val="22"/>
                <w:lang w:val="fr-FR" w:eastAsia="fr-FR"/>
              </w:rPr>
              <w:tab/>
            </w:r>
            <w:r w:rsidRPr="00841332">
              <w:rPr>
                <w:rStyle w:val="Lienhypertexte"/>
              </w:rPr>
              <w:t>Conclusions and actions</w:t>
            </w:r>
            <w:r>
              <w:rPr>
                <w:webHidden/>
              </w:rPr>
              <w:tab/>
            </w:r>
            <w:r>
              <w:rPr>
                <w:webHidden/>
              </w:rPr>
              <w:fldChar w:fldCharType="begin"/>
            </w:r>
            <w:r>
              <w:rPr>
                <w:webHidden/>
              </w:rPr>
              <w:instrText xml:space="preserve"> PAGEREF _Toc117776294 \h </w:instrText>
            </w:r>
            <w:r>
              <w:rPr>
                <w:webHidden/>
              </w:rPr>
            </w:r>
            <w:r>
              <w:rPr>
                <w:webHidden/>
              </w:rPr>
              <w:fldChar w:fldCharType="separate"/>
            </w:r>
            <w:r>
              <w:rPr>
                <w:webHidden/>
              </w:rPr>
              <w:t>30</w:t>
            </w:r>
            <w:r>
              <w:rPr>
                <w:webHidden/>
              </w:rPr>
              <w:fldChar w:fldCharType="end"/>
            </w:r>
          </w:hyperlink>
        </w:p>
        <w:p w14:paraId="2742A02A" w14:textId="2B7CD283" w:rsidR="000E4E66" w:rsidRDefault="000E4E66">
          <w:pPr>
            <w:pStyle w:val="TM1"/>
            <w:rPr>
              <w:rFonts w:asciiTheme="minorHAnsi" w:eastAsiaTheme="minorEastAsia" w:hAnsiTheme="minorHAnsi" w:cstheme="minorBidi"/>
              <w:b w:val="0"/>
              <w:sz w:val="22"/>
              <w:szCs w:val="22"/>
              <w:lang w:val="fr-FR" w:eastAsia="fr-FR"/>
            </w:rPr>
          </w:pPr>
          <w:hyperlink w:anchor="_Toc117776295" w:history="1">
            <w:r w:rsidRPr="00841332">
              <w:rPr>
                <w:rStyle w:val="Lienhypertexte"/>
                <w:lang w:val="en-US"/>
              </w:rPr>
              <w:t>4</w:t>
            </w:r>
            <w:r>
              <w:rPr>
                <w:rFonts w:asciiTheme="minorHAnsi" w:eastAsiaTheme="minorEastAsia" w:hAnsiTheme="minorHAnsi" w:cstheme="minorBidi"/>
                <w:b w:val="0"/>
                <w:sz w:val="22"/>
                <w:szCs w:val="22"/>
                <w:lang w:val="fr-FR" w:eastAsia="fr-FR"/>
              </w:rPr>
              <w:tab/>
            </w:r>
            <w:r w:rsidRPr="00841332">
              <w:rPr>
                <w:rStyle w:val="Lienhypertexte"/>
              </w:rPr>
              <w:t>References</w:t>
            </w:r>
            <w:r>
              <w:rPr>
                <w:webHidden/>
              </w:rPr>
              <w:tab/>
            </w:r>
            <w:r>
              <w:rPr>
                <w:webHidden/>
              </w:rPr>
              <w:fldChar w:fldCharType="begin"/>
            </w:r>
            <w:r>
              <w:rPr>
                <w:webHidden/>
              </w:rPr>
              <w:instrText xml:space="preserve"> PAGEREF _Toc117776295 \h </w:instrText>
            </w:r>
            <w:r>
              <w:rPr>
                <w:webHidden/>
              </w:rPr>
            </w:r>
            <w:r>
              <w:rPr>
                <w:webHidden/>
              </w:rPr>
              <w:fldChar w:fldCharType="separate"/>
            </w:r>
            <w:r>
              <w:rPr>
                <w:webHidden/>
              </w:rPr>
              <w:t>31</w:t>
            </w:r>
            <w:r>
              <w:rPr>
                <w:webHidden/>
              </w:rPr>
              <w:fldChar w:fldCharType="end"/>
            </w:r>
          </w:hyperlink>
        </w:p>
        <w:p w14:paraId="42073117" w14:textId="44220CAE" w:rsidR="000E4E66" w:rsidRDefault="000E4E66">
          <w:pPr>
            <w:pStyle w:val="TM1"/>
            <w:rPr>
              <w:rFonts w:asciiTheme="minorHAnsi" w:eastAsiaTheme="minorEastAsia" w:hAnsiTheme="minorHAnsi" w:cstheme="minorBidi"/>
              <w:b w:val="0"/>
              <w:sz w:val="22"/>
              <w:szCs w:val="22"/>
              <w:lang w:val="fr-FR" w:eastAsia="fr-FR"/>
            </w:rPr>
          </w:pPr>
          <w:hyperlink w:anchor="_Toc117776296" w:history="1">
            <w:r w:rsidRPr="00841332">
              <w:rPr>
                <w:rStyle w:val="Lienhypertexte"/>
              </w:rPr>
              <w:t>Annex 1: Harmonised classifications and self-classifications reported by registrants</w:t>
            </w:r>
            <w:r>
              <w:rPr>
                <w:webHidden/>
              </w:rPr>
              <w:tab/>
            </w:r>
            <w:r>
              <w:rPr>
                <w:webHidden/>
              </w:rPr>
              <w:fldChar w:fldCharType="begin"/>
            </w:r>
            <w:r>
              <w:rPr>
                <w:webHidden/>
              </w:rPr>
              <w:instrText xml:space="preserve"> PAGEREF _Toc117776296 \h </w:instrText>
            </w:r>
            <w:r>
              <w:rPr>
                <w:webHidden/>
              </w:rPr>
            </w:r>
            <w:r>
              <w:rPr>
                <w:webHidden/>
              </w:rPr>
              <w:fldChar w:fldCharType="separate"/>
            </w:r>
            <w:r>
              <w:rPr>
                <w:webHidden/>
              </w:rPr>
              <w:t>32</w:t>
            </w:r>
            <w:r>
              <w:rPr>
                <w:webHidden/>
              </w:rPr>
              <w:fldChar w:fldCharType="end"/>
            </w:r>
          </w:hyperlink>
        </w:p>
        <w:p w14:paraId="28F32449" w14:textId="3553D355" w:rsidR="000E4E66" w:rsidRDefault="000E4E66">
          <w:pPr>
            <w:pStyle w:val="TM1"/>
            <w:rPr>
              <w:rFonts w:asciiTheme="minorHAnsi" w:eastAsiaTheme="minorEastAsia" w:hAnsiTheme="minorHAnsi" w:cstheme="minorBidi"/>
              <w:b w:val="0"/>
              <w:sz w:val="22"/>
              <w:szCs w:val="22"/>
              <w:lang w:val="fr-FR" w:eastAsia="fr-FR"/>
            </w:rPr>
          </w:pPr>
          <w:hyperlink w:anchor="_Toc117776297" w:history="1">
            <w:r w:rsidRPr="00841332">
              <w:rPr>
                <w:rStyle w:val="Lienhypertexte"/>
              </w:rPr>
              <w:t>Annex 2: Overview of uses based on information available in registration dossiers</w:t>
            </w:r>
            <w:r>
              <w:rPr>
                <w:webHidden/>
              </w:rPr>
              <w:tab/>
            </w:r>
            <w:r>
              <w:rPr>
                <w:webHidden/>
              </w:rPr>
              <w:fldChar w:fldCharType="begin"/>
            </w:r>
            <w:r>
              <w:rPr>
                <w:webHidden/>
              </w:rPr>
              <w:instrText xml:space="preserve"> PAGEREF _Toc117776297 \h </w:instrText>
            </w:r>
            <w:r>
              <w:rPr>
                <w:webHidden/>
              </w:rPr>
            </w:r>
            <w:r>
              <w:rPr>
                <w:webHidden/>
              </w:rPr>
              <w:fldChar w:fldCharType="separate"/>
            </w:r>
            <w:r>
              <w:rPr>
                <w:webHidden/>
              </w:rPr>
              <w:t>33</w:t>
            </w:r>
            <w:r>
              <w:rPr>
                <w:webHidden/>
              </w:rPr>
              <w:fldChar w:fldCharType="end"/>
            </w:r>
          </w:hyperlink>
        </w:p>
        <w:p w14:paraId="12C3D1B3" w14:textId="6F9E950E" w:rsidR="000E4E66" w:rsidRDefault="000E4E66">
          <w:pPr>
            <w:pStyle w:val="TM1"/>
            <w:rPr>
              <w:rFonts w:asciiTheme="minorHAnsi" w:eastAsiaTheme="minorEastAsia" w:hAnsiTheme="minorHAnsi" w:cstheme="minorBidi"/>
              <w:b w:val="0"/>
              <w:sz w:val="22"/>
              <w:szCs w:val="22"/>
              <w:lang w:val="fr-FR" w:eastAsia="fr-FR"/>
            </w:rPr>
          </w:pPr>
          <w:hyperlink w:anchor="_Toc117776298" w:history="1">
            <w:r w:rsidRPr="00841332">
              <w:rPr>
                <w:rStyle w:val="Lienhypertexte"/>
              </w:rPr>
              <w:t>Annex 3: Overview of completed or ongoing regulatory risk management activities</w:t>
            </w:r>
            <w:r>
              <w:rPr>
                <w:webHidden/>
              </w:rPr>
              <w:tab/>
            </w:r>
            <w:r>
              <w:rPr>
                <w:webHidden/>
              </w:rPr>
              <w:fldChar w:fldCharType="begin"/>
            </w:r>
            <w:r>
              <w:rPr>
                <w:webHidden/>
              </w:rPr>
              <w:instrText xml:space="preserve"> PAGEREF _Toc117776298 \h </w:instrText>
            </w:r>
            <w:r>
              <w:rPr>
                <w:webHidden/>
              </w:rPr>
            </w:r>
            <w:r>
              <w:rPr>
                <w:webHidden/>
              </w:rPr>
              <w:fldChar w:fldCharType="separate"/>
            </w:r>
            <w:r>
              <w:rPr>
                <w:webHidden/>
              </w:rPr>
              <w:t>35</w:t>
            </w:r>
            <w:r>
              <w:rPr>
                <w:webHidden/>
              </w:rPr>
              <w:fldChar w:fldCharType="end"/>
            </w:r>
          </w:hyperlink>
        </w:p>
        <w:p w14:paraId="7D5076F2" w14:textId="7E17FF0E" w:rsidR="000E4E66" w:rsidRDefault="000E4E66">
          <w:pPr>
            <w:pStyle w:val="TM1"/>
            <w:rPr>
              <w:rFonts w:asciiTheme="minorHAnsi" w:eastAsiaTheme="minorEastAsia" w:hAnsiTheme="minorHAnsi" w:cstheme="minorBidi"/>
              <w:b w:val="0"/>
              <w:sz w:val="22"/>
              <w:szCs w:val="22"/>
              <w:lang w:val="fr-FR" w:eastAsia="fr-FR"/>
            </w:rPr>
          </w:pPr>
          <w:hyperlink w:anchor="_Toc117776299" w:history="1">
            <w:r w:rsidRPr="00841332">
              <w:rPr>
                <w:rStyle w:val="Lienhypertexte"/>
              </w:rPr>
              <w:t>Annex 4: Background Document (not for publication)</w:t>
            </w:r>
            <w:r>
              <w:rPr>
                <w:webHidden/>
              </w:rPr>
              <w:tab/>
            </w:r>
            <w:r>
              <w:rPr>
                <w:webHidden/>
              </w:rPr>
              <w:fldChar w:fldCharType="begin"/>
            </w:r>
            <w:r>
              <w:rPr>
                <w:webHidden/>
              </w:rPr>
              <w:instrText xml:space="preserve"> PAGEREF _Toc117776299 \h </w:instrText>
            </w:r>
            <w:r>
              <w:rPr>
                <w:webHidden/>
              </w:rPr>
            </w:r>
            <w:r>
              <w:rPr>
                <w:webHidden/>
              </w:rPr>
              <w:fldChar w:fldCharType="separate"/>
            </w:r>
            <w:r>
              <w:rPr>
                <w:webHidden/>
              </w:rPr>
              <w:t>36</w:t>
            </w:r>
            <w:r>
              <w:rPr>
                <w:webHidden/>
              </w:rPr>
              <w:fldChar w:fldCharType="end"/>
            </w:r>
          </w:hyperlink>
        </w:p>
        <w:p w14:paraId="12F02797" w14:textId="3831DBB8" w:rsidR="000E4E66" w:rsidRDefault="000E4E66">
          <w:pPr>
            <w:pStyle w:val="TM1"/>
            <w:rPr>
              <w:rFonts w:asciiTheme="minorHAnsi" w:eastAsiaTheme="minorEastAsia" w:hAnsiTheme="minorHAnsi" w:cstheme="minorBidi"/>
              <w:b w:val="0"/>
              <w:sz w:val="22"/>
              <w:szCs w:val="22"/>
              <w:lang w:val="fr-FR" w:eastAsia="fr-FR"/>
            </w:rPr>
          </w:pPr>
          <w:hyperlink w:anchor="_Toc117776300" w:history="1">
            <w:r w:rsidRPr="00841332">
              <w:rPr>
                <w:rStyle w:val="Lienhypertexte"/>
                <w:lang w:val="en-US"/>
              </w:rPr>
              <w:t>1</w:t>
            </w:r>
            <w:r>
              <w:rPr>
                <w:rFonts w:asciiTheme="minorHAnsi" w:eastAsiaTheme="minorEastAsia" w:hAnsiTheme="minorHAnsi" w:cstheme="minorBidi"/>
                <w:b w:val="0"/>
                <w:sz w:val="22"/>
                <w:szCs w:val="22"/>
                <w:lang w:val="fr-FR" w:eastAsia="fr-FR"/>
              </w:rPr>
              <w:tab/>
            </w:r>
            <w:r w:rsidRPr="00841332">
              <w:rPr>
                <w:rStyle w:val="Lienhypertexte"/>
              </w:rPr>
              <w:t>Human Health</w:t>
            </w:r>
            <w:r>
              <w:rPr>
                <w:webHidden/>
              </w:rPr>
              <w:tab/>
            </w:r>
            <w:r>
              <w:rPr>
                <w:webHidden/>
              </w:rPr>
              <w:fldChar w:fldCharType="begin"/>
            </w:r>
            <w:r>
              <w:rPr>
                <w:webHidden/>
              </w:rPr>
              <w:instrText xml:space="preserve"> PAGEREF _Toc117776300 \h </w:instrText>
            </w:r>
            <w:r>
              <w:rPr>
                <w:webHidden/>
              </w:rPr>
            </w:r>
            <w:r>
              <w:rPr>
                <w:webHidden/>
              </w:rPr>
              <w:fldChar w:fldCharType="separate"/>
            </w:r>
            <w:r>
              <w:rPr>
                <w:webHidden/>
              </w:rPr>
              <w:t>36</w:t>
            </w:r>
            <w:r>
              <w:rPr>
                <w:webHidden/>
              </w:rPr>
              <w:fldChar w:fldCharType="end"/>
            </w:r>
          </w:hyperlink>
        </w:p>
        <w:p w14:paraId="222B8122" w14:textId="31797596" w:rsidR="000E4E66" w:rsidRDefault="000E4E66">
          <w:pPr>
            <w:pStyle w:val="TM3"/>
            <w:rPr>
              <w:rFonts w:asciiTheme="minorHAnsi" w:eastAsiaTheme="minorEastAsia" w:hAnsiTheme="minorHAnsi" w:cstheme="minorBidi"/>
              <w:noProof/>
              <w:sz w:val="22"/>
              <w:szCs w:val="22"/>
              <w:lang w:val="fr-FR" w:eastAsia="fr-FR"/>
            </w:rPr>
          </w:pPr>
          <w:hyperlink w:anchor="_Toc117776301" w:history="1">
            <w:r w:rsidRPr="00841332">
              <w:rPr>
                <w:rStyle w:val="Lienhypertexte"/>
                <w:noProof/>
              </w:rPr>
              <w:t>1.1. Additional human health hazard information</w:t>
            </w:r>
            <w:r>
              <w:rPr>
                <w:noProof/>
                <w:webHidden/>
              </w:rPr>
              <w:tab/>
            </w:r>
            <w:r>
              <w:rPr>
                <w:noProof/>
                <w:webHidden/>
              </w:rPr>
              <w:fldChar w:fldCharType="begin"/>
            </w:r>
            <w:r>
              <w:rPr>
                <w:noProof/>
                <w:webHidden/>
              </w:rPr>
              <w:instrText xml:space="preserve"> PAGEREF _Toc117776301 \h </w:instrText>
            </w:r>
            <w:r>
              <w:rPr>
                <w:noProof/>
                <w:webHidden/>
              </w:rPr>
            </w:r>
            <w:r>
              <w:rPr>
                <w:noProof/>
                <w:webHidden/>
              </w:rPr>
              <w:fldChar w:fldCharType="separate"/>
            </w:r>
            <w:r>
              <w:rPr>
                <w:noProof/>
                <w:webHidden/>
              </w:rPr>
              <w:t>36</w:t>
            </w:r>
            <w:r>
              <w:rPr>
                <w:noProof/>
                <w:webHidden/>
              </w:rPr>
              <w:fldChar w:fldCharType="end"/>
            </w:r>
          </w:hyperlink>
        </w:p>
        <w:p w14:paraId="7A05AE72" w14:textId="24A2DF3D" w:rsidR="000E4E66" w:rsidRDefault="000E4E66">
          <w:pPr>
            <w:pStyle w:val="TM1"/>
            <w:rPr>
              <w:rFonts w:asciiTheme="minorHAnsi" w:eastAsiaTheme="minorEastAsia" w:hAnsiTheme="minorHAnsi" w:cstheme="minorBidi"/>
              <w:b w:val="0"/>
              <w:sz w:val="22"/>
              <w:szCs w:val="22"/>
              <w:lang w:val="fr-FR" w:eastAsia="fr-FR"/>
            </w:rPr>
          </w:pPr>
          <w:hyperlink w:anchor="_Toc117776302" w:history="1">
            <w:r w:rsidRPr="00841332">
              <w:rPr>
                <w:rStyle w:val="Lienhypertexte"/>
                <w:lang w:val="en-US"/>
              </w:rPr>
              <w:t>2</w:t>
            </w:r>
            <w:r>
              <w:rPr>
                <w:rFonts w:asciiTheme="minorHAnsi" w:eastAsiaTheme="minorEastAsia" w:hAnsiTheme="minorHAnsi" w:cstheme="minorBidi"/>
                <w:b w:val="0"/>
                <w:sz w:val="22"/>
                <w:szCs w:val="22"/>
                <w:lang w:val="fr-FR" w:eastAsia="fr-FR"/>
              </w:rPr>
              <w:tab/>
            </w:r>
            <w:r w:rsidRPr="00841332">
              <w:rPr>
                <w:rStyle w:val="Lienhypertexte"/>
              </w:rPr>
              <w:t>Reference</w:t>
            </w:r>
            <w:r>
              <w:rPr>
                <w:webHidden/>
              </w:rPr>
              <w:tab/>
            </w:r>
            <w:r>
              <w:rPr>
                <w:webHidden/>
              </w:rPr>
              <w:fldChar w:fldCharType="begin"/>
            </w:r>
            <w:r>
              <w:rPr>
                <w:webHidden/>
              </w:rPr>
              <w:instrText xml:space="preserve"> PAGEREF _Toc117776302 \h </w:instrText>
            </w:r>
            <w:r>
              <w:rPr>
                <w:webHidden/>
              </w:rPr>
            </w:r>
            <w:r>
              <w:rPr>
                <w:webHidden/>
              </w:rPr>
              <w:fldChar w:fldCharType="separate"/>
            </w:r>
            <w:r>
              <w:rPr>
                <w:webHidden/>
              </w:rPr>
              <w:t>40</w:t>
            </w:r>
            <w:r>
              <w:rPr>
                <w:webHidden/>
              </w:rPr>
              <w:fldChar w:fldCharType="end"/>
            </w:r>
          </w:hyperlink>
        </w:p>
        <w:p w14:paraId="12E02506" w14:textId="35D68EA7" w:rsidR="00227D1B" w:rsidRPr="008D58CC" w:rsidRDefault="00227D1B" w:rsidP="008D58CC">
          <w:r>
            <w:rPr>
              <w:b/>
              <w:bCs/>
              <w:noProof/>
            </w:rPr>
            <w:fldChar w:fldCharType="end"/>
          </w:r>
        </w:p>
      </w:sdtContent>
    </w:sdt>
    <w:p w14:paraId="581F1FC5" w14:textId="77777777" w:rsidR="000E738A" w:rsidRDefault="000E738A">
      <w:pPr>
        <w:spacing w:after="200" w:line="276" w:lineRule="auto"/>
        <w:rPr>
          <w:rFonts w:ascii="Verdana" w:hAnsi="Verdana"/>
          <w:b/>
          <w:iCs/>
          <w:snapToGrid w:val="0"/>
          <w:lang w:eastAsia="fi-FI"/>
        </w:rPr>
      </w:pPr>
      <w:bookmarkStart w:id="1" w:name="_Hlk68780683"/>
      <w:r>
        <w:rPr>
          <w:rFonts w:ascii="Verdana" w:hAnsi="Verdana"/>
          <w:b/>
          <w:iCs/>
          <w:snapToGrid w:val="0"/>
          <w:lang w:eastAsia="fi-FI"/>
        </w:rPr>
        <w:br w:type="page"/>
      </w:r>
    </w:p>
    <w:p w14:paraId="68A8E6EC" w14:textId="77777777" w:rsidR="00CF739A" w:rsidRDefault="00CF739A" w:rsidP="00491A1A">
      <w:pPr>
        <w:widowControl w:val="0"/>
        <w:spacing w:after="0"/>
        <w:jc w:val="center"/>
        <w:rPr>
          <w:rFonts w:ascii="Verdana" w:hAnsi="Verdana"/>
          <w:b/>
          <w:iCs/>
          <w:snapToGrid w:val="0"/>
          <w:lang w:eastAsia="fi-FI"/>
        </w:rPr>
      </w:pPr>
    </w:p>
    <w:p w14:paraId="20155DB8" w14:textId="77777777" w:rsidR="00CF739A" w:rsidRDefault="00CF739A" w:rsidP="00491A1A">
      <w:pPr>
        <w:widowControl w:val="0"/>
        <w:spacing w:after="0"/>
        <w:jc w:val="center"/>
        <w:rPr>
          <w:rFonts w:ascii="Verdana" w:hAnsi="Verdana"/>
          <w:b/>
          <w:iCs/>
          <w:snapToGrid w:val="0"/>
          <w:lang w:eastAsia="fi-FI"/>
        </w:rPr>
      </w:pPr>
    </w:p>
    <w:p w14:paraId="04865609" w14:textId="32AFDF46" w:rsidR="00491A1A" w:rsidRPr="009E5620" w:rsidRDefault="00491A1A" w:rsidP="00491A1A">
      <w:pPr>
        <w:widowControl w:val="0"/>
        <w:spacing w:after="0"/>
        <w:jc w:val="center"/>
        <w:rPr>
          <w:rFonts w:ascii="Verdana" w:hAnsi="Verdana"/>
          <w:b/>
          <w:iCs/>
          <w:snapToGrid w:val="0"/>
          <w:lang w:eastAsia="fi-FI"/>
        </w:rPr>
      </w:pPr>
      <w:r w:rsidRPr="009E5620">
        <w:rPr>
          <w:rFonts w:ascii="Verdana" w:hAnsi="Verdana"/>
          <w:b/>
          <w:iCs/>
          <w:snapToGrid w:val="0"/>
          <w:lang w:eastAsia="fi-FI"/>
        </w:rPr>
        <w:t>DISCLAIMER</w:t>
      </w:r>
    </w:p>
    <w:bookmarkEnd w:id="1"/>
    <w:p w14:paraId="309F4474" w14:textId="77777777" w:rsidR="00491A1A" w:rsidRPr="0048126F" w:rsidRDefault="00491A1A" w:rsidP="00491A1A">
      <w:pPr>
        <w:widowControl w:val="0"/>
        <w:spacing w:after="120"/>
        <w:jc w:val="center"/>
        <w:rPr>
          <w:rFonts w:ascii="Verdana" w:hAnsi="Verdana"/>
          <w:snapToGrid w:val="0"/>
          <w:sz w:val="20"/>
          <w:szCs w:val="20"/>
          <w:lang w:eastAsia="fi-FI"/>
        </w:rPr>
      </w:pPr>
    </w:p>
    <w:p w14:paraId="6911DDEB" w14:textId="77777777" w:rsidR="00491A1A" w:rsidRPr="0048126F" w:rsidRDefault="00491A1A" w:rsidP="00491A1A">
      <w:pPr>
        <w:widowControl w:val="0"/>
        <w:spacing w:after="120"/>
        <w:rPr>
          <w:rFonts w:ascii="Verdana" w:hAnsi="Verdana"/>
          <w:snapToGrid w:val="0"/>
          <w:sz w:val="20"/>
          <w:szCs w:val="20"/>
          <w:lang w:eastAsia="fi-FI"/>
        </w:rPr>
      </w:pPr>
    </w:p>
    <w:p w14:paraId="3A8F413C" w14:textId="77777777" w:rsidR="0013764B" w:rsidRPr="0048126F" w:rsidRDefault="0013764B" w:rsidP="0013764B">
      <w:pPr>
        <w:widowControl w:val="0"/>
        <w:spacing w:after="120"/>
        <w:jc w:val="both"/>
        <w:rPr>
          <w:rFonts w:ascii="Verdana" w:hAnsi="Verdana"/>
          <w:snapToGrid w:val="0"/>
          <w:sz w:val="20"/>
          <w:szCs w:val="20"/>
          <w:lang w:eastAsia="fi-FI"/>
        </w:rPr>
      </w:pPr>
      <w:bookmarkStart w:id="2" w:name="_Hlk72845022"/>
      <w:r w:rsidRPr="005D2CBE">
        <w:rPr>
          <w:rFonts w:ascii="Verdana" w:hAnsi="Verdana"/>
          <w:snapToGrid w:val="0"/>
          <w:sz w:val="20"/>
          <w:szCs w:val="20"/>
          <w:lang w:eastAsia="fi-FI"/>
        </w:rPr>
        <w:t xml:space="preserve">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the Member States or other regulatory agencies may initiate at a later stage. </w:t>
      </w:r>
      <w:r>
        <w:rPr>
          <w:rFonts w:ascii="Verdana" w:hAnsi="Verdana"/>
          <w:snapToGrid w:val="0"/>
          <w:sz w:val="20"/>
          <w:szCs w:val="20"/>
          <w:lang w:eastAsia="fi-FI"/>
        </w:rPr>
        <w:t xml:space="preserve">Assessment of regulatory needs </w:t>
      </w:r>
      <w:r w:rsidRPr="005D2CBE">
        <w:rPr>
          <w:rFonts w:ascii="Verdana" w:hAnsi="Verdana"/>
          <w:snapToGrid w:val="0"/>
          <w:sz w:val="20"/>
          <w:szCs w:val="20"/>
          <w:lang w:eastAsia="fi-FI"/>
        </w:rPr>
        <w:t>and their conclusions are compiled on the basis of available information and may change in light of newly available information or further assessment.</w:t>
      </w:r>
    </w:p>
    <w:bookmarkEnd w:id="2"/>
    <w:p w14:paraId="1DBC99DA" w14:textId="77777777" w:rsidR="00C13640" w:rsidRDefault="00C13640" w:rsidP="00C13640">
      <w:pPr>
        <w:rPr>
          <w:rFonts w:ascii="Verdana" w:hAnsi="Verdana"/>
        </w:rPr>
      </w:pPr>
    </w:p>
    <w:p w14:paraId="6C7A3BDF" w14:textId="77777777" w:rsidR="00225DDC" w:rsidRDefault="00225DDC">
      <w:pPr>
        <w:spacing w:after="200" w:line="276" w:lineRule="auto"/>
        <w:rPr>
          <w:rFonts w:ascii="Verdana" w:hAnsi="Verdana"/>
          <w:b/>
          <w:color w:val="0046AD"/>
          <w:sz w:val="28"/>
          <w:szCs w:val="28"/>
        </w:rPr>
      </w:pPr>
      <w:r>
        <w:rPr>
          <w:rFonts w:ascii="Verdana" w:hAnsi="Verdana"/>
          <w:szCs w:val="28"/>
        </w:rPr>
        <w:br w:type="page"/>
      </w:r>
    </w:p>
    <w:p w14:paraId="006E8F02" w14:textId="53405531" w:rsidR="00225DDC" w:rsidRDefault="00225DDC" w:rsidP="00225DDC">
      <w:pPr>
        <w:pStyle w:val="Titre1"/>
        <w:widowControl w:val="0"/>
        <w:numPr>
          <w:ilvl w:val="0"/>
          <w:numId w:val="0"/>
        </w:numPr>
        <w:rPr>
          <w:color w:val="4F81BD"/>
          <w:lang w:eastAsia="fi-FI"/>
        </w:rPr>
      </w:pPr>
      <w:bookmarkStart w:id="3" w:name="_Toc117776278"/>
      <w:r w:rsidRPr="00FF135B">
        <w:rPr>
          <w:color w:val="4F81BD"/>
          <w:lang w:eastAsia="fi-FI"/>
        </w:rPr>
        <w:lastRenderedPageBreak/>
        <w:t>Foreword</w:t>
      </w:r>
      <w:bookmarkEnd w:id="3"/>
      <w:r>
        <w:rPr>
          <w:color w:val="4F81BD"/>
          <w:lang w:eastAsia="fi-FI"/>
        </w:rPr>
        <w:t xml:space="preserve"> </w:t>
      </w:r>
    </w:p>
    <w:p w14:paraId="2204397E" w14:textId="77777777" w:rsidR="00C40FA0" w:rsidRDefault="00C40FA0" w:rsidP="00C40FA0">
      <w:pPr>
        <w:pStyle w:val="Corpsdetexte"/>
        <w:jc w:val="both"/>
        <w:rPr>
          <w:rFonts w:ascii="Verdana" w:hAnsi="Verdana"/>
          <w:snapToGrid w:val="0"/>
          <w:sz w:val="20"/>
          <w:szCs w:val="20"/>
          <w:lang w:eastAsia="fi-FI"/>
        </w:rPr>
      </w:pPr>
      <w:bookmarkStart w:id="4" w:name="_Hlk72423998"/>
      <w:r w:rsidRPr="005367AA">
        <w:rPr>
          <w:rFonts w:ascii="Verdana" w:hAnsi="Verdana"/>
          <w:snapToGrid w:val="0"/>
          <w:sz w:val="20"/>
          <w:szCs w:val="20"/>
          <w:lang w:eastAsia="fi-FI"/>
        </w:rPr>
        <w:t xml:space="preserve">The purpose of </w:t>
      </w:r>
      <w:r>
        <w:rPr>
          <w:rFonts w:ascii="Verdana" w:hAnsi="Verdana"/>
          <w:snapToGrid w:val="0"/>
          <w:sz w:val="20"/>
          <w:szCs w:val="20"/>
          <w:lang w:eastAsia="fi-FI"/>
        </w:rPr>
        <w:t>the assessment of regulatory needs</w:t>
      </w:r>
      <w:r w:rsidRPr="005367AA">
        <w:rPr>
          <w:rFonts w:ascii="Verdana" w:hAnsi="Verdana"/>
          <w:snapToGrid w:val="0"/>
          <w:sz w:val="20"/>
          <w:szCs w:val="20"/>
          <w:lang w:eastAsia="fi-FI"/>
        </w:rPr>
        <w:t xml:space="preserve"> </w:t>
      </w:r>
      <w:r>
        <w:rPr>
          <w:rFonts w:ascii="Verdana" w:hAnsi="Verdana"/>
          <w:snapToGrid w:val="0"/>
          <w:sz w:val="20"/>
          <w:szCs w:val="20"/>
          <w:lang w:eastAsia="fi-FI"/>
        </w:rPr>
        <w:t xml:space="preserve">of a group of substances </w:t>
      </w:r>
      <w:r w:rsidRPr="005367AA">
        <w:rPr>
          <w:rFonts w:ascii="Verdana" w:hAnsi="Verdana"/>
          <w:snapToGrid w:val="0"/>
          <w:sz w:val="20"/>
          <w:szCs w:val="20"/>
          <w:lang w:eastAsia="fi-FI"/>
        </w:rPr>
        <w:t>is to help authorities</w:t>
      </w:r>
      <w:r>
        <w:rPr>
          <w:rFonts w:ascii="Verdana" w:hAnsi="Verdana"/>
          <w:snapToGrid w:val="0"/>
          <w:sz w:val="20"/>
          <w:szCs w:val="20"/>
          <w:lang w:eastAsia="fi-FI"/>
        </w:rPr>
        <w:t xml:space="preserve"> conclude on</w:t>
      </w:r>
      <w:r w:rsidRPr="005367AA">
        <w:rPr>
          <w:rFonts w:ascii="Verdana" w:hAnsi="Verdana"/>
          <w:snapToGrid w:val="0"/>
          <w:sz w:val="20"/>
          <w:szCs w:val="20"/>
          <w:lang w:eastAsia="fi-FI"/>
        </w:rPr>
        <w:t xml:space="preserve"> the most appropriate way to address the identified concern</w:t>
      </w:r>
      <w:r>
        <w:rPr>
          <w:rFonts w:ascii="Verdana" w:hAnsi="Verdana"/>
          <w:snapToGrid w:val="0"/>
          <w:sz w:val="20"/>
          <w:szCs w:val="20"/>
          <w:lang w:eastAsia="fi-FI"/>
        </w:rPr>
        <w:t>s</w:t>
      </w:r>
      <w:r w:rsidRPr="005367AA">
        <w:rPr>
          <w:rFonts w:ascii="Verdana" w:hAnsi="Verdana"/>
          <w:snapToGrid w:val="0"/>
          <w:sz w:val="20"/>
          <w:szCs w:val="20"/>
          <w:lang w:eastAsia="fi-FI"/>
        </w:rPr>
        <w:t xml:space="preserve"> for a group of substances or a single substance, i.e. the combination of the regulatory risk management instruments to be used and any intermediate steps, such as data generation, needed to initiate and introduce these regulatory measures</w:t>
      </w:r>
      <w:r>
        <w:rPr>
          <w:rFonts w:ascii="Verdana" w:hAnsi="Verdana"/>
          <w:snapToGrid w:val="0"/>
          <w:sz w:val="20"/>
          <w:szCs w:val="20"/>
          <w:lang w:eastAsia="fi-FI"/>
        </w:rPr>
        <w:t>.</w:t>
      </w:r>
    </w:p>
    <w:p w14:paraId="171E51F8" w14:textId="77777777" w:rsidR="00C40FA0" w:rsidRDefault="00C40FA0" w:rsidP="00C40FA0">
      <w:pPr>
        <w:pStyle w:val="Corpsdetexte"/>
        <w:jc w:val="both"/>
        <w:rPr>
          <w:rFonts w:ascii="Verdana" w:hAnsi="Verdana"/>
          <w:snapToGrid w:val="0"/>
          <w:sz w:val="20"/>
          <w:szCs w:val="20"/>
          <w:lang w:eastAsia="fi-FI"/>
        </w:rPr>
      </w:pPr>
      <w:r w:rsidRPr="00C60FC4">
        <w:rPr>
          <w:rFonts w:ascii="Verdana" w:hAnsi="Verdana"/>
          <w:snapToGrid w:val="0"/>
          <w:sz w:val="20"/>
          <w:szCs w:val="20"/>
          <w:lang w:eastAsia="fi-FI"/>
        </w:rPr>
        <w:t xml:space="preserve">An </w:t>
      </w:r>
      <w:r>
        <w:rPr>
          <w:rFonts w:ascii="Verdana" w:hAnsi="Verdana"/>
          <w:snapToGrid w:val="0"/>
          <w:sz w:val="20"/>
          <w:szCs w:val="20"/>
          <w:lang w:eastAsia="fi-FI"/>
        </w:rPr>
        <w:t>assessment of regulatory needs</w:t>
      </w:r>
      <w:r w:rsidRPr="00C60FC4">
        <w:rPr>
          <w:rFonts w:ascii="Verdana" w:hAnsi="Verdana"/>
          <w:snapToGrid w:val="0"/>
          <w:sz w:val="20"/>
          <w:szCs w:val="20"/>
          <w:lang w:eastAsia="fi-FI"/>
        </w:rPr>
        <w:t xml:space="preserve"> can conclude that regulatory risk management at EU level is required for a (group of) substance(s) (e.g. harmonised classification and labelling, Candidate List inclusion, restriction, other EU legislation) or that no regulatory action is required at EU level. While the assessment is done for a group of substances, the </w:t>
      </w:r>
      <w:r>
        <w:rPr>
          <w:rFonts w:ascii="Verdana" w:hAnsi="Verdana"/>
          <w:snapToGrid w:val="0"/>
          <w:sz w:val="20"/>
          <w:szCs w:val="20"/>
          <w:lang w:eastAsia="fi-FI"/>
        </w:rPr>
        <w:t xml:space="preserve">(no) </w:t>
      </w:r>
      <w:r w:rsidRPr="00C60FC4">
        <w:rPr>
          <w:rFonts w:ascii="Verdana" w:hAnsi="Verdana"/>
          <w:snapToGrid w:val="0"/>
          <w:sz w:val="20"/>
          <w:szCs w:val="20"/>
          <w:lang w:eastAsia="fi-FI"/>
        </w:rPr>
        <w:t xml:space="preserve">need for regulatory action can be identified for the whole group, a subgroup or for single substance(s). </w:t>
      </w:r>
    </w:p>
    <w:p w14:paraId="013B5D9B" w14:textId="77777777" w:rsidR="00C40FA0" w:rsidRDefault="00C40FA0" w:rsidP="00C40FA0">
      <w:pPr>
        <w:pStyle w:val="Corpsdetexte"/>
        <w:jc w:val="both"/>
        <w:rPr>
          <w:rFonts w:ascii="Verdana" w:hAnsi="Verdana"/>
          <w:snapToGrid w:val="0"/>
          <w:sz w:val="20"/>
          <w:szCs w:val="20"/>
          <w:lang w:eastAsia="fi-FI"/>
        </w:rPr>
      </w:pPr>
      <w:r>
        <w:rPr>
          <w:rFonts w:ascii="Verdana" w:hAnsi="Verdana"/>
          <w:snapToGrid w:val="0"/>
          <w:sz w:val="20"/>
          <w:szCs w:val="20"/>
          <w:lang w:eastAsia="fi-FI"/>
        </w:rPr>
        <w:t>The assessment of regulatory needs is an important step under ECHA’s Integrated Regulatory Strategy. However, it is voluntary, i.e., it is not part of the processes defined in the legislation but aims to support them.</w:t>
      </w:r>
    </w:p>
    <w:p w14:paraId="5D82B3DC" w14:textId="437E225D" w:rsidR="00C40FA0" w:rsidRPr="00C60FC4" w:rsidRDefault="00C40FA0" w:rsidP="00C40FA0">
      <w:pPr>
        <w:pStyle w:val="Corpsdetexte"/>
        <w:jc w:val="both"/>
        <w:rPr>
          <w:rFonts w:ascii="Verdana" w:hAnsi="Verdana"/>
          <w:snapToGrid w:val="0"/>
          <w:sz w:val="20"/>
          <w:szCs w:val="20"/>
          <w:lang w:eastAsia="fi-FI"/>
        </w:rPr>
      </w:pPr>
      <w:r>
        <w:rPr>
          <w:rFonts w:ascii="Verdana" w:hAnsi="Verdana"/>
          <w:snapToGrid w:val="0"/>
          <w:sz w:val="20"/>
          <w:szCs w:val="20"/>
          <w:lang w:eastAsia="fi-FI"/>
        </w:rPr>
        <w:t xml:space="preserve">The assessment of regulatory needs </w:t>
      </w:r>
      <w:r w:rsidRPr="00C60FC4">
        <w:rPr>
          <w:rFonts w:ascii="Verdana" w:hAnsi="Verdana"/>
          <w:snapToGrid w:val="0"/>
          <w:sz w:val="20"/>
          <w:szCs w:val="20"/>
          <w:lang w:eastAsia="fi-FI"/>
        </w:rPr>
        <w:t>can be applied to any group of substances or single substance, i.e., any type of hazards or uses and regardless of the previous regulatory history or lack of such. It can be done based on different level of information. A Member State or ECHA can carry out this case-by-case analysis.</w:t>
      </w:r>
      <w:r>
        <w:rPr>
          <w:rFonts w:ascii="Verdana" w:hAnsi="Verdana"/>
          <w:snapToGrid w:val="0"/>
          <w:sz w:val="20"/>
          <w:szCs w:val="20"/>
          <w:lang w:eastAsia="fi-FI"/>
        </w:rPr>
        <w:t xml:space="preserve"> </w:t>
      </w:r>
      <w:r w:rsidRPr="00C60FC4">
        <w:rPr>
          <w:rFonts w:ascii="Verdana" w:hAnsi="Verdana"/>
          <w:snapToGrid w:val="0"/>
          <w:sz w:val="20"/>
          <w:szCs w:val="20"/>
          <w:lang w:eastAsia="fi-FI"/>
        </w:rPr>
        <w:t>The starting point is available information in the REAC</w:t>
      </w:r>
      <w:r w:rsidR="009C227F">
        <w:rPr>
          <w:rFonts w:ascii="Verdana" w:hAnsi="Verdana"/>
          <w:snapToGrid w:val="0"/>
          <w:sz w:val="20"/>
          <w:szCs w:val="20"/>
          <w:lang w:eastAsia="fi-FI"/>
        </w:rPr>
        <w:t>h</w:t>
      </w:r>
      <w:r w:rsidRPr="00C60FC4">
        <w:rPr>
          <w:rFonts w:ascii="Verdana" w:hAnsi="Verdana"/>
          <w:snapToGrid w:val="0"/>
          <w:sz w:val="20"/>
          <w:szCs w:val="20"/>
          <w:lang w:eastAsia="fi-FI"/>
        </w:rPr>
        <w:t xml:space="preserve"> registrations and any other REAC</w:t>
      </w:r>
      <w:r w:rsidR="009C227F">
        <w:rPr>
          <w:rFonts w:ascii="Verdana" w:hAnsi="Verdana"/>
          <w:snapToGrid w:val="0"/>
          <w:sz w:val="20"/>
          <w:szCs w:val="20"/>
          <w:lang w:eastAsia="fi-FI"/>
        </w:rPr>
        <w:t>h</w:t>
      </w:r>
      <w:r w:rsidRPr="00C60FC4">
        <w:rPr>
          <w:rFonts w:ascii="Verdana" w:hAnsi="Verdana"/>
          <w:snapToGrid w:val="0"/>
          <w:sz w:val="20"/>
          <w:szCs w:val="20"/>
          <w:lang w:eastAsia="fi-FI"/>
        </w:rPr>
        <w:t xml:space="preserve"> and CLP information. However, more extensive set of information can be available, e.g. assessment done under </w:t>
      </w:r>
      <w:r>
        <w:rPr>
          <w:rFonts w:ascii="Verdana" w:hAnsi="Verdana"/>
          <w:snapToGrid w:val="0"/>
          <w:sz w:val="20"/>
          <w:szCs w:val="20"/>
          <w:lang w:eastAsia="fi-FI"/>
        </w:rPr>
        <w:t>REAC</w:t>
      </w:r>
      <w:r w:rsidR="009C227F">
        <w:rPr>
          <w:rFonts w:ascii="Verdana" w:hAnsi="Verdana"/>
          <w:snapToGrid w:val="0"/>
          <w:sz w:val="20"/>
          <w:szCs w:val="20"/>
          <w:lang w:eastAsia="fi-FI"/>
        </w:rPr>
        <w:t>h</w:t>
      </w:r>
      <w:r>
        <w:rPr>
          <w:rFonts w:ascii="Verdana" w:hAnsi="Verdana"/>
          <w:snapToGrid w:val="0"/>
          <w:sz w:val="20"/>
          <w:szCs w:val="20"/>
          <w:lang w:eastAsia="fi-FI"/>
        </w:rPr>
        <w:t xml:space="preserve">/CLP or </w:t>
      </w:r>
      <w:r w:rsidRPr="00C60FC4">
        <w:rPr>
          <w:rFonts w:ascii="Verdana" w:hAnsi="Verdana"/>
          <w:snapToGrid w:val="0"/>
          <w:sz w:val="20"/>
          <w:szCs w:val="20"/>
          <w:lang w:eastAsia="fi-FI"/>
        </w:rPr>
        <w:t xml:space="preserve">other EU legislation, or </w:t>
      </w:r>
      <w:r>
        <w:rPr>
          <w:rFonts w:ascii="Verdana" w:hAnsi="Verdana"/>
          <w:snapToGrid w:val="0"/>
          <w:sz w:val="20"/>
          <w:szCs w:val="20"/>
          <w:lang w:eastAsia="fi-FI"/>
        </w:rPr>
        <w:t xml:space="preserve">can </w:t>
      </w:r>
      <w:r w:rsidRPr="00C60FC4">
        <w:rPr>
          <w:rFonts w:ascii="Verdana" w:hAnsi="Verdana"/>
          <w:snapToGrid w:val="0"/>
          <w:sz w:val="20"/>
          <w:szCs w:val="20"/>
          <w:lang w:eastAsia="fi-FI"/>
        </w:rPr>
        <w:t>be generated in some cases</w:t>
      </w:r>
      <w:r>
        <w:rPr>
          <w:rFonts w:ascii="Verdana" w:hAnsi="Verdana"/>
          <w:snapToGrid w:val="0"/>
          <w:sz w:val="20"/>
          <w:szCs w:val="20"/>
          <w:lang w:eastAsia="fi-FI"/>
        </w:rPr>
        <w:t xml:space="preserve"> (e.g. further hazard information under dossier evaluation)</w:t>
      </w:r>
      <w:r w:rsidRPr="00C60FC4">
        <w:rPr>
          <w:rFonts w:ascii="Verdana" w:hAnsi="Verdana"/>
          <w:snapToGrid w:val="0"/>
          <w:sz w:val="20"/>
          <w:szCs w:val="20"/>
          <w:lang w:eastAsia="fi-FI"/>
        </w:rPr>
        <w:t xml:space="preserve">. Uncertainties associated to the level of information used should be reflected in the documentation. It </w:t>
      </w:r>
      <w:r>
        <w:rPr>
          <w:rFonts w:ascii="Verdana" w:hAnsi="Verdana"/>
          <w:snapToGrid w:val="0"/>
          <w:sz w:val="20"/>
          <w:szCs w:val="20"/>
          <w:lang w:eastAsia="fi-FI"/>
        </w:rPr>
        <w:t>will</w:t>
      </w:r>
      <w:r w:rsidRPr="00C60FC4">
        <w:rPr>
          <w:rFonts w:ascii="Verdana" w:hAnsi="Verdana"/>
          <w:snapToGrid w:val="0"/>
          <w:sz w:val="20"/>
          <w:szCs w:val="20"/>
          <w:lang w:eastAsia="fi-FI"/>
        </w:rPr>
        <w:t xml:space="preserve"> be revisited when necessary. For example, after further information is generated and the hazard has been clarified or when new insights on uses are available</w:t>
      </w:r>
      <w:bookmarkStart w:id="5" w:name="_Hlk67575098"/>
      <w:r w:rsidRPr="00C60FC4">
        <w:rPr>
          <w:rFonts w:ascii="Verdana" w:hAnsi="Verdana"/>
          <w:snapToGrid w:val="0"/>
          <w:sz w:val="20"/>
          <w:szCs w:val="20"/>
          <w:lang w:eastAsia="fi-FI"/>
        </w:rPr>
        <w:t>. It can be revisited by the same or another authority.</w:t>
      </w:r>
    </w:p>
    <w:bookmarkEnd w:id="5"/>
    <w:p w14:paraId="7A3AF3BC" w14:textId="6091D134" w:rsidR="00C40FA0" w:rsidRDefault="00C40FA0" w:rsidP="00C40FA0">
      <w:pPr>
        <w:pStyle w:val="Corpsdetexte"/>
        <w:jc w:val="both"/>
        <w:rPr>
          <w:rFonts w:ascii="Verdana" w:hAnsi="Verdana"/>
          <w:snapToGrid w:val="0"/>
          <w:sz w:val="20"/>
          <w:szCs w:val="20"/>
          <w:lang w:eastAsia="fi-FI"/>
        </w:rPr>
      </w:pPr>
      <w:r w:rsidRPr="00C60FC4">
        <w:rPr>
          <w:rFonts w:ascii="Verdana" w:hAnsi="Verdana"/>
          <w:snapToGrid w:val="0"/>
          <w:sz w:val="20"/>
          <w:szCs w:val="20"/>
          <w:lang w:eastAsia="fi-FI"/>
        </w:rPr>
        <w:t xml:space="preserve">The responsibility for the content of </w:t>
      </w:r>
      <w:r>
        <w:rPr>
          <w:rFonts w:ascii="Verdana" w:hAnsi="Verdana"/>
          <w:snapToGrid w:val="0"/>
          <w:sz w:val="20"/>
          <w:szCs w:val="20"/>
          <w:lang w:eastAsia="fi-FI"/>
        </w:rPr>
        <w:t>this assessment</w:t>
      </w:r>
      <w:r w:rsidRPr="00C60FC4">
        <w:rPr>
          <w:rFonts w:ascii="Verdana" w:hAnsi="Verdana"/>
          <w:snapToGrid w:val="0"/>
          <w:sz w:val="20"/>
          <w:szCs w:val="20"/>
          <w:lang w:eastAsia="fi-FI"/>
        </w:rPr>
        <w:t xml:space="preserve"> rests with the authority that developed it. It is possible that other authorities do not have the same view and may develop </w:t>
      </w:r>
      <w:r>
        <w:rPr>
          <w:rFonts w:ascii="Verdana" w:hAnsi="Verdana"/>
          <w:snapToGrid w:val="0"/>
          <w:sz w:val="20"/>
          <w:szCs w:val="20"/>
          <w:lang w:eastAsia="fi-FI"/>
        </w:rPr>
        <w:t xml:space="preserve">further assessment of regulatory needs. </w:t>
      </w:r>
      <w:r w:rsidRPr="00C50AAB">
        <w:rPr>
          <w:rFonts w:ascii="Verdana" w:hAnsi="Verdana"/>
          <w:snapToGrid w:val="0"/>
          <w:sz w:val="20"/>
          <w:szCs w:val="20"/>
          <w:lang w:eastAsia="fi-FI"/>
        </w:rPr>
        <w:t>The assessment of regulatory needs does not yet initiate any regulatory process but</w:t>
      </w:r>
      <w:r w:rsidRPr="00C60FC4">
        <w:rPr>
          <w:rFonts w:ascii="Verdana" w:hAnsi="Verdana"/>
          <w:snapToGrid w:val="0"/>
          <w:sz w:val="20"/>
          <w:szCs w:val="20"/>
          <w:lang w:eastAsia="fi-FI"/>
        </w:rPr>
        <w:t xml:space="preserve"> </w:t>
      </w:r>
      <w:r>
        <w:rPr>
          <w:rFonts w:ascii="Verdana" w:hAnsi="Verdana"/>
          <w:snapToGrid w:val="0"/>
          <w:sz w:val="20"/>
          <w:szCs w:val="20"/>
          <w:lang w:eastAsia="fi-FI"/>
        </w:rPr>
        <w:t>a</w:t>
      </w:r>
      <w:r w:rsidRPr="00C60FC4">
        <w:rPr>
          <w:rFonts w:ascii="Verdana" w:hAnsi="Verdana"/>
          <w:snapToGrid w:val="0"/>
          <w:sz w:val="20"/>
          <w:szCs w:val="20"/>
          <w:lang w:eastAsia="fi-FI"/>
        </w:rPr>
        <w:t xml:space="preserve">ny authority can consequently </w:t>
      </w:r>
      <w:r>
        <w:rPr>
          <w:rFonts w:ascii="Verdana" w:hAnsi="Verdana"/>
          <w:snapToGrid w:val="0"/>
          <w:sz w:val="20"/>
          <w:szCs w:val="20"/>
          <w:lang w:eastAsia="fi-FI"/>
        </w:rPr>
        <w:t>do so</w:t>
      </w:r>
      <w:r w:rsidRPr="00C60FC4">
        <w:rPr>
          <w:rFonts w:ascii="Verdana" w:hAnsi="Verdana"/>
          <w:snapToGrid w:val="0"/>
          <w:sz w:val="20"/>
          <w:szCs w:val="20"/>
          <w:lang w:eastAsia="fi-FI"/>
        </w:rPr>
        <w:t xml:space="preserve"> and should indicate this by appropriate means, such as the Registry of Intentions.</w:t>
      </w:r>
    </w:p>
    <w:p w14:paraId="1F8CA1A2" w14:textId="0F32CAF1" w:rsidR="00243CDA" w:rsidRPr="00C60FC4" w:rsidRDefault="00C40FA0" w:rsidP="00243CDA">
      <w:pPr>
        <w:pStyle w:val="Corpsdetexte"/>
        <w:jc w:val="both"/>
        <w:rPr>
          <w:rFonts w:ascii="Verdana" w:hAnsi="Verdana"/>
          <w:snapToGrid w:val="0"/>
          <w:sz w:val="20"/>
          <w:szCs w:val="20"/>
          <w:lang w:eastAsia="fi-FI"/>
        </w:rPr>
      </w:pPr>
      <w:r>
        <w:rPr>
          <w:rFonts w:ascii="Verdana" w:hAnsi="Verdana"/>
          <w:snapToGrid w:val="0"/>
          <w:sz w:val="20"/>
          <w:szCs w:val="20"/>
          <w:lang w:eastAsia="fi-FI"/>
        </w:rPr>
        <w:t xml:space="preserve">For more information on Assessment of regulatory needs please </w:t>
      </w:r>
      <w:r w:rsidR="008345ED">
        <w:rPr>
          <w:rFonts w:ascii="Verdana" w:hAnsi="Verdana"/>
          <w:snapToGrid w:val="0"/>
          <w:sz w:val="20"/>
          <w:szCs w:val="20"/>
          <w:lang w:eastAsia="fi-FI"/>
        </w:rPr>
        <w:t xml:space="preserve">consult </w:t>
      </w:r>
      <w:r w:rsidR="00243CDA">
        <w:rPr>
          <w:rFonts w:ascii="Verdana" w:hAnsi="Verdana"/>
          <w:snapToGrid w:val="0"/>
          <w:sz w:val="20"/>
          <w:szCs w:val="20"/>
          <w:lang w:eastAsia="fi-FI"/>
        </w:rPr>
        <w:t>ECHA website</w:t>
      </w:r>
      <w:r w:rsidR="00243CDA">
        <w:rPr>
          <w:rStyle w:val="Appelnotedebasdep"/>
          <w:snapToGrid w:val="0"/>
          <w:szCs w:val="20"/>
          <w:lang w:eastAsia="fi-FI"/>
        </w:rPr>
        <w:footnoteReference w:id="2"/>
      </w:r>
      <w:r w:rsidR="00243CDA">
        <w:rPr>
          <w:rFonts w:ascii="Verdana" w:hAnsi="Verdana"/>
          <w:snapToGrid w:val="0"/>
          <w:sz w:val="20"/>
          <w:szCs w:val="20"/>
          <w:lang w:eastAsia="fi-FI"/>
        </w:rPr>
        <w:t>.</w:t>
      </w:r>
    </w:p>
    <w:p w14:paraId="42A55F6B" w14:textId="616D4736" w:rsidR="00C40FA0" w:rsidRPr="00C60FC4" w:rsidRDefault="00C40FA0" w:rsidP="00C40FA0">
      <w:pPr>
        <w:pStyle w:val="Corpsdetexte"/>
        <w:jc w:val="both"/>
        <w:rPr>
          <w:rFonts w:ascii="Verdana" w:hAnsi="Verdana"/>
          <w:snapToGrid w:val="0"/>
          <w:sz w:val="20"/>
          <w:szCs w:val="20"/>
          <w:lang w:eastAsia="fi-FI"/>
        </w:rPr>
      </w:pPr>
    </w:p>
    <w:bookmarkEnd w:id="4"/>
    <w:p w14:paraId="0F7B0BAA" w14:textId="77777777" w:rsidR="00491A1A" w:rsidRDefault="00491A1A" w:rsidP="00491A1A">
      <w:pPr>
        <w:rPr>
          <w:lang w:eastAsia="fi-FI"/>
        </w:rPr>
      </w:pPr>
    </w:p>
    <w:p w14:paraId="56D2A62A" w14:textId="77777777" w:rsidR="00491A1A" w:rsidRDefault="00491A1A" w:rsidP="00491A1A">
      <w:pPr>
        <w:rPr>
          <w:lang w:eastAsia="fi-FI"/>
        </w:rPr>
      </w:pPr>
    </w:p>
    <w:p w14:paraId="55D3B0F5" w14:textId="77777777" w:rsidR="00491A1A" w:rsidRDefault="00491A1A" w:rsidP="00491A1A">
      <w:pPr>
        <w:rPr>
          <w:lang w:eastAsia="fi-FI"/>
        </w:rPr>
      </w:pPr>
    </w:p>
    <w:p w14:paraId="3B5523F2" w14:textId="77777777" w:rsidR="00E37ACD" w:rsidRPr="00C50AAB" w:rsidRDefault="00E37ACD" w:rsidP="00C50AAB">
      <w:pPr>
        <w:pStyle w:val="Titre1"/>
        <w:widowControl w:val="0"/>
        <w:numPr>
          <w:ilvl w:val="0"/>
          <w:numId w:val="0"/>
        </w:numPr>
        <w:rPr>
          <w:b w:val="0"/>
          <w:color w:val="4F81BD"/>
          <w:lang w:eastAsia="fi-FI"/>
        </w:rPr>
      </w:pPr>
      <w:bookmarkStart w:id="6" w:name="_Toc117776279"/>
      <w:r w:rsidRPr="00C50AAB">
        <w:rPr>
          <w:color w:val="4F81BD"/>
          <w:lang w:eastAsia="fi-FI"/>
        </w:rPr>
        <w:lastRenderedPageBreak/>
        <w:t>Glossary</w:t>
      </w:r>
      <w:bookmarkEnd w:id="6"/>
    </w:p>
    <w:p w14:paraId="4C50CA1D" w14:textId="77777777" w:rsidR="00E37ACD" w:rsidRPr="00984641" w:rsidRDefault="00E37ACD" w:rsidP="00E37ACD">
      <w:pPr>
        <w:rPr>
          <w:rFonts w:ascii="Verdana" w:hAnsi="Verdana"/>
          <w:b/>
          <w:bCs/>
          <w:snapToGrid w:val="0"/>
          <w:sz w:val="20"/>
          <w:szCs w:val="20"/>
          <w:lang w:eastAsia="fi-FI"/>
        </w:rPr>
      </w:pPr>
    </w:p>
    <w:tbl>
      <w:tblPr>
        <w:tblStyle w:val="Grilledutableau"/>
        <w:tblW w:w="0" w:type="auto"/>
        <w:tblLook w:val="04A0" w:firstRow="1" w:lastRow="0" w:firstColumn="1" w:lastColumn="0" w:noHBand="0" w:noVBand="1"/>
      </w:tblPr>
      <w:tblGrid>
        <w:gridCol w:w="2122"/>
        <w:gridCol w:w="6180"/>
      </w:tblGrid>
      <w:tr w:rsidR="00910408" w:rsidRPr="00673013" w14:paraId="29E8518C" w14:textId="77777777" w:rsidTr="00F94CED">
        <w:tc>
          <w:tcPr>
            <w:tcW w:w="2122" w:type="dxa"/>
          </w:tcPr>
          <w:p w14:paraId="489E8C24" w14:textId="3A53D945" w:rsidR="00910408" w:rsidRDefault="00910408" w:rsidP="00F94CED">
            <w:pPr>
              <w:rPr>
                <w:rFonts w:ascii="Verdana" w:hAnsi="Verdana"/>
                <w:sz w:val="20"/>
                <w:szCs w:val="20"/>
              </w:rPr>
            </w:pPr>
            <w:r>
              <w:rPr>
                <w:rFonts w:ascii="Verdana" w:hAnsi="Verdana"/>
                <w:sz w:val="20"/>
                <w:szCs w:val="20"/>
              </w:rPr>
              <w:t>ANSES</w:t>
            </w:r>
          </w:p>
        </w:tc>
        <w:tc>
          <w:tcPr>
            <w:tcW w:w="6180" w:type="dxa"/>
          </w:tcPr>
          <w:p w14:paraId="05730DE2" w14:textId="05B167BD" w:rsidR="00910408" w:rsidRPr="00910408" w:rsidRDefault="00910408" w:rsidP="00910408">
            <w:pPr>
              <w:spacing w:after="0"/>
              <w:jc w:val="both"/>
              <w:rPr>
                <w:lang w:val="fr-FR"/>
              </w:rPr>
            </w:pPr>
            <w:r w:rsidRPr="00D57BCE">
              <w:rPr>
                <w:rFonts w:ascii="Verdana" w:hAnsi="Verdana"/>
                <w:i/>
                <w:sz w:val="20"/>
                <w:szCs w:val="20"/>
                <w:lang w:val="fr-FR"/>
              </w:rPr>
              <w:t>Agence Nationale de Sécurité Sanitaire de l’alimentation, de l’environnement et du travail</w:t>
            </w:r>
            <w:r w:rsidRPr="00D57BCE">
              <w:rPr>
                <w:rFonts w:ascii="Verdana" w:hAnsi="Verdana"/>
                <w:sz w:val="20"/>
                <w:szCs w:val="20"/>
                <w:lang w:val="fr-FR"/>
              </w:rPr>
              <w:t xml:space="preserve"> [French Agency for Food, Environmental and Occupational Health &amp; Safety]</w:t>
            </w:r>
          </w:p>
        </w:tc>
      </w:tr>
      <w:tr w:rsidR="002841F2" w:rsidRPr="00025069" w14:paraId="436D160F" w14:textId="77777777" w:rsidTr="00F94CED">
        <w:tc>
          <w:tcPr>
            <w:tcW w:w="2122" w:type="dxa"/>
          </w:tcPr>
          <w:p w14:paraId="590E5785" w14:textId="227CE233" w:rsidR="002841F2" w:rsidRDefault="002841F2" w:rsidP="00F94CED">
            <w:pPr>
              <w:rPr>
                <w:rFonts w:ascii="Verdana" w:hAnsi="Verdana"/>
                <w:sz w:val="20"/>
                <w:szCs w:val="20"/>
              </w:rPr>
            </w:pPr>
            <w:r>
              <w:rPr>
                <w:rFonts w:ascii="Verdana" w:hAnsi="Verdana"/>
                <w:sz w:val="20"/>
                <w:szCs w:val="20"/>
              </w:rPr>
              <w:t>ART</w:t>
            </w:r>
          </w:p>
        </w:tc>
        <w:tc>
          <w:tcPr>
            <w:tcW w:w="6180" w:type="dxa"/>
          </w:tcPr>
          <w:p w14:paraId="16407FA2" w14:textId="72670A44" w:rsidR="002841F2" w:rsidRDefault="002841F2" w:rsidP="00F94CED">
            <w:pPr>
              <w:rPr>
                <w:rFonts w:ascii="Verdana" w:hAnsi="Verdana"/>
                <w:sz w:val="20"/>
                <w:szCs w:val="20"/>
              </w:rPr>
            </w:pPr>
            <w:r>
              <w:rPr>
                <w:rFonts w:ascii="Verdana" w:hAnsi="Verdana"/>
                <w:sz w:val="20"/>
                <w:szCs w:val="20"/>
              </w:rPr>
              <w:t>Advanced REACh tool</w:t>
            </w:r>
          </w:p>
        </w:tc>
      </w:tr>
      <w:tr w:rsidR="00A37574" w:rsidRPr="00025069" w14:paraId="7BADDC76" w14:textId="77777777" w:rsidTr="00F94CED">
        <w:tc>
          <w:tcPr>
            <w:tcW w:w="2122" w:type="dxa"/>
          </w:tcPr>
          <w:p w14:paraId="1D6BB700" w14:textId="6EBF9C90" w:rsidR="00A37574" w:rsidRDefault="00A37574" w:rsidP="00F94CED">
            <w:pPr>
              <w:rPr>
                <w:rFonts w:ascii="Verdana" w:hAnsi="Verdana"/>
                <w:sz w:val="20"/>
                <w:szCs w:val="20"/>
              </w:rPr>
            </w:pPr>
            <w:r>
              <w:rPr>
                <w:rFonts w:ascii="Verdana" w:hAnsi="Verdana"/>
                <w:sz w:val="20"/>
                <w:szCs w:val="20"/>
              </w:rPr>
              <w:t>BLV</w:t>
            </w:r>
          </w:p>
        </w:tc>
        <w:tc>
          <w:tcPr>
            <w:tcW w:w="6180" w:type="dxa"/>
          </w:tcPr>
          <w:p w14:paraId="485839CA" w14:textId="43F54EEA" w:rsidR="00A37574" w:rsidRDefault="00A37574" w:rsidP="00F94CED">
            <w:pPr>
              <w:rPr>
                <w:rFonts w:ascii="Verdana" w:hAnsi="Verdana"/>
                <w:sz w:val="20"/>
                <w:szCs w:val="20"/>
              </w:rPr>
            </w:pPr>
            <w:r>
              <w:rPr>
                <w:rFonts w:ascii="Verdana" w:hAnsi="Verdana"/>
                <w:sz w:val="20"/>
                <w:szCs w:val="20"/>
              </w:rPr>
              <w:t>Biological limit value</w:t>
            </w:r>
          </w:p>
        </w:tc>
      </w:tr>
      <w:tr w:rsidR="005E7D52" w:rsidRPr="00025069" w14:paraId="4897ED49" w14:textId="77777777" w:rsidTr="00F94CED">
        <w:tc>
          <w:tcPr>
            <w:tcW w:w="2122" w:type="dxa"/>
          </w:tcPr>
          <w:p w14:paraId="4BC69FD0" w14:textId="4E985535" w:rsidR="005E7D52" w:rsidRPr="00984641" w:rsidRDefault="005E7D52" w:rsidP="00F94CED">
            <w:pPr>
              <w:rPr>
                <w:rFonts w:ascii="Verdana" w:hAnsi="Verdana"/>
                <w:sz w:val="20"/>
                <w:szCs w:val="20"/>
              </w:rPr>
            </w:pPr>
            <w:r>
              <w:rPr>
                <w:rFonts w:ascii="Verdana" w:hAnsi="Verdana"/>
                <w:sz w:val="20"/>
                <w:szCs w:val="20"/>
              </w:rPr>
              <w:t>BOEL</w:t>
            </w:r>
          </w:p>
        </w:tc>
        <w:tc>
          <w:tcPr>
            <w:tcW w:w="6180" w:type="dxa"/>
          </w:tcPr>
          <w:p w14:paraId="1DEDD883" w14:textId="7D942143" w:rsidR="005E7D52" w:rsidRPr="00984641" w:rsidRDefault="005E7D52" w:rsidP="00F94CED">
            <w:pPr>
              <w:rPr>
                <w:rFonts w:ascii="Verdana" w:hAnsi="Verdana"/>
                <w:sz w:val="20"/>
                <w:szCs w:val="20"/>
              </w:rPr>
            </w:pPr>
            <w:r>
              <w:rPr>
                <w:rFonts w:ascii="Verdana" w:hAnsi="Verdana"/>
                <w:sz w:val="20"/>
                <w:szCs w:val="20"/>
              </w:rPr>
              <w:t>Binding occupation exposure level</w:t>
            </w:r>
          </w:p>
        </w:tc>
      </w:tr>
      <w:tr w:rsidR="00E37ACD" w:rsidRPr="00025069" w14:paraId="0CB6AE95" w14:textId="77777777" w:rsidTr="00F94CED">
        <w:tc>
          <w:tcPr>
            <w:tcW w:w="2122" w:type="dxa"/>
          </w:tcPr>
          <w:p w14:paraId="52669426" w14:textId="77777777" w:rsidR="00E37ACD" w:rsidRPr="00025069" w:rsidRDefault="00E37ACD" w:rsidP="00F94CED">
            <w:pPr>
              <w:rPr>
                <w:rFonts w:ascii="Verdana" w:hAnsi="Verdana"/>
                <w:snapToGrid w:val="0"/>
                <w:sz w:val="20"/>
                <w:szCs w:val="20"/>
                <w:lang w:eastAsia="fi-FI"/>
              </w:rPr>
            </w:pPr>
            <w:r w:rsidRPr="00984641">
              <w:rPr>
                <w:rFonts w:ascii="Verdana" w:hAnsi="Verdana"/>
                <w:sz w:val="20"/>
                <w:szCs w:val="20"/>
              </w:rPr>
              <w:t>CCH</w:t>
            </w:r>
          </w:p>
        </w:tc>
        <w:tc>
          <w:tcPr>
            <w:tcW w:w="6180" w:type="dxa"/>
          </w:tcPr>
          <w:p w14:paraId="444E58EF" w14:textId="77777777" w:rsidR="00E37ACD" w:rsidRPr="00984641" w:rsidRDefault="00E37ACD" w:rsidP="00F94CED">
            <w:pPr>
              <w:rPr>
                <w:rFonts w:ascii="Verdana" w:hAnsi="Verdana"/>
                <w:sz w:val="20"/>
                <w:szCs w:val="20"/>
              </w:rPr>
            </w:pPr>
            <w:r w:rsidRPr="00984641">
              <w:rPr>
                <w:rFonts w:ascii="Verdana" w:hAnsi="Verdana"/>
                <w:sz w:val="20"/>
                <w:szCs w:val="20"/>
              </w:rPr>
              <w:t>Compliance Check</w:t>
            </w:r>
          </w:p>
        </w:tc>
      </w:tr>
      <w:tr w:rsidR="00E37ACD" w:rsidRPr="00025069" w14:paraId="5B570929" w14:textId="77777777" w:rsidTr="00F94CED">
        <w:tc>
          <w:tcPr>
            <w:tcW w:w="2122" w:type="dxa"/>
          </w:tcPr>
          <w:p w14:paraId="575430DE" w14:textId="77777777" w:rsidR="00E37ACD" w:rsidRPr="00025069" w:rsidRDefault="00E37ACD" w:rsidP="00F94CED">
            <w:pPr>
              <w:rPr>
                <w:rFonts w:ascii="Verdana" w:hAnsi="Verdana"/>
                <w:snapToGrid w:val="0"/>
                <w:sz w:val="20"/>
                <w:szCs w:val="20"/>
                <w:lang w:eastAsia="fi-FI"/>
              </w:rPr>
            </w:pPr>
            <w:r w:rsidRPr="00984641">
              <w:rPr>
                <w:rFonts w:ascii="Verdana" w:hAnsi="Verdana"/>
                <w:sz w:val="20"/>
                <w:szCs w:val="20"/>
              </w:rPr>
              <w:t>CLH</w:t>
            </w:r>
          </w:p>
        </w:tc>
        <w:tc>
          <w:tcPr>
            <w:tcW w:w="6180" w:type="dxa"/>
          </w:tcPr>
          <w:p w14:paraId="53E38AF7" w14:textId="77777777" w:rsidR="00E37ACD" w:rsidRPr="00025069" w:rsidRDefault="00E37ACD" w:rsidP="00F94CED">
            <w:pPr>
              <w:rPr>
                <w:rFonts w:ascii="Verdana" w:hAnsi="Verdana"/>
                <w:snapToGrid w:val="0"/>
                <w:sz w:val="20"/>
                <w:szCs w:val="20"/>
                <w:lang w:eastAsia="fi-FI"/>
              </w:rPr>
            </w:pPr>
            <w:r w:rsidRPr="00025069">
              <w:rPr>
                <w:rFonts w:ascii="Verdana" w:hAnsi="Verdana"/>
                <w:sz w:val="20"/>
                <w:szCs w:val="20"/>
              </w:rPr>
              <w:t>H</w:t>
            </w:r>
            <w:r w:rsidRPr="00984641">
              <w:rPr>
                <w:rFonts w:ascii="Verdana" w:hAnsi="Verdana"/>
                <w:sz w:val="20"/>
                <w:szCs w:val="20"/>
              </w:rPr>
              <w:t>armonised classification and labelling</w:t>
            </w:r>
          </w:p>
        </w:tc>
      </w:tr>
      <w:tr w:rsidR="006C6C3E" w:rsidRPr="00025069" w14:paraId="7ACE0FF2" w14:textId="77777777" w:rsidTr="00F94CED">
        <w:tc>
          <w:tcPr>
            <w:tcW w:w="2122" w:type="dxa"/>
          </w:tcPr>
          <w:p w14:paraId="7308D7D9" w14:textId="73610398" w:rsidR="006C6C3E" w:rsidRPr="00984641" w:rsidRDefault="006C6C3E" w:rsidP="00F94CED">
            <w:pPr>
              <w:rPr>
                <w:rFonts w:ascii="Verdana" w:hAnsi="Verdana"/>
                <w:sz w:val="20"/>
                <w:szCs w:val="20"/>
              </w:rPr>
            </w:pPr>
            <w:r>
              <w:rPr>
                <w:rFonts w:ascii="Verdana" w:hAnsi="Verdana"/>
                <w:sz w:val="20"/>
                <w:szCs w:val="20"/>
              </w:rPr>
              <w:t>CAD</w:t>
            </w:r>
          </w:p>
        </w:tc>
        <w:tc>
          <w:tcPr>
            <w:tcW w:w="6180" w:type="dxa"/>
          </w:tcPr>
          <w:p w14:paraId="354D8AAE" w14:textId="48B6544B" w:rsidR="006C6C3E" w:rsidRPr="00025069" w:rsidRDefault="006C6C3E" w:rsidP="00F94CED">
            <w:pPr>
              <w:rPr>
                <w:rFonts w:ascii="Verdana" w:hAnsi="Verdana"/>
                <w:sz w:val="20"/>
                <w:szCs w:val="20"/>
              </w:rPr>
            </w:pPr>
            <w:r>
              <w:rPr>
                <w:rFonts w:ascii="Verdana" w:hAnsi="Verdana"/>
                <w:sz w:val="20"/>
                <w:szCs w:val="20"/>
              </w:rPr>
              <w:t>Chemical agent directive</w:t>
            </w:r>
          </w:p>
        </w:tc>
      </w:tr>
      <w:tr w:rsidR="00E37ACD" w:rsidRPr="00025069" w14:paraId="3A086368" w14:textId="77777777" w:rsidTr="00F94CED">
        <w:tc>
          <w:tcPr>
            <w:tcW w:w="2122" w:type="dxa"/>
          </w:tcPr>
          <w:p w14:paraId="35074528" w14:textId="77777777" w:rsidR="00E37ACD" w:rsidRPr="00025069" w:rsidRDefault="00E37ACD" w:rsidP="00F94CED">
            <w:pPr>
              <w:rPr>
                <w:rFonts w:ascii="Verdana" w:hAnsi="Verdana"/>
                <w:snapToGrid w:val="0"/>
                <w:sz w:val="20"/>
                <w:szCs w:val="20"/>
                <w:lang w:eastAsia="fi-FI"/>
              </w:rPr>
            </w:pPr>
            <w:r w:rsidRPr="00984641">
              <w:rPr>
                <w:rFonts w:ascii="Verdana" w:hAnsi="Verdana"/>
                <w:sz w:val="20"/>
                <w:szCs w:val="20"/>
              </w:rPr>
              <w:t>CMR</w:t>
            </w:r>
          </w:p>
        </w:tc>
        <w:tc>
          <w:tcPr>
            <w:tcW w:w="6180" w:type="dxa"/>
          </w:tcPr>
          <w:p w14:paraId="72F4F282" w14:textId="77777777" w:rsidR="00E37ACD" w:rsidRPr="00025069" w:rsidRDefault="00E37ACD" w:rsidP="00F94CED">
            <w:pPr>
              <w:rPr>
                <w:rFonts w:ascii="Verdana" w:hAnsi="Verdana"/>
                <w:snapToGrid w:val="0"/>
                <w:sz w:val="20"/>
                <w:szCs w:val="20"/>
                <w:lang w:eastAsia="fi-FI"/>
              </w:rPr>
            </w:pPr>
            <w:r w:rsidRPr="00025069">
              <w:rPr>
                <w:rFonts w:ascii="Verdana" w:hAnsi="Verdana"/>
                <w:sz w:val="20"/>
                <w:szCs w:val="20"/>
              </w:rPr>
              <w:t>C</w:t>
            </w:r>
            <w:r w:rsidRPr="00984641">
              <w:rPr>
                <w:rFonts w:ascii="Verdana" w:hAnsi="Verdana"/>
                <w:sz w:val="20"/>
                <w:szCs w:val="20"/>
              </w:rPr>
              <w:t>arcinogenic, mutagenic and/or toxic to reproduction</w:t>
            </w:r>
          </w:p>
        </w:tc>
      </w:tr>
      <w:tr w:rsidR="009E0E50" w:rsidRPr="00025069" w14:paraId="15A1B6B8" w14:textId="77777777" w:rsidTr="00F94CED">
        <w:tc>
          <w:tcPr>
            <w:tcW w:w="2122" w:type="dxa"/>
          </w:tcPr>
          <w:p w14:paraId="508B6C42" w14:textId="26D43FAF" w:rsidR="009E0E50" w:rsidRPr="00984641" w:rsidRDefault="009E0E50" w:rsidP="00F94CED">
            <w:pPr>
              <w:rPr>
                <w:rFonts w:ascii="Verdana" w:hAnsi="Verdana"/>
                <w:sz w:val="20"/>
                <w:szCs w:val="20"/>
              </w:rPr>
            </w:pPr>
            <w:r>
              <w:rPr>
                <w:rFonts w:ascii="Verdana" w:hAnsi="Verdana"/>
                <w:sz w:val="20"/>
                <w:szCs w:val="20"/>
              </w:rPr>
              <w:t>CNS</w:t>
            </w:r>
          </w:p>
        </w:tc>
        <w:tc>
          <w:tcPr>
            <w:tcW w:w="6180" w:type="dxa"/>
          </w:tcPr>
          <w:p w14:paraId="0FC50D73" w14:textId="07146324" w:rsidR="009E0E50" w:rsidRPr="00025069" w:rsidRDefault="009E0E50" w:rsidP="00F94CED">
            <w:pPr>
              <w:rPr>
                <w:rFonts w:ascii="Verdana" w:hAnsi="Verdana"/>
                <w:sz w:val="20"/>
                <w:szCs w:val="20"/>
              </w:rPr>
            </w:pPr>
            <w:r>
              <w:rPr>
                <w:rFonts w:ascii="Verdana" w:hAnsi="Verdana"/>
                <w:sz w:val="20"/>
                <w:szCs w:val="20"/>
              </w:rPr>
              <w:t>Central nervous system</w:t>
            </w:r>
          </w:p>
        </w:tc>
      </w:tr>
      <w:tr w:rsidR="00772595" w:rsidRPr="00025069" w14:paraId="2B54ABD0" w14:textId="77777777" w:rsidTr="00F94CED">
        <w:tc>
          <w:tcPr>
            <w:tcW w:w="2122" w:type="dxa"/>
          </w:tcPr>
          <w:p w14:paraId="4590B8A0" w14:textId="78F0A660" w:rsidR="00772595" w:rsidRDefault="00772595" w:rsidP="00F94CED">
            <w:pPr>
              <w:rPr>
                <w:rFonts w:ascii="Verdana" w:hAnsi="Verdana"/>
                <w:sz w:val="20"/>
                <w:szCs w:val="20"/>
              </w:rPr>
            </w:pPr>
            <w:r>
              <w:rPr>
                <w:rFonts w:ascii="Verdana" w:hAnsi="Verdana"/>
                <w:sz w:val="20"/>
                <w:szCs w:val="20"/>
              </w:rPr>
              <w:t>CoRAP</w:t>
            </w:r>
          </w:p>
        </w:tc>
        <w:tc>
          <w:tcPr>
            <w:tcW w:w="6180" w:type="dxa"/>
          </w:tcPr>
          <w:p w14:paraId="5C079E67" w14:textId="444EC38A" w:rsidR="00772595" w:rsidRDefault="00772595" w:rsidP="00F94CED">
            <w:pPr>
              <w:rPr>
                <w:rFonts w:ascii="Verdana" w:hAnsi="Verdana"/>
                <w:sz w:val="20"/>
                <w:szCs w:val="20"/>
              </w:rPr>
            </w:pPr>
            <w:r w:rsidRPr="00772595">
              <w:rPr>
                <w:rFonts w:ascii="Verdana" w:hAnsi="Verdana"/>
                <w:sz w:val="20"/>
                <w:szCs w:val="20"/>
              </w:rPr>
              <w:t>Community rolling action plan</w:t>
            </w:r>
          </w:p>
        </w:tc>
      </w:tr>
      <w:tr w:rsidR="00A37574" w:rsidRPr="00025069" w14:paraId="61003B7C" w14:textId="77777777" w:rsidTr="00F94CED">
        <w:tc>
          <w:tcPr>
            <w:tcW w:w="2122" w:type="dxa"/>
          </w:tcPr>
          <w:p w14:paraId="1D1021FE" w14:textId="5E0CE5EE" w:rsidR="00A37574" w:rsidRDefault="00A37574" w:rsidP="00F94CED">
            <w:pPr>
              <w:rPr>
                <w:rFonts w:ascii="Verdana" w:hAnsi="Verdana"/>
                <w:sz w:val="20"/>
                <w:szCs w:val="20"/>
              </w:rPr>
            </w:pPr>
            <w:r>
              <w:rPr>
                <w:rFonts w:ascii="Verdana" w:hAnsi="Verdana"/>
                <w:sz w:val="20"/>
                <w:szCs w:val="20"/>
              </w:rPr>
              <w:t>CSR</w:t>
            </w:r>
          </w:p>
        </w:tc>
        <w:tc>
          <w:tcPr>
            <w:tcW w:w="6180" w:type="dxa"/>
          </w:tcPr>
          <w:p w14:paraId="0EF4D0F0" w14:textId="6A8A16E9" w:rsidR="00A37574" w:rsidRDefault="00A37574" w:rsidP="00F94CED">
            <w:pPr>
              <w:rPr>
                <w:rFonts w:ascii="Verdana" w:hAnsi="Verdana"/>
                <w:sz w:val="20"/>
                <w:szCs w:val="20"/>
              </w:rPr>
            </w:pPr>
            <w:r>
              <w:rPr>
                <w:rFonts w:ascii="Verdana" w:hAnsi="Verdana"/>
                <w:sz w:val="20"/>
                <w:szCs w:val="20"/>
              </w:rPr>
              <w:t>Chemical safety report</w:t>
            </w:r>
          </w:p>
        </w:tc>
      </w:tr>
      <w:tr w:rsidR="00E37ACD" w:rsidRPr="00025069" w14:paraId="7032B16C" w14:textId="77777777" w:rsidTr="00F94CED">
        <w:tc>
          <w:tcPr>
            <w:tcW w:w="2122" w:type="dxa"/>
          </w:tcPr>
          <w:p w14:paraId="6EDA621F" w14:textId="77777777" w:rsidR="00E37ACD" w:rsidRPr="00025069" w:rsidRDefault="00E37ACD" w:rsidP="00F94CED">
            <w:pPr>
              <w:rPr>
                <w:rFonts w:ascii="Verdana" w:hAnsi="Verdana"/>
                <w:snapToGrid w:val="0"/>
                <w:sz w:val="20"/>
                <w:szCs w:val="20"/>
                <w:lang w:eastAsia="fi-FI"/>
              </w:rPr>
            </w:pPr>
            <w:r w:rsidRPr="00984641">
              <w:rPr>
                <w:rFonts w:ascii="Verdana" w:hAnsi="Verdana"/>
                <w:sz w:val="20"/>
                <w:szCs w:val="20"/>
                <w:lang w:val="fr-FR"/>
              </w:rPr>
              <w:t>DEv</w:t>
            </w:r>
          </w:p>
        </w:tc>
        <w:tc>
          <w:tcPr>
            <w:tcW w:w="6180" w:type="dxa"/>
          </w:tcPr>
          <w:p w14:paraId="4AF33B31" w14:textId="77777777" w:rsidR="00E37ACD" w:rsidRPr="00025069" w:rsidRDefault="00E37ACD" w:rsidP="00F94CED">
            <w:pPr>
              <w:rPr>
                <w:rFonts w:ascii="Verdana" w:hAnsi="Verdana"/>
                <w:snapToGrid w:val="0"/>
                <w:sz w:val="20"/>
                <w:szCs w:val="20"/>
                <w:lang w:eastAsia="fi-FI"/>
              </w:rPr>
            </w:pPr>
            <w:r w:rsidRPr="00025069">
              <w:rPr>
                <w:rFonts w:ascii="Verdana" w:hAnsi="Verdana"/>
                <w:sz w:val="20"/>
                <w:szCs w:val="20"/>
                <w:lang w:val="fr-FR"/>
              </w:rPr>
              <w:t>D</w:t>
            </w:r>
            <w:r w:rsidRPr="00984641">
              <w:rPr>
                <w:rFonts w:ascii="Verdana" w:hAnsi="Verdana"/>
                <w:sz w:val="20"/>
                <w:szCs w:val="20"/>
                <w:lang w:val="fr-FR"/>
              </w:rPr>
              <w:t>ossier evaluation</w:t>
            </w:r>
          </w:p>
        </w:tc>
      </w:tr>
      <w:tr w:rsidR="00826326" w:rsidRPr="00025069" w14:paraId="46B702C5" w14:textId="77777777" w:rsidTr="00F94CED">
        <w:tc>
          <w:tcPr>
            <w:tcW w:w="2122" w:type="dxa"/>
          </w:tcPr>
          <w:p w14:paraId="03421262" w14:textId="05CB7AF8" w:rsidR="00826326" w:rsidRPr="00984641" w:rsidRDefault="00826326" w:rsidP="00F94CED">
            <w:pPr>
              <w:rPr>
                <w:rFonts w:ascii="Verdana" w:hAnsi="Verdana"/>
                <w:sz w:val="20"/>
                <w:szCs w:val="20"/>
                <w:lang w:val="fr-FR"/>
              </w:rPr>
            </w:pPr>
            <w:r>
              <w:rPr>
                <w:rFonts w:ascii="Verdana" w:hAnsi="Verdana"/>
                <w:sz w:val="20"/>
                <w:szCs w:val="20"/>
                <w:lang w:val="fr-FR"/>
              </w:rPr>
              <w:t>DNEL</w:t>
            </w:r>
          </w:p>
        </w:tc>
        <w:tc>
          <w:tcPr>
            <w:tcW w:w="6180" w:type="dxa"/>
          </w:tcPr>
          <w:p w14:paraId="18C7DEB2" w14:textId="6772C7B2" w:rsidR="00826326" w:rsidRPr="00025069" w:rsidRDefault="00826326" w:rsidP="00F94CED">
            <w:pPr>
              <w:rPr>
                <w:rFonts w:ascii="Verdana" w:hAnsi="Verdana"/>
                <w:sz w:val="20"/>
                <w:szCs w:val="20"/>
                <w:lang w:val="fr-FR"/>
              </w:rPr>
            </w:pPr>
            <w:r>
              <w:rPr>
                <w:rFonts w:ascii="Verdana" w:hAnsi="Verdana"/>
                <w:sz w:val="20"/>
                <w:szCs w:val="20"/>
                <w:lang w:val="fr-FR"/>
              </w:rPr>
              <w:t>Derived no effect level</w:t>
            </w:r>
          </w:p>
        </w:tc>
      </w:tr>
      <w:tr w:rsidR="002841F2" w:rsidRPr="00025069" w14:paraId="6E241C69" w14:textId="77777777" w:rsidTr="00F94CED">
        <w:tc>
          <w:tcPr>
            <w:tcW w:w="2122" w:type="dxa"/>
          </w:tcPr>
          <w:p w14:paraId="66723271" w14:textId="298F420A" w:rsidR="002841F2" w:rsidRDefault="002841F2" w:rsidP="00F94CED">
            <w:pPr>
              <w:rPr>
                <w:rFonts w:ascii="Verdana" w:hAnsi="Verdana"/>
                <w:snapToGrid w:val="0"/>
                <w:sz w:val="20"/>
                <w:szCs w:val="20"/>
                <w:lang w:eastAsia="fi-FI"/>
              </w:rPr>
            </w:pPr>
            <w:r>
              <w:rPr>
                <w:rFonts w:ascii="Verdana" w:hAnsi="Verdana"/>
                <w:snapToGrid w:val="0"/>
                <w:sz w:val="20"/>
                <w:szCs w:val="20"/>
                <w:lang w:eastAsia="fi-FI"/>
              </w:rPr>
              <w:t>ECETOC TRA</w:t>
            </w:r>
          </w:p>
        </w:tc>
        <w:tc>
          <w:tcPr>
            <w:tcW w:w="6180" w:type="dxa"/>
          </w:tcPr>
          <w:p w14:paraId="4605F8BC" w14:textId="71A0FEEF" w:rsidR="002841F2" w:rsidRPr="002841F2" w:rsidRDefault="002841F2" w:rsidP="002841F2">
            <w:pPr>
              <w:rPr>
                <w:rFonts w:ascii="Verdana" w:hAnsi="Verdana"/>
                <w:sz w:val="20"/>
                <w:szCs w:val="20"/>
                <w:lang w:val="en-US"/>
              </w:rPr>
            </w:pPr>
            <w:r w:rsidRPr="00D57BCE">
              <w:rPr>
                <w:rFonts w:ascii="Verdana" w:hAnsi="Verdana"/>
                <w:sz w:val="20"/>
                <w:szCs w:val="20"/>
                <w:lang w:val="en-US"/>
              </w:rPr>
              <w:t>European centre for chemical safety assessmen</w:t>
            </w:r>
            <w:r w:rsidR="000E69DC">
              <w:rPr>
                <w:rFonts w:ascii="Verdana" w:hAnsi="Verdana"/>
                <w:sz w:val="20"/>
                <w:szCs w:val="20"/>
                <w:lang w:val="en-US"/>
              </w:rPr>
              <w:t>t - t</w:t>
            </w:r>
            <w:r w:rsidRPr="00D57BCE">
              <w:rPr>
                <w:rFonts w:ascii="Verdana" w:hAnsi="Verdana"/>
                <w:sz w:val="20"/>
                <w:szCs w:val="20"/>
                <w:lang w:val="en-US"/>
              </w:rPr>
              <w:t>argeted risk assessment</w:t>
            </w:r>
          </w:p>
        </w:tc>
      </w:tr>
      <w:tr w:rsidR="005E7D52" w:rsidRPr="00025069" w14:paraId="2F0C0CC6" w14:textId="77777777" w:rsidTr="00F94CED">
        <w:tc>
          <w:tcPr>
            <w:tcW w:w="2122" w:type="dxa"/>
          </w:tcPr>
          <w:p w14:paraId="3562D945" w14:textId="543F88C8" w:rsidR="005E7D52" w:rsidRPr="00025069" w:rsidRDefault="005E7D52" w:rsidP="00F94CED">
            <w:pPr>
              <w:rPr>
                <w:rFonts w:ascii="Verdana" w:hAnsi="Verdana"/>
                <w:snapToGrid w:val="0"/>
                <w:sz w:val="20"/>
                <w:szCs w:val="20"/>
                <w:lang w:eastAsia="fi-FI"/>
              </w:rPr>
            </w:pPr>
            <w:r>
              <w:rPr>
                <w:rFonts w:ascii="Verdana" w:hAnsi="Verdana"/>
                <w:snapToGrid w:val="0"/>
                <w:sz w:val="20"/>
                <w:szCs w:val="20"/>
                <w:lang w:eastAsia="fi-FI"/>
              </w:rPr>
              <w:t>ECHA</w:t>
            </w:r>
          </w:p>
        </w:tc>
        <w:tc>
          <w:tcPr>
            <w:tcW w:w="6180" w:type="dxa"/>
          </w:tcPr>
          <w:p w14:paraId="2C360289" w14:textId="379B3ACC" w:rsidR="005E7D52" w:rsidRPr="00025069" w:rsidRDefault="005E7D52" w:rsidP="00F94CED">
            <w:pPr>
              <w:rPr>
                <w:rFonts w:ascii="Verdana" w:hAnsi="Verdana"/>
                <w:sz w:val="20"/>
                <w:szCs w:val="20"/>
                <w:lang w:val="fr-FR"/>
              </w:rPr>
            </w:pPr>
            <w:r w:rsidRPr="005E7D52">
              <w:rPr>
                <w:rFonts w:ascii="Verdana" w:hAnsi="Verdana"/>
                <w:sz w:val="20"/>
                <w:szCs w:val="20"/>
                <w:lang w:val="fr-FR"/>
              </w:rPr>
              <w:t>European Chemical Agency</w:t>
            </w:r>
          </w:p>
        </w:tc>
      </w:tr>
      <w:tr w:rsidR="00E37ACD" w:rsidRPr="00025069" w14:paraId="0EA26BF8" w14:textId="77777777" w:rsidTr="00F94CED">
        <w:tc>
          <w:tcPr>
            <w:tcW w:w="2122" w:type="dxa"/>
          </w:tcPr>
          <w:p w14:paraId="63CD6847" w14:textId="77777777" w:rsidR="00E37ACD" w:rsidRPr="00025069" w:rsidRDefault="00E37ACD" w:rsidP="00F94CED">
            <w:pPr>
              <w:rPr>
                <w:rFonts w:ascii="Verdana" w:hAnsi="Verdana"/>
                <w:snapToGrid w:val="0"/>
                <w:sz w:val="20"/>
                <w:szCs w:val="20"/>
                <w:lang w:eastAsia="fi-FI"/>
              </w:rPr>
            </w:pPr>
            <w:r w:rsidRPr="00025069">
              <w:rPr>
                <w:rFonts w:ascii="Verdana" w:hAnsi="Verdana"/>
                <w:snapToGrid w:val="0"/>
                <w:sz w:val="20"/>
                <w:szCs w:val="20"/>
                <w:lang w:eastAsia="fi-FI"/>
              </w:rPr>
              <w:t>ED</w:t>
            </w:r>
          </w:p>
        </w:tc>
        <w:tc>
          <w:tcPr>
            <w:tcW w:w="6180" w:type="dxa"/>
          </w:tcPr>
          <w:p w14:paraId="5A26694C" w14:textId="77777777" w:rsidR="00E37ACD" w:rsidRPr="00025069" w:rsidRDefault="00E37ACD" w:rsidP="00F94CED">
            <w:pPr>
              <w:rPr>
                <w:rFonts w:ascii="Verdana" w:hAnsi="Verdana"/>
                <w:snapToGrid w:val="0"/>
                <w:sz w:val="20"/>
                <w:szCs w:val="20"/>
                <w:lang w:eastAsia="fi-FI"/>
              </w:rPr>
            </w:pPr>
            <w:r w:rsidRPr="00025069">
              <w:rPr>
                <w:rFonts w:ascii="Verdana" w:hAnsi="Verdana"/>
                <w:sz w:val="20"/>
                <w:szCs w:val="20"/>
                <w:lang w:val="fr-FR"/>
              </w:rPr>
              <w:t>E</w:t>
            </w:r>
            <w:r w:rsidRPr="00984641">
              <w:rPr>
                <w:rFonts w:ascii="Verdana" w:hAnsi="Verdana"/>
                <w:sz w:val="20"/>
                <w:szCs w:val="20"/>
                <w:lang w:val="fr-FR"/>
              </w:rPr>
              <w:t>ndocrine disruptor</w:t>
            </w:r>
          </w:p>
        </w:tc>
      </w:tr>
      <w:tr w:rsidR="00762D8A" w:rsidRPr="00025069" w14:paraId="63453ED2" w14:textId="77777777" w:rsidTr="00F94CED">
        <w:tc>
          <w:tcPr>
            <w:tcW w:w="2122" w:type="dxa"/>
          </w:tcPr>
          <w:p w14:paraId="52460EEB" w14:textId="20FCE09D" w:rsidR="00762D8A" w:rsidRDefault="00762D8A" w:rsidP="00F94CED">
            <w:pPr>
              <w:rPr>
                <w:rFonts w:ascii="Verdana" w:hAnsi="Verdana"/>
                <w:snapToGrid w:val="0"/>
                <w:sz w:val="20"/>
                <w:szCs w:val="20"/>
                <w:lang w:eastAsia="fi-FI"/>
              </w:rPr>
            </w:pPr>
            <w:r>
              <w:rPr>
                <w:rFonts w:ascii="Verdana" w:hAnsi="Verdana"/>
                <w:snapToGrid w:val="0"/>
                <w:sz w:val="20"/>
                <w:szCs w:val="20"/>
                <w:lang w:eastAsia="fi-FI"/>
              </w:rPr>
              <w:t>HCNL</w:t>
            </w:r>
          </w:p>
        </w:tc>
        <w:tc>
          <w:tcPr>
            <w:tcW w:w="6180" w:type="dxa"/>
          </w:tcPr>
          <w:p w14:paraId="64B733A5" w14:textId="78524302" w:rsidR="00762D8A" w:rsidRDefault="00762D8A" w:rsidP="00F94CED">
            <w:pPr>
              <w:rPr>
                <w:rFonts w:ascii="Verdana" w:hAnsi="Verdana"/>
                <w:sz w:val="20"/>
                <w:szCs w:val="20"/>
                <w:lang w:val="fr-FR"/>
              </w:rPr>
            </w:pPr>
            <w:r w:rsidRPr="00762D8A">
              <w:rPr>
                <w:rFonts w:ascii="Verdana" w:hAnsi="Verdana"/>
                <w:sz w:val="20"/>
                <w:szCs w:val="20"/>
                <w:lang w:val="fr-FR"/>
              </w:rPr>
              <w:t>Health council of Netherland</w:t>
            </w:r>
          </w:p>
        </w:tc>
      </w:tr>
      <w:tr w:rsidR="005E7D52" w:rsidRPr="00025069" w14:paraId="62DB7BFA" w14:textId="77777777" w:rsidTr="00F94CED">
        <w:tc>
          <w:tcPr>
            <w:tcW w:w="2122" w:type="dxa"/>
          </w:tcPr>
          <w:p w14:paraId="00B9F234" w14:textId="095D9B12" w:rsidR="005E7D52" w:rsidRPr="00025069" w:rsidRDefault="005E7D52" w:rsidP="00F94CED">
            <w:pPr>
              <w:rPr>
                <w:rFonts w:ascii="Verdana" w:hAnsi="Verdana"/>
                <w:snapToGrid w:val="0"/>
                <w:sz w:val="20"/>
                <w:szCs w:val="20"/>
                <w:lang w:eastAsia="fi-FI"/>
              </w:rPr>
            </w:pPr>
            <w:r>
              <w:rPr>
                <w:rFonts w:ascii="Verdana" w:hAnsi="Verdana"/>
                <w:snapToGrid w:val="0"/>
                <w:sz w:val="20"/>
                <w:szCs w:val="20"/>
                <w:lang w:eastAsia="fi-FI"/>
              </w:rPr>
              <w:t>IOELV</w:t>
            </w:r>
          </w:p>
        </w:tc>
        <w:tc>
          <w:tcPr>
            <w:tcW w:w="6180" w:type="dxa"/>
          </w:tcPr>
          <w:p w14:paraId="788D6152" w14:textId="56AE67FF" w:rsidR="005E7D52" w:rsidRPr="00025069" w:rsidRDefault="005E7D52" w:rsidP="00F94CED">
            <w:pPr>
              <w:rPr>
                <w:rFonts w:ascii="Verdana" w:hAnsi="Verdana"/>
                <w:sz w:val="20"/>
                <w:szCs w:val="20"/>
                <w:lang w:val="fr-FR"/>
              </w:rPr>
            </w:pPr>
            <w:r>
              <w:rPr>
                <w:rFonts w:ascii="Verdana" w:hAnsi="Verdana"/>
                <w:sz w:val="20"/>
                <w:szCs w:val="20"/>
                <w:lang w:val="fr-FR"/>
              </w:rPr>
              <w:t>Indicative occupational exposure level value</w:t>
            </w:r>
          </w:p>
        </w:tc>
      </w:tr>
      <w:tr w:rsidR="003C061E" w:rsidRPr="00025069" w14:paraId="13D38EC0" w14:textId="77777777" w:rsidTr="00F94CED">
        <w:tc>
          <w:tcPr>
            <w:tcW w:w="2122" w:type="dxa"/>
          </w:tcPr>
          <w:p w14:paraId="3203227D" w14:textId="53551B9E" w:rsidR="003C061E" w:rsidRPr="00984641" w:rsidRDefault="003C061E" w:rsidP="00F94CED">
            <w:pPr>
              <w:rPr>
                <w:rFonts w:ascii="Verdana" w:hAnsi="Verdana"/>
                <w:sz w:val="20"/>
                <w:szCs w:val="20"/>
              </w:rPr>
            </w:pPr>
            <w:r>
              <w:rPr>
                <w:rFonts w:ascii="Verdana" w:hAnsi="Verdana"/>
                <w:sz w:val="20"/>
                <w:szCs w:val="20"/>
              </w:rPr>
              <w:t>OC</w:t>
            </w:r>
          </w:p>
        </w:tc>
        <w:tc>
          <w:tcPr>
            <w:tcW w:w="6180" w:type="dxa"/>
          </w:tcPr>
          <w:p w14:paraId="3D4ED1CE" w14:textId="228B9C93" w:rsidR="003C061E" w:rsidRPr="00025069" w:rsidRDefault="003C061E" w:rsidP="00F94CED">
            <w:pPr>
              <w:rPr>
                <w:rFonts w:ascii="Verdana" w:hAnsi="Verdana"/>
                <w:sz w:val="20"/>
                <w:szCs w:val="20"/>
              </w:rPr>
            </w:pPr>
            <w:r>
              <w:rPr>
                <w:rFonts w:ascii="Verdana" w:hAnsi="Verdana"/>
                <w:sz w:val="20"/>
                <w:szCs w:val="20"/>
              </w:rPr>
              <w:t>Operational condition</w:t>
            </w:r>
          </w:p>
        </w:tc>
      </w:tr>
      <w:tr w:rsidR="00E37ACD" w:rsidRPr="00025069" w14:paraId="62B66918" w14:textId="77777777" w:rsidTr="00F94CED">
        <w:tc>
          <w:tcPr>
            <w:tcW w:w="2122" w:type="dxa"/>
          </w:tcPr>
          <w:p w14:paraId="022DCB73" w14:textId="77777777" w:rsidR="00E37ACD" w:rsidRPr="00025069" w:rsidRDefault="00E37ACD" w:rsidP="00F94CED">
            <w:pPr>
              <w:rPr>
                <w:rFonts w:ascii="Verdana" w:hAnsi="Verdana"/>
                <w:snapToGrid w:val="0"/>
                <w:sz w:val="20"/>
                <w:szCs w:val="20"/>
                <w:lang w:eastAsia="fi-FI"/>
              </w:rPr>
            </w:pPr>
            <w:r w:rsidRPr="00984641">
              <w:rPr>
                <w:rFonts w:ascii="Verdana" w:hAnsi="Verdana"/>
                <w:sz w:val="20"/>
                <w:szCs w:val="20"/>
              </w:rPr>
              <w:t>OEL</w:t>
            </w:r>
          </w:p>
        </w:tc>
        <w:tc>
          <w:tcPr>
            <w:tcW w:w="6180" w:type="dxa"/>
          </w:tcPr>
          <w:p w14:paraId="31E2BE97" w14:textId="77777777" w:rsidR="00E37ACD" w:rsidRPr="00025069" w:rsidRDefault="00E37ACD" w:rsidP="00F94CED">
            <w:pPr>
              <w:rPr>
                <w:rFonts w:ascii="Verdana" w:hAnsi="Verdana"/>
                <w:snapToGrid w:val="0"/>
                <w:sz w:val="20"/>
                <w:szCs w:val="20"/>
                <w:lang w:eastAsia="fi-FI"/>
              </w:rPr>
            </w:pPr>
            <w:r w:rsidRPr="00025069">
              <w:rPr>
                <w:rFonts w:ascii="Verdana" w:hAnsi="Verdana"/>
                <w:sz w:val="20"/>
                <w:szCs w:val="20"/>
              </w:rPr>
              <w:t>O</w:t>
            </w:r>
            <w:r w:rsidRPr="00984641">
              <w:rPr>
                <w:rFonts w:ascii="Verdana" w:hAnsi="Verdana"/>
                <w:sz w:val="20"/>
                <w:szCs w:val="20"/>
              </w:rPr>
              <w:t>ccupational exposure limit</w:t>
            </w:r>
          </w:p>
        </w:tc>
      </w:tr>
      <w:tr w:rsidR="00A53819" w:rsidRPr="00025069" w14:paraId="7AF1EC33" w14:textId="77777777" w:rsidTr="00F94CED">
        <w:tc>
          <w:tcPr>
            <w:tcW w:w="2122" w:type="dxa"/>
          </w:tcPr>
          <w:p w14:paraId="1920E402" w14:textId="38B1EEB2" w:rsidR="00A53819" w:rsidRPr="00984641" w:rsidRDefault="00A53819" w:rsidP="00F94CED">
            <w:pPr>
              <w:rPr>
                <w:rFonts w:ascii="Verdana" w:hAnsi="Verdana"/>
                <w:sz w:val="20"/>
                <w:szCs w:val="20"/>
              </w:rPr>
            </w:pPr>
            <w:r w:rsidRPr="005652FF">
              <w:rPr>
                <w:rFonts w:ascii="Verdana" w:hAnsi="Verdana" w:cstheme="minorHAnsi"/>
                <w:bCs/>
                <w:sz w:val="20"/>
                <w:lang w:val="en-US"/>
              </w:rPr>
              <w:t>ECG</w:t>
            </w:r>
          </w:p>
        </w:tc>
        <w:tc>
          <w:tcPr>
            <w:tcW w:w="6180" w:type="dxa"/>
          </w:tcPr>
          <w:p w14:paraId="1DD7CD76" w14:textId="2DD9B7F8" w:rsidR="00A53819" w:rsidRPr="00025069" w:rsidRDefault="00A53819" w:rsidP="00F94CED">
            <w:pPr>
              <w:rPr>
                <w:rFonts w:ascii="Verdana" w:hAnsi="Verdana"/>
                <w:sz w:val="20"/>
                <w:szCs w:val="20"/>
              </w:rPr>
            </w:pPr>
            <w:r>
              <w:rPr>
                <w:rFonts w:ascii="Verdana" w:hAnsi="Verdana"/>
                <w:sz w:val="20"/>
                <w:szCs w:val="20"/>
              </w:rPr>
              <w:t>Electrocardiogram</w:t>
            </w:r>
          </w:p>
        </w:tc>
      </w:tr>
      <w:tr w:rsidR="006C6C3E" w:rsidRPr="00025069" w14:paraId="3F3B4B43" w14:textId="77777777" w:rsidTr="00F94CED">
        <w:tc>
          <w:tcPr>
            <w:tcW w:w="2122" w:type="dxa"/>
          </w:tcPr>
          <w:p w14:paraId="28935D11" w14:textId="46114BCC" w:rsidR="006C6C3E" w:rsidRPr="00984641" w:rsidRDefault="006C6C3E" w:rsidP="00F94CED">
            <w:pPr>
              <w:rPr>
                <w:rFonts w:ascii="Verdana" w:hAnsi="Verdana"/>
                <w:sz w:val="20"/>
                <w:szCs w:val="20"/>
              </w:rPr>
            </w:pPr>
            <w:r>
              <w:rPr>
                <w:rFonts w:ascii="Verdana" w:hAnsi="Verdana"/>
                <w:sz w:val="20"/>
                <w:szCs w:val="20"/>
              </w:rPr>
              <w:t>EOGRTS</w:t>
            </w:r>
          </w:p>
        </w:tc>
        <w:tc>
          <w:tcPr>
            <w:tcW w:w="6180" w:type="dxa"/>
          </w:tcPr>
          <w:p w14:paraId="386614DE" w14:textId="7779A55A" w:rsidR="006C6C3E" w:rsidRPr="00025069" w:rsidRDefault="006C6C3E" w:rsidP="00F94CED">
            <w:pPr>
              <w:rPr>
                <w:rFonts w:ascii="Verdana" w:hAnsi="Verdana"/>
                <w:sz w:val="20"/>
                <w:szCs w:val="20"/>
              </w:rPr>
            </w:pPr>
            <w:r>
              <w:rPr>
                <w:rFonts w:ascii="Verdana" w:hAnsi="Verdana"/>
                <w:sz w:val="20"/>
                <w:szCs w:val="20"/>
              </w:rPr>
              <w:t>Extended one-generation reproductive toxicity study</w:t>
            </w:r>
          </w:p>
        </w:tc>
      </w:tr>
      <w:tr w:rsidR="00A37574" w:rsidRPr="00025069" w14:paraId="20F555BB" w14:textId="77777777" w:rsidTr="00F94CED">
        <w:tc>
          <w:tcPr>
            <w:tcW w:w="2122" w:type="dxa"/>
          </w:tcPr>
          <w:p w14:paraId="7774FBAB" w14:textId="481484E0" w:rsidR="00A37574" w:rsidRDefault="00A37574" w:rsidP="00F94CED">
            <w:pPr>
              <w:rPr>
                <w:rFonts w:ascii="Verdana" w:hAnsi="Verdana"/>
                <w:sz w:val="20"/>
                <w:szCs w:val="20"/>
              </w:rPr>
            </w:pPr>
            <w:r>
              <w:rPr>
                <w:rFonts w:ascii="Verdana" w:hAnsi="Verdana"/>
                <w:sz w:val="20"/>
                <w:szCs w:val="20"/>
              </w:rPr>
              <w:t>ES</w:t>
            </w:r>
          </w:p>
        </w:tc>
        <w:tc>
          <w:tcPr>
            <w:tcW w:w="6180" w:type="dxa"/>
          </w:tcPr>
          <w:p w14:paraId="5DE7CECC" w14:textId="21189906" w:rsidR="00A37574" w:rsidRDefault="00A37574" w:rsidP="00F94CED">
            <w:pPr>
              <w:rPr>
                <w:rFonts w:ascii="Verdana" w:hAnsi="Verdana"/>
                <w:sz w:val="20"/>
                <w:szCs w:val="20"/>
              </w:rPr>
            </w:pPr>
            <w:r>
              <w:rPr>
                <w:rFonts w:ascii="Verdana" w:hAnsi="Verdana"/>
                <w:sz w:val="20"/>
                <w:szCs w:val="20"/>
              </w:rPr>
              <w:t>Exposure scenario</w:t>
            </w:r>
          </w:p>
        </w:tc>
      </w:tr>
      <w:tr w:rsidR="00EB16BB" w:rsidRPr="00025069" w14:paraId="11243C6D" w14:textId="77777777" w:rsidTr="00F94CED">
        <w:tc>
          <w:tcPr>
            <w:tcW w:w="2122" w:type="dxa"/>
          </w:tcPr>
          <w:p w14:paraId="0535E2EA" w14:textId="643A2613" w:rsidR="00EB16BB" w:rsidRDefault="00EB16BB" w:rsidP="00F94CED">
            <w:pPr>
              <w:rPr>
                <w:rFonts w:ascii="Verdana" w:hAnsi="Verdana"/>
                <w:sz w:val="20"/>
                <w:szCs w:val="20"/>
              </w:rPr>
            </w:pPr>
            <w:r>
              <w:rPr>
                <w:rFonts w:ascii="Verdana" w:hAnsi="Verdana"/>
                <w:sz w:val="20"/>
                <w:szCs w:val="20"/>
              </w:rPr>
              <w:t>LEV</w:t>
            </w:r>
          </w:p>
        </w:tc>
        <w:tc>
          <w:tcPr>
            <w:tcW w:w="6180" w:type="dxa"/>
          </w:tcPr>
          <w:p w14:paraId="7F4EE7EC" w14:textId="5C4D1C71" w:rsidR="00EB16BB" w:rsidRDefault="00EB16BB" w:rsidP="00F94CED">
            <w:pPr>
              <w:rPr>
                <w:rFonts w:ascii="Verdana" w:hAnsi="Verdana"/>
                <w:sz w:val="20"/>
                <w:szCs w:val="20"/>
              </w:rPr>
            </w:pPr>
            <w:r>
              <w:rPr>
                <w:rFonts w:ascii="Verdana" w:hAnsi="Verdana"/>
                <w:sz w:val="20"/>
                <w:szCs w:val="20"/>
              </w:rPr>
              <w:t>Local exhaust ventilation</w:t>
            </w:r>
          </w:p>
        </w:tc>
      </w:tr>
      <w:tr w:rsidR="00EB16BB" w:rsidRPr="00025069" w14:paraId="7938612A" w14:textId="77777777" w:rsidTr="00F94CED">
        <w:tc>
          <w:tcPr>
            <w:tcW w:w="2122" w:type="dxa"/>
          </w:tcPr>
          <w:p w14:paraId="14BA77DB" w14:textId="3357D079" w:rsidR="00EB16BB" w:rsidRDefault="00EB16BB" w:rsidP="00F94CED">
            <w:pPr>
              <w:rPr>
                <w:rFonts w:ascii="Verdana" w:hAnsi="Verdana"/>
                <w:sz w:val="20"/>
                <w:szCs w:val="20"/>
              </w:rPr>
            </w:pPr>
            <w:r>
              <w:rPr>
                <w:rFonts w:ascii="Verdana" w:hAnsi="Verdana"/>
                <w:sz w:val="20"/>
                <w:szCs w:val="20"/>
              </w:rPr>
              <w:t>LOAEL/LOAEC</w:t>
            </w:r>
          </w:p>
        </w:tc>
        <w:tc>
          <w:tcPr>
            <w:tcW w:w="6180" w:type="dxa"/>
          </w:tcPr>
          <w:p w14:paraId="5094D83C" w14:textId="0DF90ED0" w:rsidR="00EB16BB" w:rsidRDefault="00EB16BB" w:rsidP="00F94CED">
            <w:pPr>
              <w:rPr>
                <w:rFonts w:ascii="Verdana" w:hAnsi="Verdana"/>
                <w:sz w:val="20"/>
                <w:szCs w:val="20"/>
              </w:rPr>
            </w:pPr>
            <w:r>
              <w:rPr>
                <w:rFonts w:ascii="Verdana" w:hAnsi="Verdana"/>
                <w:sz w:val="20"/>
                <w:szCs w:val="20"/>
              </w:rPr>
              <w:t>Lowest observed adverse level/concentration</w:t>
            </w:r>
          </w:p>
        </w:tc>
      </w:tr>
      <w:tr w:rsidR="00B37D21" w:rsidRPr="00025069" w14:paraId="3020D138" w14:textId="77777777" w:rsidTr="00F94CED">
        <w:tc>
          <w:tcPr>
            <w:tcW w:w="2122" w:type="dxa"/>
          </w:tcPr>
          <w:p w14:paraId="0C52F51D" w14:textId="540E55AD" w:rsidR="00B37D21" w:rsidRDefault="00B37D21" w:rsidP="00B37D21">
            <w:pPr>
              <w:rPr>
                <w:rFonts w:ascii="Verdana" w:hAnsi="Verdana"/>
                <w:sz w:val="20"/>
                <w:szCs w:val="20"/>
              </w:rPr>
            </w:pPr>
            <w:r>
              <w:rPr>
                <w:rFonts w:ascii="Verdana" w:eastAsiaTheme="minorHAnsi" w:hAnsi="Verdana" w:cstheme="minorHAnsi"/>
                <w:bCs/>
                <w:sz w:val="20"/>
                <w:szCs w:val="22"/>
                <w:lang w:val="en-US"/>
              </w:rPr>
              <w:t>MCV</w:t>
            </w:r>
          </w:p>
        </w:tc>
        <w:tc>
          <w:tcPr>
            <w:tcW w:w="6180" w:type="dxa"/>
          </w:tcPr>
          <w:p w14:paraId="65921447" w14:textId="6DDCDA5E" w:rsidR="00B37D21" w:rsidRDefault="00B37D21" w:rsidP="00F94CED">
            <w:pPr>
              <w:rPr>
                <w:rFonts w:ascii="Verdana" w:hAnsi="Verdana"/>
                <w:sz w:val="20"/>
                <w:szCs w:val="20"/>
              </w:rPr>
            </w:pPr>
            <w:r>
              <w:rPr>
                <w:rFonts w:ascii="Verdana" w:eastAsiaTheme="minorHAnsi" w:hAnsi="Verdana" w:cstheme="minorHAnsi"/>
                <w:bCs/>
                <w:sz w:val="20"/>
                <w:szCs w:val="22"/>
                <w:lang w:val="en-US"/>
              </w:rPr>
              <w:t>Motor Nerve C</w:t>
            </w:r>
            <w:r w:rsidRPr="005652FF">
              <w:rPr>
                <w:rFonts w:ascii="Verdana" w:eastAsiaTheme="minorHAnsi" w:hAnsi="Verdana" w:cstheme="minorHAnsi"/>
                <w:bCs/>
                <w:sz w:val="20"/>
                <w:szCs w:val="22"/>
                <w:lang w:val="en-US"/>
              </w:rPr>
              <w:t>onduction</w:t>
            </w:r>
          </w:p>
        </w:tc>
      </w:tr>
      <w:tr w:rsidR="000E69DC" w:rsidRPr="00025069" w14:paraId="4326AE15" w14:textId="77777777" w:rsidTr="00F94CED">
        <w:tc>
          <w:tcPr>
            <w:tcW w:w="2122" w:type="dxa"/>
          </w:tcPr>
          <w:p w14:paraId="56098E80" w14:textId="25DCE5B0" w:rsidR="000E69DC" w:rsidRDefault="000E69DC" w:rsidP="00F94CED">
            <w:pPr>
              <w:rPr>
                <w:rFonts w:ascii="Verdana" w:hAnsi="Verdana"/>
                <w:sz w:val="20"/>
                <w:szCs w:val="20"/>
              </w:rPr>
            </w:pPr>
            <w:r>
              <w:rPr>
                <w:rFonts w:ascii="Verdana" w:hAnsi="Verdana"/>
                <w:sz w:val="20"/>
                <w:szCs w:val="20"/>
              </w:rPr>
              <w:t>MSCA</w:t>
            </w:r>
          </w:p>
        </w:tc>
        <w:tc>
          <w:tcPr>
            <w:tcW w:w="6180" w:type="dxa"/>
          </w:tcPr>
          <w:p w14:paraId="47AC96EC" w14:textId="328F8C80" w:rsidR="000E69DC" w:rsidRDefault="000E69DC" w:rsidP="00F94CED">
            <w:pPr>
              <w:rPr>
                <w:rFonts w:ascii="Verdana" w:hAnsi="Verdana"/>
                <w:sz w:val="20"/>
                <w:szCs w:val="20"/>
              </w:rPr>
            </w:pPr>
            <w:r>
              <w:rPr>
                <w:rFonts w:ascii="Verdana" w:hAnsi="Verdana"/>
                <w:sz w:val="20"/>
                <w:szCs w:val="20"/>
              </w:rPr>
              <w:t>Member state competent authority</w:t>
            </w:r>
          </w:p>
        </w:tc>
      </w:tr>
      <w:tr w:rsidR="00EB16BB" w:rsidRPr="00025069" w14:paraId="6F72CB5D" w14:textId="77777777" w:rsidTr="00F94CED">
        <w:tc>
          <w:tcPr>
            <w:tcW w:w="2122" w:type="dxa"/>
          </w:tcPr>
          <w:p w14:paraId="3B976813" w14:textId="707C07E4" w:rsidR="00EB16BB" w:rsidRDefault="00EB16BB" w:rsidP="00F94CED">
            <w:pPr>
              <w:rPr>
                <w:rFonts w:ascii="Verdana" w:hAnsi="Verdana"/>
                <w:sz w:val="20"/>
                <w:szCs w:val="20"/>
              </w:rPr>
            </w:pPr>
            <w:r>
              <w:rPr>
                <w:rFonts w:ascii="Verdana" w:hAnsi="Verdana"/>
                <w:sz w:val="20"/>
                <w:szCs w:val="20"/>
              </w:rPr>
              <w:t>NOAEL/NOAEC</w:t>
            </w:r>
          </w:p>
        </w:tc>
        <w:tc>
          <w:tcPr>
            <w:tcW w:w="6180" w:type="dxa"/>
          </w:tcPr>
          <w:p w14:paraId="3A8084C8" w14:textId="433260E0" w:rsidR="00EB16BB" w:rsidRDefault="00EB16BB" w:rsidP="00F94CED">
            <w:pPr>
              <w:rPr>
                <w:rFonts w:ascii="Verdana" w:hAnsi="Verdana"/>
                <w:sz w:val="20"/>
                <w:szCs w:val="20"/>
              </w:rPr>
            </w:pPr>
            <w:r>
              <w:rPr>
                <w:rFonts w:ascii="Verdana" w:hAnsi="Verdana"/>
                <w:sz w:val="20"/>
                <w:szCs w:val="20"/>
              </w:rPr>
              <w:t>No observed adverse level/concentration</w:t>
            </w:r>
          </w:p>
        </w:tc>
      </w:tr>
      <w:tr w:rsidR="00290FD5" w:rsidRPr="00025069" w14:paraId="3F6B065A" w14:textId="77777777" w:rsidTr="00F94CED">
        <w:tc>
          <w:tcPr>
            <w:tcW w:w="2122" w:type="dxa"/>
          </w:tcPr>
          <w:p w14:paraId="7E1D4365" w14:textId="66BD1052" w:rsidR="00290FD5" w:rsidRPr="00984641" w:rsidRDefault="00290FD5" w:rsidP="00F94CED">
            <w:pPr>
              <w:rPr>
                <w:rFonts w:ascii="Verdana" w:hAnsi="Verdana"/>
                <w:sz w:val="20"/>
                <w:szCs w:val="20"/>
              </w:rPr>
            </w:pPr>
            <w:r>
              <w:rPr>
                <w:rFonts w:ascii="Verdana" w:hAnsi="Verdana"/>
                <w:sz w:val="20"/>
                <w:szCs w:val="20"/>
              </w:rPr>
              <w:lastRenderedPageBreak/>
              <w:t>OSI</w:t>
            </w:r>
            <w:r w:rsidR="00D04081">
              <w:rPr>
                <w:rFonts w:ascii="Verdana" w:hAnsi="Verdana"/>
                <w:sz w:val="20"/>
                <w:szCs w:val="20"/>
              </w:rPr>
              <w:t>I</w:t>
            </w:r>
            <w:r>
              <w:rPr>
                <w:rFonts w:ascii="Verdana" w:hAnsi="Verdana"/>
                <w:sz w:val="20"/>
                <w:szCs w:val="20"/>
              </w:rPr>
              <w:t xml:space="preserve"> or TII</w:t>
            </w:r>
          </w:p>
        </w:tc>
        <w:tc>
          <w:tcPr>
            <w:tcW w:w="6180" w:type="dxa"/>
          </w:tcPr>
          <w:p w14:paraId="43AF8416" w14:textId="10D7868B" w:rsidR="00290FD5" w:rsidRPr="00025069" w:rsidRDefault="00290FD5" w:rsidP="00F94CED">
            <w:pPr>
              <w:rPr>
                <w:rFonts w:ascii="Verdana" w:hAnsi="Verdana"/>
                <w:sz w:val="20"/>
                <w:szCs w:val="20"/>
              </w:rPr>
            </w:pPr>
            <w:r>
              <w:rPr>
                <w:rFonts w:ascii="Verdana" w:hAnsi="Verdana"/>
                <w:sz w:val="20"/>
                <w:szCs w:val="20"/>
              </w:rPr>
              <w:t>On-site isolated intermediate or transported isolated intermediate</w:t>
            </w:r>
          </w:p>
        </w:tc>
      </w:tr>
      <w:tr w:rsidR="005E7D52" w:rsidRPr="00025069" w14:paraId="1CBAAC54" w14:textId="77777777" w:rsidTr="00F94CED">
        <w:tc>
          <w:tcPr>
            <w:tcW w:w="2122" w:type="dxa"/>
          </w:tcPr>
          <w:p w14:paraId="53EFAD68" w14:textId="7B563D2D" w:rsidR="005E7D52" w:rsidRDefault="005E7D52" w:rsidP="00F94CED">
            <w:pPr>
              <w:rPr>
                <w:rFonts w:ascii="Verdana" w:hAnsi="Verdana"/>
                <w:sz w:val="20"/>
                <w:szCs w:val="20"/>
              </w:rPr>
            </w:pPr>
            <w:r>
              <w:rPr>
                <w:rFonts w:ascii="Verdana" w:hAnsi="Verdana"/>
                <w:sz w:val="20"/>
                <w:szCs w:val="20"/>
              </w:rPr>
              <w:t>PC</w:t>
            </w:r>
          </w:p>
        </w:tc>
        <w:tc>
          <w:tcPr>
            <w:tcW w:w="6180" w:type="dxa"/>
          </w:tcPr>
          <w:p w14:paraId="2CDC5BCE" w14:textId="734A19EA" w:rsidR="005E7D52" w:rsidRDefault="005E7D52" w:rsidP="00F94CED">
            <w:pPr>
              <w:rPr>
                <w:rFonts w:ascii="Verdana" w:hAnsi="Verdana"/>
                <w:sz w:val="20"/>
                <w:szCs w:val="20"/>
              </w:rPr>
            </w:pPr>
            <w:r>
              <w:rPr>
                <w:rFonts w:ascii="Verdana" w:hAnsi="Verdana"/>
                <w:sz w:val="20"/>
                <w:szCs w:val="20"/>
              </w:rPr>
              <w:t>Product category</w:t>
            </w:r>
          </w:p>
        </w:tc>
      </w:tr>
      <w:tr w:rsidR="00B37D21" w:rsidRPr="00025069" w14:paraId="536882C5" w14:textId="77777777" w:rsidTr="00F94CED">
        <w:tc>
          <w:tcPr>
            <w:tcW w:w="2122" w:type="dxa"/>
          </w:tcPr>
          <w:p w14:paraId="64B4D1DE" w14:textId="0FE0E3A9" w:rsidR="00B37D21" w:rsidRDefault="00B37D21" w:rsidP="00F94CED">
            <w:pPr>
              <w:rPr>
                <w:rFonts w:ascii="Verdana" w:hAnsi="Verdana"/>
                <w:sz w:val="20"/>
                <w:szCs w:val="20"/>
              </w:rPr>
            </w:pPr>
            <w:r w:rsidRPr="00B37D21">
              <w:rPr>
                <w:rFonts w:ascii="Verdana" w:hAnsi="Verdana"/>
                <w:sz w:val="20"/>
                <w:szCs w:val="20"/>
              </w:rPr>
              <w:t>PND</w:t>
            </w:r>
          </w:p>
        </w:tc>
        <w:tc>
          <w:tcPr>
            <w:tcW w:w="6180" w:type="dxa"/>
          </w:tcPr>
          <w:p w14:paraId="07E410E3" w14:textId="791A4294" w:rsidR="00B37D21" w:rsidRDefault="00B37D21" w:rsidP="00B37D21">
            <w:pPr>
              <w:rPr>
                <w:rFonts w:ascii="Verdana" w:hAnsi="Verdana"/>
                <w:sz w:val="20"/>
                <w:szCs w:val="20"/>
              </w:rPr>
            </w:pPr>
            <w:r w:rsidRPr="00B37D21">
              <w:rPr>
                <w:rFonts w:ascii="Verdana" w:hAnsi="Verdana"/>
                <w:sz w:val="20"/>
                <w:szCs w:val="20"/>
              </w:rPr>
              <w:t>post-natal day</w:t>
            </w:r>
          </w:p>
        </w:tc>
      </w:tr>
      <w:tr w:rsidR="009E0E50" w:rsidRPr="00025069" w14:paraId="2EA474AA" w14:textId="77777777" w:rsidTr="00F94CED">
        <w:tc>
          <w:tcPr>
            <w:tcW w:w="2122" w:type="dxa"/>
          </w:tcPr>
          <w:p w14:paraId="663D8198" w14:textId="06C438BC" w:rsidR="009E0E50" w:rsidRDefault="009E0E50" w:rsidP="00F94CED">
            <w:pPr>
              <w:rPr>
                <w:rFonts w:ascii="Verdana" w:hAnsi="Verdana"/>
                <w:sz w:val="20"/>
                <w:szCs w:val="20"/>
              </w:rPr>
            </w:pPr>
            <w:r>
              <w:rPr>
                <w:rFonts w:ascii="Verdana" w:hAnsi="Verdana"/>
                <w:sz w:val="20"/>
                <w:szCs w:val="20"/>
              </w:rPr>
              <w:t>PNS</w:t>
            </w:r>
          </w:p>
        </w:tc>
        <w:tc>
          <w:tcPr>
            <w:tcW w:w="6180" w:type="dxa"/>
          </w:tcPr>
          <w:p w14:paraId="60A17F7B" w14:textId="33377D16" w:rsidR="009E0E50" w:rsidRDefault="009E0E50" w:rsidP="00F94CED">
            <w:pPr>
              <w:rPr>
                <w:rFonts w:ascii="Verdana" w:hAnsi="Verdana"/>
                <w:sz w:val="20"/>
                <w:szCs w:val="20"/>
              </w:rPr>
            </w:pPr>
            <w:r>
              <w:rPr>
                <w:rFonts w:ascii="Verdana" w:hAnsi="Verdana"/>
                <w:sz w:val="20"/>
                <w:szCs w:val="20"/>
              </w:rPr>
              <w:t>Peripheral nervous system</w:t>
            </w:r>
          </w:p>
        </w:tc>
      </w:tr>
      <w:tr w:rsidR="005E7D52" w:rsidRPr="00025069" w14:paraId="2FA2A762" w14:textId="77777777" w:rsidTr="00F94CED">
        <w:tc>
          <w:tcPr>
            <w:tcW w:w="2122" w:type="dxa"/>
          </w:tcPr>
          <w:p w14:paraId="7B0E6D21" w14:textId="5FD91D5D" w:rsidR="005E7D52" w:rsidRDefault="005E7D52" w:rsidP="00F94CED">
            <w:pPr>
              <w:rPr>
                <w:rFonts w:ascii="Verdana" w:hAnsi="Verdana"/>
                <w:sz w:val="20"/>
                <w:szCs w:val="20"/>
              </w:rPr>
            </w:pPr>
            <w:r>
              <w:rPr>
                <w:rFonts w:ascii="Verdana" w:hAnsi="Verdana"/>
                <w:sz w:val="20"/>
                <w:szCs w:val="20"/>
              </w:rPr>
              <w:t>PPE</w:t>
            </w:r>
          </w:p>
        </w:tc>
        <w:tc>
          <w:tcPr>
            <w:tcW w:w="6180" w:type="dxa"/>
          </w:tcPr>
          <w:p w14:paraId="737D7948" w14:textId="64D5270B" w:rsidR="005E7D52" w:rsidRDefault="005E7D52" w:rsidP="00F94CED">
            <w:pPr>
              <w:rPr>
                <w:rFonts w:ascii="Verdana" w:hAnsi="Verdana"/>
                <w:sz w:val="20"/>
                <w:szCs w:val="20"/>
              </w:rPr>
            </w:pPr>
            <w:r>
              <w:rPr>
                <w:rFonts w:ascii="Verdana" w:hAnsi="Verdana"/>
                <w:sz w:val="20"/>
                <w:szCs w:val="20"/>
              </w:rPr>
              <w:t>Personal protective equipment</w:t>
            </w:r>
          </w:p>
        </w:tc>
      </w:tr>
      <w:tr w:rsidR="005E7D52" w:rsidRPr="00025069" w14:paraId="7BCA9575" w14:textId="77777777" w:rsidTr="00F94CED">
        <w:tc>
          <w:tcPr>
            <w:tcW w:w="2122" w:type="dxa"/>
          </w:tcPr>
          <w:p w14:paraId="41FE03E1" w14:textId="5F27BFF2" w:rsidR="005E7D52" w:rsidRDefault="005E7D52" w:rsidP="00F94CED">
            <w:pPr>
              <w:rPr>
                <w:rFonts w:ascii="Verdana" w:hAnsi="Verdana"/>
                <w:sz w:val="20"/>
                <w:szCs w:val="20"/>
              </w:rPr>
            </w:pPr>
            <w:r>
              <w:rPr>
                <w:rFonts w:ascii="Verdana" w:hAnsi="Verdana"/>
                <w:sz w:val="20"/>
                <w:szCs w:val="20"/>
              </w:rPr>
              <w:t>PROC</w:t>
            </w:r>
          </w:p>
        </w:tc>
        <w:tc>
          <w:tcPr>
            <w:tcW w:w="6180" w:type="dxa"/>
          </w:tcPr>
          <w:p w14:paraId="48E7B2FE" w14:textId="7C29FC34" w:rsidR="005E7D52" w:rsidRDefault="005E7D52" w:rsidP="00F94CED">
            <w:pPr>
              <w:rPr>
                <w:rFonts w:ascii="Verdana" w:hAnsi="Verdana"/>
                <w:sz w:val="20"/>
                <w:szCs w:val="20"/>
              </w:rPr>
            </w:pPr>
            <w:r>
              <w:rPr>
                <w:rFonts w:ascii="Verdana" w:hAnsi="Verdana"/>
                <w:sz w:val="20"/>
                <w:szCs w:val="20"/>
              </w:rPr>
              <w:t>Process category</w:t>
            </w:r>
          </w:p>
        </w:tc>
      </w:tr>
      <w:tr w:rsidR="005E7D52" w:rsidRPr="00025069" w14:paraId="79922755" w14:textId="77777777" w:rsidTr="00F94CED">
        <w:tc>
          <w:tcPr>
            <w:tcW w:w="2122" w:type="dxa"/>
          </w:tcPr>
          <w:p w14:paraId="004606EB" w14:textId="07ED28A1" w:rsidR="005E7D52" w:rsidRDefault="005E7D52" w:rsidP="00F94CED">
            <w:pPr>
              <w:rPr>
                <w:rFonts w:ascii="Verdana" w:hAnsi="Verdana"/>
                <w:sz w:val="20"/>
                <w:szCs w:val="20"/>
              </w:rPr>
            </w:pPr>
            <w:r>
              <w:rPr>
                <w:rFonts w:ascii="Verdana" w:hAnsi="Verdana"/>
                <w:sz w:val="20"/>
                <w:szCs w:val="20"/>
              </w:rPr>
              <w:t>RCR</w:t>
            </w:r>
          </w:p>
        </w:tc>
        <w:tc>
          <w:tcPr>
            <w:tcW w:w="6180" w:type="dxa"/>
          </w:tcPr>
          <w:p w14:paraId="19840A77" w14:textId="23BFA780" w:rsidR="005E7D52" w:rsidRPr="005E7D52" w:rsidRDefault="005E7D52" w:rsidP="00F94CED">
            <w:pPr>
              <w:rPr>
                <w:rFonts w:ascii="Verdana" w:hAnsi="Verdana"/>
                <w:sz w:val="20"/>
                <w:szCs w:val="20"/>
              </w:rPr>
            </w:pPr>
            <w:r>
              <w:rPr>
                <w:rFonts w:ascii="Verdana" w:hAnsi="Verdana"/>
                <w:sz w:val="20"/>
                <w:szCs w:val="20"/>
              </w:rPr>
              <w:t>Risk characterisation ratio</w:t>
            </w:r>
          </w:p>
        </w:tc>
      </w:tr>
      <w:tr w:rsidR="005E7D52" w:rsidRPr="00025069" w14:paraId="10C56A9B" w14:textId="77777777" w:rsidTr="00F94CED">
        <w:tc>
          <w:tcPr>
            <w:tcW w:w="2122" w:type="dxa"/>
          </w:tcPr>
          <w:p w14:paraId="33EB5FD7" w14:textId="5E6AAC2B" w:rsidR="005E7D52" w:rsidRPr="00984641" w:rsidRDefault="005E7D52" w:rsidP="00F94CED">
            <w:pPr>
              <w:rPr>
                <w:rFonts w:ascii="Verdana" w:hAnsi="Verdana"/>
                <w:sz w:val="20"/>
                <w:szCs w:val="20"/>
              </w:rPr>
            </w:pPr>
            <w:r>
              <w:rPr>
                <w:rFonts w:ascii="Verdana" w:hAnsi="Verdana"/>
                <w:sz w:val="20"/>
                <w:szCs w:val="20"/>
              </w:rPr>
              <w:t>REACh</w:t>
            </w:r>
          </w:p>
        </w:tc>
        <w:tc>
          <w:tcPr>
            <w:tcW w:w="6180" w:type="dxa"/>
          </w:tcPr>
          <w:p w14:paraId="67C8788B" w14:textId="69E21266" w:rsidR="005E7D52" w:rsidRPr="00025069" w:rsidRDefault="005E7D52" w:rsidP="00F94CED">
            <w:pPr>
              <w:rPr>
                <w:rFonts w:ascii="Verdana" w:hAnsi="Verdana"/>
                <w:sz w:val="20"/>
                <w:szCs w:val="20"/>
              </w:rPr>
            </w:pPr>
            <w:r w:rsidRPr="005E7D52">
              <w:rPr>
                <w:rFonts w:ascii="Verdana" w:hAnsi="Verdana"/>
                <w:sz w:val="20"/>
                <w:szCs w:val="20"/>
              </w:rPr>
              <w:t>Regulation (EC) No 1907/206 of 18/12/06 concerning the Registration, Evaluation, Authorisation and Restriction of Chemicals (REACh)</w:t>
            </w:r>
          </w:p>
        </w:tc>
      </w:tr>
      <w:tr w:rsidR="00E37ACD" w:rsidRPr="00025069" w14:paraId="0B5EAD24" w14:textId="77777777" w:rsidTr="00F94CED">
        <w:tc>
          <w:tcPr>
            <w:tcW w:w="2122" w:type="dxa"/>
          </w:tcPr>
          <w:p w14:paraId="4B7EBC8A" w14:textId="77777777" w:rsidR="00E37ACD" w:rsidRPr="00984641" w:rsidRDefault="00E37ACD" w:rsidP="00F94CED">
            <w:pPr>
              <w:rPr>
                <w:rFonts w:ascii="Verdana" w:hAnsi="Verdana"/>
                <w:sz w:val="20"/>
                <w:szCs w:val="20"/>
              </w:rPr>
            </w:pPr>
            <w:r w:rsidRPr="00984641">
              <w:rPr>
                <w:rFonts w:ascii="Verdana" w:hAnsi="Verdana"/>
                <w:sz w:val="20"/>
                <w:szCs w:val="20"/>
              </w:rPr>
              <w:t>RMOA</w:t>
            </w:r>
          </w:p>
        </w:tc>
        <w:tc>
          <w:tcPr>
            <w:tcW w:w="6180" w:type="dxa"/>
          </w:tcPr>
          <w:p w14:paraId="5813D1A6" w14:textId="77777777" w:rsidR="00E37ACD" w:rsidRPr="00984641" w:rsidRDefault="00E37ACD" w:rsidP="00F94CED">
            <w:pPr>
              <w:rPr>
                <w:rFonts w:ascii="Verdana" w:hAnsi="Verdana"/>
                <w:sz w:val="20"/>
                <w:szCs w:val="20"/>
              </w:rPr>
            </w:pPr>
            <w:r w:rsidRPr="00025069">
              <w:rPr>
                <w:rFonts w:ascii="Verdana" w:hAnsi="Verdana"/>
                <w:sz w:val="20"/>
                <w:szCs w:val="20"/>
              </w:rPr>
              <w:t>R</w:t>
            </w:r>
            <w:r w:rsidRPr="00984641">
              <w:rPr>
                <w:rFonts w:ascii="Verdana" w:hAnsi="Verdana"/>
                <w:sz w:val="20"/>
                <w:szCs w:val="20"/>
              </w:rPr>
              <w:t>egulatory management options analysis</w:t>
            </w:r>
          </w:p>
        </w:tc>
      </w:tr>
      <w:tr w:rsidR="008616B9" w:rsidRPr="00025069" w14:paraId="737B9EA3" w14:textId="77777777" w:rsidTr="00F94CED">
        <w:tc>
          <w:tcPr>
            <w:tcW w:w="2122" w:type="dxa"/>
          </w:tcPr>
          <w:p w14:paraId="3E8729B8" w14:textId="2CA6DE95" w:rsidR="008616B9" w:rsidRPr="00984641" w:rsidRDefault="008616B9" w:rsidP="00F94CED">
            <w:pPr>
              <w:rPr>
                <w:rFonts w:ascii="Verdana" w:hAnsi="Verdana"/>
                <w:sz w:val="20"/>
                <w:szCs w:val="20"/>
              </w:rPr>
            </w:pPr>
            <w:r>
              <w:rPr>
                <w:rFonts w:ascii="Verdana" w:hAnsi="Verdana"/>
                <w:sz w:val="20"/>
                <w:szCs w:val="20"/>
                <w:lang w:val="en-US"/>
              </w:rPr>
              <w:t>RMM</w:t>
            </w:r>
          </w:p>
        </w:tc>
        <w:tc>
          <w:tcPr>
            <w:tcW w:w="6180" w:type="dxa"/>
          </w:tcPr>
          <w:p w14:paraId="62586084" w14:textId="554C3092" w:rsidR="008616B9" w:rsidRPr="00025069" w:rsidRDefault="008616B9" w:rsidP="00F94CED">
            <w:pPr>
              <w:rPr>
                <w:rFonts w:ascii="Verdana" w:hAnsi="Verdana"/>
                <w:sz w:val="20"/>
                <w:szCs w:val="20"/>
              </w:rPr>
            </w:pPr>
            <w:r>
              <w:rPr>
                <w:rFonts w:ascii="Verdana" w:hAnsi="Verdana"/>
                <w:sz w:val="20"/>
                <w:szCs w:val="20"/>
                <w:lang w:val="en-US"/>
              </w:rPr>
              <w:t>Risk Mitigation Measure</w:t>
            </w:r>
          </w:p>
        </w:tc>
      </w:tr>
      <w:tr w:rsidR="00E37ACD" w:rsidRPr="00025069" w14:paraId="08F3778C" w14:textId="77777777" w:rsidTr="00F94CED">
        <w:tc>
          <w:tcPr>
            <w:tcW w:w="2122" w:type="dxa"/>
          </w:tcPr>
          <w:p w14:paraId="4A24FDC4" w14:textId="081F16ED" w:rsidR="00E37ACD" w:rsidRPr="00984641" w:rsidRDefault="00E37ACD" w:rsidP="00F94CED">
            <w:pPr>
              <w:rPr>
                <w:rFonts w:ascii="Verdana" w:hAnsi="Verdana"/>
                <w:sz w:val="20"/>
                <w:szCs w:val="20"/>
              </w:rPr>
            </w:pPr>
            <w:r w:rsidRPr="00984641">
              <w:rPr>
                <w:rFonts w:ascii="Verdana" w:hAnsi="Verdana"/>
                <w:sz w:val="20"/>
                <w:szCs w:val="20"/>
              </w:rPr>
              <w:t>R</w:t>
            </w:r>
            <w:r w:rsidR="00095A51">
              <w:rPr>
                <w:rFonts w:ascii="Verdana" w:hAnsi="Verdana"/>
                <w:sz w:val="20"/>
                <w:szCs w:val="20"/>
              </w:rPr>
              <w:t>R</w:t>
            </w:r>
            <w:r w:rsidRPr="00984641">
              <w:rPr>
                <w:rFonts w:ascii="Verdana" w:hAnsi="Verdana"/>
                <w:sz w:val="20"/>
                <w:szCs w:val="20"/>
              </w:rPr>
              <w:t>M</w:t>
            </w:r>
          </w:p>
        </w:tc>
        <w:tc>
          <w:tcPr>
            <w:tcW w:w="6180" w:type="dxa"/>
          </w:tcPr>
          <w:p w14:paraId="0828312E" w14:textId="77777777" w:rsidR="00E37ACD" w:rsidRPr="00984641" w:rsidRDefault="00E37ACD" w:rsidP="00F94CED">
            <w:pPr>
              <w:rPr>
                <w:rFonts w:ascii="Verdana" w:hAnsi="Verdana"/>
                <w:sz w:val="20"/>
                <w:szCs w:val="20"/>
              </w:rPr>
            </w:pPr>
            <w:r w:rsidRPr="00025069">
              <w:rPr>
                <w:rFonts w:ascii="Verdana" w:hAnsi="Verdana"/>
                <w:sz w:val="20"/>
                <w:szCs w:val="20"/>
              </w:rPr>
              <w:t>R</w:t>
            </w:r>
            <w:r w:rsidRPr="00984641">
              <w:rPr>
                <w:rFonts w:ascii="Verdana" w:hAnsi="Verdana"/>
                <w:sz w:val="20"/>
                <w:szCs w:val="20"/>
              </w:rPr>
              <w:t>egulatory risk management</w:t>
            </w:r>
          </w:p>
        </w:tc>
      </w:tr>
      <w:tr w:rsidR="005E7D52" w:rsidRPr="00025069" w14:paraId="00913A10" w14:textId="77777777" w:rsidTr="00F94CED">
        <w:tc>
          <w:tcPr>
            <w:tcW w:w="2122" w:type="dxa"/>
          </w:tcPr>
          <w:p w14:paraId="74B71FBA" w14:textId="4FCF913A" w:rsidR="005E7D52" w:rsidRPr="00984641" w:rsidRDefault="005E7D52" w:rsidP="00F94CED">
            <w:pPr>
              <w:rPr>
                <w:rFonts w:ascii="Verdana" w:hAnsi="Verdana"/>
                <w:sz w:val="20"/>
                <w:szCs w:val="20"/>
              </w:rPr>
            </w:pPr>
            <w:r>
              <w:rPr>
                <w:rFonts w:ascii="Verdana" w:hAnsi="Verdana"/>
                <w:sz w:val="20"/>
                <w:szCs w:val="20"/>
              </w:rPr>
              <w:t>SCOEL</w:t>
            </w:r>
          </w:p>
        </w:tc>
        <w:tc>
          <w:tcPr>
            <w:tcW w:w="6180" w:type="dxa"/>
          </w:tcPr>
          <w:p w14:paraId="3049215A" w14:textId="70B7BA8C" w:rsidR="005E7D52" w:rsidRPr="005E7D52" w:rsidRDefault="005E7D52" w:rsidP="005E7D52">
            <w:pPr>
              <w:pStyle w:val="Corpsdetexte"/>
              <w:spacing w:after="0"/>
              <w:jc w:val="both"/>
              <w:rPr>
                <w:rFonts w:ascii="Verdana" w:hAnsi="Verdana"/>
                <w:sz w:val="20"/>
                <w:szCs w:val="20"/>
              </w:rPr>
            </w:pPr>
            <w:r w:rsidRPr="005E7D52">
              <w:rPr>
                <w:rFonts w:ascii="Verdana" w:hAnsi="Verdana"/>
                <w:sz w:val="20"/>
                <w:szCs w:val="20"/>
              </w:rPr>
              <w:t>Scientific Committee on Occupational Exposure Limits</w:t>
            </w:r>
          </w:p>
        </w:tc>
      </w:tr>
      <w:tr w:rsidR="00B37D21" w:rsidRPr="00025069" w14:paraId="63BD23F2" w14:textId="77777777" w:rsidTr="00F94CED">
        <w:tc>
          <w:tcPr>
            <w:tcW w:w="2122" w:type="dxa"/>
          </w:tcPr>
          <w:p w14:paraId="1B22EBFB" w14:textId="267632C5" w:rsidR="00B37D21" w:rsidRDefault="00B37D21" w:rsidP="00F94CED">
            <w:pPr>
              <w:rPr>
                <w:rFonts w:ascii="Verdana" w:hAnsi="Verdana"/>
                <w:sz w:val="20"/>
                <w:szCs w:val="20"/>
              </w:rPr>
            </w:pPr>
            <w:r>
              <w:rPr>
                <w:rFonts w:ascii="Verdana" w:eastAsiaTheme="minorHAnsi" w:hAnsi="Verdana" w:cstheme="minorHAnsi"/>
                <w:bCs/>
                <w:sz w:val="20"/>
                <w:szCs w:val="22"/>
                <w:lang w:val="en-US"/>
              </w:rPr>
              <w:t>SCV</w:t>
            </w:r>
          </w:p>
        </w:tc>
        <w:tc>
          <w:tcPr>
            <w:tcW w:w="6180" w:type="dxa"/>
          </w:tcPr>
          <w:p w14:paraId="25C3CDDB" w14:textId="5671F260" w:rsidR="00B37D21" w:rsidRPr="005E7D52" w:rsidRDefault="00B37D21" w:rsidP="005E7D52">
            <w:pPr>
              <w:pStyle w:val="Corpsdetexte"/>
              <w:spacing w:after="0"/>
              <w:jc w:val="both"/>
              <w:rPr>
                <w:rFonts w:ascii="Verdana" w:hAnsi="Verdana"/>
                <w:sz w:val="20"/>
                <w:szCs w:val="20"/>
              </w:rPr>
            </w:pPr>
            <w:r>
              <w:rPr>
                <w:rFonts w:ascii="Verdana" w:eastAsiaTheme="minorHAnsi" w:hAnsi="Verdana" w:cstheme="minorHAnsi"/>
                <w:bCs/>
                <w:sz w:val="20"/>
                <w:szCs w:val="22"/>
                <w:lang w:val="en-US"/>
              </w:rPr>
              <w:t>Sensory nerve Conduction V</w:t>
            </w:r>
            <w:r w:rsidRPr="005652FF">
              <w:rPr>
                <w:rFonts w:ascii="Verdana" w:eastAsiaTheme="minorHAnsi" w:hAnsi="Verdana" w:cstheme="minorHAnsi"/>
                <w:bCs/>
                <w:sz w:val="20"/>
                <w:szCs w:val="22"/>
                <w:lang w:val="en-US"/>
              </w:rPr>
              <w:t>elocity</w:t>
            </w:r>
          </w:p>
        </w:tc>
      </w:tr>
      <w:tr w:rsidR="00E37ACD" w:rsidRPr="00025069" w14:paraId="7894775D" w14:textId="77777777" w:rsidTr="00F94CED">
        <w:tc>
          <w:tcPr>
            <w:tcW w:w="2122" w:type="dxa"/>
          </w:tcPr>
          <w:p w14:paraId="7F3DF46C" w14:textId="77777777" w:rsidR="00E37ACD" w:rsidRPr="00984641" w:rsidRDefault="00E37ACD" w:rsidP="00F94CED">
            <w:pPr>
              <w:rPr>
                <w:rFonts w:ascii="Verdana" w:hAnsi="Verdana"/>
                <w:sz w:val="20"/>
                <w:szCs w:val="20"/>
              </w:rPr>
            </w:pPr>
            <w:r w:rsidRPr="00984641">
              <w:rPr>
                <w:rFonts w:ascii="Verdana" w:hAnsi="Verdana"/>
                <w:sz w:val="20"/>
                <w:szCs w:val="20"/>
              </w:rPr>
              <w:t>SEv</w:t>
            </w:r>
          </w:p>
        </w:tc>
        <w:tc>
          <w:tcPr>
            <w:tcW w:w="6180" w:type="dxa"/>
          </w:tcPr>
          <w:p w14:paraId="06D6C6C7" w14:textId="77777777" w:rsidR="00E37ACD" w:rsidRPr="00984641" w:rsidRDefault="00E37ACD" w:rsidP="00F94CED">
            <w:pPr>
              <w:rPr>
                <w:rFonts w:ascii="Verdana" w:hAnsi="Verdana"/>
                <w:sz w:val="20"/>
                <w:szCs w:val="20"/>
              </w:rPr>
            </w:pPr>
            <w:r w:rsidRPr="00025069">
              <w:rPr>
                <w:rFonts w:ascii="Verdana" w:hAnsi="Verdana"/>
                <w:sz w:val="20"/>
                <w:szCs w:val="20"/>
              </w:rPr>
              <w:t>S</w:t>
            </w:r>
            <w:r w:rsidRPr="00984641">
              <w:rPr>
                <w:rFonts w:ascii="Verdana" w:hAnsi="Verdana"/>
                <w:sz w:val="20"/>
                <w:szCs w:val="20"/>
              </w:rPr>
              <w:t>ubstance evaluation</w:t>
            </w:r>
          </w:p>
        </w:tc>
      </w:tr>
      <w:tr w:rsidR="00981C40" w:rsidRPr="00025069" w14:paraId="73711DC5" w14:textId="77777777" w:rsidTr="00F94CED">
        <w:tc>
          <w:tcPr>
            <w:tcW w:w="2122" w:type="dxa"/>
          </w:tcPr>
          <w:p w14:paraId="47D4CAF1" w14:textId="15A64281" w:rsidR="00981C40" w:rsidRPr="00984641" w:rsidRDefault="00981C40" w:rsidP="00981C40">
            <w:pPr>
              <w:rPr>
                <w:rFonts w:ascii="Verdana" w:hAnsi="Verdana"/>
                <w:sz w:val="20"/>
                <w:szCs w:val="20"/>
              </w:rPr>
            </w:pPr>
            <w:r>
              <w:rPr>
                <w:rFonts w:ascii="Verdana" w:hAnsi="Verdana"/>
                <w:sz w:val="20"/>
                <w:szCs w:val="20"/>
              </w:rPr>
              <w:t>STOT RE</w:t>
            </w:r>
          </w:p>
        </w:tc>
        <w:tc>
          <w:tcPr>
            <w:tcW w:w="6180" w:type="dxa"/>
          </w:tcPr>
          <w:p w14:paraId="497A49E1" w14:textId="26521599" w:rsidR="00981C40" w:rsidRPr="00025069" w:rsidRDefault="00981C40" w:rsidP="00981C40">
            <w:pPr>
              <w:rPr>
                <w:rFonts w:ascii="Verdana" w:hAnsi="Verdana"/>
                <w:sz w:val="20"/>
                <w:szCs w:val="20"/>
              </w:rPr>
            </w:pPr>
            <w:r>
              <w:rPr>
                <w:rFonts w:ascii="Verdana" w:hAnsi="Verdana"/>
                <w:sz w:val="20"/>
                <w:szCs w:val="20"/>
              </w:rPr>
              <w:t>Specific target organ toxicity, repeated exposure</w:t>
            </w:r>
          </w:p>
        </w:tc>
      </w:tr>
      <w:tr w:rsidR="00BA60B5" w:rsidRPr="00025069" w14:paraId="58BFEA0F" w14:textId="77777777" w:rsidTr="00F94CED">
        <w:tc>
          <w:tcPr>
            <w:tcW w:w="2122" w:type="dxa"/>
          </w:tcPr>
          <w:p w14:paraId="3E79D573" w14:textId="5188E4BD" w:rsidR="00BA60B5" w:rsidRDefault="00BA60B5" w:rsidP="00981C40">
            <w:pPr>
              <w:rPr>
                <w:rFonts w:ascii="Verdana" w:hAnsi="Verdana"/>
                <w:sz w:val="20"/>
                <w:szCs w:val="20"/>
              </w:rPr>
            </w:pPr>
            <w:r>
              <w:rPr>
                <w:rFonts w:ascii="Verdana" w:hAnsi="Verdana"/>
                <w:sz w:val="20"/>
                <w:szCs w:val="20"/>
              </w:rPr>
              <w:t>STOT SE</w:t>
            </w:r>
          </w:p>
        </w:tc>
        <w:tc>
          <w:tcPr>
            <w:tcW w:w="6180" w:type="dxa"/>
          </w:tcPr>
          <w:p w14:paraId="62FE81A1" w14:textId="0BEE7539" w:rsidR="00BA60B5" w:rsidRDefault="00BA60B5" w:rsidP="00981C40">
            <w:pPr>
              <w:rPr>
                <w:rFonts w:ascii="Verdana" w:hAnsi="Verdana"/>
                <w:sz w:val="20"/>
                <w:szCs w:val="20"/>
              </w:rPr>
            </w:pPr>
            <w:r>
              <w:rPr>
                <w:rFonts w:ascii="Verdana" w:hAnsi="Verdana"/>
                <w:sz w:val="20"/>
                <w:szCs w:val="20"/>
              </w:rPr>
              <w:t>Specific target organ toxicity, single exposure</w:t>
            </w:r>
          </w:p>
        </w:tc>
      </w:tr>
      <w:tr w:rsidR="005E7D52" w:rsidRPr="00025069" w14:paraId="01B75844" w14:textId="77777777" w:rsidTr="00F94CED">
        <w:tc>
          <w:tcPr>
            <w:tcW w:w="2122" w:type="dxa"/>
          </w:tcPr>
          <w:p w14:paraId="3A3E83F7" w14:textId="0EEC9112" w:rsidR="005E7D52" w:rsidRPr="00984641" w:rsidRDefault="005E7D52" w:rsidP="00F94CED">
            <w:pPr>
              <w:rPr>
                <w:rFonts w:ascii="Verdana" w:hAnsi="Verdana"/>
                <w:sz w:val="20"/>
                <w:szCs w:val="20"/>
              </w:rPr>
            </w:pPr>
            <w:r>
              <w:rPr>
                <w:rFonts w:ascii="Verdana" w:hAnsi="Verdana"/>
                <w:sz w:val="20"/>
                <w:szCs w:val="20"/>
              </w:rPr>
              <w:t>SU</w:t>
            </w:r>
          </w:p>
        </w:tc>
        <w:tc>
          <w:tcPr>
            <w:tcW w:w="6180" w:type="dxa"/>
          </w:tcPr>
          <w:p w14:paraId="0B5973AD" w14:textId="47EDA617" w:rsidR="005E7D52" w:rsidRPr="00025069" w:rsidRDefault="005E7D52" w:rsidP="00F94CED">
            <w:pPr>
              <w:rPr>
                <w:rFonts w:ascii="Verdana" w:hAnsi="Verdana"/>
                <w:sz w:val="20"/>
                <w:szCs w:val="20"/>
              </w:rPr>
            </w:pPr>
            <w:r>
              <w:rPr>
                <w:rFonts w:ascii="Verdana" w:hAnsi="Verdana"/>
                <w:sz w:val="20"/>
                <w:szCs w:val="20"/>
              </w:rPr>
              <w:t>Sector of end-use</w:t>
            </w:r>
          </w:p>
        </w:tc>
      </w:tr>
      <w:tr w:rsidR="00E37ACD" w:rsidRPr="00025069" w14:paraId="71392FFF" w14:textId="77777777" w:rsidTr="00F94CED">
        <w:tc>
          <w:tcPr>
            <w:tcW w:w="2122" w:type="dxa"/>
          </w:tcPr>
          <w:p w14:paraId="72B41807" w14:textId="77777777" w:rsidR="00E37ACD" w:rsidRPr="00984641" w:rsidRDefault="00E37ACD" w:rsidP="00F94CED">
            <w:pPr>
              <w:rPr>
                <w:rFonts w:ascii="Verdana" w:hAnsi="Verdana"/>
                <w:sz w:val="20"/>
                <w:szCs w:val="20"/>
              </w:rPr>
            </w:pPr>
            <w:r w:rsidRPr="00984641">
              <w:rPr>
                <w:rFonts w:ascii="Verdana" w:hAnsi="Verdana"/>
                <w:sz w:val="20"/>
                <w:szCs w:val="20"/>
              </w:rPr>
              <w:t>SVHC</w:t>
            </w:r>
          </w:p>
        </w:tc>
        <w:tc>
          <w:tcPr>
            <w:tcW w:w="6180" w:type="dxa"/>
          </w:tcPr>
          <w:p w14:paraId="020ABE75" w14:textId="77777777" w:rsidR="00E37ACD" w:rsidRPr="00984641" w:rsidRDefault="00E37ACD" w:rsidP="00F94CED">
            <w:pPr>
              <w:rPr>
                <w:rFonts w:ascii="Verdana" w:hAnsi="Verdana"/>
                <w:sz w:val="20"/>
                <w:szCs w:val="20"/>
              </w:rPr>
            </w:pPr>
            <w:r w:rsidRPr="00025069">
              <w:rPr>
                <w:rFonts w:ascii="Verdana" w:hAnsi="Verdana"/>
                <w:sz w:val="20"/>
                <w:szCs w:val="20"/>
              </w:rPr>
              <w:t>S</w:t>
            </w:r>
            <w:r w:rsidRPr="00984641">
              <w:rPr>
                <w:rFonts w:ascii="Verdana" w:hAnsi="Verdana"/>
                <w:sz w:val="20"/>
                <w:szCs w:val="20"/>
              </w:rPr>
              <w:t>ubstance of very high concern</w:t>
            </w:r>
          </w:p>
        </w:tc>
      </w:tr>
      <w:tr w:rsidR="00685223" w:rsidRPr="00025069" w14:paraId="4D3D0FA0" w14:textId="77777777" w:rsidTr="00F94CED">
        <w:tc>
          <w:tcPr>
            <w:tcW w:w="2122" w:type="dxa"/>
          </w:tcPr>
          <w:p w14:paraId="3A0A7FAD" w14:textId="7497492D" w:rsidR="00685223" w:rsidRPr="00984641" w:rsidRDefault="00685223" w:rsidP="00F94CED">
            <w:pPr>
              <w:rPr>
                <w:rFonts w:ascii="Verdana" w:hAnsi="Verdana"/>
                <w:sz w:val="20"/>
                <w:szCs w:val="20"/>
              </w:rPr>
            </w:pPr>
            <w:r>
              <w:rPr>
                <w:rFonts w:ascii="Verdana" w:hAnsi="Verdana"/>
                <w:sz w:val="20"/>
                <w:szCs w:val="20"/>
              </w:rPr>
              <w:t>TTCA</w:t>
            </w:r>
          </w:p>
        </w:tc>
        <w:tc>
          <w:tcPr>
            <w:tcW w:w="6180" w:type="dxa"/>
          </w:tcPr>
          <w:p w14:paraId="3FD0EDBC" w14:textId="5B9108C6" w:rsidR="00685223" w:rsidRPr="00025069" w:rsidRDefault="00EC73EC" w:rsidP="00F94CED">
            <w:pPr>
              <w:rPr>
                <w:rFonts w:ascii="Verdana" w:hAnsi="Verdana"/>
                <w:sz w:val="20"/>
                <w:szCs w:val="20"/>
              </w:rPr>
            </w:pPr>
            <w:r w:rsidRPr="00066957">
              <w:rPr>
                <w:rFonts w:ascii="Verdana" w:hAnsi="Verdana"/>
                <w:sz w:val="20"/>
                <w:szCs w:val="20"/>
              </w:rPr>
              <w:t>thiazolidine-2-thione-4-carboxylic acid</w:t>
            </w:r>
          </w:p>
        </w:tc>
      </w:tr>
      <w:tr w:rsidR="005E7D52" w:rsidRPr="00025069" w14:paraId="55B711C9" w14:textId="77777777" w:rsidTr="00F94CED">
        <w:tc>
          <w:tcPr>
            <w:tcW w:w="2122" w:type="dxa"/>
          </w:tcPr>
          <w:p w14:paraId="2887E4EA" w14:textId="7DB243AC" w:rsidR="005E7D52" w:rsidRPr="00984641" w:rsidRDefault="005E7D52" w:rsidP="00F94CED">
            <w:pPr>
              <w:rPr>
                <w:rFonts w:ascii="Verdana" w:hAnsi="Verdana"/>
                <w:sz w:val="20"/>
                <w:szCs w:val="20"/>
              </w:rPr>
            </w:pPr>
            <w:r>
              <w:rPr>
                <w:rFonts w:ascii="Verdana" w:hAnsi="Verdana"/>
                <w:sz w:val="20"/>
                <w:szCs w:val="20"/>
              </w:rPr>
              <w:t>TWA</w:t>
            </w:r>
          </w:p>
        </w:tc>
        <w:tc>
          <w:tcPr>
            <w:tcW w:w="6180" w:type="dxa"/>
          </w:tcPr>
          <w:p w14:paraId="00659FFB" w14:textId="3E6B4C55" w:rsidR="005E7D52" w:rsidRPr="005E7D52" w:rsidRDefault="005E7D52" w:rsidP="005E7D52">
            <w:pPr>
              <w:pStyle w:val="Corpsdetexte"/>
              <w:spacing w:after="0"/>
              <w:jc w:val="both"/>
            </w:pPr>
            <w:r w:rsidRPr="005E7D52">
              <w:rPr>
                <w:rFonts w:ascii="Verdana" w:hAnsi="Verdana"/>
                <w:sz w:val="20"/>
                <w:szCs w:val="20"/>
              </w:rPr>
              <w:t>Time Weight Average</w:t>
            </w:r>
          </w:p>
        </w:tc>
      </w:tr>
    </w:tbl>
    <w:p w14:paraId="39F32AE6" w14:textId="77777777" w:rsidR="00E37ACD" w:rsidRPr="00025069" w:rsidRDefault="00E37ACD" w:rsidP="00E37ACD">
      <w:pPr>
        <w:rPr>
          <w:rFonts w:ascii="Verdana" w:hAnsi="Verdana"/>
          <w:snapToGrid w:val="0"/>
          <w:sz w:val="20"/>
          <w:szCs w:val="20"/>
          <w:lang w:eastAsia="fi-FI"/>
        </w:rPr>
      </w:pPr>
    </w:p>
    <w:p w14:paraId="40C17B44" w14:textId="77777777" w:rsidR="00E37ACD" w:rsidRDefault="00E37ACD" w:rsidP="00E37ACD">
      <w:pPr>
        <w:rPr>
          <w:rFonts w:ascii="Verdana" w:hAnsi="Verdana"/>
          <w:snapToGrid w:val="0"/>
          <w:sz w:val="20"/>
          <w:szCs w:val="20"/>
          <w:lang w:eastAsia="fi-FI"/>
        </w:rPr>
      </w:pPr>
    </w:p>
    <w:p w14:paraId="4DFA5726" w14:textId="77777777" w:rsidR="00E37ACD" w:rsidRDefault="00E37ACD">
      <w:pPr>
        <w:spacing w:after="200" w:line="276" w:lineRule="auto"/>
        <w:rPr>
          <w:rFonts w:ascii="Verdana" w:hAnsi="Verdana"/>
          <w:color w:val="4F81BD"/>
          <w:lang w:eastAsia="fi-FI"/>
        </w:rPr>
      </w:pPr>
    </w:p>
    <w:p w14:paraId="277B2C09" w14:textId="77777777" w:rsidR="00E37ACD" w:rsidRDefault="00E37ACD">
      <w:pPr>
        <w:spacing w:after="200" w:line="276" w:lineRule="auto"/>
        <w:rPr>
          <w:rFonts w:ascii="Verdana" w:hAnsi="Verdana"/>
          <w:color w:val="4F81BD"/>
          <w:lang w:eastAsia="fi-FI"/>
        </w:rPr>
      </w:pPr>
    </w:p>
    <w:p w14:paraId="6919B952" w14:textId="17EE2E84" w:rsidR="00225DDC" w:rsidRDefault="00225DDC">
      <w:pPr>
        <w:spacing w:after="200" w:line="276" w:lineRule="auto"/>
        <w:rPr>
          <w:rFonts w:ascii="Verdana" w:hAnsi="Verdana"/>
          <w:b/>
          <w:color w:val="4F81BD"/>
          <w:sz w:val="28"/>
          <w:lang w:eastAsia="fi-FI"/>
        </w:rPr>
      </w:pPr>
      <w:r>
        <w:rPr>
          <w:rFonts w:ascii="Verdana" w:hAnsi="Verdana"/>
          <w:color w:val="4F81BD"/>
          <w:lang w:eastAsia="fi-FI"/>
        </w:rPr>
        <w:br w:type="page"/>
      </w:r>
    </w:p>
    <w:p w14:paraId="46A800BB" w14:textId="550A469B" w:rsidR="00C13640" w:rsidRDefault="00C13640" w:rsidP="00946069">
      <w:pPr>
        <w:pStyle w:val="Titre1"/>
      </w:pPr>
      <w:bookmarkStart w:id="7" w:name="_Toc117776280"/>
      <w:r w:rsidRPr="00946069">
        <w:lastRenderedPageBreak/>
        <w:t xml:space="preserve">Overview of the </w:t>
      </w:r>
      <w:r w:rsidR="000D11E9">
        <w:t>substance</w:t>
      </w:r>
      <w:bookmarkEnd w:id="7"/>
    </w:p>
    <w:p w14:paraId="2D213B7D" w14:textId="4194B07D" w:rsidR="00405E0F" w:rsidRPr="004A03E1" w:rsidRDefault="00460711" w:rsidP="00ED47FC">
      <w:pPr>
        <w:spacing w:after="0" w:line="276" w:lineRule="auto"/>
        <w:jc w:val="both"/>
      </w:pPr>
      <w:r w:rsidRPr="00405E0F">
        <w:rPr>
          <w:rFonts w:ascii="Verdana" w:hAnsi="Verdana"/>
          <w:sz w:val="20"/>
          <w:szCs w:val="20"/>
          <w:lang w:eastAsia="en-GB"/>
        </w:rPr>
        <w:t xml:space="preserve">Carbon disulfide was included in the list of substances in the CoRAP (community Rollin Action Plan) in 2013 on the grounds of </w:t>
      </w:r>
      <w:r w:rsidR="00405E0F" w:rsidRPr="00405E0F">
        <w:rPr>
          <w:rFonts w:ascii="Verdana" w:hAnsi="Verdana"/>
          <w:sz w:val="20"/>
          <w:szCs w:val="20"/>
          <w:lang w:eastAsia="en-GB"/>
        </w:rPr>
        <w:t xml:space="preserve">suspected endocrine disruptor (ED), suspected CMR (Reproductive toxicity), high </w:t>
      </w:r>
      <w:r w:rsidR="00405E0F">
        <w:rPr>
          <w:rFonts w:ascii="Verdana" w:hAnsi="Verdana"/>
          <w:sz w:val="20"/>
          <w:szCs w:val="20"/>
          <w:lang w:eastAsia="en-GB"/>
        </w:rPr>
        <w:t>aggregated tonnage,</w:t>
      </w:r>
      <w:r w:rsidR="00405E0F" w:rsidRPr="00405E0F">
        <w:rPr>
          <w:rFonts w:ascii="Verdana" w:hAnsi="Verdana"/>
          <w:sz w:val="20"/>
          <w:szCs w:val="20"/>
          <w:lang w:eastAsia="en-GB"/>
        </w:rPr>
        <w:t xml:space="preserve"> high release to the environment and high worker exposure. The evaluation was taken in charge by France.</w:t>
      </w:r>
    </w:p>
    <w:p w14:paraId="0B2393DE" w14:textId="77777777" w:rsidR="00405E0F" w:rsidRDefault="00405E0F" w:rsidP="00ED47FC">
      <w:pPr>
        <w:pStyle w:val="Corpsdetexte"/>
        <w:spacing w:after="0" w:line="276" w:lineRule="auto"/>
        <w:rPr>
          <w:rFonts w:ascii="Verdana" w:hAnsi="Verdana"/>
          <w:sz w:val="20"/>
          <w:szCs w:val="20"/>
          <w:lang w:eastAsia="en-GB"/>
        </w:rPr>
      </w:pPr>
    </w:p>
    <w:p w14:paraId="78F01237" w14:textId="5DFE601E" w:rsidR="00405E0F" w:rsidRPr="00405E0F" w:rsidRDefault="00405E0F" w:rsidP="00ED47FC">
      <w:pPr>
        <w:spacing w:after="120" w:line="276" w:lineRule="auto"/>
        <w:jc w:val="both"/>
        <w:rPr>
          <w:rFonts w:ascii="Verdana" w:hAnsi="Verdana"/>
          <w:sz w:val="20"/>
          <w:szCs w:val="20"/>
          <w:lang w:eastAsia="en-GB"/>
        </w:rPr>
      </w:pPr>
      <w:r w:rsidRPr="00405E0F">
        <w:rPr>
          <w:rFonts w:ascii="Verdana" w:hAnsi="Verdana"/>
          <w:sz w:val="20"/>
          <w:szCs w:val="20"/>
          <w:lang w:eastAsia="en-GB"/>
        </w:rPr>
        <w:t>Based on the evaluation of the available data, the evaluating MSCA concluded that there was a need to request further information to clarify the concerns related to substance identity, worker and environmental exposure, ED, reproductive and neurodevelopmental toxicity potential. Therefore, eMSCA prepared a draft decision to request further information</w:t>
      </w:r>
      <w:r w:rsidR="002B7626">
        <w:rPr>
          <w:rFonts w:ascii="Verdana" w:hAnsi="Verdana"/>
          <w:sz w:val="20"/>
          <w:szCs w:val="20"/>
          <w:lang w:eastAsia="en-GB"/>
        </w:rPr>
        <w:t>, including an extended one-generation reproductive toxicity study (EOGRTS)</w:t>
      </w:r>
      <w:r w:rsidRPr="00405E0F">
        <w:rPr>
          <w:rFonts w:ascii="Verdana" w:hAnsi="Verdana"/>
          <w:sz w:val="20"/>
          <w:szCs w:val="20"/>
          <w:lang w:eastAsia="en-GB"/>
        </w:rPr>
        <w:t xml:space="preserve">. The decision was submitted to ECHA and was agreed by the member state Committee in October 2015. </w:t>
      </w:r>
    </w:p>
    <w:p w14:paraId="19F59279" w14:textId="4E964842" w:rsidR="00405E0F" w:rsidRDefault="00405E0F" w:rsidP="00ED47FC">
      <w:pPr>
        <w:spacing w:after="120" w:line="276" w:lineRule="auto"/>
        <w:jc w:val="both"/>
        <w:rPr>
          <w:rFonts w:ascii="Verdana" w:hAnsi="Verdana"/>
          <w:sz w:val="20"/>
          <w:szCs w:val="20"/>
          <w:lang w:eastAsia="en-GB"/>
        </w:rPr>
      </w:pPr>
      <w:r w:rsidRPr="00405E0F">
        <w:rPr>
          <w:rFonts w:ascii="Verdana" w:hAnsi="Verdana"/>
          <w:sz w:val="20"/>
          <w:szCs w:val="20"/>
          <w:lang w:eastAsia="en-GB"/>
        </w:rPr>
        <w:t xml:space="preserve">The substance evaluation conclusion was prepared based on the updated </w:t>
      </w:r>
      <w:r w:rsidR="004C3686">
        <w:rPr>
          <w:rFonts w:ascii="Verdana" w:hAnsi="Verdana"/>
          <w:sz w:val="20"/>
          <w:szCs w:val="20"/>
          <w:lang w:eastAsia="en-GB"/>
        </w:rPr>
        <w:t xml:space="preserve">lead </w:t>
      </w:r>
      <w:r w:rsidRPr="00405E0F">
        <w:rPr>
          <w:rFonts w:ascii="Verdana" w:hAnsi="Verdana"/>
          <w:sz w:val="20"/>
          <w:szCs w:val="20"/>
          <w:lang w:eastAsia="en-GB"/>
        </w:rPr>
        <w:t xml:space="preserve">registration dossier </w:t>
      </w:r>
      <w:r w:rsidR="00DC53CB">
        <w:rPr>
          <w:rFonts w:ascii="Verdana" w:hAnsi="Verdana"/>
          <w:sz w:val="20"/>
          <w:szCs w:val="20"/>
          <w:lang w:eastAsia="en-GB"/>
        </w:rPr>
        <w:t xml:space="preserve">containing this additional study </w:t>
      </w:r>
      <w:r w:rsidRPr="00405E0F">
        <w:rPr>
          <w:rFonts w:ascii="Verdana" w:hAnsi="Verdana"/>
          <w:sz w:val="20"/>
          <w:szCs w:val="20"/>
          <w:lang w:eastAsia="en-GB"/>
        </w:rPr>
        <w:t xml:space="preserve">from December 2019. </w:t>
      </w:r>
    </w:p>
    <w:p w14:paraId="7DE6476F" w14:textId="4F8025F8" w:rsidR="00AB5222" w:rsidRDefault="00AB5222" w:rsidP="00ED47FC">
      <w:pPr>
        <w:spacing w:after="0" w:line="276" w:lineRule="auto"/>
        <w:jc w:val="both"/>
        <w:rPr>
          <w:rFonts w:ascii="Verdana" w:hAnsi="Verdana"/>
          <w:sz w:val="20"/>
          <w:szCs w:val="20"/>
          <w:lang w:eastAsia="en-GB"/>
        </w:rPr>
      </w:pPr>
      <w:r w:rsidRPr="00AB5222">
        <w:rPr>
          <w:rFonts w:ascii="Verdana" w:hAnsi="Verdana"/>
          <w:sz w:val="20"/>
          <w:szCs w:val="20"/>
          <w:lang w:eastAsia="en-GB"/>
        </w:rPr>
        <w:t>At its 20th meeting (October 2021), the Endocrine Disruptor Expert Group (ED EG) supported the outcome of this evaluation that</w:t>
      </w:r>
      <w:r w:rsidR="005F33BB">
        <w:rPr>
          <w:rFonts w:ascii="Verdana" w:hAnsi="Verdana"/>
          <w:sz w:val="20"/>
          <w:szCs w:val="20"/>
          <w:lang w:eastAsia="en-GB"/>
        </w:rPr>
        <w:t>,</w:t>
      </w:r>
      <w:r w:rsidRPr="00AB5222">
        <w:rPr>
          <w:rFonts w:ascii="Verdana" w:hAnsi="Verdana"/>
          <w:sz w:val="20"/>
          <w:szCs w:val="20"/>
          <w:lang w:eastAsia="en-GB"/>
        </w:rPr>
        <w:t xml:space="preserve"> based on the data presented in </w:t>
      </w:r>
      <w:r>
        <w:rPr>
          <w:rFonts w:ascii="Verdana" w:hAnsi="Verdana"/>
          <w:sz w:val="20"/>
          <w:szCs w:val="20"/>
          <w:lang w:eastAsia="en-GB"/>
        </w:rPr>
        <w:t>the conclusion report,</w:t>
      </w:r>
      <w:r w:rsidRPr="00AB5222">
        <w:rPr>
          <w:rFonts w:ascii="Verdana" w:hAnsi="Verdana"/>
          <w:sz w:val="20"/>
          <w:szCs w:val="20"/>
          <w:lang w:eastAsia="en-GB"/>
        </w:rPr>
        <w:t xml:space="preserve"> including the </w:t>
      </w:r>
      <w:r w:rsidR="009C5A5C">
        <w:rPr>
          <w:rFonts w:ascii="Verdana" w:hAnsi="Verdana"/>
          <w:sz w:val="20"/>
          <w:szCs w:val="20"/>
          <w:lang w:eastAsia="en-GB"/>
        </w:rPr>
        <w:t xml:space="preserve">new </w:t>
      </w:r>
      <w:r w:rsidRPr="00AB5222">
        <w:rPr>
          <w:rFonts w:ascii="Verdana" w:hAnsi="Verdana"/>
          <w:sz w:val="20"/>
          <w:szCs w:val="20"/>
          <w:lang w:eastAsia="en-GB"/>
        </w:rPr>
        <w:t>EOGRTS r</w:t>
      </w:r>
      <w:r>
        <w:rPr>
          <w:rFonts w:ascii="Verdana" w:hAnsi="Verdana"/>
          <w:sz w:val="20"/>
          <w:szCs w:val="20"/>
          <w:lang w:eastAsia="en-GB"/>
        </w:rPr>
        <w:t>equested under SE</w:t>
      </w:r>
      <w:r w:rsidRPr="00AB5222">
        <w:rPr>
          <w:rFonts w:ascii="Verdana" w:hAnsi="Verdana"/>
          <w:sz w:val="20"/>
          <w:szCs w:val="20"/>
          <w:lang w:eastAsia="en-GB"/>
        </w:rPr>
        <w:t>v</w:t>
      </w:r>
      <w:r w:rsidR="009C5A5C">
        <w:rPr>
          <w:rFonts w:ascii="Verdana" w:hAnsi="Verdana"/>
          <w:sz w:val="20"/>
          <w:szCs w:val="20"/>
          <w:lang w:eastAsia="en-GB"/>
        </w:rPr>
        <w:t xml:space="preserve"> (Unpublished report, 2019a)</w:t>
      </w:r>
      <w:r w:rsidRPr="00AB5222">
        <w:rPr>
          <w:rFonts w:ascii="Verdana" w:hAnsi="Verdana"/>
          <w:sz w:val="20"/>
          <w:szCs w:val="20"/>
          <w:lang w:eastAsia="en-GB"/>
        </w:rPr>
        <w:t>, the substance does not meet the criteria to be identified as an endocrine disruptor.</w:t>
      </w:r>
    </w:p>
    <w:p w14:paraId="608F70A4" w14:textId="77777777" w:rsidR="00AB5222" w:rsidRPr="00AB5222" w:rsidRDefault="00AB5222" w:rsidP="00ED47FC">
      <w:pPr>
        <w:spacing w:after="0" w:line="276" w:lineRule="auto"/>
        <w:jc w:val="both"/>
        <w:rPr>
          <w:rFonts w:ascii="Verdana" w:hAnsi="Verdana"/>
          <w:sz w:val="20"/>
          <w:szCs w:val="20"/>
          <w:lang w:eastAsia="en-GB"/>
        </w:rPr>
      </w:pPr>
    </w:p>
    <w:p w14:paraId="620D0FF2" w14:textId="17B20D98" w:rsidR="00460711" w:rsidRDefault="00A92BF8" w:rsidP="00ED47FC">
      <w:pPr>
        <w:spacing w:after="120" w:line="276" w:lineRule="auto"/>
        <w:jc w:val="both"/>
        <w:rPr>
          <w:rFonts w:ascii="Verdana" w:hAnsi="Verdana"/>
          <w:sz w:val="20"/>
          <w:szCs w:val="20"/>
          <w:lang w:eastAsia="en-GB"/>
        </w:rPr>
      </w:pPr>
      <w:r w:rsidRPr="00405E0F">
        <w:rPr>
          <w:rFonts w:ascii="Verdana" w:hAnsi="Verdana"/>
          <w:sz w:val="20"/>
          <w:szCs w:val="20"/>
          <w:lang w:eastAsia="en-GB"/>
        </w:rPr>
        <w:t xml:space="preserve">The </w:t>
      </w:r>
      <w:r>
        <w:rPr>
          <w:rFonts w:ascii="Verdana" w:hAnsi="Verdana"/>
          <w:sz w:val="20"/>
          <w:szCs w:val="20"/>
          <w:lang w:eastAsia="en-GB"/>
        </w:rPr>
        <w:t xml:space="preserve">substance evaluation </w:t>
      </w:r>
      <w:r w:rsidRPr="00405E0F">
        <w:rPr>
          <w:rFonts w:ascii="Verdana" w:hAnsi="Verdana"/>
          <w:sz w:val="20"/>
          <w:szCs w:val="20"/>
          <w:lang w:eastAsia="en-GB"/>
        </w:rPr>
        <w:t>conclusion</w:t>
      </w:r>
      <w:r>
        <w:rPr>
          <w:rFonts w:ascii="Verdana" w:hAnsi="Verdana"/>
          <w:sz w:val="20"/>
          <w:szCs w:val="20"/>
          <w:lang w:eastAsia="en-GB"/>
        </w:rPr>
        <w:t xml:space="preserve"> report was published in April</w:t>
      </w:r>
      <w:r w:rsidRPr="00405E0F">
        <w:rPr>
          <w:rFonts w:ascii="Verdana" w:hAnsi="Verdana"/>
          <w:sz w:val="20"/>
          <w:szCs w:val="20"/>
          <w:lang w:eastAsia="en-GB"/>
        </w:rPr>
        <w:t xml:space="preserve"> 2022 </w:t>
      </w:r>
      <w:r w:rsidR="009C5A5C">
        <w:rPr>
          <w:rFonts w:ascii="Verdana" w:hAnsi="Verdana"/>
          <w:sz w:val="20"/>
          <w:szCs w:val="20"/>
          <w:lang w:eastAsia="en-GB"/>
        </w:rPr>
        <w:t>(ANSES, 2022)</w:t>
      </w:r>
      <w:r>
        <w:rPr>
          <w:rFonts w:ascii="Verdana" w:hAnsi="Verdana"/>
          <w:sz w:val="20"/>
          <w:szCs w:val="20"/>
          <w:lang w:eastAsia="en-GB"/>
        </w:rPr>
        <w:t>. I</w:t>
      </w:r>
      <w:r w:rsidR="002650CE">
        <w:rPr>
          <w:rFonts w:ascii="Verdana" w:hAnsi="Verdana"/>
          <w:sz w:val="20"/>
          <w:szCs w:val="20"/>
          <w:lang w:eastAsia="en-GB"/>
        </w:rPr>
        <w:t>t was</w:t>
      </w:r>
      <w:r w:rsidR="00405E0F">
        <w:rPr>
          <w:rFonts w:ascii="Verdana" w:hAnsi="Verdana"/>
          <w:sz w:val="20"/>
          <w:szCs w:val="20"/>
          <w:lang w:eastAsia="en-GB"/>
        </w:rPr>
        <w:t xml:space="preserve"> concluded that </w:t>
      </w:r>
      <w:r w:rsidR="00F73A91">
        <w:rPr>
          <w:rFonts w:ascii="Verdana" w:hAnsi="Verdana"/>
          <w:sz w:val="20"/>
          <w:szCs w:val="20"/>
          <w:lang w:eastAsia="en-GB"/>
        </w:rPr>
        <w:t xml:space="preserve">it </w:t>
      </w:r>
      <w:r w:rsidR="00DC53CB">
        <w:rPr>
          <w:rFonts w:ascii="Verdana" w:hAnsi="Verdana"/>
          <w:sz w:val="20"/>
          <w:szCs w:val="20"/>
          <w:lang w:eastAsia="en-GB"/>
        </w:rPr>
        <w:t xml:space="preserve">should </w:t>
      </w:r>
      <w:r w:rsidR="00F73A91">
        <w:rPr>
          <w:rFonts w:ascii="Verdana" w:hAnsi="Verdana"/>
          <w:sz w:val="20"/>
          <w:szCs w:val="20"/>
          <w:lang w:eastAsia="en-GB"/>
        </w:rPr>
        <w:t>be clarified whether carbon disulfide poses a realistic risk to workers, and whether further risk management measures are necessary in order to protect workers.</w:t>
      </w:r>
      <w:r w:rsidR="00460711" w:rsidRPr="00405E0F">
        <w:rPr>
          <w:rFonts w:ascii="Verdana" w:hAnsi="Verdana"/>
          <w:sz w:val="20"/>
          <w:szCs w:val="20"/>
          <w:lang w:eastAsia="en-GB"/>
        </w:rPr>
        <w:t xml:space="preserve"> </w:t>
      </w:r>
      <w:r w:rsidR="004000FF" w:rsidRPr="004000FF">
        <w:rPr>
          <w:rFonts w:ascii="Verdana" w:hAnsi="Verdana"/>
          <w:sz w:val="20"/>
          <w:szCs w:val="20"/>
          <w:lang w:eastAsia="en-GB"/>
        </w:rPr>
        <w:t>Therefor</w:t>
      </w:r>
      <w:r w:rsidR="004000FF">
        <w:rPr>
          <w:rFonts w:ascii="Verdana" w:hAnsi="Verdana"/>
          <w:sz w:val="20"/>
          <w:szCs w:val="20"/>
          <w:lang w:eastAsia="en-GB"/>
        </w:rPr>
        <w:t>e,</w:t>
      </w:r>
      <w:r w:rsidR="004000FF" w:rsidRPr="004000FF">
        <w:rPr>
          <w:rFonts w:ascii="Verdana" w:hAnsi="Verdana"/>
          <w:sz w:val="20"/>
          <w:szCs w:val="20"/>
          <w:lang w:eastAsia="en-GB"/>
        </w:rPr>
        <w:t xml:space="preserve"> it was concluded tha</w:t>
      </w:r>
      <w:r w:rsidR="00F73A91">
        <w:rPr>
          <w:rFonts w:ascii="Verdana" w:hAnsi="Verdana"/>
          <w:sz w:val="20"/>
          <w:szCs w:val="20"/>
          <w:lang w:eastAsia="en-GB"/>
        </w:rPr>
        <w:t>t</w:t>
      </w:r>
      <w:r w:rsidR="004000FF" w:rsidRPr="004000FF">
        <w:rPr>
          <w:rFonts w:ascii="Verdana" w:hAnsi="Verdana"/>
          <w:sz w:val="20"/>
          <w:szCs w:val="20"/>
          <w:lang w:eastAsia="en-GB"/>
        </w:rPr>
        <w:t xml:space="preserve"> follow-up regulatory action at EU level </w:t>
      </w:r>
      <w:r w:rsidR="004000FF">
        <w:rPr>
          <w:rFonts w:ascii="Verdana" w:hAnsi="Verdana"/>
          <w:sz w:val="20"/>
          <w:szCs w:val="20"/>
          <w:lang w:eastAsia="en-GB"/>
        </w:rPr>
        <w:t xml:space="preserve">needed </w:t>
      </w:r>
      <w:r w:rsidR="004000FF" w:rsidRPr="004000FF">
        <w:rPr>
          <w:rFonts w:ascii="Verdana" w:hAnsi="Verdana"/>
          <w:sz w:val="20"/>
          <w:szCs w:val="20"/>
          <w:lang w:eastAsia="en-GB"/>
        </w:rPr>
        <w:t>to be discussed in a RMOA</w:t>
      </w:r>
      <w:r w:rsidR="004000FF">
        <w:rPr>
          <w:rFonts w:ascii="Verdana" w:hAnsi="Verdana"/>
          <w:sz w:val="20"/>
          <w:szCs w:val="20"/>
          <w:lang w:eastAsia="en-GB"/>
        </w:rPr>
        <w:t>.</w:t>
      </w:r>
    </w:p>
    <w:p w14:paraId="4AD0AEEC" w14:textId="22BE94A6" w:rsidR="00C46BD4" w:rsidRPr="00181B4B" w:rsidRDefault="00181B4B" w:rsidP="00181B4B">
      <w:pPr>
        <w:pStyle w:val="Titre2"/>
        <w:tabs>
          <w:tab w:val="clear" w:pos="1928"/>
          <w:tab w:val="num" w:pos="1503"/>
        </w:tabs>
        <w:ind w:left="1077"/>
        <w:rPr>
          <w:color w:val="auto"/>
        </w:rPr>
      </w:pPr>
      <w:bookmarkStart w:id="8" w:name="_Toc117776281"/>
      <w:r w:rsidRPr="00181B4B">
        <w:rPr>
          <w:color w:val="auto"/>
        </w:rPr>
        <w:t>Substance identifiers</w:t>
      </w:r>
      <w:bookmarkEnd w:id="8"/>
    </w:p>
    <w:p w14:paraId="1E1061B2" w14:textId="48E25ED1" w:rsidR="00181B4B" w:rsidRPr="00181B4B" w:rsidRDefault="00305EE7" w:rsidP="00617EE5">
      <w:pPr>
        <w:pStyle w:val="Lgende"/>
      </w:pPr>
      <w:r w:rsidRPr="00305EE7">
        <w:t xml:space="preserve">Table </w:t>
      </w:r>
      <w:r w:rsidR="005970D6">
        <w:fldChar w:fldCharType="begin"/>
      </w:r>
      <w:r w:rsidR="005970D6">
        <w:instrText xml:space="preserve"> SEQ Table \* ARABIC </w:instrText>
      </w:r>
      <w:r w:rsidR="005970D6">
        <w:fldChar w:fldCharType="separate"/>
      </w:r>
      <w:r w:rsidR="0014770F">
        <w:rPr>
          <w:noProof/>
        </w:rPr>
        <w:t>1</w:t>
      </w:r>
      <w:r w:rsidR="005970D6">
        <w:rPr>
          <w:noProof/>
        </w:rPr>
        <w:fldChar w:fldCharType="end"/>
      </w:r>
      <w:r w:rsidR="008408CE">
        <w:tab/>
      </w:r>
      <w:r w:rsidRPr="00305EE7">
        <w:t xml:space="preserve"> Substance identity</w:t>
      </w:r>
    </w:p>
    <w:tbl>
      <w:tblPr>
        <w:tblW w:w="0" w:type="auto"/>
        <w:tblInd w:w="-147" w:type="dxa"/>
        <w:tblBorders>
          <w:top w:val="single" w:sz="4" w:space="0" w:color="0046AD"/>
          <w:left w:val="single" w:sz="4" w:space="0" w:color="0046AD"/>
          <w:bottom w:val="single" w:sz="4" w:space="0" w:color="0046AD"/>
          <w:right w:val="single" w:sz="4" w:space="0" w:color="0046AD"/>
          <w:insideV w:val="single" w:sz="4" w:space="0" w:color="0046AD"/>
        </w:tblBorders>
        <w:tblCellMar>
          <w:top w:w="85" w:type="dxa"/>
          <w:left w:w="85" w:type="dxa"/>
          <w:bottom w:w="85" w:type="dxa"/>
          <w:right w:w="85" w:type="dxa"/>
        </w:tblCellMar>
        <w:tblLook w:val="01E0" w:firstRow="1" w:lastRow="1" w:firstColumn="1" w:lastColumn="1" w:noHBand="0" w:noVBand="0"/>
      </w:tblPr>
      <w:tblGrid>
        <w:gridCol w:w="4273"/>
        <w:gridCol w:w="4176"/>
      </w:tblGrid>
      <w:tr w:rsidR="003F2470" w:rsidRPr="004A03E1" w14:paraId="18861B2A" w14:textId="77777777" w:rsidTr="00305EE7">
        <w:tc>
          <w:tcPr>
            <w:tcW w:w="8449" w:type="dxa"/>
            <w:gridSpan w:val="2"/>
            <w:tcBorders>
              <w:top w:val="single" w:sz="4" w:space="0" w:color="auto"/>
              <w:bottom w:val="single" w:sz="4" w:space="0" w:color="0046AD"/>
            </w:tcBorders>
            <w:shd w:val="clear" w:color="auto" w:fill="0046AD"/>
            <w:vAlign w:val="center"/>
          </w:tcPr>
          <w:p w14:paraId="0BA01D06" w14:textId="77777777" w:rsidR="003F2470" w:rsidRPr="0009270B" w:rsidRDefault="003F2470" w:rsidP="004D5374">
            <w:pPr>
              <w:pStyle w:val="Tableheader"/>
              <w:jc w:val="both"/>
            </w:pPr>
            <w:r w:rsidRPr="0009270B">
              <w:rPr>
                <w:rFonts w:ascii="Verdana" w:hAnsi="Verdana"/>
                <w:color w:val="FFFF00"/>
                <w:sz w:val="20"/>
                <w:szCs w:val="20"/>
                <w:lang w:eastAsia="en-GB"/>
              </w:rPr>
              <w:t>SUBSTANCE IDENTITY</w:t>
            </w:r>
          </w:p>
        </w:tc>
      </w:tr>
      <w:tr w:rsidR="003F2470" w:rsidRPr="004A03E1" w14:paraId="4287D4AE" w14:textId="77777777" w:rsidTr="00305EE7">
        <w:tc>
          <w:tcPr>
            <w:tcW w:w="4273" w:type="dxa"/>
            <w:tcBorders>
              <w:top w:val="single" w:sz="4" w:space="0" w:color="0046AD"/>
              <w:bottom w:val="single" w:sz="4" w:space="0" w:color="0046AD"/>
            </w:tcBorders>
          </w:tcPr>
          <w:p w14:paraId="6BCCE5A2"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Public name:</w:t>
            </w:r>
          </w:p>
        </w:tc>
        <w:tc>
          <w:tcPr>
            <w:tcW w:w="4176" w:type="dxa"/>
            <w:tcBorders>
              <w:top w:val="single" w:sz="4" w:space="0" w:color="0046AD"/>
              <w:bottom w:val="single" w:sz="4" w:space="0" w:color="0046AD"/>
            </w:tcBorders>
          </w:tcPr>
          <w:p w14:paraId="2E926DB7" w14:textId="2D77EBFB" w:rsidR="003F2470" w:rsidRPr="003F2470" w:rsidRDefault="00351F82" w:rsidP="004D5374">
            <w:pPr>
              <w:pStyle w:val="Tabletext"/>
              <w:jc w:val="both"/>
              <w:rPr>
                <w:rFonts w:ascii="Verdana" w:hAnsi="Verdana"/>
                <w:sz w:val="20"/>
                <w:szCs w:val="20"/>
                <w:lang w:eastAsia="en-GB"/>
              </w:rPr>
            </w:pPr>
            <w:r>
              <w:rPr>
                <w:rFonts w:ascii="Verdana" w:hAnsi="Verdana"/>
                <w:sz w:val="20"/>
                <w:szCs w:val="20"/>
                <w:lang w:eastAsia="en-GB"/>
              </w:rPr>
              <w:t>Carbon disulfide</w:t>
            </w:r>
          </w:p>
        </w:tc>
      </w:tr>
      <w:tr w:rsidR="003F2470" w:rsidRPr="004A03E1" w14:paraId="5D8E2B7B" w14:textId="77777777" w:rsidTr="00305EE7">
        <w:tc>
          <w:tcPr>
            <w:tcW w:w="4273" w:type="dxa"/>
            <w:tcBorders>
              <w:top w:val="single" w:sz="4" w:space="0" w:color="0046AD"/>
              <w:bottom w:val="single" w:sz="4" w:space="0" w:color="0046AD"/>
            </w:tcBorders>
            <w:shd w:val="clear" w:color="auto" w:fill="auto"/>
          </w:tcPr>
          <w:p w14:paraId="6FF6F0D3"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EC number:</w:t>
            </w:r>
          </w:p>
        </w:tc>
        <w:tc>
          <w:tcPr>
            <w:tcW w:w="4176" w:type="dxa"/>
            <w:tcBorders>
              <w:top w:val="single" w:sz="4" w:space="0" w:color="0046AD"/>
              <w:bottom w:val="single" w:sz="4" w:space="0" w:color="0046AD"/>
            </w:tcBorders>
            <w:shd w:val="clear" w:color="auto" w:fill="auto"/>
          </w:tcPr>
          <w:p w14:paraId="6F81B1C8" w14:textId="77777777" w:rsidR="003F2470" w:rsidRPr="003F2470" w:rsidRDefault="003F2470" w:rsidP="004D5374">
            <w:pPr>
              <w:pStyle w:val="Tabletext"/>
              <w:jc w:val="both"/>
              <w:rPr>
                <w:rFonts w:ascii="Verdana" w:hAnsi="Verdana"/>
                <w:sz w:val="20"/>
                <w:szCs w:val="20"/>
                <w:lang w:eastAsia="en-GB"/>
              </w:rPr>
            </w:pPr>
            <w:r w:rsidRPr="003F2470">
              <w:rPr>
                <w:rFonts w:ascii="Verdana" w:hAnsi="Verdana"/>
                <w:sz w:val="20"/>
                <w:szCs w:val="20"/>
                <w:lang w:eastAsia="en-GB"/>
              </w:rPr>
              <w:t>200-843-6</w:t>
            </w:r>
          </w:p>
        </w:tc>
      </w:tr>
      <w:tr w:rsidR="003F2470" w:rsidRPr="004A03E1" w14:paraId="1A349B6B" w14:textId="77777777" w:rsidTr="00305EE7">
        <w:tc>
          <w:tcPr>
            <w:tcW w:w="4273" w:type="dxa"/>
            <w:tcBorders>
              <w:top w:val="single" w:sz="4" w:space="0" w:color="0046AD"/>
              <w:bottom w:val="single" w:sz="4" w:space="0" w:color="0046AD"/>
            </w:tcBorders>
            <w:shd w:val="clear" w:color="auto" w:fill="auto"/>
          </w:tcPr>
          <w:p w14:paraId="32270831"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CAS number:</w:t>
            </w:r>
          </w:p>
        </w:tc>
        <w:tc>
          <w:tcPr>
            <w:tcW w:w="4176" w:type="dxa"/>
            <w:tcBorders>
              <w:top w:val="single" w:sz="4" w:space="0" w:color="0046AD"/>
              <w:bottom w:val="single" w:sz="4" w:space="0" w:color="0046AD"/>
            </w:tcBorders>
            <w:shd w:val="clear" w:color="auto" w:fill="auto"/>
          </w:tcPr>
          <w:p w14:paraId="1E7218F8" w14:textId="77777777" w:rsidR="003F2470" w:rsidRPr="003F2470" w:rsidRDefault="003F2470" w:rsidP="004D5374">
            <w:pPr>
              <w:pStyle w:val="Tabletext"/>
              <w:jc w:val="both"/>
              <w:rPr>
                <w:rFonts w:ascii="Verdana" w:hAnsi="Verdana"/>
                <w:sz w:val="20"/>
                <w:szCs w:val="20"/>
                <w:lang w:eastAsia="en-GB"/>
              </w:rPr>
            </w:pPr>
            <w:r w:rsidRPr="003F2470">
              <w:rPr>
                <w:rFonts w:ascii="Verdana" w:hAnsi="Verdana"/>
                <w:sz w:val="20"/>
                <w:szCs w:val="20"/>
                <w:lang w:eastAsia="en-GB"/>
              </w:rPr>
              <w:t>75-15-0</w:t>
            </w:r>
          </w:p>
        </w:tc>
      </w:tr>
      <w:tr w:rsidR="003F2470" w:rsidRPr="004A03E1" w14:paraId="0EA4A759" w14:textId="77777777" w:rsidTr="00305EE7">
        <w:tc>
          <w:tcPr>
            <w:tcW w:w="4273" w:type="dxa"/>
            <w:tcBorders>
              <w:top w:val="single" w:sz="4" w:space="0" w:color="0046AD"/>
              <w:bottom w:val="single" w:sz="4" w:space="0" w:color="0046AD"/>
            </w:tcBorders>
            <w:shd w:val="clear" w:color="auto" w:fill="auto"/>
          </w:tcPr>
          <w:p w14:paraId="6F3B099F"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Index number in Annex VI of the CLP Regulation:</w:t>
            </w:r>
          </w:p>
        </w:tc>
        <w:tc>
          <w:tcPr>
            <w:tcW w:w="4176" w:type="dxa"/>
            <w:tcBorders>
              <w:top w:val="single" w:sz="4" w:space="0" w:color="0046AD"/>
              <w:bottom w:val="single" w:sz="4" w:space="0" w:color="0046AD"/>
            </w:tcBorders>
            <w:shd w:val="clear" w:color="auto" w:fill="auto"/>
          </w:tcPr>
          <w:p w14:paraId="46ED09FA" w14:textId="77777777" w:rsidR="003F2470" w:rsidRPr="003F2470" w:rsidRDefault="003F2470" w:rsidP="004D5374">
            <w:pPr>
              <w:pStyle w:val="Tabletext"/>
              <w:jc w:val="both"/>
              <w:rPr>
                <w:rFonts w:ascii="Verdana" w:hAnsi="Verdana"/>
                <w:sz w:val="20"/>
                <w:szCs w:val="20"/>
                <w:lang w:eastAsia="en-GB"/>
              </w:rPr>
            </w:pPr>
            <w:bookmarkStart w:id="9" w:name="d0e131"/>
            <w:r w:rsidRPr="003F2470">
              <w:rPr>
                <w:rFonts w:ascii="Verdana" w:hAnsi="Verdana"/>
                <w:sz w:val="20"/>
                <w:szCs w:val="20"/>
                <w:lang w:eastAsia="en-GB"/>
              </w:rPr>
              <w:t>006-003-00-3</w:t>
            </w:r>
            <w:bookmarkEnd w:id="9"/>
          </w:p>
        </w:tc>
      </w:tr>
      <w:tr w:rsidR="003F2470" w:rsidRPr="004A03E1" w14:paraId="04F51FC2" w14:textId="77777777" w:rsidTr="00305EE7">
        <w:tc>
          <w:tcPr>
            <w:tcW w:w="4273" w:type="dxa"/>
            <w:tcBorders>
              <w:top w:val="single" w:sz="4" w:space="0" w:color="0046AD"/>
              <w:bottom w:val="single" w:sz="4" w:space="0" w:color="0046AD"/>
            </w:tcBorders>
            <w:shd w:val="clear" w:color="auto" w:fill="auto"/>
          </w:tcPr>
          <w:p w14:paraId="5DB4A78B"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Molecular formula:</w:t>
            </w:r>
          </w:p>
        </w:tc>
        <w:tc>
          <w:tcPr>
            <w:tcW w:w="4176" w:type="dxa"/>
            <w:tcBorders>
              <w:top w:val="single" w:sz="4" w:space="0" w:color="0046AD"/>
              <w:bottom w:val="single" w:sz="4" w:space="0" w:color="0046AD"/>
            </w:tcBorders>
            <w:shd w:val="clear" w:color="auto" w:fill="auto"/>
          </w:tcPr>
          <w:p w14:paraId="768C71C2" w14:textId="77777777" w:rsidR="003F2470" w:rsidRPr="003F2470" w:rsidRDefault="003F2470" w:rsidP="004D5374">
            <w:pPr>
              <w:pStyle w:val="Tabletext"/>
              <w:jc w:val="both"/>
              <w:rPr>
                <w:rFonts w:ascii="Verdana" w:hAnsi="Verdana"/>
                <w:sz w:val="20"/>
                <w:szCs w:val="20"/>
                <w:lang w:eastAsia="en-GB"/>
              </w:rPr>
            </w:pPr>
            <w:r w:rsidRPr="003F2470">
              <w:rPr>
                <w:rFonts w:ascii="Verdana" w:hAnsi="Verdana"/>
                <w:sz w:val="20"/>
                <w:szCs w:val="20"/>
                <w:lang w:eastAsia="en-GB"/>
              </w:rPr>
              <w:t>CS</w:t>
            </w:r>
            <w:r w:rsidRPr="003F2470">
              <w:rPr>
                <w:rFonts w:ascii="Verdana" w:hAnsi="Verdana"/>
                <w:sz w:val="20"/>
                <w:szCs w:val="20"/>
                <w:vertAlign w:val="subscript"/>
                <w:lang w:eastAsia="en-GB"/>
              </w:rPr>
              <w:t>2</w:t>
            </w:r>
          </w:p>
        </w:tc>
      </w:tr>
      <w:tr w:rsidR="003F2470" w:rsidRPr="004A03E1" w14:paraId="376D1A34" w14:textId="77777777" w:rsidTr="00305EE7">
        <w:tc>
          <w:tcPr>
            <w:tcW w:w="4273" w:type="dxa"/>
            <w:tcBorders>
              <w:top w:val="single" w:sz="4" w:space="0" w:color="0046AD"/>
              <w:bottom w:val="single" w:sz="4" w:space="0" w:color="0046AD"/>
            </w:tcBorders>
            <w:shd w:val="clear" w:color="auto" w:fill="auto"/>
          </w:tcPr>
          <w:p w14:paraId="4AD007C1"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Molecular weight range:</w:t>
            </w:r>
          </w:p>
        </w:tc>
        <w:tc>
          <w:tcPr>
            <w:tcW w:w="4176" w:type="dxa"/>
            <w:tcBorders>
              <w:top w:val="single" w:sz="4" w:space="0" w:color="0046AD"/>
              <w:bottom w:val="single" w:sz="4" w:space="0" w:color="0046AD"/>
            </w:tcBorders>
            <w:shd w:val="clear" w:color="auto" w:fill="auto"/>
          </w:tcPr>
          <w:p w14:paraId="29C64C62" w14:textId="77777777" w:rsidR="003F2470" w:rsidRPr="003F2470" w:rsidRDefault="003F2470" w:rsidP="004D5374">
            <w:pPr>
              <w:pStyle w:val="Tabletext"/>
              <w:jc w:val="both"/>
              <w:rPr>
                <w:rFonts w:ascii="Verdana" w:hAnsi="Verdana"/>
                <w:sz w:val="20"/>
                <w:szCs w:val="20"/>
                <w:lang w:eastAsia="en-GB"/>
              </w:rPr>
            </w:pPr>
            <w:r w:rsidRPr="003F2470">
              <w:rPr>
                <w:rFonts w:ascii="Verdana" w:hAnsi="Verdana"/>
                <w:sz w:val="20"/>
                <w:szCs w:val="20"/>
                <w:lang w:eastAsia="en-GB"/>
              </w:rPr>
              <w:t>76.141</w:t>
            </w:r>
          </w:p>
        </w:tc>
      </w:tr>
      <w:tr w:rsidR="003F2470" w:rsidRPr="004A03E1" w14:paraId="69FB4077" w14:textId="77777777" w:rsidTr="00305EE7">
        <w:tc>
          <w:tcPr>
            <w:tcW w:w="4273" w:type="dxa"/>
            <w:tcBorders>
              <w:top w:val="single" w:sz="4" w:space="0" w:color="0046AD"/>
              <w:bottom w:val="single" w:sz="4" w:space="0" w:color="0046AD"/>
            </w:tcBorders>
            <w:shd w:val="clear" w:color="auto" w:fill="auto"/>
          </w:tcPr>
          <w:p w14:paraId="6F93051E" w14:textId="77777777" w:rsidR="003F2470" w:rsidRPr="003F2470" w:rsidRDefault="003F2470" w:rsidP="004D5374">
            <w:pPr>
              <w:pStyle w:val="Tabletext"/>
              <w:jc w:val="both"/>
              <w:rPr>
                <w:rFonts w:ascii="Verdana" w:hAnsi="Verdana"/>
                <w:b/>
                <w:sz w:val="20"/>
                <w:szCs w:val="20"/>
                <w:lang w:eastAsia="en-GB"/>
              </w:rPr>
            </w:pPr>
            <w:r w:rsidRPr="003F2470">
              <w:rPr>
                <w:rFonts w:ascii="Verdana" w:hAnsi="Verdana"/>
                <w:b/>
                <w:sz w:val="20"/>
                <w:szCs w:val="20"/>
                <w:lang w:eastAsia="en-GB"/>
              </w:rPr>
              <w:t>Synonyms:</w:t>
            </w:r>
          </w:p>
        </w:tc>
        <w:tc>
          <w:tcPr>
            <w:tcW w:w="4176" w:type="dxa"/>
            <w:tcBorders>
              <w:top w:val="single" w:sz="4" w:space="0" w:color="0046AD"/>
              <w:bottom w:val="single" w:sz="4" w:space="0" w:color="0046AD"/>
            </w:tcBorders>
            <w:shd w:val="clear" w:color="auto" w:fill="auto"/>
          </w:tcPr>
          <w:p w14:paraId="763853FE" w14:textId="77777777" w:rsidR="003F2470" w:rsidRPr="003F2470" w:rsidRDefault="003F2470" w:rsidP="004D5374">
            <w:pPr>
              <w:pStyle w:val="Tabletext"/>
              <w:jc w:val="both"/>
              <w:rPr>
                <w:rFonts w:ascii="Verdana" w:hAnsi="Verdana"/>
                <w:sz w:val="20"/>
                <w:szCs w:val="20"/>
                <w:lang w:eastAsia="en-GB"/>
              </w:rPr>
            </w:pPr>
            <w:r w:rsidRPr="003F2470">
              <w:rPr>
                <w:rFonts w:ascii="Verdana" w:hAnsi="Verdana"/>
                <w:sz w:val="20"/>
                <w:szCs w:val="20"/>
                <w:lang w:eastAsia="en-GB"/>
              </w:rPr>
              <w:t>Methanedithione</w:t>
            </w:r>
          </w:p>
        </w:tc>
      </w:tr>
    </w:tbl>
    <w:p w14:paraId="4D675393" w14:textId="77777777" w:rsidR="00C46BD4" w:rsidRDefault="00C46BD4" w:rsidP="00405E0F">
      <w:pPr>
        <w:spacing w:after="120"/>
        <w:jc w:val="both"/>
        <w:rPr>
          <w:rFonts w:ascii="Verdana" w:hAnsi="Verdana"/>
          <w:sz w:val="20"/>
          <w:szCs w:val="20"/>
          <w:lang w:eastAsia="en-GB"/>
        </w:rPr>
      </w:pPr>
    </w:p>
    <w:p w14:paraId="1EDCF6A3" w14:textId="77777777" w:rsidR="003F2470" w:rsidRPr="003F2470" w:rsidRDefault="003F2470" w:rsidP="003F2470">
      <w:pPr>
        <w:pStyle w:val="Corpsdetexte"/>
        <w:jc w:val="both"/>
        <w:rPr>
          <w:rFonts w:ascii="Verdana" w:hAnsi="Verdana"/>
          <w:sz w:val="20"/>
          <w:szCs w:val="20"/>
          <w:lang w:eastAsia="en-GB"/>
        </w:rPr>
      </w:pPr>
      <w:r w:rsidRPr="003F2470">
        <w:rPr>
          <w:rFonts w:ascii="Verdana" w:hAnsi="Verdana"/>
          <w:sz w:val="20"/>
          <w:szCs w:val="20"/>
          <w:lang w:eastAsia="en-GB"/>
        </w:rPr>
        <w:t>Type of substance:  Mono-constituent</w:t>
      </w:r>
      <w:r w:rsidRPr="003F2470">
        <w:rPr>
          <w:rFonts w:ascii="Verdana" w:hAnsi="Verdana"/>
          <w:sz w:val="20"/>
          <w:szCs w:val="20"/>
          <w:lang w:eastAsia="en-GB"/>
        </w:rPr>
        <w:tab/>
      </w:r>
    </w:p>
    <w:p w14:paraId="1DEE8EA7" w14:textId="77777777" w:rsidR="003F2470" w:rsidRPr="003F2470" w:rsidRDefault="003F2470" w:rsidP="003F2470">
      <w:pPr>
        <w:pStyle w:val="Corpsdetexte"/>
        <w:jc w:val="both"/>
        <w:rPr>
          <w:rFonts w:ascii="Verdana" w:hAnsi="Verdana"/>
          <w:b/>
          <w:sz w:val="20"/>
          <w:szCs w:val="20"/>
          <w:lang w:eastAsia="en-GB"/>
        </w:rPr>
      </w:pPr>
      <w:r w:rsidRPr="003F2470">
        <w:rPr>
          <w:rFonts w:ascii="Verdana" w:hAnsi="Verdana"/>
          <w:b/>
          <w:sz w:val="20"/>
          <w:szCs w:val="20"/>
          <w:lang w:eastAsia="en-GB"/>
        </w:rPr>
        <w:lastRenderedPageBreak/>
        <w:t>Structural formula:</w:t>
      </w:r>
    </w:p>
    <w:p w14:paraId="63E3626D" w14:textId="4AE5537D" w:rsidR="003F2470" w:rsidRDefault="003F2470" w:rsidP="003F2470">
      <w:pPr>
        <w:pStyle w:val="Corpsdetexte"/>
        <w:jc w:val="both"/>
        <w:rPr>
          <w:sz w:val="18"/>
          <w:szCs w:val="18"/>
        </w:rPr>
      </w:pPr>
      <w:r w:rsidRPr="004A03E1">
        <w:rPr>
          <w:rFonts w:eastAsiaTheme="minorEastAsia"/>
          <w:bCs/>
          <w:noProof/>
          <w:color w:val="000000"/>
          <w:lang w:val="fr-FR" w:eastAsia="fr-FR"/>
        </w:rPr>
        <w:drawing>
          <wp:inline distT="0" distB="0" distL="0" distR="0" wp14:anchorId="2543CD8F" wp14:editId="438587E3">
            <wp:extent cx="928382" cy="60960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srcRect l="8457" t="20613" r="3805" b="21776"/>
                    <a:stretch/>
                  </pic:blipFill>
                  <pic:spPr bwMode="auto">
                    <a:xfrm>
                      <a:off x="0" y="0"/>
                      <a:ext cx="953390" cy="62602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a:ext>
                    </a:extLst>
                  </pic:spPr>
                </pic:pic>
              </a:graphicData>
            </a:graphic>
          </wp:inline>
        </w:drawing>
      </w:r>
    </w:p>
    <w:p w14:paraId="5AC0B37B" w14:textId="652DF5F4" w:rsidR="003F2470" w:rsidRPr="00181B4B" w:rsidRDefault="00423148" w:rsidP="00181B4B">
      <w:pPr>
        <w:pStyle w:val="Titre2"/>
        <w:tabs>
          <w:tab w:val="clear" w:pos="1928"/>
          <w:tab w:val="num" w:pos="1503"/>
        </w:tabs>
        <w:ind w:left="1077"/>
        <w:rPr>
          <w:color w:val="auto"/>
        </w:rPr>
      </w:pPr>
      <w:bookmarkStart w:id="10" w:name="_Toc117776282"/>
      <w:r w:rsidRPr="00181B4B">
        <w:rPr>
          <w:color w:val="auto"/>
        </w:rPr>
        <w:t>Completed or ongoing process</w:t>
      </w:r>
      <w:bookmarkEnd w:id="10"/>
    </w:p>
    <w:p w14:paraId="0FCA9DA7" w14:textId="32C59814" w:rsidR="00305EE7" w:rsidRPr="00305EE7" w:rsidRDefault="00305EE7" w:rsidP="00617EE5">
      <w:pPr>
        <w:pStyle w:val="Lgende"/>
      </w:pPr>
      <w:r w:rsidRPr="00305EE7">
        <w:t xml:space="preserve">Table </w:t>
      </w:r>
      <w:r w:rsidR="005970D6">
        <w:fldChar w:fldCharType="begin"/>
      </w:r>
      <w:r w:rsidR="005970D6">
        <w:instrText xml:space="preserve"> SEQ Table \* ARABIC </w:instrText>
      </w:r>
      <w:r w:rsidR="005970D6">
        <w:fldChar w:fldCharType="separate"/>
      </w:r>
      <w:r w:rsidR="0014770F">
        <w:rPr>
          <w:noProof/>
        </w:rPr>
        <w:t>2</w:t>
      </w:r>
      <w:r w:rsidR="005970D6">
        <w:rPr>
          <w:noProof/>
        </w:rPr>
        <w:fldChar w:fldCharType="end"/>
      </w:r>
      <w:r w:rsidR="002F5D6E">
        <w:t xml:space="preserve"> </w:t>
      </w:r>
      <w:r w:rsidRPr="00305EE7">
        <w:t xml:space="preserve"> </w:t>
      </w:r>
      <w:r w:rsidR="008408CE">
        <w:tab/>
      </w:r>
      <w:r w:rsidRPr="00305EE7">
        <w:t>Completed or ongoing processes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5954"/>
      </w:tblGrid>
      <w:tr w:rsidR="00305EE7" w:rsidRPr="00622B37" w14:paraId="59082F36" w14:textId="77777777" w:rsidTr="004D5374">
        <w:trPr>
          <w:cantSplit/>
          <w:trHeight w:val="393"/>
        </w:trPr>
        <w:tc>
          <w:tcPr>
            <w:tcW w:w="1384" w:type="dxa"/>
            <w:shd w:val="clear" w:color="auto" w:fill="auto"/>
            <w:textDirection w:val="btLr"/>
            <w:vAlign w:val="center"/>
          </w:tcPr>
          <w:p w14:paraId="3897DCE7"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RMOA</w:t>
            </w:r>
          </w:p>
        </w:tc>
        <w:tc>
          <w:tcPr>
            <w:tcW w:w="1134" w:type="dxa"/>
            <w:tcBorders>
              <w:right w:val="nil"/>
            </w:tcBorders>
            <w:shd w:val="clear" w:color="auto" w:fill="auto"/>
            <w:textDirection w:val="btLr"/>
            <w:vAlign w:val="center"/>
          </w:tcPr>
          <w:p w14:paraId="35024D21"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tcBorders>
              <w:left w:val="nil"/>
            </w:tcBorders>
            <w:shd w:val="clear" w:color="auto" w:fill="auto"/>
            <w:vAlign w:val="center"/>
          </w:tcPr>
          <w:p w14:paraId="3455C235" w14:textId="77777777" w:rsidR="00305EE7" w:rsidRPr="00D843B2" w:rsidRDefault="00305EE7" w:rsidP="004D5374">
            <w:pPr>
              <w:pStyle w:val="Corpsdetexte"/>
              <w:spacing w:before="120" w:after="0"/>
              <w:ind w:left="317" w:hanging="317"/>
              <w:rPr>
                <w:rFonts w:ascii="Verdana" w:hAnsi="Verdana"/>
                <w:sz w:val="16"/>
                <w:szCs w:val="16"/>
              </w:rPr>
            </w:pPr>
            <w:r w:rsidRPr="00D843B2">
              <w:rPr>
                <w:rFonts w:ascii="MS Gothic" w:eastAsia="MS Gothic" w:hAnsi="MS Gothic" w:cs="MS Gothic"/>
                <w:sz w:val="16"/>
                <w:szCs w:val="16"/>
              </w:rPr>
              <w:t>☐</w:t>
            </w:r>
            <w:r w:rsidRPr="00D843B2">
              <w:rPr>
                <w:rFonts w:ascii="Verdana" w:hAnsi="Verdana"/>
                <w:sz w:val="16"/>
                <w:szCs w:val="16"/>
              </w:rPr>
              <w:t xml:space="preserve"> Risk Management Option Analysis (RMOA) other than this RMOA</w:t>
            </w:r>
          </w:p>
        </w:tc>
      </w:tr>
      <w:tr w:rsidR="00305EE7" w:rsidRPr="00622B37" w14:paraId="036BB78D" w14:textId="77777777" w:rsidTr="004D5374">
        <w:trPr>
          <w:cantSplit/>
          <w:trHeight w:val="144"/>
        </w:trPr>
        <w:tc>
          <w:tcPr>
            <w:tcW w:w="1384" w:type="dxa"/>
            <w:vMerge w:val="restart"/>
            <w:shd w:val="clear" w:color="auto" w:fill="auto"/>
            <w:textDirection w:val="btLr"/>
            <w:vAlign w:val="center"/>
          </w:tcPr>
          <w:p w14:paraId="2A082128" w14:textId="3455F238"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REAC</w:t>
            </w:r>
            <w:r w:rsidR="009C227F">
              <w:rPr>
                <w:rFonts w:ascii="Verdana" w:hAnsi="Verdana"/>
                <w:sz w:val="16"/>
                <w:szCs w:val="16"/>
              </w:rPr>
              <w:t>h</w:t>
            </w:r>
            <w:r w:rsidRPr="00D843B2">
              <w:rPr>
                <w:rFonts w:ascii="Verdana" w:hAnsi="Verdana"/>
                <w:sz w:val="16"/>
                <w:szCs w:val="16"/>
              </w:rPr>
              <w:t xml:space="preserve"> Processes</w:t>
            </w:r>
          </w:p>
        </w:tc>
        <w:tc>
          <w:tcPr>
            <w:tcW w:w="1134" w:type="dxa"/>
            <w:vMerge w:val="restart"/>
            <w:shd w:val="clear" w:color="auto" w:fill="auto"/>
            <w:textDirection w:val="btLr"/>
            <w:vAlign w:val="center"/>
          </w:tcPr>
          <w:p w14:paraId="14ECBCA6"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Evaluation</w:t>
            </w:r>
          </w:p>
        </w:tc>
        <w:tc>
          <w:tcPr>
            <w:tcW w:w="5954" w:type="dxa"/>
            <w:shd w:val="clear" w:color="auto" w:fill="auto"/>
            <w:vAlign w:val="center"/>
          </w:tcPr>
          <w:p w14:paraId="71FB4325" w14:textId="77777777" w:rsidR="00305EE7"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x</w:t>
            </w:r>
            <w:r w:rsidRPr="00D843B2">
              <w:rPr>
                <w:rFonts w:ascii="Verdana" w:hAnsi="Verdana"/>
                <w:sz w:val="16"/>
                <w:szCs w:val="16"/>
              </w:rPr>
              <w:t xml:space="preserve"> Compliance check, Final decision</w:t>
            </w:r>
          </w:p>
          <w:p w14:paraId="590DD9DC" w14:textId="22214907" w:rsidR="004000FF" w:rsidRPr="00D843B2" w:rsidRDefault="004000FF" w:rsidP="004D5374">
            <w:pPr>
              <w:pStyle w:val="Corpsdetexte"/>
              <w:spacing w:before="120" w:after="0"/>
              <w:rPr>
                <w:rFonts w:ascii="Verdana" w:hAnsi="Verdana"/>
                <w:sz w:val="16"/>
                <w:szCs w:val="16"/>
              </w:rPr>
            </w:pPr>
          </w:p>
        </w:tc>
      </w:tr>
      <w:tr w:rsidR="00305EE7" w:rsidRPr="00622B37" w14:paraId="09EC5B8E" w14:textId="77777777" w:rsidTr="004D5374">
        <w:trPr>
          <w:cantSplit/>
          <w:trHeight w:val="219"/>
        </w:trPr>
        <w:tc>
          <w:tcPr>
            <w:tcW w:w="1384" w:type="dxa"/>
            <w:vMerge/>
            <w:shd w:val="clear" w:color="auto" w:fill="auto"/>
            <w:textDirection w:val="btLr"/>
            <w:vAlign w:val="center"/>
          </w:tcPr>
          <w:p w14:paraId="566D3B8B"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vMerge/>
            <w:shd w:val="clear" w:color="auto" w:fill="auto"/>
            <w:textDirection w:val="btLr"/>
            <w:vAlign w:val="center"/>
          </w:tcPr>
          <w:p w14:paraId="37921A7D"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shd w:val="clear" w:color="auto" w:fill="auto"/>
            <w:vAlign w:val="center"/>
          </w:tcPr>
          <w:p w14:paraId="7B0F02D3" w14:textId="77777777" w:rsidR="00305EE7" w:rsidRPr="00D843B2"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w:t>
            </w:r>
            <w:r w:rsidRPr="00D843B2">
              <w:rPr>
                <w:rFonts w:ascii="Verdana" w:hAnsi="Verdana"/>
                <w:sz w:val="16"/>
                <w:szCs w:val="16"/>
              </w:rPr>
              <w:t xml:space="preserve"> Testing proposal</w:t>
            </w:r>
          </w:p>
        </w:tc>
      </w:tr>
      <w:tr w:rsidR="00305EE7" w:rsidRPr="00622B37" w14:paraId="54D38FFA" w14:textId="77777777" w:rsidTr="004D5374">
        <w:trPr>
          <w:cantSplit/>
          <w:trHeight w:val="310"/>
        </w:trPr>
        <w:tc>
          <w:tcPr>
            <w:tcW w:w="1384" w:type="dxa"/>
            <w:vMerge/>
            <w:shd w:val="clear" w:color="auto" w:fill="auto"/>
            <w:textDirection w:val="btLr"/>
            <w:vAlign w:val="center"/>
          </w:tcPr>
          <w:p w14:paraId="4B8116A6"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vMerge/>
            <w:shd w:val="clear" w:color="auto" w:fill="auto"/>
            <w:textDirection w:val="btLr"/>
            <w:vAlign w:val="center"/>
          </w:tcPr>
          <w:p w14:paraId="324EC3C2"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shd w:val="clear" w:color="auto" w:fill="auto"/>
            <w:vAlign w:val="center"/>
          </w:tcPr>
          <w:p w14:paraId="367EF437" w14:textId="61C70472" w:rsidR="004000FF"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x</w:t>
            </w:r>
            <w:r w:rsidRPr="00D843B2">
              <w:rPr>
                <w:rFonts w:ascii="Verdana" w:hAnsi="Verdana"/>
                <w:sz w:val="16"/>
                <w:szCs w:val="16"/>
              </w:rPr>
              <w:t xml:space="preserve"> CoRAP and Substance Evaluation</w:t>
            </w:r>
            <w:r w:rsidR="004000FF">
              <w:rPr>
                <w:rFonts w:ascii="Verdana" w:hAnsi="Verdana"/>
                <w:sz w:val="16"/>
                <w:szCs w:val="16"/>
              </w:rPr>
              <w:t>: starting in March 2013 by France</w:t>
            </w:r>
          </w:p>
          <w:p w14:paraId="12B8C112" w14:textId="603A14C6" w:rsidR="004000FF" w:rsidRPr="00D843B2" w:rsidRDefault="004000FF" w:rsidP="004D5374">
            <w:pPr>
              <w:pStyle w:val="Corpsdetexte"/>
              <w:spacing w:before="120" w:after="0"/>
              <w:rPr>
                <w:rFonts w:ascii="Verdana" w:hAnsi="Verdana"/>
                <w:sz w:val="16"/>
                <w:szCs w:val="16"/>
              </w:rPr>
            </w:pPr>
            <w:r>
              <w:rPr>
                <w:rFonts w:ascii="Verdana" w:hAnsi="Verdana"/>
                <w:sz w:val="16"/>
                <w:szCs w:val="16"/>
              </w:rPr>
              <w:t xml:space="preserve">Concluded </w:t>
            </w:r>
            <w:r w:rsidR="005F33BB">
              <w:rPr>
                <w:rFonts w:ascii="Verdana" w:hAnsi="Verdana"/>
                <w:sz w:val="16"/>
                <w:szCs w:val="16"/>
              </w:rPr>
              <w:t xml:space="preserve">in </w:t>
            </w:r>
            <w:r>
              <w:rPr>
                <w:rFonts w:ascii="Verdana" w:hAnsi="Verdana"/>
                <w:sz w:val="16"/>
                <w:szCs w:val="16"/>
              </w:rPr>
              <w:t>2022 (conclusion: need for follow-up regulatory action at EU level to be discussed in a RMOA)</w:t>
            </w:r>
          </w:p>
        </w:tc>
      </w:tr>
      <w:tr w:rsidR="00305EE7" w:rsidRPr="00622B37" w14:paraId="37EA6BE0" w14:textId="77777777" w:rsidTr="004D5374">
        <w:trPr>
          <w:cantSplit/>
          <w:trHeight w:val="258"/>
        </w:trPr>
        <w:tc>
          <w:tcPr>
            <w:tcW w:w="1384" w:type="dxa"/>
            <w:vMerge/>
            <w:shd w:val="clear" w:color="auto" w:fill="auto"/>
            <w:textDirection w:val="btLr"/>
            <w:vAlign w:val="center"/>
          </w:tcPr>
          <w:p w14:paraId="53474BC0"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vMerge w:val="restart"/>
            <w:shd w:val="clear" w:color="auto" w:fill="auto"/>
            <w:textDirection w:val="btLr"/>
            <w:vAlign w:val="center"/>
          </w:tcPr>
          <w:p w14:paraId="7131EE19"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Authorisation</w:t>
            </w:r>
          </w:p>
        </w:tc>
        <w:tc>
          <w:tcPr>
            <w:tcW w:w="5954" w:type="dxa"/>
            <w:shd w:val="clear" w:color="auto" w:fill="auto"/>
            <w:vAlign w:val="center"/>
          </w:tcPr>
          <w:p w14:paraId="23881DC2" w14:textId="77777777" w:rsidR="00305EE7" w:rsidRPr="00D843B2"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w:t>
            </w:r>
            <w:r w:rsidRPr="00D843B2">
              <w:rPr>
                <w:rFonts w:ascii="Verdana" w:hAnsi="Verdana"/>
                <w:sz w:val="16"/>
                <w:szCs w:val="16"/>
              </w:rPr>
              <w:t xml:space="preserve"> Candidate List</w:t>
            </w:r>
          </w:p>
        </w:tc>
      </w:tr>
      <w:tr w:rsidR="00305EE7" w:rsidRPr="00622B37" w14:paraId="4367AC55" w14:textId="77777777" w:rsidTr="004D5374">
        <w:trPr>
          <w:cantSplit/>
          <w:trHeight w:val="64"/>
        </w:trPr>
        <w:tc>
          <w:tcPr>
            <w:tcW w:w="1384" w:type="dxa"/>
            <w:vMerge/>
            <w:shd w:val="clear" w:color="auto" w:fill="auto"/>
            <w:textDirection w:val="btLr"/>
            <w:vAlign w:val="center"/>
          </w:tcPr>
          <w:p w14:paraId="37394665"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vMerge/>
            <w:shd w:val="clear" w:color="auto" w:fill="auto"/>
            <w:textDirection w:val="btLr"/>
            <w:vAlign w:val="center"/>
          </w:tcPr>
          <w:p w14:paraId="2B4E5840"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shd w:val="clear" w:color="auto" w:fill="auto"/>
            <w:vAlign w:val="center"/>
          </w:tcPr>
          <w:p w14:paraId="779C54A1" w14:textId="77777777" w:rsidR="00305EE7" w:rsidRPr="00D843B2"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w:t>
            </w:r>
            <w:r w:rsidRPr="00D843B2">
              <w:rPr>
                <w:rFonts w:ascii="Verdana" w:hAnsi="Verdana"/>
                <w:sz w:val="16"/>
                <w:szCs w:val="16"/>
              </w:rPr>
              <w:t xml:space="preserve"> Annex XIV </w:t>
            </w:r>
          </w:p>
        </w:tc>
      </w:tr>
      <w:tr w:rsidR="00305EE7" w:rsidRPr="00622B37" w14:paraId="09371A0C" w14:textId="77777777" w:rsidTr="004D5374">
        <w:trPr>
          <w:cantSplit/>
          <w:trHeight w:val="707"/>
        </w:trPr>
        <w:tc>
          <w:tcPr>
            <w:tcW w:w="1384" w:type="dxa"/>
            <w:vMerge/>
            <w:shd w:val="clear" w:color="auto" w:fill="auto"/>
            <w:textDirection w:val="btLr"/>
            <w:vAlign w:val="center"/>
          </w:tcPr>
          <w:p w14:paraId="7B4B1EDA"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tcBorders>
              <w:bottom w:val="single" w:sz="4" w:space="0" w:color="auto"/>
            </w:tcBorders>
            <w:shd w:val="clear" w:color="auto" w:fill="auto"/>
            <w:textDirection w:val="btLr"/>
            <w:vAlign w:val="center"/>
          </w:tcPr>
          <w:p w14:paraId="0BEB9991"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Restri-ction</w:t>
            </w:r>
          </w:p>
        </w:tc>
        <w:tc>
          <w:tcPr>
            <w:tcW w:w="5954" w:type="dxa"/>
            <w:tcBorders>
              <w:bottom w:val="single" w:sz="4" w:space="0" w:color="auto"/>
            </w:tcBorders>
            <w:shd w:val="clear" w:color="auto" w:fill="auto"/>
            <w:vAlign w:val="center"/>
          </w:tcPr>
          <w:p w14:paraId="686F19A1" w14:textId="77777777" w:rsidR="00305EE7" w:rsidRPr="00D843B2"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w:t>
            </w:r>
            <w:r w:rsidRPr="00D843B2">
              <w:rPr>
                <w:rFonts w:ascii="Verdana" w:hAnsi="Verdana"/>
                <w:sz w:val="16"/>
                <w:szCs w:val="16"/>
              </w:rPr>
              <w:t xml:space="preserve"> Annex XVII</w:t>
            </w:r>
          </w:p>
        </w:tc>
      </w:tr>
      <w:tr w:rsidR="00305EE7" w:rsidRPr="00622B37" w14:paraId="75CAEC0A" w14:textId="77777777" w:rsidTr="004D5374">
        <w:trPr>
          <w:cantSplit/>
          <w:trHeight w:val="1255"/>
        </w:trPr>
        <w:tc>
          <w:tcPr>
            <w:tcW w:w="1384" w:type="dxa"/>
            <w:shd w:val="clear" w:color="auto" w:fill="auto"/>
            <w:textDirection w:val="btLr"/>
            <w:vAlign w:val="center"/>
          </w:tcPr>
          <w:p w14:paraId="21EEE8B2"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 xml:space="preserve">Harmonised C&amp;L </w:t>
            </w:r>
          </w:p>
        </w:tc>
        <w:tc>
          <w:tcPr>
            <w:tcW w:w="1134" w:type="dxa"/>
            <w:tcBorders>
              <w:right w:val="nil"/>
            </w:tcBorders>
            <w:shd w:val="clear" w:color="auto" w:fill="auto"/>
            <w:textDirection w:val="btLr"/>
            <w:vAlign w:val="center"/>
          </w:tcPr>
          <w:p w14:paraId="6561C031"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tcBorders>
              <w:left w:val="nil"/>
            </w:tcBorders>
            <w:shd w:val="clear" w:color="auto" w:fill="auto"/>
            <w:vAlign w:val="center"/>
          </w:tcPr>
          <w:p w14:paraId="7216F53C" w14:textId="29C44DDE" w:rsidR="00305EE7" w:rsidRPr="00D843B2" w:rsidRDefault="00305EE7" w:rsidP="005F3FE7">
            <w:pPr>
              <w:pStyle w:val="Corpsdetexte"/>
              <w:spacing w:before="120" w:after="0"/>
              <w:rPr>
                <w:rFonts w:ascii="Verdana" w:hAnsi="Verdana"/>
                <w:sz w:val="16"/>
                <w:szCs w:val="16"/>
              </w:rPr>
            </w:pPr>
            <w:r w:rsidRPr="00D843B2">
              <w:rPr>
                <w:rFonts w:ascii="MS Gothic" w:eastAsia="MS Gothic" w:hAnsi="MS Gothic" w:cs="MS Gothic"/>
                <w:sz w:val="16"/>
                <w:szCs w:val="16"/>
              </w:rPr>
              <w:t>x</w:t>
            </w:r>
            <w:r w:rsidR="001C6F30">
              <w:rPr>
                <w:rFonts w:ascii="Verdana" w:hAnsi="Verdana"/>
                <w:sz w:val="16"/>
                <w:szCs w:val="16"/>
              </w:rPr>
              <w:t xml:space="preserve"> Annex VI (CLP) (see </w:t>
            </w:r>
            <w:r w:rsidR="005F3FE7">
              <w:rPr>
                <w:rFonts w:ascii="Verdana" w:hAnsi="Verdana"/>
                <w:sz w:val="16"/>
                <w:szCs w:val="16"/>
              </w:rPr>
              <w:t>Annex I</w:t>
            </w:r>
            <w:r w:rsidRPr="00D843B2">
              <w:rPr>
                <w:rFonts w:ascii="Verdana" w:hAnsi="Verdana"/>
                <w:sz w:val="16"/>
                <w:szCs w:val="16"/>
              </w:rPr>
              <w:t>)</w:t>
            </w:r>
          </w:p>
        </w:tc>
      </w:tr>
      <w:tr w:rsidR="00305EE7" w:rsidRPr="00622B37" w14:paraId="3F91AFCA" w14:textId="77777777" w:rsidTr="004D5374">
        <w:trPr>
          <w:cantSplit/>
          <w:trHeight w:val="579"/>
        </w:trPr>
        <w:tc>
          <w:tcPr>
            <w:tcW w:w="1384" w:type="dxa"/>
            <w:vMerge w:val="restart"/>
            <w:shd w:val="clear" w:color="auto" w:fill="auto"/>
            <w:textDirection w:val="btLr"/>
            <w:vAlign w:val="center"/>
          </w:tcPr>
          <w:p w14:paraId="04CE358C"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Processes under other EU legislation</w:t>
            </w:r>
          </w:p>
        </w:tc>
        <w:tc>
          <w:tcPr>
            <w:tcW w:w="1134" w:type="dxa"/>
            <w:tcBorders>
              <w:right w:val="nil"/>
            </w:tcBorders>
            <w:shd w:val="clear" w:color="auto" w:fill="auto"/>
            <w:textDirection w:val="btLr"/>
            <w:vAlign w:val="center"/>
          </w:tcPr>
          <w:p w14:paraId="75E8DD59"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tcBorders>
              <w:left w:val="nil"/>
            </w:tcBorders>
            <w:shd w:val="clear" w:color="auto" w:fill="auto"/>
            <w:vAlign w:val="center"/>
          </w:tcPr>
          <w:p w14:paraId="0180A6F5" w14:textId="77777777" w:rsidR="00305EE7" w:rsidRPr="00D843B2" w:rsidRDefault="00305EE7" w:rsidP="004D5374">
            <w:pPr>
              <w:pStyle w:val="Corpsdetexte"/>
              <w:spacing w:before="120" w:after="0"/>
              <w:ind w:left="459" w:hanging="459"/>
              <w:rPr>
                <w:rFonts w:ascii="Verdana" w:hAnsi="Verdana"/>
                <w:sz w:val="16"/>
                <w:szCs w:val="16"/>
              </w:rPr>
            </w:pPr>
            <w:r w:rsidRPr="00D843B2">
              <w:rPr>
                <w:rFonts w:ascii="MS Gothic" w:eastAsia="MS Gothic" w:hAnsi="MS Gothic"/>
                <w:sz w:val="16"/>
                <w:szCs w:val="16"/>
              </w:rPr>
              <w:t>☐</w:t>
            </w:r>
            <w:r w:rsidRPr="00D843B2">
              <w:rPr>
                <w:rFonts w:ascii="Verdana" w:hAnsi="Verdana"/>
                <w:sz w:val="16"/>
                <w:szCs w:val="16"/>
              </w:rPr>
              <w:t xml:space="preserve"> Plant Protection Products Regulation Regulation (EC) No 1107/2009 </w:t>
            </w:r>
          </w:p>
        </w:tc>
      </w:tr>
      <w:tr w:rsidR="00305EE7" w:rsidRPr="00622B37" w14:paraId="63991A95" w14:textId="77777777" w:rsidTr="004D5374">
        <w:trPr>
          <w:cantSplit/>
          <w:trHeight w:val="559"/>
        </w:trPr>
        <w:tc>
          <w:tcPr>
            <w:tcW w:w="1384" w:type="dxa"/>
            <w:vMerge/>
            <w:shd w:val="clear" w:color="auto" w:fill="auto"/>
            <w:textDirection w:val="btLr"/>
            <w:vAlign w:val="center"/>
          </w:tcPr>
          <w:p w14:paraId="5311A75C"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tcBorders>
              <w:right w:val="nil"/>
            </w:tcBorders>
            <w:shd w:val="clear" w:color="auto" w:fill="auto"/>
            <w:textDirection w:val="btLr"/>
            <w:vAlign w:val="center"/>
          </w:tcPr>
          <w:p w14:paraId="674E4498"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tcBorders>
              <w:left w:val="nil"/>
            </w:tcBorders>
            <w:shd w:val="clear" w:color="auto" w:fill="auto"/>
            <w:vAlign w:val="center"/>
          </w:tcPr>
          <w:p w14:paraId="40AA62B2" w14:textId="66320E8A" w:rsidR="00305EE7" w:rsidRPr="00D843B2" w:rsidRDefault="00305EE7" w:rsidP="004D5374">
            <w:pPr>
              <w:pStyle w:val="Corpsdetexte"/>
              <w:spacing w:before="120" w:after="0"/>
              <w:ind w:left="317" w:hanging="317"/>
              <w:rPr>
                <w:rFonts w:ascii="Verdana" w:hAnsi="Verdana"/>
                <w:sz w:val="16"/>
                <w:szCs w:val="16"/>
              </w:rPr>
            </w:pPr>
            <w:r w:rsidRPr="00D843B2">
              <w:rPr>
                <w:rFonts w:ascii="MS Gothic" w:eastAsia="MS Gothic" w:hAnsi="MS Gothic"/>
                <w:sz w:val="16"/>
                <w:szCs w:val="16"/>
              </w:rPr>
              <w:t>☐</w:t>
            </w:r>
            <w:r w:rsidRPr="00D843B2">
              <w:rPr>
                <w:rFonts w:ascii="Verdana" w:hAnsi="Verdana"/>
                <w:sz w:val="16"/>
                <w:szCs w:val="16"/>
              </w:rPr>
              <w:t xml:space="preserve">  Biocidal Product Regulation Regulation (EU) 528/2012 and amendments  </w:t>
            </w:r>
          </w:p>
        </w:tc>
      </w:tr>
      <w:tr w:rsidR="00305EE7" w:rsidRPr="00673013" w14:paraId="696948DD" w14:textId="77777777" w:rsidTr="004D5374">
        <w:trPr>
          <w:cantSplit/>
          <w:trHeight w:val="557"/>
        </w:trPr>
        <w:tc>
          <w:tcPr>
            <w:tcW w:w="1384" w:type="dxa"/>
            <w:vMerge w:val="restart"/>
            <w:shd w:val="clear" w:color="auto" w:fill="auto"/>
            <w:textDirection w:val="btLr"/>
            <w:vAlign w:val="center"/>
          </w:tcPr>
          <w:p w14:paraId="039DB0C2"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Previous legislation</w:t>
            </w:r>
          </w:p>
        </w:tc>
        <w:tc>
          <w:tcPr>
            <w:tcW w:w="1134" w:type="dxa"/>
            <w:tcBorders>
              <w:right w:val="nil"/>
            </w:tcBorders>
            <w:shd w:val="clear" w:color="auto" w:fill="auto"/>
            <w:textDirection w:val="btLr"/>
            <w:vAlign w:val="center"/>
          </w:tcPr>
          <w:p w14:paraId="5392A1CC"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tcBorders>
              <w:left w:val="nil"/>
            </w:tcBorders>
            <w:shd w:val="clear" w:color="auto" w:fill="auto"/>
            <w:vAlign w:val="center"/>
          </w:tcPr>
          <w:p w14:paraId="3B55E61A" w14:textId="77777777" w:rsidR="00305EE7" w:rsidRPr="00D843B2" w:rsidRDefault="00305EE7" w:rsidP="004D5374">
            <w:pPr>
              <w:pStyle w:val="Corpsdetexte"/>
              <w:spacing w:before="120" w:after="0"/>
              <w:ind w:left="317" w:hanging="317"/>
              <w:rPr>
                <w:rFonts w:ascii="Verdana" w:hAnsi="Verdana"/>
                <w:sz w:val="16"/>
                <w:szCs w:val="16"/>
                <w:lang w:val="fr-FR"/>
              </w:rPr>
            </w:pPr>
            <w:r w:rsidRPr="00D843B2">
              <w:rPr>
                <w:rFonts w:ascii="MS Gothic" w:eastAsia="MS Gothic" w:hAnsi="MS Gothic"/>
                <w:sz w:val="16"/>
                <w:szCs w:val="16"/>
                <w:lang w:val="fr-FR"/>
              </w:rPr>
              <w:t>☐</w:t>
            </w:r>
            <w:r w:rsidRPr="00D843B2">
              <w:rPr>
                <w:rFonts w:ascii="Verdana" w:hAnsi="Verdana"/>
                <w:sz w:val="16"/>
                <w:szCs w:val="16"/>
                <w:lang w:val="fr-FR"/>
              </w:rPr>
              <w:t xml:space="preserve"> Dangerous substances Directive ; Directive 67/548/EEC (NONS)</w:t>
            </w:r>
          </w:p>
        </w:tc>
      </w:tr>
      <w:tr w:rsidR="00305EE7" w:rsidRPr="00622B37" w14:paraId="2BF32387" w14:textId="77777777" w:rsidTr="004D5374">
        <w:trPr>
          <w:cantSplit/>
          <w:trHeight w:val="551"/>
        </w:trPr>
        <w:tc>
          <w:tcPr>
            <w:tcW w:w="1384" w:type="dxa"/>
            <w:vMerge/>
            <w:shd w:val="clear" w:color="auto" w:fill="auto"/>
            <w:textDirection w:val="btLr"/>
            <w:vAlign w:val="center"/>
          </w:tcPr>
          <w:p w14:paraId="071D22D3" w14:textId="77777777" w:rsidR="00305EE7" w:rsidRPr="00D843B2" w:rsidRDefault="00305EE7" w:rsidP="004D5374">
            <w:pPr>
              <w:pStyle w:val="Corpsdetexte"/>
              <w:spacing w:before="120" w:after="0"/>
              <w:ind w:left="113" w:right="113"/>
              <w:jc w:val="center"/>
              <w:rPr>
                <w:rFonts w:ascii="Verdana" w:hAnsi="Verdana"/>
                <w:sz w:val="16"/>
                <w:szCs w:val="16"/>
                <w:lang w:val="fr-FR"/>
              </w:rPr>
            </w:pPr>
          </w:p>
        </w:tc>
        <w:tc>
          <w:tcPr>
            <w:tcW w:w="1134" w:type="dxa"/>
            <w:tcBorders>
              <w:right w:val="nil"/>
            </w:tcBorders>
            <w:shd w:val="clear" w:color="auto" w:fill="auto"/>
            <w:textDirection w:val="btLr"/>
            <w:vAlign w:val="center"/>
          </w:tcPr>
          <w:p w14:paraId="03CDB8A5" w14:textId="77777777" w:rsidR="00305EE7" w:rsidRPr="00D843B2" w:rsidRDefault="00305EE7" w:rsidP="004D5374">
            <w:pPr>
              <w:pStyle w:val="Corpsdetexte"/>
              <w:spacing w:before="120" w:after="0"/>
              <w:ind w:left="113" w:right="113"/>
              <w:jc w:val="center"/>
              <w:rPr>
                <w:rFonts w:ascii="Verdana" w:hAnsi="Verdana"/>
                <w:sz w:val="16"/>
                <w:szCs w:val="16"/>
                <w:lang w:val="fr-FR"/>
              </w:rPr>
            </w:pPr>
          </w:p>
        </w:tc>
        <w:tc>
          <w:tcPr>
            <w:tcW w:w="5954" w:type="dxa"/>
            <w:tcBorders>
              <w:left w:val="nil"/>
            </w:tcBorders>
            <w:shd w:val="clear" w:color="auto" w:fill="auto"/>
            <w:vAlign w:val="center"/>
          </w:tcPr>
          <w:p w14:paraId="06314A11" w14:textId="77777777" w:rsidR="00305EE7" w:rsidRPr="00D843B2" w:rsidRDefault="00305EE7" w:rsidP="004D5374">
            <w:pPr>
              <w:pStyle w:val="Corpsdetexte"/>
              <w:spacing w:before="120" w:after="0"/>
              <w:ind w:left="317" w:hanging="317"/>
              <w:rPr>
                <w:rFonts w:ascii="Verdana" w:hAnsi="Verdana"/>
                <w:sz w:val="16"/>
                <w:szCs w:val="16"/>
              </w:rPr>
            </w:pPr>
            <w:r w:rsidRPr="00D843B2">
              <w:rPr>
                <w:rFonts w:ascii="MS Gothic" w:eastAsia="MS Gothic" w:hAnsi="MS Gothic"/>
                <w:sz w:val="16"/>
                <w:szCs w:val="16"/>
              </w:rPr>
              <w:t>☐</w:t>
            </w:r>
            <w:r w:rsidRPr="00D843B2">
              <w:rPr>
                <w:rFonts w:ascii="Verdana" w:hAnsi="Verdana"/>
                <w:sz w:val="16"/>
                <w:szCs w:val="16"/>
              </w:rPr>
              <w:t xml:space="preserve"> Existing Substances Regulation; Regulation 793/93/EEC (RAR/RRS)   </w:t>
            </w:r>
          </w:p>
        </w:tc>
      </w:tr>
      <w:tr w:rsidR="00305EE7" w:rsidRPr="00622B37" w14:paraId="2A720157" w14:textId="77777777" w:rsidTr="004D5374">
        <w:trPr>
          <w:cantSplit/>
          <w:trHeight w:val="555"/>
        </w:trPr>
        <w:tc>
          <w:tcPr>
            <w:tcW w:w="1384" w:type="dxa"/>
            <w:vMerge w:val="restart"/>
            <w:shd w:val="clear" w:color="auto" w:fill="auto"/>
            <w:textDirection w:val="btLr"/>
            <w:vAlign w:val="center"/>
          </w:tcPr>
          <w:p w14:paraId="29A6B21C"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(UNEP) Stockholm convention (POPs Protocol)</w:t>
            </w:r>
          </w:p>
        </w:tc>
        <w:tc>
          <w:tcPr>
            <w:tcW w:w="1134" w:type="dxa"/>
            <w:tcBorders>
              <w:right w:val="nil"/>
            </w:tcBorders>
            <w:shd w:val="clear" w:color="auto" w:fill="auto"/>
            <w:textDirection w:val="btLr"/>
            <w:vAlign w:val="center"/>
          </w:tcPr>
          <w:p w14:paraId="7B0B9B42"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5954" w:type="dxa"/>
            <w:tcBorders>
              <w:left w:val="nil"/>
            </w:tcBorders>
            <w:shd w:val="clear" w:color="auto" w:fill="auto"/>
            <w:vAlign w:val="center"/>
          </w:tcPr>
          <w:p w14:paraId="075030EF" w14:textId="77777777" w:rsidR="00305EE7" w:rsidRPr="00D843B2" w:rsidRDefault="00305EE7" w:rsidP="004D5374">
            <w:pPr>
              <w:pStyle w:val="Corpsdetexte"/>
              <w:spacing w:before="120" w:after="0"/>
              <w:rPr>
                <w:rFonts w:ascii="Verdana" w:hAnsi="Verdana"/>
                <w:sz w:val="16"/>
                <w:szCs w:val="16"/>
              </w:rPr>
            </w:pPr>
            <w:r w:rsidRPr="00D843B2">
              <w:rPr>
                <w:rFonts w:ascii="MS Gothic" w:eastAsia="MS Gothic" w:hAnsi="MS Gothic" w:cs="MS Gothic"/>
                <w:sz w:val="16"/>
                <w:szCs w:val="16"/>
              </w:rPr>
              <w:t>☐</w:t>
            </w:r>
            <w:r w:rsidRPr="00D843B2">
              <w:rPr>
                <w:rFonts w:ascii="Verdana" w:hAnsi="Verdana"/>
                <w:sz w:val="16"/>
                <w:szCs w:val="16"/>
              </w:rPr>
              <w:t xml:space="preserve"> Assessment   </w:t>
            </w:r>
          </w:p>
        </w:tc>
      </w:tr>
      <w:tr w:rsidR="00305EE7" w:rsidRPr="00622B37" w14:paraId="0A1CFEA4" w14:textId="77777777" w:rsidTr="004D5374">
        <w:trPr>
          <w:cantSplit/>
          <w:trHeight w:val="564"/>
        </w:trPr>
        <w:tc>
          <w:tcPr>
            <w:tcW w:w="1384" w:type="dxa"/>
            <w:vMerge/>
            <w:shd w:val="clear" w:color="auto" w:fill="auto"/>
            <w:textDirection w:val="btLr"/>
            <w:vAlign w:val="center"/>
          </w:tcPr>
          <w:p w14:paraId="72AA2924" w14:textId="77777777" w:rsidR="00305EE7" w:rsidRPr="00D843B2" w:rsidRDefault="00305EE7" w:rsidP="004D5374">
            <w:pPr>
              <w:pStyle w:val="Corpsdetexte"/>
              <w:spacing w:before="120" w:after="0"/>
              <w:ind w:left="113" w:right="113"/>
              <w:jc w:val="center"/>
              <w:rPr>
                <w:rFonts w:ascii="Verdana" w:hAnsi="Verdana"/>
                <w:sz w:val="16"/>
                <w:szCs w:val="16"/>
              </w:rPr>
            </w:pPr>
          </w:p>
        </w:tc>
        <w:tc>
          <w:tcPr>
            <w:tcW w:w="1134" w:type="dxa"/>
            <w:tcBorders>
              <w:right w:val="nil"/>
            </w:tcBorders>
            <w:shd w:val="clear" w:color="auto" w:fill="auto"/>
            <w:textDirection w:val="btLr"/>
            <w:vAlign w:val="center"/>
          </w:tcPr>
          <w:p w14:paraId="04F92F4F" w14:textId="77777777" w:rsidR="00305EE7" w:rsidRPr="00D843B2" w:rsidRDefault="00305EE7" w:rsidP="004D5374">
            <w:pPr>
              <w:pStyle w:val="Corpsdetexte"/>
              <w:spacing w:before="120" w:after="120"/>
              <w:ind w:left="113" w:right="113"/>
              <w:jc w:val="center"/>
              <w:rPr>
                <w:rFonts w:ascii="Verdana" w:hAnsi="Verdana"/>
                <w:sz w:val="16"/>
                <w:szCs w:val="16"/>
              </w:rPr>
            </w:pPr>
          </w:p>
        </w:tc>
        <w:tc>
          <w:tcPr>
            <w:tcW w:w="5954" w:type="dxa"/>
            <w:tcBorders>
              <w:left w:val="nil"/>
            </w:tcBorders>
            <w:shd w:val="clear" w:color="auto" w:fill="auto"/>
            <w:vAlign w:val="center"/>
          </w:tcPr>
          <w:p w14:paraId="6698AC75" w14:textId="77777777" w:rsidR="00305EE7" w:rsidRPr="00D843B2" w:rsidRDefault="00305EE7" w:rsidP="004D5374">
            <w:pPr>
              <w:pStyle w:val="Corpsdetexte"/>
              <w:spacing w:before="120" w:after="120"/>
              <w:rPr>
                <w:rFonts w:ascii="Verdana" w:hAnsi="Verdana"/>
                <w:sz w:val="16"/>
                <w:szCs w:val="16"/>
              </w:rPr>
            </w:pPr>
            <w:r w:rsidRPr="00D843B2">
              <w:rPr>
                <w:rFonts w:ascii="MS Gothic" w:eastAsia="MS Gothic" w:hAnsi="MS Gothic"/>
                <w:sz w:val="16"/>
                <w:szCs w:val="16"/>
              </w:rPr>
              <w:t>☐</w:t>
            </w:r>
            <w:r w:rsidRPr="00D843B2">
              <w:rPr>
                <w:rFonts w:ascii="Verdana" w:hAnsi="Verdana"/>
                <w:sz w:val="16"/>
                <w:szCs w:val="16"/>
              </w:rPr>
              <w:t xml:space="preserve"> In relevant Annex </w:t>
            </w:r>
          </w:p>
        </w:tc>
      </w:tr>
      <w:tr w:rsidR="00305EE7" w:rsidRPr="00622B37" w14:paraId="5F25D494" w14:textId="77777777" w:rsidTr="004D5374">
        <w:trPr>
          <w:cantSplit/>
          <w:trHeight w:val="1110"/>
        </w:trPr>
        <w:tc>
          <w:tcPr>
            <w:tcW w:w="1384" w:type="dxa"/>
            <w:shd w:val="clear" w:color="auto" w:fill="auto"/>
            <w:textDirection w:val="btLr"/>
            <w:vAlign w:val="center"/>
          </w:tcPr>
          <w:p w14:paraId="15618FE7" w14:textId="77777777" w:rsidR="00305EE7" w:rsidRPr="00D843B2" w:rsidRDefault="00305EE7" w:rsidP="004D5374">
            <w:pPr>
              <w:pStyle w:val="Corpsdetexte"/>
              <w:spacing w:before="120" w:after="0"/>
              <w:ind w:left="113" w:right="113"/>
              <w:jc w:val="center"/>
              <w:rPr>
                <w:rFonts w:ascii="Verdana" w:hAnsi="Verdana"/>
                <w:sz w:val="16"/>
                <w:szCs w:val="16"/>
              </w:rPr>
            </w:pPr>
            <w:r w:rsidRPr="00D843B2">
              <w:rPr>
                <w:rFonts w:ascii="Verdana" w:hAnsi="Verdana"/>
                <w:sz w:val="16"/>
                <w:szCs w:val="16"/>
              </w:rPr>
              <w:t>Other processes/ EU legislation</w:t>
            </w:r>
          </w:p>
        </w:tc>
        <w:tc>
          <w:tcPr>
            <w:tcW w:w="1134" w:type="dxa"/>
            <w:tcBorders>
              <w:right w:val="nil"/>
            </w:tcBorders>
            <w:shd w:val="clear" w:color="auto" w:fill="auto"/>
            <w:textDirection w:val="btLr"/>
            <w:vAlign w:val="center"/>
          </w:tcPr>
          <w:p w14:paraId="5ADA5ED8" w14:textId="77777777" w:rsidR="00305EE7" w:rsidRPr="00D843B2" w:rsidRDefault="00305EE7" w:rsidP="004D5374">
            <w:pPr>
              <w:pStyle w:val="Corpsdetexte"/>
              <w:spacing w:before="120" w:after="120"/>
              <w:ind w:left="113" w:right="113"/>
              <w:jc w:val="center"/>
              <w:rPr>
                <w:rFonts w:ascii="Verdana" w:hAnsi="Verdana"/>
                <w:sz w:val="16"/>
                <w:szCs w:val="16"/>
              </w:rPr>
            </w:pPr>
          </w:p>
        </w:tc>
        <w:tc>
          <w:tcPr>
            <w:tcW w:w="5954" w:type="dxa"/>
            <w:tcBorders>
              <w:left w:val="nil"/>
            </w:tcBorders>
            <w:shd w:val="clear" w:color="auto" w:fill="auto"/>
            <w:vAlign w:val="center"/>
          </w:tcPr>
          <w:p w14:paraId="06755AB7" w14:textId="0414E50F" w:rsidR="00305EE7" w:rsidRPr="00D843B2" w:rsidRDefault="00305EE7" w:rsidP="00563269">
            <w:pPr>
              <w:pStyle w:val="Corpsdetexte"/>
              <w:spacing w:before="120" w:after="120"/>
              <w:rPr>
                <w:rFonts w:ascii="Verdana" w:hAnsi="Verdana"/>
                <w:sz w:val="16"/>
                <w:szCs w:val="16"/>
              </w:rPr>
            </w:pPr>
            <w:r w:rsidRPr="00D843B2">
              <w:rPr>
                <w:rFonts w:ascii="MS Gothic" w:eastAsia="MS Gothic" w:hAnsi="MS Gothic" w:cs="MS Gothic"/>
                <w:sz w:val="16"/>
                <w:szCs w:val="16"/>
              </w:rPr>
              <w:t>x</w:t>
            </w:r>
            <w:r w:rsidRPr="00D843B2">
              <w:rPr>
                <w:rFonts w:ascii="Verdana" w:hAnsi="Verdana"/>
                <w:sz w:val="16"/>
                <w:szCs w:val="16"/>
              </w:rPr>
              <w:t xml:space="preserve"> Other (see further details below)</w:t>
            </w:r>
          </w:p>
        </w:tc>
      </w:tr>
    </w:tbl>
    <w:p w14:paraId="53C9110C" w14:textId="6D261FD9" w:rsidR="00423148" w:rsidRDefault="00423148" w:rsidP="003F2470">
      <w:pPr>
        <w:pStyle w:val="Corpsdetexte"/>
        <w:jc w:val="both"/>
        <w:rPr>
          <w:sz w:val="18"/>
          <w:szCs w:val="18"/>
        </w:rPr>
      </w:pPr>
    </w:p>
    <w:p w14:paraId="275194DF" w14:textId="77777777" w:rsidR="008D4B75" w:rsidRPr="00181B4B" w:rsidRDefault="008D4B75" w:rsidP="008D4B75">
      <w:pPr>
        <w:pStyle w:val="Titre2"/>
        <w:tabs>
          <w:tab w:val="clear" w:pos="1928"/>
          <w:tab w:val="num" w:pos="1503"/>
        </w:tabs>
        <w:ind w:left="1077"/>
        <w:rPr>
          <w:color w:val="auto"/>
        </w:rPr>
      </w:pPr>
      <w:bookmarkStart w:id="11" w:name="_Toc117776283"/>
      <w:r w:rsidRPr="00181B4B">
        <w:rPr>
          <w:color w:val="auto"/>
        </w:rPr>
        <w:t>Regulatory process</w:t>
      </w:r>
      <w:bookmarkEnd w:id="11"/>
    </w:p>
    <w:p w14:paraId="7FC8EEC6" w14:textId="77777777" w:rsidR="008D4B75" w:rsidRPr="00305EE7" w:rsidRDefault="008D4B75" w:rsidP="008D4B75">
      <w:pPr>
        <w:spacing w:after="120"/>
        <w:ind w:firstLine="720"/>
        <w:jc w:val="both"/>
        <w:rPr>
          <w:rFonts w:ascii="Verdana" w:hAnsi="Verdana"/>
          <w:i/>
          <w:sz w:val="20"/>
          <w:szCs w:val="20"/>
          <w:lang w:eastAsia="en-GB"/>
        </w:rPr>
      </w:pPr>
      <w:r>
        <w:rPr>
          <w:rFonts w:ascii="Verdana" w:hAnsi="Verdana"/>
          <w:i/>
          <w:sz w:val="20"/>
          <w:szCs w:val="20"/>
          <w:lang w:eastAsia="en-GB"/>
        </w:rPr>
        <w:t xml:space="preserve">a. </w:t>
      </w:r>
      <w:r w:rsidRPr="00305EE7">
        <w:rPr>
          <w:rFonts w:ascii="Verdana" w:hAnsi="Verdana"/>
          <w:i/>
          <w:sz w:val="20"/>
          <w:szCs w:val="20"/>
          <w:lang w:eastAsia="en-GB"/>
        </w:rPr>
        <w:t xml:space="preserve">CLP regulation </w:t>
      </w:r>
    </w:p>
    <w:p w14:paraId="5A7D11DF" w14:textId="27FCAB19" w:rsidR="008D4B75" w:rsidRDefault="008D4B75" w:rsidP="00ED47FC">
      <w:pPr>
        <w:spacing w:after="0" w:line="276" w:lineRule="auto"/>
        <w:jc w:val="both"/>
        <w:rPr>
          <w:rFonts w:ascii="Verdana" w:hAnsi="Verdana"/>
          <w:sz w:val="20"/>
          <w:szCs w:val="20"/>
          <w:lang w:eastAsia="en-GB"/>
        </w:rPr>
      </w:pPr>
      <w:r>
        <w:rPr>
          <w:rFonts w:ascii="Verdana" w:hAnsi="Verdana"/>
          <w:sz w:val="20"/>
          <w:szCs w:val="20"/>
          <w:lang w:eastAsia="en-GB"/>
        </w:rPr>
        <w:lastRenderedPageBreak/>
        <w:t xml:space="preserve">Carbon disulfide </w:t>
      </w:r>
      <w:r w:rsidR="005F33BB">
        <w:rPr>
          <w:rFonts w:ascii="Verdana" w:hAnsi="Verdana"/>
          <w:sz w:val="20"/>
          <w:szCs w:val="20"/>
          <w:lang w:eastAsia="en-GB"/>
        </w:rPr>
        <w:t>ha</w:t>
      </w:r>
      <w:r>
        <w:rPr>
          <w:rFonts w:ascii="Verdana" w:hAnsi="Verdana"/>
          <w:sz w:val="20"/>
          <w:szCs w:val="20"/>
          <w:lang w:eastAsia="en-GB"/>
        </w:rPr>
        <w:t>s</w:t>
      </w:r>
      <w:r w:rsidR="005F33BB">
        <w:rPr>
          <w:rFonts w:ascii="Verdana" w:hAnsi="Verdana"/>
          <w:sz w:val="20"/>
          <w:szCs w:val="20"/>
          <w:lang w:eastAsia="en-GB"/>
        </w:rPr>
        <w:t xml:space="preserve"> an harmonised</w:t>
      </w:r>
      <w:r>
        <w:rPr>
          <w:rFonts w:ascii="Verdana" w:hAnsi="Verdana"/>
          <w:sz w:val="20"/>
          <w:szCs w:val="20"/>
          <w:lang w:eastAsia="en-GB"/>
        </w:rPr>
        <w:t xml:space="preserve"> classifi</w:t>
      </w:r>
      <w:r w:rsidR="005F33BB">
        <w:rPr>
          <w:rFonts w:ascii="Verdana" w:hAnsi="Verdana"/>
          <w:sz w:val="20"/>
          <w:szCs w:val="20"/>
          <w:lang w:eastAsia="en-GB"/>
        </w:rPr>
        <w:t>cation</w:t>
      </w:r>
      <w:r>
        <w:rPr>
          <w:rFonts w:ascii="Verdana" w:hAnsi="Verdana"/>
          <w:sz w:val="20"/>
          <w:szCs w:val="20"/>
          <w:lang w:eastAsia="en-GB"/>
        </w:rPr>
        <w:t xml:space="preserve"> under regulation (EC) no. 1272/2008 on classification, labelling and packaging of substances and mixture at European level (CLP regulation). As detailed in Annex 1, carbon disulfide is classified as Flam. Liq. </w:t>
      </w:r>
      <w:r w:rsidR="005F33BB">
        <w:rPr>
          <w:rFonts w:ascii="Verdana" w:hAnsi="Verdana"/>
          <w:sz w:val="20"/>
          <w:szCs w:val="20"/>
          <w:lang w:eastAsia="en-GB"/>
        </w:rPr>
        <w:t xml:space="preserve">2, </w:t>
      </w:r>
      <w:r>
        <w:rPr>
          <w:rFonts w:ascii="Verdana" w:hAnsi="Verdana"/>
          <w:sz w:val="20"/>
          <w:szCs w:val="20"/>
          <w:lang w:eastAsia="en-GB"/>
        </w:rPr>
        <w:t>H225, Repr. 2, H361fd; Skin Irrit. 2, H315; Eye Irrit. 2; H319 and STOT RE 1**, H372 with specific concentration limit for STOT RE and reproductive toxicity</w:t>
      </w:r>
      <w:r w:rsidR="005F33BB">
        <w:rPr>
          <w:rFonts w:ascii="Verdana" w:hAnsi="Verdana"/>
          <w:sz w:val="20"/>
          <w:szCs w:val="20"/>
          <w:lang w:eastAsia="en-GB"/>
        </w:rPr>
        <w:t xml:space="preserve"> (CLP00)</w:t>
      </w:r>
      <w:r>
        <w:rPr>
          <w:rFonts w:ascii="Verdana" w:hAnsi="Verdana"/>
          <w:sz w:val="20"/>
          <w:szCs w:val="20"/>
          <w:lang w:eastAsia="en-GB"/>
        </w:rPr>
        <w:t xml:space="preserve">. </w:t>
      </w:r>
    </w:p>
    <w:p w14:paraId="0B23803E" w14:textId="77777777" w:rsidR="008D4B75" w:rsidRDefault="008D4B75" w:rsidP="00ED47FC">
      <w:pPr>
        <w:spacing w:after="0" w:line="276" w:lineRule="auto"/>
        <w:jc w:val="both"/>
        <w:rPr>
          <w:rFonts w:ascii="Verdana" w:hAnsi="Verdana"/>
          <w:sz w:val="20"/>
          <w:szCs w:val="20"/>
          <w:lang w:eastAsia="en-GB"/>
        </w:rPr>
      </w:pPr>
    </w:p>
    <w:p w14:paraId="6BFB7109" w14:textId="21449C5E" w:rsidR="008D4B75" w:rsidRDefault="008D4B75" w:rsidP="00ED47FC">
      <w:pPr>
        <w:spacing w:after="0" w:line="276" w:lineRule="auto"/>
        <w:jc w:val="both"/>
        <w:rPr>
          <w:rFonts w:ascii="Verdana" w:hAnsi="Verdana"/>
          <w:sz w:val="20"/>
          <w:szCs w:val="20"/>
          <w:lang w:eastAsia="en-GB"/>
        </w:rPr>
      </w:pPr>
      <w:r w:rsidRPr="004D5374">
        <w:rPr>
          <w:rFonts w:ascii="Verdana" w:hAnsi="Verdana"/>
          <w:sz w:val="20"/>
          <w:szCs w:val="20"/>
          <w:lang w:eastAsia="en-GB"/>
        </w:rPr>
        <w:t xml:space="preserve">In the </w:t>
      </w:r>
      <w:r w:rsidR="00AD5007">
        <w:rPr>
          <w:rFonts w:ascii="Verdana" w:hAnsi="Verdana"/>
          <w:sz w:val="20"/>
          <w:szCs w:val="20"/>
          <w:lang w:eastAsia="en-GB"/>
        </w:rPr>
        <w:t xml:space="preserve">lead </w:t>
      </w:r>
      <w:r w:rsidRPr="004D5374">
        <w:rPr>
          <w:rFonts w:ascii="Verdana" w:hAnsi="Verdana"/>
          <w:sz w:val="20"/>
          <w:szCs w:val="20"/>
          <w:lang w:eastAsia="en-GB"/>
        </w:rPr>
        <w:t>registration</w:t>
      </w:r>
      <w:r w:rsidR="00AD5007">
        <w:rPr>
          <w:rFonts w:ascii="Verdana" w:hAnsi="Verdana"/>
          <w:sz w:val="20"/>
          <w:szCs w:val="20"/>
          <w:lang w:eastAsia="en-GB"/>
        </w:rPr>
        <w:t xml:space="preserve"> dos</w:t>
      </w:r>
      <w:r w:rsidRPr="004D5374">
        <w:rPr>
          <w:rFonts w:ascii="Verdana" w:hAnsi="Verdana"/>
          <w:sz w:val="20"/>
          <w:szCs w:val="20"/>
          <w:lang w:eastAsia="en-GB"/>
        </w:rPr>
        <w:t>s</w:t>
      </w:r>
      <w:r w:rsidR="00AD5007">
        <w:rPr>
          <w:rFonts w:ascii="Verdana" w:hAnsi="Verdana"/>
          <w:sz w:val="20"/>
          <w:szCs w:val="20"/>
          <w:lang w:eastAsia="en-GB"/>
        </w:rPr>
        <w:t>ier</w:t>
      </w:r>
      <w:r w:rsidRPr="004D5374">
        <w:rPr>
          <w:rFonts w:ascii="Verdana" w:hAnsi="Verdana"/>
          <w:sz w:val="20"/>
          <w:szCs w:val="20"/>
          <w:lang w:eastAsia="en-GB"/>
        </w:rPr>
        <w:t xml:space="preserve"> the following self-classifications are proposed in addition to the current harmonised classification: Acute Tox. 4, H332</w:t>
      </w:r>
      <w:r>
        <w:rPr>
          <w:rFonts w:ascii="Verdana" w:hAnsi="Verdana"/>
          <w:sz w:val="20"/>
          <w:szCs w:val="20"/>
          <w:lang w:eastAsia="en-GB"/>
        </w:rPr>
        <w:t xml:space="preserve"> and </w:t>
      </w:r>
      <w:r w:rsidRPr="004D5374">
        <w:rPr>
          <w:rFonts w:ascii="Verdana" w:hAnsi="Verdana"/>
          <w:sz w:val="20"/>
          <w:szCs w:val="20"/>
          <w:lang w:eastAsia="en-GB"/>
        </w:rPr>
        <w:t>STOT RE 1, H372 (</w:t>
      </w:r>
      <w:r w:rsidR="00617EE5">
        <w:rPr>
          <w:rFonts w:ascii="Verdana" w:hAnsi="Verdana"/>
          <w:sz w:val="20"/>
          <w:szCs w:val="20"/>
          <w:lang w:eastAsia="en-GB"/>
        </w:rPr>
        <w:t>c</w:t>
      </w:r>
      <w:r w:rsidRPr="004D5374">
        <w:rPr>
          <w:rFonts w:ascii="Verdana" w:hAnsi="Verdana"/>
          <w:sz w:val="20"/>
          <w:szCs w:val="20"/>
          <w:lang w:eastAsia="en-GB"/>
        </w:rPr>
        <w:t>ardiovascular system, eye, nervous system)</w:t>
      </w:r>
      <w:r>
        <w:rPr>
          <w:rFonts w:ascii="Verdana" w:hAnsi="Verdana"/>
          <w:sz w:val="20"/>
          <w:szCs w:val="20"/>
          <w:lang w:eastAsia="en-GB"/>
        </w:rPr>
        <w:t>.</w:t>
      </w:r>
    </w:p>
    <w:p w14:paraId="282C4E0C" w14:textId="77777777" w:rsidR="008D4B75" w:rsidRDefault="008D4B75" w:rsidP="00ED47FC">
      <w:pPr>
        <w:spacing w:after="0" w:line="276" w:lineRule="auto"/>
        <w:jc w:val="both"/>
        <w:rPr>
          <w:rFonts w:ascii="Verdana" w:hAnsi="Verdana"/>
          <w:sz w:val="20"/>
          <w:szCs w:val="20"/>
          <w:lang w:eastAsia="en-GB"/>
        </w:rPr>
      </w:pPr>
    </w:p>
    <w:p w14:paraId="46BAEBDD" w14:textId="7BFC1BAA" w:rsidR="008D4B75" w:rsidRPr="00EC71AB" w:rsidRDefault="008D4B75" w:rsidP="00ED47FC">
      <w:pPr>
        <w:spacing w:after="0" w:line="276" w:lineRule="auto"/>
        <w:jc w:val="both"/>
        <w:rPr>
          <w:rFonts w:ascii="Verdana" w:hAnsi="Verdana"/>
          <w:sz w:val="20"/>
          <w:szCs w:val="20"/>
          <w:lang w:val="en-US" w:eastAsia="en-GB"/>
        </w:rPr>
      </w:pPr>
      <w:r>
        <w:rPr>
          <w:rFonts w:ascii="Verdana" w:hAnsi="Verdana"/>
          <w:sz w:val="20"/>
          <w:szCs w:val="20"/>
          <w:lang w:val="en-US" w:eastAsia="en-GB"/>
        </w:rPr>
        <w:t>Manufacturers and importers are obliged to notify the classification and labelling of their substances which are placed on the market. There is</w:t>
      </w:r>
      <w:r w:rsidRPr="00EC71AB">
        <w:rPr>
          <w:rFonts w:ascii="Verdana" w:hAnsi="Verdana"/>
          <w:sz w:val="20"/>
          <w:szCs w:val="20"/>
          <w:lang w:val="en-US" w:eastAsia="en-GB"/>
        </w:rPr>
        <w:t xml:space="preserve"> </w:t>
      </w:r>
      <w:r w:rsidR="0008751D">
        <w:rPr>
          <w:rFonts w:ascii="Verdana" w:hAnsi="Verdana"/>
          <w:sz w:val="20"/>
          <w:szCs w:val="20"/>
          <w:lang w:val="en-US" w:eastAsia="en-GB"/>
        </w:rPr>
        <w:t>a high number of notifications</w:t>
      </w:r>
      <w:r>
        <w:rPr>
          <w:rFonts w:ascii="Verdana" w:hAnsi="Verdana"/>
          <w:sz w:val="20"/>
          <w:szCs w:val="20"/>
          <w:lang w:val="en-US" w:eastAsia="en-GB"/>
        </w:rPr>
        <w:t xml:space="preserve"> in the ECHA inventory with </w:t>
      </w:r>
      <w:r w:rsidRPr="00EC71AB">
        <w:rPr>
          <w:rFonts w:ascii="Verdana" w:hAnsi="Verdana"/>
          <w:sz w:val="20"/>
          <w:szCs w:val="20"/>
          <w:lang w:val="en-US" w:eastAsia="en-GB"/>
        </w:rPr>
        <w:t xml:space="preserve">955 notified classification and labelling according to the </w:t>
      </w:r>
      <w:r>
        <w:rPr>
          <w:rFonts w:ascii="Verdana" w:hAnsi="Verdana"/>
          <w:sz w:val="20"/>
          <w:szCs w:val="20"/>
          <w:lang w:val="en-US" w:eastAsia="en-GB"/>
        </w:rPr>
        <w:t>CLP criteria (ECHA inventory database, consulted in June 28, 2022). No additional human health hazards are notified.</w:t>
      </w:r>
      <w:r w:rsidRPr="00EC71AB">
        <w:rPr>
          <w:rFonts w:ascii="Verdana" w:hAnsi="Verdana"/>
          <w:sz w:val="20"/>
          <w:szCs w:val="20"/>
          <w:lang w:val="en-US" w:eastAsia="en-GB"/>
        </w:rPr>
        <w:t xml:space="preserve"> </w:t>
      </w:r>
    </w:p>
    <w:p w14:paraId="0BF75E65" w14:textId="77777777" w:rsidR="008D4B75" w:rsidRPr="00EC71AB" w:rsidRDefault="008D4B75" w:rsidP="00ED47FC">
      <w:pPr>
        <w:spacing w:after="0" w:line="276" w:lineRule="auto"/>
        <w:jc w:val="both"/>
        <w:rPr>
          <w:rFonts w:ascii="Verdana" w:hAnsi="Verdana"/>
          <w:sz w:val="20"/>
          <w:szCs w:val="20"/>
          <w:lang w:val="en-US" w:eastAsia="en-GB"/>
        </w:rPr>
      </w:pPr>
    </w:p>
    <w:p w14:paraId="5D5D52E4" w14:textId="1FCDA205" w:rsidR="008D4B75" w:rsidRPr="00DD227E" w:rsidRDefault="00917E2A" w:rsidP="00673013">
      <w:pPr>
        <w:spacing w:after="0"/>
        <w:jc w:val="both"/>
        <w:rPr>
          <w:lang w:eastAsia="en-GB"/>
        </w:rPr>
      </w:pPr>
      <w:r>
        <w:rPr>
          <w:rStyle w:val="markedcontent"/>
          <w:rFonts w:ascii="Verdana" w:hAnsi="Verdana"/>
          <w:sz w:val="20"/>
          <w:szCs w:val="20"/>
        </w:rPr>
        <w:t>B</w:t>
      </w:r>
      <w:r w:rsidR="00D17268">
        <w:rPr>
          <w:rStyle w:val="markedcontent"/>
          <w:rFonts w:ascii="Verdana" w:hAnsi="Verdana"/>
          <w:sz w:val="20"/>
          <w:szCs w:val="20"/>
        </w:rPr>
        <w:t>ased on its classification,</w:t>
      </w:r>
      <w:r w:rsidR="008D4B75">
        <w:rPr>
          <w:rStyle w:val="markedcontent"/>
          <w:rFonts w:ascii="Verdana" w:hAnsi="Verdana"/>
          <w:sz w:val="20"/>
          <w:szCs w:val="20"/>
        </w:rPr>
        <w:t xml:space="preserve"> carbon disulfide may be</w:t>
      </w:r>
      <w:r w:rsidR="008D4B75" w:rsidRPr="00F26410">
        <w:rPr>
          <w:rStyle w:val="markedcontent"/>
          <w:rFonts w:ascii="Verdana" w:hAnsi="Verdana"/>
          <w:sz w:val="20"/>
          <w:szCs w:val="20"/>
        </w:rPr>
        <w:t xml:space="preserve"> concerned </w:t>
      </w:r>
      <w:r w:rsidR="008D4B75">
        <w:rPr>
          <w:rStyle w:val="markedcontent"/>
          <w:rFonts w:ascii="Verdana" w:hAnsi="Verdana"/>
          <w:sz w:val="20"/>
          <w:szCs w:val="20"/>
        </w:rPr>
        <w:t xml:space="preserve">by other regulations due to </w:t>
      </w:r>
      <w:r w:rsidR="008D4B75" w:rsidRPr="00DD227E">
        <w:rPr>
          <w:rStyle w:val="markedcontent"/>
          <w:rFonts w:ascii="Verdana" w:hAnsi="Verdana"/>
          <w:sz w:val="20"/>
          <w:szCs w:val="20"/>
        </w:rPr>
        <w:t>its presence in the Annex</w:t>
      </w:r>
      <w:r w:rsidR="008D4B75">
        <w:rPr>
          <w:rStyle w:val="markedcontent"/>
          <w:rFonts w:ascii="Verdana" w:hAnsi="Verdana"/>
          <w:sz w:val="20"/>
          <w:szCs w:val="20"/>
        </w:rPr>
        <w:t xml:space="preserve"> VI of the CLP regulation</w:t>
      </w:r>
      <w:r w:rsidR="00D17268">
        <w:rPr>
          <w:rStyle w:val="markedcontent"/>
          <w:rFonts w:ascii="Verdana" w:hAnsi="Verdana"/>
          <w:sz w:val="20"/>
          <w:szCs w:val="20"/>
        </w:rPr>
        <w:t xml:space="preserve"> (ECHA</w:t>
      </w:r>
      <w:r w:rsidR="009D2827">
        <w:rPr>
          <w:rStyle w:val="markedcontent"/>
          <w:rFonts w:ascii="Verdana" w:hAnsi="Verdana"/>
          <w:sz w:val="20"/>
          <w:szCs w:val="20"/>
        </w:rPr>
        <w:t xml:space="preserve"> disseminated database</w:t>
      </w:r>
      <w:r w:rsidR="00D17268">
        <w:rPr>
          <w:rFonts w:ascii="Verdana" w:hAnsi="Verdana"/>
          <w:sz w:val="20"/>
          <w:szCs w:val="20"/>
          <w:lang w:val="en-US" w:eastAsia="en-GB"/>
        </w:rPr>
        <w:t>, consulted in July 26, 2022)</w:t>
      </w:r>
      <w:r w:rsidR="008D4B75">
        <w:rPr>
          <w:rStyle w:val="markedcontent"/>
          <w:rFonts w:ascii="Verdana" w:hAnsi="Verdana"/>
          <w:sz w:val="20"/>
          <w:szCs w:val="20"/>
        </w:rPr>
        <w:t>:</w:t>
      </w:r>
    </w:p>
    <w:p w14:paraId="6041EA9D" w14:textId="5F46BF33" w:rsidR="008D4B75" w:rsidRDefault="008D4B75" w:rsidP="002D0738">
      <w:pPr>
        <w:pStyle w:val="Corpsdetexte"/>
        <w:numPr>
          <w:ilvl w:val="0"/>
          <w:numId w:val="9"/>
        </w:numPr>
        <w:spacing w:after="0" w:line="276" w:lineRule="auto"/>
        <w:jc w:val="both"/>
        <w:rPr>
          <w:rFonts w:ascii="Verdana" w:hAnsi="Verdana"/>
          <w:sz w:val="20"/>
          <w:szCs w:val="20"/>
          <w:lang w:eastAsia="en-GB"/>
        </w:rPr>
      </w:pPr>
      <w:r w:rsidRPr="00DA2BD1">
        <w:rPr>
          <w:rFonts w:ascii="Verdana" w:hAnsi="Verdana"/>
          <w:sz w:val="20"/>
          <w:szCs w:val="20"/>
          <w:lang w:eastAsia="en-GB"/>
        </w:rPr>
        <w:t xml:space="preserve">Directive </w:t>
      </w:r>
      <w:r w:rsidR="00EE1CD4">
        <w:rPr>
          <w:rFonts w:ascii="Verdana" w:hAnsi="Verdana"/>
          <w:sz w:val="20"/>
          <w:szCs w:val="20"/>
          <w:lang w:eastAsia="en-GB"/>
        </w:rPr>
        <w:t xml:space="preserve">Chemical Agent Directive </w:t>
      </w:r>
      <w:r w:rsidRPr="00DA2BD1">
        <w:rPr>
          <w:rFonts w:ascii="Verdana" w:hAnsi="Verdana"/>
          <w:sz w:val="20"/>
          <w:szCs w:val="20"/>
          <w:lang w:eastAsia="en-GB"/>
        </w:rPr>
        <w:t>“CAD” (directive 98/24/EC on the protection of the health and safety of workers from the risk related to chemical agents at work</w:t>
      </w:r>
      <w:r>
        <w:rPr>
          <w:rFonts w:ascii="Verdana" w:hAnsi="Verdana"/>
          <w:sz w:val="20"/>
          <w:szCs w:val="20"/>
          <w:lang w:eastAsia="en-GB"/>
        </w:rPr>
        <w:t>),</w:t>
      </w:r>
    </w:p>
    <w:p w14:paraId="5BD2778E" w14:textId="77777777" w:rsidR="008D4B75" w:rsidRPr="00DA2BD1" w:rsidRDefault="008D4B75" w:rsidP="00ED47FC">
      <w:pPr>
        <w:pStyle w:val="Corpsdetexte"/>
        <w:numPr>
          <w:ilvl w:val="0"/>
          <w:numId w:val="9"/>
        </w:numPr>
        <w:spacing w:after="0" w:line="276" w:lineRule="auto"/>
        <w:jc w:val="both"/>
        <w:rPr>
          <w:rFonts w:ascii="Verdana" w:hAnsi="Verdana"/>
          <w:sz w:val="20"/>
          <w:szCs w:val="20"/>
          <w:lang w:eastAsia="en-GB"/>
        </w:rPr>
      </w:pPr>
      <w:r w:rsidRPr="00DA2BD1">
        <w:rPr>
          <w:rFonts w:ascii="Verdana" w:hAnsi="Verdana"/>
          <w:sz w:val="20"/>
          <w:szCs w:val="20"/>
          <w:lang w:eastAsia="en-GB"/>
        </w:rPr>
        <w:t>Active implantable medical device directive</w:t>
      </w:r>
      <w:r>
        <w:rPr>
          <w:rFonts w:ascii="Verdana" w:hAnsi="Verdana"/>
          <w:sz w:val="20"/>
          <w:szCs w:val="20"/>
          <w:lang w:eastAsia="en-GB"/>
        </w:rPr>
        <w:t>,</w:t>
      </w:r>
    </w:p>
    <w:p w14:paraId="3441595B" w14:textId="5DB9D476" w:rsidR="008D4B75" w:rsidRPr="00DD227E" w:rsidRDefault="008D4B75" w:rsidP="00ED47FC">
      <w:pPr>
        <w:pStyle w:val="Paragraphedeliste"/>
        <w:numPr>
          <w:ilvl w:val="0"/>
          <w:numId w:val="9"/>
        </w:numPr>
        <w:spacing w:after="0" w:line="276" w:lineRule="auto"/>
        <w:rPr>
          <w:rFonts w:ascii="Verdana" w:hAnsi="Verdana"/>
          <w:sz w:val="20"/>
          <w:szCs w:val="20"/>
          <w:lang w:val="fr-FR" w:eastAsia="en-GB"/>
        </w:rPr>
      </w:pPr>
      <w:r>
        <w:rPr>
          <w:rFonts w:ascii="Verdana" w:hAnsi="Verdana"/>
          <w:sz w:val="20"/>
          <w:szCs w:val="20"/>
          <w:lang w:val="fr-FR" w:eastAsia="en-GB"/>
        </w:rPr>
        <w:t>A</w:t>
      </w:r>
      <w:r w:rsidRPr="00DD227E">
        <w:rPr>
          <w:rFonts w:ascii="Verdana" w:hAnsi="Verdana"/>
          <w:sz w:val="20"/>
          <w:szCs w:val="20"/>
          <w:lang w:val="fr-FR" w:eastAsia="en-GB"/>
        </w:rPr>
        <w:t>erosol dispensers directive</w:t>
      </w:r>
      <w:r>
        <w:rPr>
          <w:rFonts w:ascii="Verdana" w:hAnsi="Verdana"/>
          <w:sz w:val="20"/>
          <w:szCs w:val="20"/>
          <w:lang w:val="fr-FR" w:eastAsia="en-GB"/>
        </w:rPr>
        <w:t>,</w:t>
      </w:r>
    </w:p>
    <w:p w14:paraId="4A0DB892"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Pr>
          <w:rFonts w:ascii="Verdana" w:hAnsi="Verdana"/>
          <w:sz w:val="20"/>
          <w:szCs w:val="20"/>
          <w:lang w:eastAsia="en-GB"/>
        </w:rPr>
        <w:t>Co</w:t>
      </w:r>
      <w:r w:rsidRPr="00DD227E">
        <w:rPr>
          <w:rFonts w:ascii="Verdana" w:hAnsi="Verdana"/>
          <w:sz w:val="20"/>
          <w:szCs w:val="20"/>
          <w:lang w:eastAsia="en-GB"/>
        </w:rPr>
        <w:t>nstruction product regulation</w:t>
      </w:r>
      <w:r>
        <w:rPr>
          <w:rFonts w:ascii="Verdana" w:hAnsi="Verdana"/>
          <w:sz w:val="20"/>
          <w:szCs w:val="20"/>
          <w:lang w:eastAsia="en-GB"/>
        </w:rPr>
        <w:t>,</w:t>
      </w:r>
    </w:p>
    <w:p w14:paraId="2E47596B"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Food contact material: not allowed for use</w:t>
      </w:r>
      <w:r>
        <w:rPr>
          <w:rFonts w:ascii="Verdana" w:hAnsi="Verdana"/>
          <w:sz w:val="20"/>
          <w:szCs w:val="20"/>
          <w:lang w:eastAsia="en-GB"/>
        </w:rPr>
        <w:t>,</w:t>
      </w:r>
    </w:p>
    <w:p w14:paraId="023E2090" w14:textId="77777777" w:rsidR="008D4B75" w:rsidRPr="00DD227E" w:rsidRDefault="008D4B75" w:rsidP="00ED47FC">
      <w:pPr>
        <w:pStyle w:val="Paragraphedeliste"/>
        <w:numPr>
          <w:ilvl w:val="0"/>
          <w:numId w:val="8"/>
        </w:numPr>
        <w:spacing w:after="0" w:line="276" w:lineRule="auto"/>
        <w:rPr>
          <w:rFonts w:ascii="Verdana" w:hAnsi="Verdana"/>
          <w:sz w:val="20"/>
          <w:szCs w:val="20"/>
          <w:lang w:eastAsia="en-GB"/>
        </w:rPr>
      </w:pPr>
      <w:r>
        <w:rPr>
          <w:rFonts w:ascii="Verdana" w:hAnsi="Verdana"/>
          <w:sz w:val="20"/>
          <w:szCs w:val="20"/>
          <w:lang w:eastAsia="en-GB"/>
        </w:rPr>
        <w:t>E</w:t>
      </w:r>
      <w:r w:rsidRPr="00DD227E">
        <w:rPr>
          <w:rFonts w:ascii="Verdana" w:hAnsi="Verdana"/>
          <w:sz w:val="20"/>
          <w:szCs w:val="20"/>
          <w:lang w:eastAsia="en-GB"/>
        </w:rPr>
        <w:t>nd of life vehicle directive</w:t>
      </w:r>
      <w:r>
        <w:rPr>
          <w:rFonts w:ascii="Verdana" w:hAnsi="Verdana"/>
          <w:sz w:val="20"/>
          <w:szCs w:val="20"/>
          <w:lang w:eastAsia="en-GB"/>
        </w:rPr>
        <w:t>,</w:t>
      </w:r>
    </w:p>
    <w:p w14:paraId="2473DAC1"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EU ecolabel regulation</w:t>
      </w:r>
      <w:r>
        <w:rPr>
          <w:rFonts w:ascii="Verdana" w:hAnsi="Verdana"/>
          <w:sz w:val="20"/>
          <w:szCs w:val="20"/>
          <w:lang w:eastAsia="en-GB"/>
        </w:rPr>
        <w:t>,</w:t>
      </w:r>
    </w:p>
    <w:p w14:paraId="0B9BD890"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 xml:space="preserve">General product safety directive, medical device, </w:t>
      </w:r>
    </w:p>
    <w:p w14:paraId="6298878F"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Marine environmental policy framework directive</w:t>
      </w:r>
      <w:r>
        <w:rPr>
          <w:rFonts w:ascii="Verdana" w:hAnsi="Verdana"/>
          <w:sz w:val="20"/>
          <w:szCs w:val="20"/>
          <w:lang w:eastAsia="en-GB"/>
        </w:rPr>
        <w:t>,</w:t>
      </w:r>
    </w:p>
    <w:p w14:paraId="4F337769"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Protection of Pregnant and Breastfeeding Workers Directive</w:t>
      </w:r>
      <w:r>
        <w:rPr>
          <w:rFonts w:ascii="Verdana" w:hAnsi="Verdana"/>
          <w:sz w:val="20"/>
          <w:szCs w:val="20"/>
          <w:lang w:eastAsia="en-GB"/>
        </w:rPr>
        <w:t>,</w:t>
      </w:r>
    </w:p>
    <w:p w14:paraId="0478E046"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Pressure Equipment Directive</w:t>
      </w:r>
      <w:r>
        <w:rPr>
          <w:rFonts w:ascii="Verdana" w:hAnsi="Verdana"/>
          <w:sz w:val="20"/>
          <w:szCs w:val="20"/>
          <w:lang w:eastAsia="en-GB"/>
        </w:rPr>
        <w:t>,</w:t>
      </w:r>
    </w:p>
    <w:p w14:paraId="2C408AD6"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Protection of Young People Directive</w:t>
      </w:r>
      <w:r>
        <w:rPr>
          <w:rFonts w:ascii="Verdana" w:hAnsi="Verdana"/>
          <w:sz w:val="20"/>
          <w:szCs w:val="20"/>
          <w:lang w:eastAsia="en-GB"/>
        </w:rPr>
        <w:t>,</w:t>
      </w:r>
    </w:p>
    <w:p w14:paraId="431B106E"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Safety and Health of Workers at Work Directive</w:t>
      </w:r>
      <w:r>
        <w:rPr>
          <w:rFonts w:ascii="Verdana" w:hAnsi="Verdana"/>
          <w:sz w:val="20"/>
          <w:szCs w:val="20"/>
          <w:lang w:eastAsia="en-GB"/>
        </w:rPr>
        <w:t>,</w:t>
      </w:r>
    </w:p>
    <w:p w14:paraId="005219E4"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Safety and/or Health Signs at Work Directive</w:t>
      </w:r>
      <w:r>
        <w:rPr>
          <w:rFonts w:ascii="Verdana" w:hAnsi="Verdana"/>
          <w:sz w:val="20"/>
          <w:szCs w:val="20"/>
          <w:lang w:eastAsia="en-GB"/>
        </w:rPr>
        <w:t>,</w:t>
      </w:r>
    </w:p>
    <w:p w14:paraId="68B7EFB5" w14:textId="77777777" w:rsidR="008D4B75" w:rsidRPr="00DD227E" w:rsidRDefault="008D4B75" w:rsidP="00ED47FC">
      <w:pPr>
        <w:pStyle w:val="Paragraphedeliste"/>
        <w:numPr>
          <w:ilvl w:val="0"/>
          <w:numId w:val="9"/>
        </w:numPr>
        <w:spacing w:after="0" w:line="276" w:lineRule="auto"/>
        <w:rPr>
          <w:rFonts w:ascii="Verdana" w:hAnsi="Verdana"/>
          <w:sz w:val="20"/>
          <w:szCs w:val="20"/>
          <w:lang w:eastAsia="en-GB"/>
        </w:rPr>
      </w:pPr>
      <w:r w:rsidRPr="00DD227E">
        <w:rPr>
          <w:rFonts w:ascii="Verdana" w:hAnsi="Verdana"/>
          <w:sz w:val="20"/>
          <w:szCs w:val="20"/>
          <w:lang w:eastAsia="en-GB"/>
        </w:rPr>
        <w:t>Waste Framework Directive</w:t>
      </w:r>
      <w:r>
        <w:rPr>
          <w:rFonts w:ascii="Verdana" w:hAnsi="Verdana"/>
          <w:sz w:val="20"/>
          <w:szCs w:val="20"/>
          <w:lang w:eastAsia="en-GB"/>
        </w:rPr>
        <w:t>.</w:t>
      </w:r>
    </w:p>
    <w:p w14:paraId="2E35C2D3" w14:textId="0E903503" w:rsidR="00EB6E1B" w:rsidRDefault="00EB6E1B" w:rsidP="00ED47FC">
      <w:pPr>
        <w:spacing w:after="0" w:line="276" w:lineRule="auto"/>
        <w:jc w:val="both"/>
        <w:rPr>
          <w:rFonts w:ascii="Verdana" w:hAnsi="Verdana"/>
          <w:sz w:val="20"/>
          <w:szCs w:val="20"/>
          <w:lang w:eastAsia="en-GB"/>
        </w:rPr>
      </w:pPr>
    </w:p>
    <w:p w14:paraId="3CE15EC0" w14:textId="3D7E4B93" w:rsidR="008D4B75" w:rsidRPr="002650CE" w:rsidRDefault="008D4B75" w:rsidP="00ED47FC">
      <w:pPr>
        <w:spacing w:after="0" w:line="276" w:lineRule="auto"/>
        <w:ind w:firstLine="720"/>
        <w:jc w:val="both"/>
        <w:rPr>
          <w:rFonts w:ascii="Verdana" w:hAnsi="Verdana"/>
          <w:i/>
          <w:sz w:val="20"/>
          <w:szCs w:val="20"/>
          <w:lang w:eastAsia="en-GB"/>
        </w:rPr>
      </w:pPr>
      <w:r w:rsidRPr="002650CE">
        <w:rPr>
          <w:rFonts w:ascii="Verdana" w:hAnsi="Verdana"/>
          <w:i/>
          <w:sz w:val="20"/>
          <w:szCs w:val="20"/>
          <w:lang w:eastAsia="en-GB"/>
        </w:rPr>
        <w:t>b. Chemical Agents Directive</w:t>
      </w:r>
      <w:r>
        <w:rPr>
          <w:rFonts w:ascii="Verdana" w:hAnsi="Verdana"/>
          <w:i/>
          <w:sz w:val="20"/>
          <w:szCs w:val="20"/>
          <w:lang w:eastAsia="en-GB"/>
        </w:rPr>
        <w:t xml:space="preserve"> (CAD) and carcinogens,</w:t>
      </w:r>
      <w:r w:rsidRPr="002650CE">
        <w:rPr>
          <w:rFonts w:ascii="Verdana" w:hAnsi="Verdana"/>
          <w:i/>
          <w:sz w:val="20"/>
          <w:szCs w:val="20"/>
          <w:lang w:eastAsia="en-GB"/>
        </w:rPr>
        <w:t xml:space="preserve"> mutagens </w:t>
      </w:r>
      <w:r>
        <w:rPr>
          <w:rFonts w:ascii="Verdana" w:hAnsi="Verdana"/>
          <w:i/>
          <w:sz w:val="20"/>
          <w:szCs w:val="20"/>
          <w:lang w:eastAsia="en-GB"/>
        </w:rPr>
        <w:t xml:space="preserve">or reprotoxic substance </w:t>
      </w:r>
      <w:r w:rsidRPr="002650CE">
        <w:rPr>
          <w:rFonts w:ascii="Verdana" w:hAnsi="Verdana"/>
          <w:i/>
          <w:sz w:val="20"/>
          <w:szCs w:val="20"/>
          <w:lang w:eastAsia="en-GB"/>
        </w:rPr>
        <w:t>directive</w:t>
      </w:r>
      <w:r w:rsidR="00EE1CD4">
        <w:rPr>
          <w:rFonts w:ascii="Verdana" w:hAnsi="Verdana"/>
          <w:i/>
          <w:sz w:val="20"/>
          <w:szCs w:val="20"/>
          <w:lang w:eastAsia="en-GB"/>
        </w:rPr>
        <w:t xml:space="preserve"> (</w:t>
      </w:r>
      <w:r w:rsidR="00D17268">
        <w:rPr>
          <w:rFonts w:ascii="Verdana" w:hAnsi="Verdana"/>
          <w:i/>
          <w:sz w:val="20"/>
          <w:szCs w:val="20"/>
          <w:lang w:eastAsia="en-GB"/>
        </w:rPr>
        <w:t>CMRD</w:t>
      </w:r>
      <w:r w:rsidR="00EE1CD4">
        <w:rPr>
          <w:rFonts w:ascii="Verdana" w:hAnsi="Verdana"/>
          <w:i/>
          <w:sz w:val="20"/>
          <w:szCs w:val="20"/>
          <w:lang w:eastAsia="en-GB"/>
        </w:rPr>
        <w:t>)</w:t>
      </w:r>
    </w:p>
    <w:p w14:paraId="2CFCC9A3" w14:textId="77777777" w:rsidR="008D4B75" w:rsidRPr="004D5374" w:rsidRDefault="008D4B75" w:rsidP="00ED47FC">
      <w:pPr>
        <w:spacing w:after="0" w:line="276" w:lineRule="auto"/>
        <w:jc w:val="both"/>
        <w:rPr>
          <w:rFonts w:ascii="Verdana" w:hAnsi="Verdana"/>
          <w:sz w:val="20"/>
          <w:szCs w:val="20"/>
          <w:lang w:eastAsia="en-GB"/>
        </w:rPr>
      </w:pPr>
    </w:p>
    <w:p w14:paraId="1C424C5D" w14:textId="27003271" w:rsidR="00D81DC2" w:rsidRPr="00D81DC2" w:rsidRDefault="00D81DC2" w:rsidP="00ED47FC">
      <w:pPr>
        <w:spacing w:line="276" w:lineRule="auto"/>
        <w:jc w:val="both"/>
        <w:rPr>
          <w:rFonts w:ascii="Verdana" w:hAnsi="Verdana"/>
          <w:sz w:val="20"/>
          <w:szCs w:val="20"/>
          <w:lang w:eastAsia="en-GB"/>
        </w:rPr>
      </w:pPr>
      <w:r w:rsidRPr="00D81DC2">
        <w:rPr>
          <w:rFonts w:ascii="Verdana" w:hAnsi="Verdana"/>
          <w:sz w:val="20"/>
          <w:szCs w:val="20"/>
          <w:lang w:eastAsia="en-GB"/>
        </w:rPr>
        <w:t>Occupational exposure limit (OEL) values are adopted under two legal frameworks for protecting the health of workers: the chemical agent directive (</w:t>
      </w:r>
      <w:r>
        <w:rPr>
          <w:rFonts w:ascii="Verdana" w:hAnsi="Verdana"/>
          <w:sz w:val="20"/>
          <w:szCs w:val="20"/>
          <w:lang w:eastAsia="en-GB"/>
        </w:rPr>
        <w:t>Directive 98/24 EC, CAD) and the carcinogen, mutagen or reprotoxic directive (Directive 2004/37/EC, CMRD).</w:t>
      </w:r>
    </w:p>
    <w:p w14:paraId="436B312B" w14:textId="5F13E555" w:rsidR="004539AE" w:rsidRPr="009B1DF5" w:rsidRDefault="004539AE" w:rsidP="00ED47FC">
      <w:pPr>
        <w:spacing w:line="276" w:lineRule="auto"/>
        <w:jc w:val="both"/>
        <w:rPr>
          <w:rFonts w:ascii="Verdana" w:hAnsi="Verdana"/>
          <w:sz w:val="20"/>
          <w:szCs w:val="20"/>
          <w:lang w:eastAsia="en-GB"/>
        </w:rPr>
      </w:pPr>
      <w:r>
        <w:rPr>
          <w:rFonts w:ascii="Verdana" w:hAnsi="Verdana"/>
          <w:sz w:val="20"/>
          <w:szCs w:val="20"/>
          <w:lang w:eastAsia="en-GB"/>
        </w:rPr>
        <w:lastRenderedPageBreak/>
        <w:t>D</w:t>
      </w:r>
      <w:r w:rsidRPr="00C81B06">
        <w:rPr>
          <w:rFonts w:ascii="Verdana" w:hAnsi="Verdana"/>
          <w:sz w:val="20"/>
          <w:szCs w:val="20"/>
          <w:lang w:eastAsia="en-GB"/>
        </w:rPr>
        <w:t xml:space="preserve">irective 2004/37/EC </w:t>
      </w:r>
      <w:r>
        <w:rPr>
          <w:rFonts w:ascii="Verdana" w:hAnsi="Verdana"/>
          <w:sz w:val="20"/>
          <w:szCs w:val="20"/>
          <w:lang w:eastAsia="en-GB"/>
        </w:rPr>
        <w:t>(CMRD)</w:t>
      </w:r>
      <w:r w:rsidRPr="00B6566E">
        <w:rPr>
          <w:sz w:val="20"/>
          <w:vertAlign w:val="superscript"/>
        </w:rPr>
        <w:footnoteReference w:id="3"/>
      </w:r>
      <w:r w:rsidRPr="00B6566E">
        <w:rPr>
          <w:rFonts w:ascii="Verdana" w:hAnsi="Verdana"/>
          <w:sz w:val="20"/>
          <w:szCs w:val="20"/>
          <w:vertAlign w:val="superscript"/>
          <w:lang w:eastAsia="en-GB"/>
        </w:rPr>
        <w:t xml:space="preserve"> </w:t>
      </w:r>
      <w:r w:rsidRPr="00C81B06">
        <w:rPr>
          <w:rFonts w:ascii="Verdana" w:hAnsi="Verdana"/>
          <w:sz w:val="20"/>
          <w:szCs w:val="20"/>
          <w:lang w:eastAsia="en-GB"/>
        </w:rPr>
        <w:t xml:space="preserve">on </w:t>
      </w:r>
      <w:r w:rsidRPr="00B06564">
        <w:rPr>
          <w:rFonts w:ascii="Verdana" w:hAnsi="Verdana"/>
          <w:sz w:val="20"/>
          <w:szCs w:val="20"/>
          <w:lang w:eastAsia="en-GB"/>
        </w:rPr>
        <w:t>the protection of workers from the risks relate</w:t>
      </w:r>
      <w:r>
        <w:rPr>
          <w:rFonts w:ascii="Verdana" w:hAnsi="Verdana"/>
          <w:sz w:val="20"/>
          <w:szCs w:val="20"/>
          <w:lang w:eastAsia="en-GB"/>
        </w:rPr>
        <w:t xml:space="preserve">d to exposure to carcinogens, </w:t>
      </w:r>
      <w:r w:rsidRPr="00B06564">
        <w:rPr>
          <w:rFonts w:ascii="Verdana" w:hAnsi="Verdana"/>
          <w:sz w:val="20"/>
          <w:szCs w:val="20"/>
          <w:lang w:eastAsia="en-GB"/>
        </w:rPr>
        <w:t xml:space="preserve">mutagens </w:t>
      </w:r>
      <w:r>
        <w:rPr>
          <w:rFonts w:ascii="Verdana" w:hAnsi="Verdana"/>
          <w:sz w:val="20"/>
          <w:szCs w:val="20"/>
          <w:lang w:eastAsia="en-GB"/>
        </w:rPr>
        <w:t xml:space="preserve">or reprotoxic substances </w:t>
      </w:r>
      <w:r w:rsidRPr="00B06564">
        <w:rPr>
          <w:rFonts w:ascii="Verdana" w:hAnsi="Verdana"/>
          <w:sz w:val="20"/>
          <w:szCs w:val="20"/>
          <w:lang w:eastAsia="en-GB"/>
        </w:rPr>
        <w:t>at work and in subsequent amendments</w:t>
      </w:r>
      <w:r>
        <w:rPr>
          <w:rFonts w:ascii="Verdana" w:hAnsi="Verdana"/>
          <w:sz w:val="20"/>
          <w:szCs w:val="20"/>
          <w:lang w:eastAsia="en-GB"/>
        </w:rPr>
        <w:t xml:space="preserve"> </w:t>
      </w:r>
      <w:r w:rsidRPr="009B1DF5">
        <w:rPr>
          <w:rFonts w:ascii="Verdana" w:hAnsi="Verdana"/>
          <w:sz w:val="20"/>
          <w:szCs w:val="20"/>
          <w:lang w:eastAsia="en-GB"/>
        </w:rPr>
        <w:t>applies to a substance or mixture that meets the criteria for classification as a Category 1A or 1B carcinogen, germ cell mutagen or reprotoxic substance set out in Annex I to the CLP Regulation</w:t>
      </w:r>
      <w:r w:rsidR="009B1DF5">
        <w:rPr>
          <w:rFonts w:ascii="Verdana" w:hAnsi="Verdana"/>
          <w:sz w:val="20"/>
          <w:szCs w:val="20"/>
          <w:lang w:eastAsia="en-GB"/>
        </w:rPr>
        <w:t xml:space="preserve"> (Article 2)</w:t>
      </w:r>
      <w:r w:rsidRPr="009B1DF5">
        <w:rPr>
          <w:rFonts w:ascii="Verdana" w:hAnsi="Verdana"/>
          <w:sz w:val="20"/>
          <w:szCs w:val="20"/>
          <w:lang w:eastAsia="en-GB"/>
        </w:rPr>
        <w:t>. In addition, it applies to carcinogenic substances, mixtures or processes referred to in Annex I to the Directive, as well as a substances or mixtures released by a process in that annex.</w:t>
      </w:r>
    </w:p>
    <w:p w14:paraId="78D03C8A" w14:textId="0ECB929E" w:rsidR="008D4B75" w:rsidRPr="002D0738" w:rsidRDefault="004539AE" w:rsidP="00ED47FC">
      <w:pPr>
        <w:spacing w:line="276" w:lineRule="auto"/>
        <w:jc w:val="both"/>
        <w:rPr>
          <w:rFonts w:ascii="Verdana" w:hAnsi="Verdana"/>
          <w:sz w:val="20"/>
          <w:szCs w:val="20"/>
          <w:lang w:eastAsia="en-GB"/>
        </w:rPr>
      </w:pPr>
      <w:r>
        <w:rPr>
          <w:rFonts w:ascii="Verdana" w:hAnsi="Verdana"/>
          <w:sz w:val="20"/>
          <w:szCs w:val="20"/>
          <w:lang w:eastAsia="en-GB"/>
        </w:rPr>
        <w:t>Thus, c</w:t>
      </w:r>
      <w:r w:rsidR="008D4B75" w:rsidRPr="00C81B06">
        <w:rPr>
          <w:rFonts w:ascii="Verdana" w:hAnsi="Verdana"/>
          <w:sz w:val="20"/>
          <w:szCs w:val="20"/>
          <w:lang w:eastAsia="en-GB"/>
        </w:rPr>
        <w:t xml:space="preserve">arbon disulfide is not eligible to directive </w:t>
      </w:r>
      <w:r w:rsidR="00D17268">
        <w:rPr>
          <w:rFonts w:ascii="Verdana" w:hAnsi="Verdana"/>
          <w:sz w:val="20"/>
          <w:szCs w:val="20"/>
          <w:lang w:eastAsia="en-GB"/>
        </w:rPr>
        <w:t>CMRD</w:t>
      </w:r>
      <w:r w:rsidR="0008722A">
        <w:rPr>
          <w:rFonts w:ascii="Verdana" w:hAnsi="Verdana"/>
          <w:sz w:val="20"/>
          <w:szCs w:val="20"/>
          <w:lang w:eastAsia="en-GB"/>
        </w:rPr>
        <w:t xml:space="preserve"> </w:t>
      </w:r>
      <w:r w:rsidR="008D4B75">
        <w:rPr>
          <w:rFonts w:ascii="Verdana" w:hAnsi="Verdana"/>
          <w:sz w:val="20"/>
          <w:szCs w:val="20"/>
          <w:lang w:eastAsia="en-GB"/>
        </w:rPr>
        <w:t xml:space="preserve">as the substance is not classified in category </w:t>
      </w:r>
      <w:r w:rsidR="00A12625">
        <w:rPr>
          <w:rFonts w:ascii="Verdana" w:hAnsi="Verdana"/>
          <w:sz w:val="20"/>
          <w:szCs w:val="20"/>
          <w:lang w:eastAsia="en-GB"/>
        </w:rPr>
        <w:t xml:space="preserve">1A or </w:t>
      </w:r>
      <w:r w:rsidR="008D4B75">
        <w:rPr>
          <w:rFonts w:ascii="Verdana" w:hAnsi="Verdana"/>
          <w:sz w:val="20"/>
          <w:szCs w:val="20"/>
          <w:lang w:eastAsia="en-GB"/>
        </w:rPr>
        <w:t xml:space="preserve">1B for carcinogenicity, mutagenicity or reproductive </w:t>
      </w:r>
      <w:r w:rsidR="008D4B75" w:rsidRPr="002D0738">
        <w:rPr>
          <w:rFonts w:ascii="Verdana" w:hAnsi="Verdana"/>
          <w:sz w:val="20"/>
          <w:szCs w:val="20"/>
          <w:lang w:eastAsia="en-GB"/>
        </w:rPr>
        <w:t>toxicity</w:t>
      </w:r>
      <w:r w:rsidR="009B1DF5" w:rsidRPr="002D0738">
        <w:rPr>
          <w:rFonts w:ascii="Verdana" w:hAnsi="Verdana"/>
          <w:sz w:val="20"/>
          <w:szCs w:val="20"/>
          <w:lang w:eastAsia="en-GB"/>
        </w:rPr>
        <w:t xml:space="preserve"> and is not referred in Annex I of this directive.</w:t>
      </w:r>
    </w:p>
    <w:p w14:paraId="5E0A4DE8" w14:textId="1E2AB999" w:rsidR="00A12625" w:rsidRPr="00A12625" w:rsidRDefault="00A12625" w:rsidP="00676833">
      <w:pPr>
        <w:spacing w:line="276" w:lineRule="auto"/>
        <w:jc w:val="both"/>
        <w:rPr>
          <w:rFonts w:ascii="Verdana" w:hAnsi="Verdana"/>
          <w:sz w:val="20"/>
          <w:szCs w:val="20"/>
          <w:lang w:eastAsia="en-GB"/>
        </w:rPr>
      </w:pPr>
      <w:r w:rsidRPr="002D0738">
        <w:rPr>
          <w:rFonts w:ascii="Verdana" w:hAnsi="Verdana"/>
          <w:sz w:val="20"/>
          <w:szCs w:val="20"/>
          <w:lang w:eastAsia="en-GB"/>
        </w:rPr>
        <w:t xml:space="preserve">It may be noted that in ECHA disseminated database carbon disulfide is stated to be listed in Annex I &amp; Art. 2, of CMRD, as amended by Dir (EU) 2022/431, 16 March 2022. However, as the substance is classified in category 2 for reproductive toxicity, it is not our understanding that the substance </w:t>
      </w:r>
      <w:r w:rsidR="00181341">
        <w:rPr>
          <w:rFonts w:ascii="Verdana" w:hAnsi="Verdana"/>
          <w:sz w:val="20"/>
          <w:szCs w:val="20"/>
          <w:lang w:eastAsia="en-GB"/>
        </w:rPr>
        <w:t>f</w:t>
      </w:r>
      <w:r w:rsidR="00181341" w:rsidRPr="00181341">
        <w:rPr>
          <w:rFonts w:ascii="Verdana" w:hAnsi="Verdana"/>
          <w:sz w:val="20"/>
          <w:szCs w:val="20"/>
          <w:lang w:eastAsia="en-GB"/>
        </w:rPr>
        <w:t>alls within the scope</w:t>
      </w:r>
      <w:r w:rsidR="00181341">
        <w:rPr>
          <w:rFonts w:ascii="Verdana" w:hAnsi="Verdana"/>
          <w:sz w:val="20"/>
          <w:szCs w:val="20"/>
          <w:lang w:eastAsia="en-GB"/>
        </w:rPr>
        <w:t xml:space="preserve"> of </w:t>
      </w:r>
      <w:r w:rsidRPr="002D0738">
        <w:rPr>
          <w:rFonts w:ascii="Verdana" w:hAnsi="Verdana"/>
          <w:sz w:val="20"/>
          <w:szCs w:val="20"/>
          <w:lang w:eastAsia="en-GB"/>
        </w:rPr>
        <w:t>this directive</w:t>
      </w:r>
      <w:r w:rsidR="009B1DF5" w:rsidRPr="002D0738">
        <w:rPr>
          <w:rFonts w:ascii="Verdana" w:hAnsi="Verdana"/>
          <w:sz w:val="20"/>
          <w:szCs w:val="20"/>
          <w:lang w:eastAsia="en-GB"/>
        </w:rPr>
        <w:t xml:space="preserve"> as defined in article 2</w:t>
      </w:r>
      <w:r w:rsidRPr="002D0738">
        <w:rPr>
          <w:rFonts w:ascii="Verdana" w:hAnsi="Verdana"/>
          <w:sz w:val="20"/>
          <w:szCs w:val="20"/>
          <w:lang w:eastAsia="en-GB"/>
        </w:rPr>
        <w:t>.</w:t>
      </w:r>
      <w:r w:rsidR="009B1DF5" w:rsidRPr="002D0738">
        <w:rPr>
          <w:rFonts w:ascii="Verdana" w:hAnsi="Verdana"/>
          <w:sz w:val="20"/>
          <w:szCs w:val="20"/>
          <w:lang w:eastAsia="en-GB"/>
        </w:rPr>
        <w:t xml:space="preserve"> </w:t>
      </w:r>
      <w:r w:rsidR="000E083B" w:rsidRPr="002D0738">
        <w:rPr>
          <w:rFonts w:ascii="Verdana" w:hAnsi="Verdana"/>
          <w:sz w:val="20"/>
          <w:szCs w:val="20"/>
          <w:lang w:eastAsia="en-GB"/>
        </w:rPr>
        <w:t xml:space="preserve">The substance was also not found in Annex I of this directive. </w:t>
      </w:r>
    </w:p>
    <w:p w14:paraId="67AF8187" w14:textId="0249A4DD" w:rsidR="008D4B75" w:rsidRPr="005652FF" w:rsidRDefault="008D4B75" w:rsidP="00ED47FC">
      <w:pPr>
        <w:spacing w:line="276" w:lineRule="auto"/>
        <w:jc w:val="both"/>
        <w:rPr>
          <w:rFonts w:ascii="Verdana" w:hAnsi="Verdana" w:cstheme="minorHAnsi"/>
          <w:bCs/>
          <w:sz w:val="20"/>
          <w:lang w:val="en-US"/>
        </w:rPr>
      </w:pPr>
      <w:r w:rsidRPr="00676833">
        <w:rPr>
          <w:rFonts w:ascii="Verdana" w:hAnsi="Verdana"/>
          <w:sz w:val="20"/>
          <w:szCs w:val="20"/>
          <w:lang w:eastAsia="en-GB"/>
        </w:rPr>
        <w:t xml:space="preserve">However, an indicative occupational exposure limit value (IOELV) has been set for carbon disulfide at </w:t>
      </w:r>
      <w:r w:rsidR="00EE1CD4" w:rsidRPr="00676833">
        <w:rPr>
          <w:rFonts w:ascii="Verdana" w:hAnsi="Verdana"/>
          <w:sz w:val="20"/>
          <w:szCs w:val="20"/>
          <w:lang w:eastAsia="en-GB"/>
        </w:rPr>
        <w:t xml:space="preserve">European </w:t>
      </w:r>
      <w:r w:rsidRPr="00676833">
        <w:rPr>
          <w:rFonts w:ascii="Verdana" w:hAnsi="Verdana"/>
          <w:sz w:val="20"/>
          <w:szCs w:val="20"/>
          <w:lang w:eastAsia="en-GB"/>
        </w:rPr>
        <w:t xml:space="preserve">Union level, in directive 2009/161/EU </w:t>
      </w:r>
      <w:r w:rsidR="00E14562" w:rsidRPr="00676833">
        <w:rPr>
          <w:rFonts w:ascii="Verdana" w:hAnsi="Verdana"/>
          <w:sz w:val="20"/>
          <w:szCs w:val="20"/>
          <w:lang w:eastAsia="en-GB"/>
        </w:rPr>
        <w:t>establishing a third list of IOELVs in implementation</w:t>
      </w:r>
      <w:r w:rsidR="00E14562">
        <w:rPr>
          <w:rFonts w:ascii="Verdana" w:hAnsi="Verdana" w:cstheme="minorHAnsi"/>
          <w:bCs/>
          <w:sz w:val="20"/>
          <w:lang w:val="en-US"/>
        </w:rPr>
        <w:t xml:space="preserve"> of directive 98/24/EC </w:t>
      </w:r>
      <w:r w:rsidR="00282180">
        <w:rPr>
          <w:rFonts w:ascii="Verdana" w:hAnsi="Verdana" w:cstheme="minorHAnsi"/>
          <w:bCs/>
          <w:sz w:val="20"/>
          <w:lang w:val="en-US"/>
        </w:rPr>
        <w:t>(CAD)</w:t>
      </w:r>
      <w:r w:rsidR="00282180">
        <w:rPr>
          <w:rStyle w:val="Appelnotedebasdep"/>
          <w:rFonts w:cstheme="minorHAnsi"/>
          <w:bCs/>
          <w:lang w:val="en-US"/>
        </w:rPr>
        <w:footnoteReference w:id="4"/>
      </w:r>
      <w:r w:rsidR="00282180">
        <w:rPr>
          <w:rFonts w:ascii="Verdana" w:hAnsi="Verdana" w:cstheme="minorHAnsi"/>
          <w:bCs/>
          <w:sz w:val="20"/>
          <w:lang w:val="en-US"/>
        </w:rPr>
        <w:t xml:space="preserve"> </w:t>
      </w:r>
      <w:r w:rsidRPr="005652FF">
        <w:rPr>
          <w:rFonts w:ascii="Verdana" w:hAnsi="Verdana" w:cstheme="minorHAnsi"/>
          <w:bCs/>
          <w:sz w:val="20"/>
          <w:lang w:val="en-US"/>
        </w:rPr>
        <w:t>on the protection of health and safety of workers from the risks related to chemical agents at work. IOELV</w:t>
      </w:r>
      <w:r w:rsidR="00181341">
        <w:rPr>
          <w:rFonts w:ascii="Verdana" w:hAnsi="Verdana" w:cstheme="minorHAnsi"/>
          <w:bCs/>
          <w:sz w:val="20"/>
          <w:lang w:val="en-US"/>
        </w:rPr>
        <w:t>s</w:t>
      </w:r>
      <w:r w:rsidRPr="005652FF">
        <w:rPr>
          <w:rFonts w:ascii="Verdana" w:hAnsi="Verdana" w:cstheme="minorHAnsi"/>
          <w:bCs/>
          <w:sz w:val="20"/>
          <w:lang w:val="en-US"/>
        </w:rPr>
        <w:t xml:space="preserve"> are health-based, non-binding values derived from the most recent scientific data available and the availability of measurement techniques. For carbon disulfide, a long-term exposure limit (8 hour time-weighted average (8-h TWA)) was set at 15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xml:space="preserve"> (equivalent to 5 ppm).</w:t>
      </w:r>
      <w:r>
        <w:rPr>
          <w:rFonts w:ascii="Verdana" w:hAnsi="Verdana" w:cstheme="minorHAnsi"/>
          <w:bCs/>
          <w:sz w:val="20"/>
          <w:lang w:val="en-US"/>
        </w:rPr>
        <w:t xml:space="preserve"> A skin notation</w:t>
      </w:r>
      <w:r>
        <w:rPr>
          <w:rStyle w:val="Appelnotedebasdep"/>
          <w:rFonts w:cstheme="minorHAnsi"/>
          <w:bCs/>
          <w:lang w:val="en-US"/>
        </w:rPr>
        <w:footnoteReference w:id="5"/>
      </w:r>
      <w:r>
        <w:rPr>
          <w:rFonts w:ascii="Verdana" w:hAnsi="Verdana" w:cstheme="minorHAnsi"/>
          <w:bCs/>
          <w:sz w:val="20"/>
          <w:lang w:val="en-US"/>
        </w:rPr>
        <w:t xml:space="preserve"> was also proposed.</w:t>
      </w:r>
      <w:r w:rsidRPr="001D4AC2">
        <w:rPr>
          <w:rFonts w:ascii="Verdana" w:hAnsi="Verdana"/>
          <w:sz w:val="20"/>
          <w:szCs w:val="20"/>
        </w:rPr>
        <w:t xml:space="preserve"> </w:t>
      </w:r>
      <w:r w:rsidRPr="00510DA0">
        <w:rPr>
          <w:rFonts w:ascii="Verdana" w:hAnsi="Verdana"/>
          <w:sz w:val="20"/>
          <w:szCs w:val="20"/>
        </w:rPr>
        <w:t>“Indicative” means that Member States are free to follow or not the proposed value when transposing it into national laws</w:t>
      </w:r>
      <w:r>
        <w:rPr>
          <w:rFonts w:ascii="Verdana" w:hAnsi="Verdana"/>
          <w:sz w:val="20"/>
          <w:szCs w:val="20"/>
        </w:rPr>
        <w:t>.</w:t>
      </w:r>
      <w:r w:rsidR="0047414F" w:rsidRPr="0047414F">
        <w:rPr>
          <w:rFonts w:ascii="Verdana" w:hAnsi="Verdana"/>
          <w:sz w:val="20"/>
          <w:szCs w:val="20"/>
        </w:rPr>
        <w:t xml:space="preserve"> </w:t>
      </w:r>
    </w:p>
    <w:p w14:paraId="1A81ADC6" w14:textId="688638E9" w:rsidR="008D4B75" w:rsidRPr="00386A5C" w:rsidRDefault="008D4B75" w:rsidP="00ED47FC">
      <w:pPr>
        <w:spacing w:line="276" w:lineRule="auto"/>
        <w:jc w:val="both"/>
        <w:rPr>
          <w:rFonts w:ascii="Verdana" w:hAnsi="Verdana"/>
          <w:sz w:val="20"/>
          <w:szCs w:val="20"/>
        </w:rPr>
      </w:pPr>
      <w:r w:rsidRPr="00386A5C">
        <w:rPr>
          <w:rFonts w:ascii="Verdana" w:hAnsi="Verdana"/>
          <w:sz w:val="20"/>
          <w:szCs w:val="20"/>
        </w:rPr>
        <w:t xml:space="preserve">The table below gives an overview of the OELs set at national levels available in the Gestis database in EU (consulted in May 2022). </w:t>
      </w:r>
      <w:r w:rsidR="006202E2">
        <w:rPr>
          <w:rFonts w:ascii="Verdana" w:hAnsi="Verdana"/>
          <w:sz w:val="20"/>
          <w:szCs w:val="20"/>
        </w:rPr>
        <w:t>In the database, there is no information on the basis of the OEL derivation.</w:t>
      </w:r>
    </w:p>
    <w:p w14:paraId="7BF44CA2" w14:textId="5155F5FB" w:rsidR="008D4B75" w:rsidRPr="00386A5C" w:rsidRDefault="008D4B75">
      <w:pPr>
        <w:pStyle w:val="Lgende"/>
      </w:pPr>
      <w:r>
        <w:lastRenderedPageBreak/>
        <w:t xml:space="preserve">Table </w:t>
      </w:r>
      <w:r>
        <w:fldChar w:fldCharType="begin"/>
      </w:r>
      <w:r>
        <w:instrText xml:space="preserve"> SEQ Table \* ARABIC </w:instrText>
      </w:r>
      <w:r>
        <w:fldChar w:fldCharType="separate"/>
      </w:r>
      <w:r w:rsidR="002D0738">
        <w:rPr>
          <w:noProof/>
        </w:rPr>
        <w:t>3</w:t>
      </w:r>
      <w:r>
        <w:rPr>
          <w:noProof/>
        </w:rPr>
        <w:fldChar w:fldCharType="end"/>
      </w:r>
      <w:r w:rsidRPr="00386A5C">
        <w:tab/>
        <w:t xml:space="preserve"> Overview of OEL derivation in</w:t>
      </w:r>
      <w:r w:rsidRPr="0008751D">
        <w:rPr>
          <w:lang w:val="en-GB"/>
        </w:rPr>
        <w:t xml:space="preserve"> the</w:t>
      </w:r>
      <w:r w:rsidRPr="00386A5C">
        <w:t xml:space="preserve"> European Union (</w:t>
      </w:r>
      <w:r>
        <w:t xml:space="preserve">reported in </w:t>
      </w:r>
      <w:r w:rsidRPr="00386A5C">
        <w:t>Gestis database</w:t>
      </w:r>
      <w:r w:rsidRPr="00386A5C">
        <w:rPr>
          <w:vertAlign w:val="superscript"/>
        </w:rPr>
        <w:footnoteReference w:id="6"/>
      </w:r>
      <w:r>
        <w:t>, consulted in May 2022</w:t>
      </w:r>
      <w:r w:rsidRPr="00386A5C">
        <w:t>)</w:t>
      </w:r>
    </w:p>
    <w:tbl>
      <w:tblPr>
        <w:tblStyle w:val="Grilledutablea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846"/>
        <w:gridCol w:w="1995"/>
        <w:gridCol w:w="1471"/>
      </w:tblGrid>
      <w:tr w:rsidR="008D4B75" w:rsidRPr="00386A5C" w14:paraId="140B593C" w14:textId="77777777" w:rsidTr="00497774">
        <w:trPr>
          <w:jc w:val="center"/>
        </w:trPr>
        <w:tc>
          <w:tcPr>
            <w:tcW w:w="5326" w:type="dxa"/>
            <w:shd w:val="clear" w:color="auto" w:fill="D9D9D9" w:themeFill="background1" w:themeFillShade="D9"/>
          </w:tcPr>
          <w:p w14:paraId="662CDC88" w14:textId="77777777" w:rsidR="008D4B75" w:rsidRPr="00386A5C" w:rsidRDefault="008D4B75" w:rsidP="002D0738">
            <w:pPr>
              <w:keepNext/>
              <w:keepLines/>
              <w:widowControl/>
              <w:spacing w:after="0" w:line="276" w:lineRule="auto"/>
              <w:jc w:val="both"/>
              <w:rPr>
                <w:rFonts w:ascii="Verdana" w:hAnsi="Verdana"/>
                <w:sz w:val="20"/>
                <w:szCs w:val="20"/>
              </w:rPr>
            </w:pPr>
          </w:p>
        </w:tc>
        <w:tc>
          <w:tcPr>
            <w:tcW w:w="2126" w:type="dxa"/>
            <w:shd w:val="clear" w:color="auto" w:fill="D9D9D9" w:themeFill="background1" w:themeFillShade="D9"/>
          </w:tcPr>
          <w:p w14:paraId="62154D02"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8h-TWA (mg/m</w:t>
            </w:r>
            <w:r w:rsidRPr="00186F75">
              <w:rPr>
                <w:rFonts w:ascii="Verdana" w:hAnsi="Verdana"/>
                <w:sz w:val="20"/>
                <w:szCs w:val="20"/>
                <w:vertAlign w:val="superscript"/>
              </w:rPr>
              <w:t>3</w:t>
            </w:r>
            <w:r w:rsidRPr="00386A5C">
              <w:rPr>
                <w:rFonts w:ascii="Verdana" w:hAnsi="Verdana"/>
                <w:sz w:val="20"/>
                <w:szCs w:val="20"/>
              </w:rPr>
              <w:t>)</w:t>
            </w:r>
          </w:p>
        </w:tc>
        <w:tc>
          <w:tcPr>
            <w:tcW w:w="1559" w:type="dxa"/>
            <w:shd w:val="clear" w:color="auto" w:fill="D9D9D9" w:themeFill="background1" w:themeFillShade="D9"/>
          </w:tcPr>
          <w:p w14:paraId="66382C60"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Short-term</w:t>
            </w:r>
          </w:p>
        </w:tc>
      </w:tr>
      <w:tr w:rsidR="008D4B75" w:rsidRPr="00386A5C" w14:paraId="585C5B3E" w14:textId="77777777" w:rsidTr="00497774">
        <w:trPr>
          <w:jc w:val="center"/>
        </w:trPr>
        <w:tc>
          <w:tcPr>
            <w:tcW w:w="5326" w:type="dxa"/>
          </w:tcPr>
          <w:p w14:paraId="126B1E07"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Austria</w:t>
            </w:r>
          </w:p>
        </w:tc>
        <w:tc>
          <w:tcPr>
            <w:tcW w:w="2126" w:type="dxa"/>
          </w:tcPr>
          <w:p w14:paraId="326BB41B"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15</w:t>
            </w:r>
          </w:p>
        </w:tc>
        <w:tc>
          <w:tcPr>
            <w:tcW w:w="1559" w:type="dxa"/>
          </w:tcPr>
          <w:p w14:paraId="68E9472C"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60</w:t>
            </w:r>
          </w:p>
        </w:tc>
      </w:tr>
      <w:tr w:rsidR="00B6566E" w:rsidRPr="00386A5C" w14:paraId="65894A72" w14:textId="77777777" w:rsidTr="00497774">
        <w:trPr>
          <w:jc w:val="center"/>
        </w:trPr>
        <w:tc>
          <w:tcPr>
            <w:tcW w:w="5326" w:type="dxa"/>
          </w:tcPr>
          <w:p w14:paraId="256780F3" w14:textId="3B04398F" w:rsidR="00B6566E" w:rsidRPr="00386A5C" w:rsidRDefault="00B6566E" w:rsidP="002D0738">
            <w:pPr>
              <w:keepNext/>
              <w:keepLines/>
              <w:spacing w:after="0" w:line="276" w:lineRule="auto"/>
              <w:jc w:val="both"/>
              <w:rPr>
                <w:rFonts w:ascii="Verdana" w:hAnsi="Verdana"/>
                <w:sz w:val="20"/>
                <w:szCs w:val="20"/>
              </w:rPr>
            </w:pPr>
            <w:r>
              <w:rPr>
                <w:rFonts w:ascii="Verdana" w:hAnsi="Verdana"/>
                <w:sz w:val="20"/>
                <w:szCs w:val="20"/>
              </w:rPr>
              <w:t>Belgium</w:t>
            </w:r>
            <w:r w:rsidR="005A1A49">
              <w:rPr>
                <w:rFonts w:ascii="Verdana" w:hAnsi="Verdana"/>
                <w:sz w:val="20"/>
                <w:szCs w:val="20"/>
              </w:rPr>
              <w:t>, Italy</w:t>
            </w:r>
          </w:p>
        </w:tc>
        <w:tc>
          <w:tcPr>
            <w:tcW w:w="2126" w:type="dxa"/>
          </w:tcPr>
          <w:p w14:paraId="0ECAA8B2" w14:textId="0F3DD263" w:rsidR="00B6566E" w:rsidRPr="00386A5C" w:rsidRDefault="005A1A49" w:rsidP="002D0738">
            <w:pPr>
              <w:keepNext/>
              <w:keepLines/>
              <w:spacing w:after="0" w:line="276" w:lineRule="auto"/>
              <w:jc w:val="both"/>
              <w:rPr>
                <w:rFonts w:ascii="Verdana" w:hAnsi="Verdana"/>
                <w:sz w:val="20"/>
                <w:szCs w:val="20"/>
              </w:rPr>
            </w:pPr>
            <w:r>
              <w:rPr>
                <w:rFonts w:ascii="Verdana" w:hAnsi="Verdana"/>
                <w:sz w:val="20"/>
                <w:szCs w:val="20"/>
              </w:rPr>
              <w:t>3.16</w:t>
            </w:r>
          </w:p>
        </w:tc>
        <w:tc>
          <w:tcPr>
            <w:tcW w:w="1559" w:type="dxa"/>
          </w:tcPr>
          <w:p w14:paraId="0FB673E8" w14:textId="72481BC5" w:rsidR="00B6566E" w:rsidRPr="00386A5C" w:rsidRDefault="00B6566E" w:rsidP="002D0738">
            <w:pPr>
              <w:keepNext/>
              <w:keepLines/>
              <w:spacing w:after="0" w:line="276" w:lineRule="auto"/>
              <w:jc w:val="both"/>
              <w:rPr>
                <w:rFonts w:ascii="Verdana" w:hAnsi="Verdana"/>
                <w:sz w:val="20"/>
                <w:szCs w:val="20"/>
              </w:rPr>
            </w:pPr>
          </w:p>
        </w:tc>
      </w:tr>
      <w:tr w:rsidR="008D4B75" w:rsidRPr="00386A5C" w14:paraId="2F106BC6" w14:textId="77777777" w:rsidTr="00497774">
        <w:trPr>
          <w:jc w:val="center"/>
        </w:trPr>
        <w:tc>
          <w:tcPr>
            <w:tcW w:w="5326" w:type="dxa"/>
          </w:tcPr>
          <w:p w14:paraId="6A2547D1"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Denmark</w:t>
            </w:r>
          </w:p>
        </w:tc>
        <w:tc>
          <w:tcPr>
            <w:tcW w:w="2126" w:type="dxa"/>
          </w:tcPr>
          <w:p w14:paraId="33410527"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15</w:t>
            </w:r>
          </w:p>
        </w:tc>
        <w:tc>
          <w:tcPr>
            <w:tcW w:w="1559" w:type="dxa"/>
          </w:tcPr>
          <w:p w14:paraId="606F760B"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30</w:t>
            </w:r>
          </w:p>
        </w:tc>
      </w:tr>
      <w:tr w:rsidR="008D4B75" w:rsidRPr="00386A5C" w14:paraId="290E7F0B" w14:textId="77777777" w:rsidTr="00497774">
        <w:trPr>
          <w:jc w:val="center"/>
        </w:trPr>
        <w:tc>
          <w:tcPr>
            <w:tcW w:w="5326" w:type="dxa"/>
          </w:tcPr>
          <w:p w14:paraId="2403545D"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Finland, Ireland, Latvia, Spain, The Netherlands, Norway</w:t>
            </w:r>
          </w:p>
        </w:tc>
        <w:tc>
          <w:tcPr>
            <w:tcW w:w="2126" w:type="dxa"/>
          </w:tcPr>
          <w:p w14:paraId="2EC82790"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15</w:t>
            </w:r>
          </w:p>
        </w:tc>
        <w:tc>
          <w:tcPr>
            <w:tcW w:w="1559" w:type="dxa"/>
          </w:tcPr>
          <w:p w14:paraId="4FA2867E" w14:textId="77777777" w:rsidR="008D4B75" w:rsidRPr="00386A5C" w:rsidRDefault="008D4B75" w:rsidP="002D0738">
            <w:pPr>
              <w:keepNext/>
              <w:keepLines/>
              <w:widowControl/>
              <w:spacing w:after="0" w:line="276" w:lineRule="auto"/>
              <w:jc w:val="both"/>
              <w:rPr>
                <w:rFonts w:ascii="Verdana" w:hAnsi="Verdana"/>
                <w:sz w:val="20"/>
                <w:szCs w:val="20"/>
              </w:rPr>
            </w:pPr>
          </w:p>
        </w:tc>
      </w:tr>
      <w:tr w:rsidR="008D4B75" w:rsidRPr="00386A5C" w14:paraId="13674E69" w14:textId="77777777" w:rsidTr="00497774">
        <w:trPr>
          <w:jc w:val="center"/>
        </w:trPr>
        <w:tc>
          <w:tcPr>
            <w:tcW w:w="5326" w:type="dxa"/>
          </w:tcPr>
          <w:p w14:paraId="2C2C98B9"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France</w:t>
            </w:r>
          </w:p>
        </w:tc>
        <w:tc>
          <w:tcPr>
            <w:tcW w:w="2126" w:type="dxa"/>
          </w:tcPr>
          <w:p w14:paraId="45EBAEDF"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15</w:t>
            </w:r>
            <w:r>
              <w:rPr>
                <w:rFonts w:ascii="Verdana" w:hAnsi="Verdana"/>
                <w:sz w:val="20"/>
                <w:szCs w:val="20"/>
              </w:rPr>
              <w:t>*</w:t>
            </w:r>
          </w:p>
        </w:tc>
        <w:tc>
          <w:tcPr>
            <w:tcW w:w="1559" w:type="dxa"/>
          </w:tcPr>
          <w:p w14:paraId="7DA08DA8" w14:textId="77777777" w:rsidR="008D4B75" w:rsidRPr="00386A5C" w:rsidRDefault="008D4B75" w:rsidP="002D0738">
            <w:pPr>
              <w:keepNext/>
              <w:keepLines/>
              <w:widowControl/>
              <w:spacing w:after="0" w:line="276" w:lineRule="auto"/>
              <w:jc w:val="both"/>
              <w:rPr>
                <w:rFonts w:ascii="Verdana" w:hAnsi="Verdana"/>
                <w:sz w:val="20"/>
                <w:szCs w:val="20"/>
              </w:rPr>
            </w:pPr>
          </w:p>
        </w:tc>
      </w:tr>
      <w:tr w:rsidR="008D4B75" w:rsidRPr="00386A5C" w14:paraId="5EE1B28B" w14:textId="77777777" w:rsidTr="00497774">
        <w:trPr>
          <w:jc w:val="center"/>
        </w:trPr>
        <w:tc>
          <w:tcPr>
            <w:tcW w:w="5326" w:type="dxa"/>
          </w:tcPr>
          <w:p w14:paraId="7D37C6AA"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Germany (AGS)</w:t>
            </w:r>
          </w:p>
        </w:tc>
        <w:tc>
          <w:tcPr>
            <w:tcW w:w="2126" w:type="dxa"/>
          </w:tcPr>
          <w:p w14:paraId="5FCD749F"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30</w:t>
            </w:r>
          </w:p>
        </w:tc>
        <w:tc>
          <w:tcPr>
            <w:tcW w:w="1559" w:type="dxa"/>
          </w:tcPr>
          <w:p w14:paraId="67FFE42E"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60</w:t>
            </w:r>
          </w:p>
        </w:tc>
      </w:tr>
      <w:tr w:rsidR="008D4B75" w:rsidRPr="00386A5C" w14:paraId="36DAE960" w14:textId="77777777" w:rsidTr="00497774">
        <w:trPr>
          <w:jc w:val="center"/>
        </w:trPr>
        <w:tc>
          <w:tcPr>
            <w:tcW w:w="5326" w:type="dxa"/>
          </w:tcPr>
          <w:p w14:paraId="138B65AD"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Germany (DFG)</w:t>
            </w:r>
          </w:p>
        </w:tc>
        <w:tc>
          <w:tcPr>
            <w:tcW w:w="2126" w:type="dxa"/>
          </w:tcPr>
          <w:p w14:paraId="65C855E4"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16</w:t>
            </w:r>
          </w:p>
        </w:tc>
        <w:tc>
          <w:tcPr>
            <w:tcW w:w="1559" w:type="dxa"/>
          </w:tcPr>
          <w:p w14:paraId="519406EF"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32</w:t>
            </w:r>
          </w:p>
        </w:tc>
      </w:tr>
      <w:tr w:rsidR="008D4B75" w:rsidRPr="00386A5C" w14:paraId="168732C7" w14:textId="77777777" w:rsidTr="00497774">
        <w:trPr>
          <w:jc w:val="center"/>
        </w:trPr>
        <w:tc>
          <w:tcPr>
            <w:tcW w:w="5326" w:type="dxa"/>
          </w:tcPr>
          <w:p w14:paraId="0737C698"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Poland</w:t>
            </w:r>
          </w:p>
        </w:tc>
        <w:tc>
          <w:tcPr>
            <w:tcW w:w="2126" w:type="dxa"/>
          </w:tcPr>
          <w:p w14:paraId="01CA69F9"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12.5</w:t>
            </w:r>
          </w:p>
        </w:tc>
        <w:tc>
          <w:tcPr>
            <w:tcW w:w="1559" w:type="dxa"/>
          </w:tcPr>
          <w:p w14:paraId="4D502423" w14:textId="77777777" w:rsidR="008D4B75" w:rsidRPr="00386A5C" w:rsidRDefault="008D4B75" w:rsidP="002D0738">
            <w:pPr>
              <w:keepNext/>
              <w:keepLines/>
              <w:widowControl/>
              <w:spacing w:after="0" w:line="276" w:lineRule="auto"/>
              <w:jc w:val="both"/>
              <w:rPr>
                <w:rFonts w:ascii="Verdana" w:hAnsi="Verdana"/>
                <w:sz w:val="20"/>
                <w:szCs w:val="20"/>
              </w:rPr>
            </w:pPr>
          </w:p>
        </w:tc>
      </w:tr>
      <w:tr w:rsidR="008D4B75" w:rsidRPr="00386A5C" w14:paraId="2B06D281" w14:textId="77777777" w:rsidTr="00497774">
        <w:trPr>
          <w:jc w:val="center"/>
        </w:trPr>
        <w:tc>
          <w:tcPr>
            <w:tcW w:w="5326" w:type="dxa"/>
          </w:tcPr>
          <w:p w14:paraId="5BB3C186"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Sweden</w:t>
            </w:r>
          </w:p>
        </w:tc>
        <w:tc>
          <w:tcPr>
            <w:tcW w:w="2126" w:type="dxa"/>
          </w:tcPr>
          <w:p w14:paraId="1A142B97"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16</w:t>
            </w:r>
          </w:p>
        </w:tc>
        <w:tc>
          <w:tcPr>
            <w:tcW w:w="1559" w:type="dxa"/>
          </w:tcPr>
          <w:p w14:paraId="12D907A4"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25</w:t>
            </w:r>
          </w:p>
        </w:tc>
      </w:tr>
      <w:tr w:rsidR="008D4B75" w:rsidRPr="00386A5C" w14:paraId="3FEE7A58" w14:textId="77777777" w:rsidTr="00497774">
        <w:trPr>
          <w:jc w:val="center"/>
        </w:trPr>
        <w:tc>
          <w:tcPr>
            <w:tcW w:w="5326" w:type="dxa"/>
          </w:tcPr>
          <w:p w14:paraId="3FC673FB"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Hungary</w:t>
            </w:r>
          </w:p>
        </w:tc>
        <w:tc>
          <w:tcPr>
            <w:tcW w:w="2126" w:type="dxa"/>
          </w:tcPr>
          <w:p w14:paraId="3B5C4B36"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30</w:t>
            </w:r>
          </w:p>
        </w:tc>
        <w:tc>
          <w:tcPr>
            <w:tcW w:w="1559" w:type="dxa"/>
          </w:tcPr>
          <w:p w14:paraId="5EBE2717" w14:textId="77777777" w:rsidR="008D4B75" w:rsidRPr="00386A5C" w:rsidRDefault="008D4B75" w:rsidP="002D0738">
            <w:pPr>
              <w:keepNext/>
              <w:keepLines/>
              <w:widowControl/>
              <w:spacing w:after="0" w:line="276" w:lineRule="auto"/>
              <w:jc w:val="both"/>
              <w:rPr>
                <w:rFonts w:ascii="Verdana" w:hAnsi="Verdana"/>
                <w:sz w:val="20"/>
                <w:szCs w:val="20"/>
              </w:rPr>
            </w:pPr>
            <w:r w:rsidRPr="00386A5C">
              <w:rPr>
                <w:rFonts w:ascii="Verdana" w:hAnsi="Verdana"/>
                <w:sz w:val="20"/>
                <w:szCs w:val="20"/>
              </w:rPr>
              <w:t>120</w:t>
            </w:r>
          </w:p>
        </w:tc>
      </w:tr>
    </w:tbl>
    <w:p w14:paraId="3AD84568" w14:textId="02010F62" w:rsidR="008D4B75" w:rsidRDefault="008D4B75" w:rsidP="002D0738">
      <w:pPr>
        <w:keepNext/>
        <w:keepLines/>
        <w:spacing w:line="276" w:lineRule="auto"/>
        <w:jc w:val="both"/>
        <w:rPr>
          <w:rFonts w:ascii="Verdana" w:hAnsi="Verdana" w:cstheme="minorHAnsi"/>
          <w:bCs/>
          <w:sz w:val="20"/>
          <w:lang w:val="en-US"/>
        </w:rPr>
      </w:pPr>
      <w:r w:rsidRPr="00AC153F">
        <w:rPr>
          <w:rFonts w:ascii="Verdana" w:hAnsi="Verdana" w:cstheme="minorHAnsi"/>
          <w:bCs/>
          <w:sz w:val="20"/>
          <w:lang w:val="en-US"/>
        </w:rPr>
        <w:t>*</w:t>
      </w:r>
      <w:r w:rsidR="00186F75">
        <w:rPr>
          <w:rFonts w:ascii="Verdana" w:hAnsi="Verdana" w:cstheme="minorHAnsi"/>
          <w:bCs/>
          <w:sz w:val="20"/>
          <w:lang w:val="en-US"/>
        </w:rPr>
        <w:t xml:space="preserve">Restrictive statutory </w:t>
      </w:r>
      <w:r w:rsidRPr="00AC153F">
        <w:rPr>
          <w:rFonts w:ascii="Verdana" w:hAnsi="Verdana" w:cstheme="minorHAnsi"/>
          <w:bCs/>
          <w:sz w:val="20"/>
          <w:lang w:val="en-US"/>
        </w:rPr>
        <w:t>value in France</w:t>
      </w:r>
    </w:p>
    <w:p w14:paraId="15EB6C8B" w14:textId="31CEC7ED" w:rsidR="008D4B75" w:rsidRDefault="008D4B75" w:rsidP="00ED47FC">
      <w:pPr>
        <w:autoSpaceDE w:val="0"/>
        <w:autoSpaceDN w:val="0"/>
        <w:adjustRightInd w:val="0"/>
        <w:spacing w:after="0" w:line="276" w:lineRule="auto"/>
        <w:jc w:val="both"/>
        <w:rPr>
          <w:rFonts w:ascii="Verdana" w:hAnsi="Verdana"/>
          <w:sz w:val="20"/>
          <w:szCs w:val="20"/>
        </w:rPr>
      </w:pPr>
      <w:r>
        <w:rPr>
          <w:rFonts w:ascii="Verdana" w:hAnsi="Verdana"/>
          <w:sz w:val="20"/>
          <w:szCs w:val="20"/>
        </w:rPr>
        <w:t xml:space="preserve">Directive </w:t>
      </w:r>
      <w:r w:rsidRPr="00F46110">
        <w:rPr>
          <w:rFonts w:ascii="Verdana" w:hAnsi="Verdana"/>
          <w:sz w:val="20"/>
          <w:szCs w:val="20"/>
        </w:rPr>
        <w:t>98/24/EC</w:t>
      </w:r>
      <w:r w:rsidRPr="00FA3E27">
        <w:rPr>
          <w:rFonts w:ascii="Verdana" w:hAnsi="Verdana"/>
          <w:sz w:val="20"/>
          <w:szCs w:val="20"/>
        </w:rPr>
        <w:t xml:space="preserve"> set</w:t>
      </w:r>
      <w:r>
        <w:rPr>
          <w:rFonts w:ascii="Verdana" w:hAnsi="Verdana"/>
          <w:sz w:val="20"/>
          <w:szCs w:val="20"/>
        </w:rPr>
        <w:t>s</w:t>
      </w:r>
      <w:r w:rsidRPr="00FA3E27">
        <w:rPr>
          <w:rFonts w:ascii="Verdana" w:hAnsi="Verdana"/>
          <w:sz w:val="20"/>
          <w:szCs w:val="20"/>
        </w:rPr>
        <w:t xml:space="preserve"> </w:t>
      </w:r>
      <w:r>
        <w:rPr>
          <w:rFonts w:ascii="Verdana" w:hAnsi="Verdana"/>
          <w:sz w:val="20"/>
          <w:szCs w:val="20"/>
        </w:rPr>
        <w:t>also</w:t>
      </w:r>
      <w:r w:rsidRPr="00FA3E27">
        <w:rPr>
          <w:rFonts w:ascii="Verdana" w:hAnsi="Verdana"/>
          <w:sz w:val="20"/>
          <w:szCs w:val="20"/>
        </w:rPr>
        <w:t xml:space="preserve"> binding occupational exposure limit </w:t>
      </w:r>
      <w:r w:rsidR="00EE1CD4">
        <w:rPr>
          <w:rFonts w:ascii="Verdana" w:hAnsi="Verdana"/>
          <w:sz w:val="20"/>
          <w:szCs w:val="20"/>
        </w:rPr>
        <w:t xml:space="preserve">(BOEL) </w:t>
      </w:r>
      <w:r w:rsidRPr="00FA3E27">
        <w:rPr>
          <w:rFonts w:ascii="Verdana" w:hAnsi="Verdana"/>
          <w:sz w:val="20"/>
          <w:szCs w:val="20"/>
        </w:rPr>
        <w:t>values as well as biological limit values (BL</w:t>
      </w:r>
      <w:r>
        <w:rPr>
          <w:rFonts w:ascii="Verdana" w:hAnsi="Verdana"/>
          <w:sz w:val="20"/>
          <w:szCs w:val="20"/>
        </w:rPr>
        <w:t>V</w:t>
      </w:r>
      <w:r w:rsidRPr="00FA3E27">
        <w:rPr>
          <w:rFonts w:ascii="Verdana" w:hAnsi="Verdana"/>
          <w:sz w:val="20"/>
          <w:szCs w:val="20"/>
        </w:rPr>
        <w:t xml:space="preserve">s) at </w:t>
      </w:r>
      <w:r w:rsidR="00EE1CD4">
        <w:rPr>
          <w:rFonts w:ascii="Verdana" w:hAnsi="Verdana"/>
          <w:sz w:val="20"/>
          <w:szCs w:val="20"/>
        </w:rPr>
        <w:t xml:space="preserve">European </w:t>
      </w:r>
      <w:r>
        <w:rPr>
          <w:rFonts w:ascii="Verdana" w:hAnsi="Verdana"/>
          <w:sz w:val="20"/>
          <w:szCs w:val="20"/>
        </w:rPr>
        <w:t>Union</w:t>
      </w:r>
      <w:r w:rsidRPr="00FA3E27">
        <w:rPr>
          <w:rFonts w:ascii="Verdana" w:hAnsi="Verdana"/>
          <w:sz w:val="20"/>
          <w:szCs w:val="20"/>
        </w:rPr>
        <w:t xml:space="preserve"> level. </w:t>
      </w:r>
      <w:r w:rsidR="006F526F">
        <w:rPr>
          <w:rFonts w:ascii="Verdana" w:hAnsi="Verdana"/>
          <w:sz w:val="20"/>
          <w:szCs w:val="20"/>
        </w:rPr>
        <w:t>In addition to</w:t>
      </w:r>
      <w:r w:rsidR="006F526F" w:rsidRPr="00866BA3">
        <w:rPr>
          <w:rFonts w:ascii="Verdana" w:hAnsi="Verdana"/>
          <w:sz w:val="20"/>
          <w:szCs w:val="20"/>
        </w:rPr>
        <w:t xml:space="preserve"> the</w:t>
      </w:r>
      <w:r w:rsidR="006F526F">
        <w:rPr>
          <w:rFonts w:ascii="Verdana" w:hAnsi="Verdana"/>
          <w:sz w:val="20"/>
          <w:szCs w:val="20"/>
        </w:rPr>
        <w:t xml:space="preserve"> </w:t>
      </w:r>
      <w:r w:rsidR="006F526F" w:rsidRPr="00866BA3">
        <w:rPr>
          <w:rFonts w:ascii="Verdana" w:hAnsi="Verdana"/>
          <w:sz w:val="20"/>
          <w:szCs w:val="20"/>
        </w:rPr>
        <w:t>factors considered when establishing IOEL</w:t>
      </w:r>
      <w:r w:rsidR="007D7BDD">
        <w:rPr>
          <w:rFonts w:ascii="Verdana" w:hAnsi="Verdana"/>
          <w:sz w:val="20"/>
          <w:szCs w:val="20"/>
        </w:rPr>
        <w:t>V</w:t>
      </w:r>
      <w:r w:rsidR="006F526F" w:rsidRPr="00866BA3">
        <w:rPr>
          <w:rFonts w:ascii="Verdana" w:hAnsi="Verdana"/>
          <w:sz w:val="20"/>
          <w:szCs w:val="20"/>
        </w:rPr>
        <w:t>s</w:t>
      </w:r>
      <w:r w:rsidR="006F526F">
        <w:rPr>
          <w:rFonts w:ascii="Verdana" w:hAnsi="Verdana"/>
          <w:sz w:val="20"/>
          <w:szCs w:val="20"/>
        </w:rPr>
        <w:t>,</w:t>
      </w:r>
      <w:r w:rsidR="006F526F" w:rsidRPr="00866BA3">
        <w:rPr>
          <w:rFonts w:ascii="Verdana" w:hAnsi="Verdana"/>
          <w:sz w:val="20"/>
          <w:szCs w:val="20"/>
        </w:rPr>
        <w:t xml:space="preserve"> </w:t>
      </w:r>
      <w:r w:rsidRPr="00866BA3">
        <w:rPr>
          <w:rFonts w:ascii="Verdana" w:hAnsi="Verdana"/>
          <w:sz w:val="20"/>
          <w:szCs w:val="20"/>
        </w:rPr>
        <w:t xml:space="preserve">BOELs take </w:t>
      </w:r>
      <w:r>
        <w:rPr>
          <w:rFonts w:ascii="Verdana" w:hAnsi="Verdana"/>
          <w:sz w:val="20"/>
          <w:szCs w:val="20"/>
        </w:rPr>
        <w:t xml:space="preserve">into </w:t>
      </w:r>
      <w:r w:rsidRPr="00866BA3">
        <w:rPr>
          <w:rFonts w:ascii="Verdana" w:hAnsi="Verdana"/>
          <w:sz w:val="20"/>
          <w:szCs w:val="20"/>
        </w:rPr>
        <w:t>account socio-economic and technical feasibility factors.</w:t>
      </w:r>
      <w:r>
        <w:rPr>
          <w:rFonts w:ascii="Verdana" w:hAnsi="Verdana"/>
          <w:sz w:val="20"/>
          <w:szCs w:val="20"/>
        </w:rPr>
        <w:t xml:space="preserve"> </w:t>
      </w:r>
      <w:r w:rsidRPr="00637A3C">
        <w:rPr>
          <w:rFonts w:ascii="Verdana" w:hAnsi="Verdana"/>
          <w:sz w:val="20"/>
          <w:szCs w:val="20"/>
        </w:rPr>
        <w:t>For any chemical agent for which a BOEL is established at EU level, Member</w:t>
      </w:r>
      <w:r>
        <w:rPr>
          <w:rFonts w:ascii="Verdana" w:hAnsi="Verdana"/>
          <w:sz w:val="20"/>
          <w:szCs w:val="20"/>
        </w:rPr>
        <w:t xml:space="preserve"> </w:t>
      </w:r>
      <w:r w:rsidRPr="00637A3C">
        <w:rPr>
          <w:rFonts w:ascii="Verdana" w:hAnsi="Verdana"/>
          <w:sz w:val="20"/>
          <w:szCs w:val="20"/>
        </w:rPr>
        <w:t xml:space="preserve">States must establish a corresponding national </w:t>
      </w:r>
      <w:r>
        <w:rPr>
          <w:rFonts w:ascii="Verdana" w:hAnsi="Verdana"/>
          <w:sz w:val="20"/>
          <w:szCs w:val="20"/>
        </w:rPr>
        <w:t>BOEL</w:t>
      </w:r>
      <w:r w:rsidRPr="00637A3C">
        <w:rPr>
          <w:rFonts w:ascii="Verdana" w:hAnsi="Verdana"/>
          <w:sz w:val="20"/>
          <w:szCs w:val="20"/>
        </w:rPr>
        <w:t xml:space="preserve"> which can be </w:t>
      </w:r>
      <w:r w:rsidR="006F526F">
        <w:rPr>
          <w:rFonts w:ascii="Verdana" w:hAnsi="Verdana"/>
          <w:sz w:val="20"/>
          <w:szCs w:val="20"/>
        </w:rPr>
        <w:t>more stringent</w:t>
      </w:r>
      <w:r w:rsidRPr="00637A3C">
        <w:rPr>
          <w:rFonts w:ascii="Verdana" w:hAnsi="Verdana"/>
          <w:sz w:val="20"/>
          <w:szCs w:val="20"/>
        </w:rPr>
        <w:t>,</w:t>
      </w:r>
      <w:r>
        <w:rPr>
          <w:rFonts w:ascii="Verdana" w:hAnsi="Verdana"/>
          <w:sz w:val="20"/>
          <w:szCs w:val="20"/>
        </w:rPr>
        <w:t xml:space="preserve"> </w:t>
      </w:r>
      <w:r w:rsidRPr="00637A3C">
        <w:rPr>
          <w:rFonts w:ascii="Verdana" w:hAnsi="Verdana"/>
          <w:sz w:val="20"/>
          <w:szCs w:val="20"/>
        </w:rPr>
        <w:t xml:space="preserve">but cannot exceed the </w:t>
      </w:r>
      <w:r w:rsidR="00EE1CD4">
        <w:rPr>
          <w:rFonts w:ascii="Verdana" w:hAnsi="Verdana"/>
          <w:sz w:val="20"/>
          <w:szCs w:val="20"/>
        </w:rPr>
        <w:t xml:space="preserve">European </w:t>
      </w:r>
      <w:r>
        <w:rPr>
          <w:rFonts w:ascii="Verdana" w:hAnsi="Verdana"/>
          <w:sz w:val="20"/>
          <w:szCs w:val="20"/>
        </w:rPr>
        <w:t>Union</w:t>
      </w:r>
      <w:r w:rsidRPr="00637A3C">
        <w:rPr>
          <w:rFonts w:ascii="Verdana" w:hAnsi="Verdana"/>
          <w:sz w:val="20"/>
          <w:szCs w:val="20"/>
        </w:rPr>
        <w:t xml:space="preserve"> limit value.</w:t>
      </w:r>
      <w:r w:rsidRPr="00C420A0">
        <w:rPr>
          <w:rFonts w:ascii="Verdana" w:hAnsi="Verdana"/>
          <w:sz w:val="20"/>
          <w:szCs w:val="20"/>
        </w:rPr>
        <w:t xml:space="preserve"> </w:t>
      </w:r>
      <w:r>
        <w:rPr>
          <w:rFonts w:ascii="Verdana" w:hAnsi="Verdana"/>
          <w:sz w:val="20"/>
          <w:szCs w:val="20"/>
        </w:rPr>
        <w:t>No binding value or BLVs were set for carbon disulfide.</w:t>
      </w:r>
    </w:p>
    <w:p w14:paraId="2EE91B63" w14:textId="4003A953" w:rsidR="001912BD" w:rsidRDefault="001912BD" w:rsidP="00ED47FC">
      <w:pPr>
        <w:autoSpaceDE w:val="0"/>
        <w:autoSpaceDN w:val="0"/>
        <w:adjustRightInd w:val="0"/>
        <w:spacing w:after="0" w:line="276" w:lineRule="auto"/>
        <w:jc w:val="both"/>
        <w:rPr>
          <w:rFonts w:ascii="Verdana" w:hAnsi="Verdana"/>
          <w:sz w:val="20"/>
          <w:szCs w:val="20"/>
        </w:rPr>
      </w:pPr>
    </w:p>
    <w:p w14:paraId="6D3AB100" w14:textId="704F3AED" w:rsidR="001912BD" w:rsidRDefault="001912BD" w:rsidP="00AC4DA6">
      <w:pPr>
        <w:spacing w:after="0" w:line="276" w:lineRule="auto"/>
        <w:ind w:firstLine="720"/>
        <w:jc w:val="both"/>
        <w:rPr>
          <w:rFonts w:ascii="Verdana" w:hAnsi="Verdana"/>
          <w:i/>
          <w:sz w:val="20"/>
          <w:szCs w:val="20"/>
          <w:lang w:eastAsia="en-GB"/>
        </w:rPr>
      </w:pPr>
      <w:r>
        <w:rPr>
          <w:rFonts w:ascii="Verdana" w:hAnsi="Verdana"/>
          <w:i/>
          <w:sz w:val="20"/>
          <w:szCs w:val="20"/>
          <w:lang w:eastAsia="en-GB"/>
        </w:rPr>
        <w:t>c. Other chemical legislations</w:t>
      </w:r>
    </w:p>
    <w:p w14:paraId="2A949285" w14:textId="05FA75A4" w:rsidR="001912BD" w:rsidRDefault="001912BD" w:rsidP="00F1478B">
      <w:pPr>
        <w:spacing w:after="0" w:line="276" w:lineRule="auto"/>
        <w:jc w:val="both"/>
        <w:rPr>
          <w:rFonts w:ascii="Verdana" w:hAnsi="Verdana"/>
          <w:i/>
          <w:sz w:val="20"/>
          <w:szCs w:val="20"/>
          <w:lang w:eastAsia="en-GB"/>
        </w:rPr>
      </w:pPr>
    </w:p>
    <w:p w14:paraId="747FBC36" w14:textId="63A0AAC0" w:rsidR="001912BD" w:rsidRPr="00F1478B" w:rsidRDefault="001912BD" w:rsidP="00F1478B">
      <w:pPr>
        <w:spacing w:after="0" w:line="276" w:lineRule="auto"/>
        <w:jc w:val="both"/>
        <w:rPr>
          <w:rFonts w:ascii="Verdana" w:hAnsi="Verdana"/>
          <w:sz w:val="20"/>
          <w:szCs w:val="20"/>
          <w:lang w:eastAsia="en-GB"/>
        </w:rPr>
      </w:pPr>
      <w:r>
        <w:rPr>
          <w:rFonts w:ascii="Verdana" w:hAnsi="Verdana"/>
          <w:sz w:val="20"/>
          <w:szCs w:val="20"/>
          <w:lang w:eastAsia="en-GB"/>
        </w:rPr>
        <w:t xml:space="preserve">According to ECHA website, the substance is also included in: </w:t>
      </w:r>
    </w:p>
    <w:p w14:paraId="3FAC97D8" w14:textId="72C21A45" w:rsidR="001912BD" w:rsidRPr="00F1478B" w:rsidRDefault="001912BD" w:rsidP="001912BD">
      <w:pPr>
        <w:pStyle w:val="Paragraphedeliste"/>
        <w:numPr>
          <w:ilvl w:val="0"/>
          <w:numId w:val="9"/>
        </w:numPr>
        <w:spacing w:after="0" w:line="276" w:lineRule="auto"/>
        <w:rPr>
          <w:rFonts w:ascii="Verdana" w:hAnsi="Verdana"/>
          <w:sz w:val="20"/>
          <w:szCs w:val="20"/>
          <w:lang w:eastAsia="en-GB"/>
        </w:rPr>
      </w:pPr>
      <w:r w:rsidRPr="00F1478B">
        <w:rPr>
          <w:rFonts w:ascii="Verdana" w:hAnsi="Verdana"/>
          <w:sz w:val="20"/>
          <w:szCs w:val="20"/>
          <w:lang w:eastAsia="en-GB"/>
        </w:rPr>
        <w:t>Cosmetic directive: annex II – Prohibited substance (ban)</w:t>
      </w:r>
      <w:r w:rsidR="00AB71A4">
        <w:rPr>
          <w:rFonts w:ascii="Verdana" w:hAnsi="Verdana"/>
          <w:sz w:val="20"/>
          <w:szCs w:val="20"/>
          <w:lang w:eastAsia="en-GB"/>
        </w:rPr>
        <w:t>,</w:t>
      </w:r>
    </w:p>
    <w:p w14:paraId="690FA59B" w14:textId="65A93D06" w:rsidR="001912BD" w:rsidRPr="00F1478B" w:rsidRDefault="001912BD" w:rsidP="001912BD">
      <w:pPr>
        <w:pStyle w:val="Paragraphedeliste"/>
        <w:numPr>
          <w:ilvl w:val="0"/>
          <w:numId w:val="9"/>
        </w:numPr>
        <w:spacing w:after="0" w:line="276" w:lineRule="auto"/>
        <w:rPr>
          <w:rFonts w:ascii="Verdana" w:hAnsi="Verdana"/>
          <w:sz w:val="20"/>
          <w:szCs w:val="20"/>
          <w:lang w:eastAsia="en-GB"/>
        </w:rPr>
      </w:pPr>
      <w:r w:rsidRPr="00F1478B">
        <w:rPr>
          <w:rFonts w:ascii="Verdana" w:hAnsi="Verdana"/>
          <w:sz w:val="20"/>
          <w:szCs w:val="20"/>
          <w:lang w:eastAsia="en-GB"/>
        </w:rPr>
        <w:t>Inland transport of dangerous goods directive, Annex I, II, III (ban)</w:t>
      </w:r>
      <w:r w:rsidR="00AB71A4">
        <w:rPr>
          <w:rFonts w:ascii="Verdana" w:hAnsi="Verdana"/>
          <w:sz w:val="20"/>
          <w:szCs w:val="20"/>
          <w:lang w:eastAsia="en-GB"/>
        </w:rPr>
        <w:t>,</w:t>
      </w:r>
    </w:p>
    <w:p w14:paraId="7C107CFE" w14:textId="10FD053B" w:rsidR="001912BD" w:rsidRPr="00F1478B" w:rsidRDefault="001912BD" w:rsidP="001912BD">
      <w:pPr>
        <w:pStyle w:val="Paragraphedeliste"/>
        <w:numPr>
          <w:ilvl w:val="0"/>
          <w:numId w:val="9"/>
        </w:numPr>
        <w:spacing w:after="0" w:line="276" w:lineRule="auto"/>
        <w:rPr>
          <w:rFonts w:ascii="Verdana" w:hAnsi="Verdana"/>
          <w:sz w:val="20"/>
          <w:szCs w:val="20"/>
          <w:lang w:eastAsia="en-GB"/>
        </w:rPr>
      </w:pPr>
      <w:r w:rsidRPr="00F1478B">
        <w:rPr>
          <w:rFonts w:ascii="Verdana" w:hAnsi="Verdana"/>
          <w:sz w:val="20"/>
          <w:szCs w:val="20"/>
          <w:lang w:eastAsia="en-GB"/>
        </w:rPr>
        <w:t>MRL pesticide regulation: 0.01 mg/kg</w:t>
      </w:r>
      <w:r w:rsidR="00AB71A4">
        <w:rPr>
          <w:rFonts w:ascii="Verdana" w:hAnsi="Verdana"/>
          <w:sz w:val="20"/>
          <w:szCs w:val="20"/>
          <w:lang w:eastAsia="en-GB"/>
        </w:rPr>
        <w:t>.</w:t>
      </w:r>
    </w:p>
    <w:p w14:paraId="69F50033" w14:textId="08EEE49F" w:rsidR="00563269" w:rsidRPr="00181B4B" w:rsidRDefault="00563269" w:rsidP="00181B4B">
      <w:pPr>
        <w:pStyle w:val="Titre2"/>
        <w:tabs>
          <w:tab w:val="clear" w:pos="1928"/>
          <w:tab w:val="num" w:pos="1503"/>
        </w:tabs>
        <w:ind w:left="1077"/>
        <w:rPr>
          <w:color w:val="auto"/>
        </w:rPr>
      </w:pPr>
      <w:bookmarkStart w:id="12" w:name="_Toc117776284"/>
      <w:r w:rsidRPr="00181B4B">
        <w:rPr>
          <w:color w:val="auto"/>
        </w:rPr>
        <w:t>Information on</w:t>
      </w:r>
      <w:r w:rsidR="00D75A67" w:rsidRPr="00181B4B">
        <w:rPr>
          <w:color w:val="auto"/>
        </w:rPr>
        <w:t xml:space="preserve"> tonnage and</w:t>
      </w:r>
      <w:r w:rsidRPr="00181B4B">
        <w:rPr>
          <w:color w:val="auto"/>
        </w:rPr>
        <w:t xml:space="preserve"> uses</w:t>
      </w:r>
      <w:bookmarkEnd w:id="12"/>
    </w:p>
    <w:p w14:paraId="5086BDFD" w14:textId="2A5471A5" w:rsidR="00B02718" w:rsidRDefault="00B02718" w:rsidP="00ED47FC">
      <w:pPr>
        <w:autoSpaceDE w:val="0"/>
        <w:autoSpaceDN w:val="0"/>
        <w:adjustRightInd w:val="0"/>
        <w:spacing w:after="0" w:line="276" w:lineRule="auto"/>
        <w:jc w:val="both"/>
        <w:rPr>
          <w:rFonts w:ascii="Verdana" w:hAnsi="Verdana"/>
          <w:b/>
          <w:sz w:val="20"/>
          <w:szCs w:val="20"/>
          <w:u w:val="single"/>
          <w:lang w:eastAsia="en-GB"/>
        </w:rPr>
      </w:pPr>
      <w:r>
        <w:rPr>
          <w:rFonts w:ascii="Verdana" w:hAnsi="Verdana"/>
          <w:b/>
          <w:sz w:val="20"/>
          <w:szCs w:val="20"/>
          <w:u w:val="single"/>
          <w:lang w:eastAsia="en-GB"/>
        </w:rPr>
        <w:t>Overview of tonnage</w:t>
      </w:r>
    </w:p>
    <w:p w14:paraId="7ADE28AA" w14:textId="541ADEFA" w:rsidR="00A51963" w:rsidRPr="00A51963" w:rsidRDefault="004B6723" w:rsidP="00ED47FC">
      <w:pPr>
        <w:pStyle w:val="Corpsdetexte"/>
        <w:spacing w:line="276" w:lineRule="auto"/>
        <w:jc w:val="both"/>
        <w:rPr>
          <w:rFonts w:ascii="Verdana" w:hAnsi="Verdana"/>
          <w:bCs/>
          <w:sz w:val="20"/>
          <w:szCs w:val="20"/>
        </w:rPr>
      </w:pPr>
      <w:r>
        <w:rPr>
          <w:rFonts w:ascii="Verdana" w:hAnsi="Verdana"/>
          <w:bCs/>
          <w:sz w:val="20"/>
          <w:szCs w:val="20"/>
        </w:rPr>
        <w:t xml:space="preserve">Carbon </w:t>
      </w:r>
      <w:r w:rsidR="00482EE8">
        <w:rPr>
          <w:rFonts w:ascii="Verdana" w:hAnsi="Verdana"/>
          <w:bCs/>
          <w:sz w:val="20"/>
          <w:szCs w:val="20"/>
        </w:rPr>
        <w:t>disulfide</w:t>
      </w:r>
      <w:r>
        <w:rPr>
          <w:rFonts w:ascii="Verdana" w:hAnsi="Verdana"/>
          <w:bCs/>
          <w:sz w:val="20"/>
          <w:szCs w:val="20"/>
        </w:rPr>
        <w:t xml:space="preserve"> is</w:t>
      </w:r>
      <w:r w:rsidR="00563269">
        <w:rPr>
          <w:rFonts w:ascii="Verdana" w:hAnsi="Verdana"/>
          <w:bCs/>
          <w:sz w:val="20"/>
          <w:szCs w:val="20"/>
        </w:rPr>
        <w:t xml:space="preserve"> registered under REAC</w:t>
      </w:r>
      <w:r w:rsidR="009C227F">
        <w:rPr>
          <w:rFonts w:ascii="Verdana" w:hAnsi="Verdana"/>
          <w:bCs/>
          <w:sz w:val="20"/>
          <w:szCs w:val="20"/>
        </w:rPr>
        <w:t>h</w:t>
      </w:r>
      <w:r w:rsidR="00563269">
        <w:rPr>
          <w:rFonts w:ascii="Verdana" w:hAnsi="Verdana"/>
          <w:bCs/>
          <w:sz w:val="20"/>
          <w:szCs w:val="20"/>
        </w:rPr>
        <w:t xml:space="preserve"> </w:t>
      </w:r>
      <w:r w:rsidR="002D0738">
        <w:rPr>
          <w:rFonts w:ascii="Verdana" w:hAnsi="Verdana"/>
          <w:bCs/>
          <w:sz w:val="20"/>
          <w:szCs w:val="20"/>
        </w:rPr>
        <w:t>r</w:t>
      </w:r>
      <w:r w:rsidR="006A087F">
        <w:rPr>
          <w:rFonts w:ascii="Verdana" w:hAnsi="Verdana"/>
          <w:bCs/>
          <w:sz w:val="20"/>
          <w:szCs w:val="20"/>
        </w:rPr>
        <w:t xml:space="preserve">egulation </w:t>
      </w:r>
      <w:r w:rsidR="00563269">
        <w:rPr>
          <w:rFonts w:ascii="Verdana" w:hAnsi="Verdana"/>
          <w:bCs/>
          <w:sz w:val="20"/>
          <w:szCs w:val="20"/>
        </w:rPr>
        <w:t>with both full and intermediate submission</w:t>
      </w:r>
      <w:r w:rsidR="00170B5B">
        <w:rPr>
          <w:rFonts w:ascii="Verdana" w:hAnsi="Verdana"/>
          <w:bCs/>
          <w:sz w:val="20"/>
          <w:szCs w:val="20"/>
        </w:rPr>
        <w:t>s</w:t>
      </w:r>
      <w:r w:rsidR="00563269">
        <w:rPr>
          <w:rFonts w:ascii="Verdana" w:hAnsi="Verdana"/>
          <w:bCs/>
          <w:sz w:val="20"/>
          <w:szCs w:val="20"/>
        </w:rPr>
        <w:t>. There are seven active registrants for carbon disulfide (disseminated ECHA database, consulted in June 2022) w</w:t>
      </w:r>
      <w:r w:rsidR="00D75A67">
        <w:rPr>
          <w:rFonts w:ascii="Verdana" w:hAnsi="Verdana"/>
          <w:bCs/>
          <w:sz w:val="20"/>
          <w:szCs w:val="20"/>
        </w:rPr>
        <w:t>ith a full registration dossier</w:t>
      </w:r>
      <w:r w:rsidR="00C2121A">
        <w:rPr>
          <w:rFonts w:ascii="Verdana" w:hAnsi="Verdana"/>
          <w:bCs/>
          <w:sz w:val="20"/>
          <w:szCs w:val="20"/>
        </w:rPr>
        <w:t xml:space="preserve"> (joint submission)</w:t>
      </w:r>
      <w:r w:rsidR="00966193">
        <w:rPr>
          <w:rFonts w:ascii="Verdana" w:hAnsi="Verdana"/>
          <w:bCs/>
          <w:sz w:val="20"/>
          <w:szCs w:val="20"/>
        </w:rPr>
        <w:t xml:space="preserve"> in accordance with art. 10 of REACh regulation </w:t>
      </w:r>
      <w:r w:rsidR="00563269">
        <w:rPr>
          <w:rFonts w:ascii="Verdana" w:hAnsi="Verdana"/>
          <w:bCs/>
          <w:sz w:val="20"/>
          <w:szCs w:val="20"/>
        </w:rPr>
        <w:t xml:space="preserve">with a total tonnage range ≥ 100 000 </w:t>
      </w:r>
      <w:r w:rsidR="00170B5B">
        <w:rPr>
          <w:rFonts w:ascii="Verdana" w:hAnsi="Verdana"/>
          <w:bCs/>
          <w:sz w:val="20"/>
          <w:szCs w:val="20"/>
        </w:rPr>
        <w:t xml:space="preserve">tons </w:t>
      </w:r>
      <w:r w:rsidR="00563269">
        <w:rPr>
          <w:rFonts w:ascii="Verdana" w:hAnsi="Verdana"/>
          <w:bCs/>
          <w:sz w:val="20"/>
          <w:szCs w:val="20"/>
        </w:rPr>
        <w:t xml:space="preserve">per year. Carbon disulfide is also registered </w:t>
      </w:r>
      <w:r w:rsidR="00D26621">
        <w:rPr>
          <w:rFonts w:ascii="Verdana" w:hAnsi="Verdana"/>
          <w:bCs/>
          <w:sz w:val="20"/>
          <w:szCs w:val="20"/>
        </w:rPr>
        <w:t>by three registrants</w:t>
      </w:r>
      <w:r w:rsidR="00181341">
        <w:rPr>
          <w:rFonts w:ascii="Verdana" w:hAnsi="Verdana"/>
          <w:bCs/>
          <w:sz w:val="20"/>
          <w:szCs w:val="20"/>
        </w:rPr>
        <w:t xml:space="preserve"> </w:t>
      </w:r>
      <w:r w:rsidR="00563269">
        <w:rPr>
          <w:rFonts w:ascii="Verdana" w:hAnsi="Verdana"/>
          <w:bCs/>
          <w:sz w:val="20"/>
          <w:szCs w:val="20"/>
        </w:rPr>
        <w:t>for intermediate use only</w:t>
      </w:r>
      <w:r w:rsidR="007D7BDD">
        <w:rPr>
          <w:rFonts w:ascii="Verdana" w:hAnsi="Verdana"/>
          <w:bCs/>
          <w:sz w:val="20"/>
          <w:szCs w:val="20"/>
        </w:rPr>
        <w:t xml:space="preserve"> </w:t>
      </w:r>
      <w:r w:rsidR="00563269">
        <w:rPr>
          <w:rFonts w:ascii="Verdana" w:hAnsi="Verdana"/>
          <w:bCs/>
          <w:sz w:val="20"/>
          <w:szCs w:val="20"/>
        </w:rPr>
        <w:t>(joint submission).</w:t>
      </w:r>
      <w:r w:rsidR="00A51963" w:rsidRPr="00A51963">
        <w:rPr>
          <w:rFonts w:ascii="Verdana" w:hAnsi="Verdana"/>
          <w:bCs/>
          <w:sz w:val="20"/>
          <w:szCs w:val="20"/>
        </w:rPr>
        <w:t xml:space="preserve"> </w:t>
      </w:r>
    </w:p>
    <w:p w14:paraId="7090BFD2" w14:textId="6D47DFA0" w:rsidR="00472795" w:rsidRDefault="00472795" w:rsidP="00617EE5">
      <w:pPr>
        <w:pStyle w:val="Lgende"/>
      </w:pPr>
      <w:r>
        <w:lastRenderedPageBreak/>
        <w:t xml:space="preserve">Table </w:t>
      </w:r>
      <w:r w:rsidR="005970D6">
        <w:fldChar w:fldCharType="begin"/>
      </w:r>
      <w:r w:rsidR="005970D6">
        <w:instrText xml:space="preserve"> SEQ Table \* ARABIC </w:instrText>
      </w:r>
      <w:r w:rsidR="005970D6">
        <w:fldChar w:fldCharType="separate"/>
      </w:r>
      <w:r w:rsidR="0014770F">
        <w:rPr>
          <w:noProof/>
        </w:rPr>
        <w:t>4</w:t>
      </w:r>
      <w:r w:rsidR="005970D6">
        <w:rPr>
          <w:noProof/>
        </w:rPr>
        <w:fldChar w:fldCharType="end"/>
      </w:r>
      <w:r w:rsidR="008408CE">
        <w:tab/>
      </w:r>
      <w:r>
        <w:t xml:space="preserve"> Tonnage and registration status</w:t>
      </w:r>
    </w:p>
    <w:tbl>
      <w:tblPr>
        <w:tblStyle w:val="Grilledutableau"/>
        <w:tblW w:w="0" w:type="auto"/>
        <w:jc w:val="center"/>
        <w:tblLook w:val="04A0" w:firstRow="1" w:lastRow="0" w:firstColumn="1" w:lastColumn="0" w:noHBand="0" w:noVBand="1"/>
      </w:tblPr>
      <w:tblGrid>
        <w:gridCol w:w="2767"/>
        <w:gridCol w:w="3429"/>
      </w:tblGrid>
      <w:tr w:rsidR="00472795" w14:paraId="22A11D74" w14:textId="77777777" w:rsidTr="00CE6DD5">
        <w:trPr>
          <w:trHeight w:val="70"/>
          <w:jc w:val="center"/>
        </w:trPr>
        <w:tc>
          <w:tcPr>
            <w:tcW w:w="6196" w:type="dxa"/>
            <w:gridSpan w:val="2"/>
          </w:tcPr>
          <w:p w14:paraId="21A06DCD" w14:textId="339F1A61" w:rsidR="00472795" w:rsidRDefault="00472795" w:rsidP="009D67C2">
            <w:pPr>
              <w:pStyle w:val="Corpsdetexte"/>
              <w:keepNext/>
              <w:keepLines/>
              <w:spacing w:after="0"/>
              <w:jc w:val="both"/>
              <w:rPr>
                <w:rFonts w:ascii="Verdana" w:hAnsi="Verdana"/>
                <w:bCs/>
                <w:sz w:val="20"/>
                <w:szCs w:val="20"/>
              </w:rPr>
            </w:pPr>
            <w:r>
              <w:rPr>
                <w:rFonts w:ascii="Verdana" w:hAnsi="Verdana"/>
                <w:bCs/>
                <w:sz w:val="20"/>
                <w:szCs w:val="20"/>
              </w:rPr>
              <w:t>ECHA disseminated database</w:t>
            </w:r>
          </w:p>
        </w:tc>
      </w:tr>
      <w:tr w:rsidR="00472795" w14:paraId="061A37C0" w14:textId="77777777" w:rsidTr="00CE6DD5">
        <w:trPr>
          <w:jc w:val="center"/>
        </w:trPr>
        <w:tc>
          <w:tcPr>
            <w:tcW w:w="2767" w:type="dxa"/>
          </w:tcPr>
          <w:p w14:paraId="19F3A5AA" w14:textId="37F16DA2" w:rsidR="00472795" w:rsidRDefault="00472795" w:rsidP="009D67C2">
            <w:pPr>
              <w:pStyle w:val="Corpsdetexte"/>
              <w:keepNext/>
              <w:keepLines/>
              <w:spacing w:after="0"/>
              <w:jc w:val="both"/>
              <w:rPr>
                <w:rFonts w:ascii="Verdana" w:hAnsi="Verdana"/>
                <w:bCs/>
                <w:sz w:val="20"/>
                <w:szCs w:val="20"/>
              </w:rPr>
            </w:pPr>
            <w:r>
              <w:rPr>
                <w:rFonts w:ascii="Verdana" w:hAnsi="Verdana"/>
                <w:bCs/>
                <w:sz w:val="20"/>
                <w:szCs w:val="20"/>
              </w:rPr>
              <w:t>Registrations</w:t>
            </w:r>
          </w:p>
        </w:tc>
        <w:tc>
          <w:tcPr>
            <w:tcW w:w="3429" w:type="dxa"/>
          </w:tcPr>
          <w:p w14:paraId="51A13B07" w14:textId="6FB5F3B7" w:rsidR="00D75A67" w:rsidRPr="00F1478B" w:rsidRDefault="00673013" w:rsidP="00617EE5">
            <w:pPr>
              <w:pStyle w:val="Lgende"/>
            </w:pPr>
            <w:sdt>
              <w:sdtPr>
                <w:rPr>
                  <w:szCs w:val="24"/>
                </w:rPr>
                <w:id w:val="-680281471"/>
                <w14:checkbox>
                  <w14:checked w14:val="1"/>
                  <w14:checkedState w14:val="2612" w14:font="MS Gothic"/>
                  <w14:uncheckedState w14:val="2610" w14:font="MS Gothic"/>
                </w14:checkbox>
              </w:sdtPr>
              <w:sdtContent>
                <w:r w:rsidR="00D75A67" w:rsidRPr="00F1478B">
                  <w:rPr>
                    <w:rFonts w:ascii="MS Gothic" w:eastAsia="MS Gothic" w:hAnsi="MS Gothic"/>
                    <w:szCs w:val="24"/>
                  </w:rPr>
                  <w:t>☒</w:t>
                </w:r>
              </w:sdtContent>
            </w:sdt>
            <w:r w:rsidR="00D75A67" w:rsidRPr="00F1478B">
              <w:t xml:space="preserve"> Full registration(s)</w:t>
            </w:r>
          </w:p>
          <w:p w14:paraId="31625A2E" w14:textId="66E5C918" w:rsidR="00D75A67" w:rsidRPr="00F1478B" w:rsidRDefault="00D75A67" w:rsidP="00617EE5">
            <w:pPr>
              <w:pStyle w:val="Lgende"/>
            </w:pPr>
            <w:r w:rsidRPr="00F1478B">
              <w:t>(Art. 10)</w:t>
            </w:r>
          </w:p>
          <w:p w14:paraId="252A5A00" w14:textId="20798830" w:rsidR="00D75A67" w:rsidRPr="00F1478B" w:rsidRDefault="00673013" w:rsidP="00617EE5">
            <w:pPr>
              <w:pStyle w:val="Lgende"/>
            </w:pPr>
            <w:sdt>
              <w:sdtPr>
                <w:rPr>
                  <w:szCs w:val="24"/>
                </w:rPr>
                <w:id w:val="-2012682110"/>
                <w14:checkbox>
                  <w14:checked w14:val="1"/>
                  <w14:checkedState w14:val="2612" w14:font="MS Gothic"/>
                  <w14:uncheckedState w14:val="2610" w14:font="MS Gothic"/>
                </w14:checkbox>
              </w:sdtPr>
              <w:sdtContent>
                <w:r w:rsidR="00D75A67" w:rsidRPr="00F1478B">
                  <w:rPr>
                    <w:rFonts w:ascii="MS Gothic" w:eastAsia="MS Gothic" w:hAnsi="MS Gothic"/>
                    <w:szCs w:val="24"/>
                  </w:rPr>
                  <w:t>☒</w:t>
                </w:r>
              </w:sdtContent>
            </w:sdt>
            <w:r w:rsidR="00D75A67" w:rsidRPr="00F1478B">
              <w:t xml:space="preserve"> Intermediate registration(s)</w:t>
            </w:r>
          </w:p>
          <w:p w14:paraId="7DF39EA6" w14:textId="0DA0573B" w:rsidR="00472795" w:rsidRDefault="00D75A67" w:rsidP="009D67C2">
            <w:pPr>
              <w:pStyle w:val="Corpsdetexte"/>
              <w:keepNext/>
              <w:keepLines/>
              <w:spacing w:after="0"/>
              <w:rPr>
                <w:rFonts w:ascii="Verdana" w:hAnsi="Verdana"/>
                <w:bCs/>
                <w:sz w:val="20"/>
                <w:szCs w:val="20"/>
              </w:rPr>
            </w:pPr>
            <w:r w:rsidRPr="00D75A67">
              <w:rPr>
                <w:rFonts w:ascii="Verdana" w:hAnsi="Verdana"/>
                <w:sz w:val="20"/>
              </w:rPr>
              <w:t>(Art. 17 and/or 18)</w:t>
            </w:r>
          </w:p>
        </w:tc>
      </w:tr>
      <w:tr w:rsidR="00472795" w14:paraId="5C39118B" w14:textId="77777777" w:rsidTr="00CE6DD5">
        <w:trPr>
          <w:jc w:val="center"/>
        </w:trPr>
        <w:tc>
          <w:tcPr>
            <w:tcW w:w="2767" w:type="dxa"/>
          </w:tcPr>
          <w:p w14:paraId="36D97487" w14:textId="4DB3AD9A" w:rsidR="00472795" w:rsidRDefault="00472795" w:rsidP="009D67C2">
            <w:pPr>
              <w:pStyle w:val="Corpsdetexte"/>
              <w:keepNext/>
              <w:keepLines/>
              <w:spacing w:after="0"/>
              <w:jc w:val="both"/>
              <w:rPr>
                <w:rFonts w:ascii="Verdana" w:hAnsi="Verdana"/>
                <w:bCs/>
                <w:sz w:val="20"/>
                <w:szCs w:val="20"/>
              </w:rPr>
            </w:pPr>
            <w:r>
              <w:rPr>
                <w:rFonts w:ascii="Verdana" w:hAnsi="Verdana"/>
                <w:bCs/>
                <w:sz w:val="20"/>
                <w:szCs w:val="20"/>
              </w:rPr>
              <w:t xml:space="preserve">Total Tonnage band </w:t>
            </w:r>
          </w:p>
        </w:tc>
        <w:tc>
          <w:tcPr>
            <w:tcW w:w="3429" w:type="dxa"/>
          </w:tcPr>
          <w:p w14:paraId="03BF47FB" w14:textId="723876A1" w:rsidR="00472795" w:rsidRDefault="00D75A67" w:rsidP="009D67C2">
            <w:pPr>
              <w:pStyle w:val="Corpsdetexte"/>
              <w:keepNext/>
              <w:keepLines/>
              <w:spacing w:after="0"/>
              <w:rPr>
                <w:rFonts w:ascii="Verdana" w:hAnsi="Verdana"/>
                <w:bCs/>
                <w:sz w:val="20"/>
                <w:szCs w:val="20"/>
              </w:rPr>
            </w:pPr>
            <w:r>
              <w:rPr>
                <w:rFonts w:ascii="Verdana" w:hAnsi="Verdana"/>
                <w:bCs/>
                <w:sz w:val="20"/>
                <w:szCs w:val="20"/>
              </w:rPr>
              <w:t>10</w:t>
            </w:r>
            <w:r w:rsidR="00AE3CE6">
              <w:rPr>
                <w:rFonts w:ascii="Verdana" w:hAnsi="Verdana"/>
                <w:bCs/>
                <w:sz w:val="20"/>
                <w:szCs w:val="20"/>
              </w:rPr>
              <w:t>0</w:t>
            </w:r>
            <w:r>
              <w:rPr>
                <w:rFonts w:ascii="Verdana" w:hAnsi="Verdana"/>
                <w:bCs/>
                <w:sz w:val="20"/>
                <w:szCs w:val="20"/>
              </w:rPr>
              <w:t>,000-1</w:t>
            </w:r>
            <w:r w:rsidR="00AE3CE6">
              <w:rPr>
                <w:rFonts w:ascii="Verdana" w:hAnsi="Verdana"/>
                <w:bCs/>
                <w:sz w:val="20"/>
                <w:szCs w:val="20"/>
              </w:rPr>
              <w:t>,0</w:t>
            </w:r>
            <w:r>
              <w:rPr>
                <w:rFonts w:ascii="Verdana" w:hAnsi="Verdana"/>
                <w:bCs/>
                <w:sz w:val="20"/>
                <w:szCs w:val="20"/>
              </w:rPr>
              <w:t>00,000 tpa</w:t>
            </w:r>
          </w:p>
        </w:tc>
      </w:tr>
    </w:tbl>
    <w:p w14:paraId="624A7BFB" w14:textId="77777777" w:rsidR="00A51963" w:rsidRDefault="00A51963" w:rsidP="00F1480F">
      <w:pPr>
        <w:autoSpaceDE w:val="0"/>
        <w:autoSpaceDN w:val="0"/>
        <w:adjustRightInd w:val="0"/>
        <w:spacing w:after="0"/>
        <w:jc w:val="both"/>
        <w:rPr>
          <w:rFonts w:ascii="Verdana" w:hAnsi="Verdana"/>
          <w:sz w:val="20"/>
          <w:szCs w:val="20"/>
          <w:lang w:eastAsia="en-GB"/>
        </w:rPr>
      </w:pPr>
    </w:p>
    <w:p w14:paraId="137A8038" w14:textId="77777777" w:rsidR="00190415" w:rsidRDefault="00190415" w:rsidP="00B02718">
      <w:pPr>
        <w:autoSpaceDE w:val="0"/>
        <w:autoSpaceDN w:val="0"/>
        <w:adjustRightInd w:val="0"/>
        <w:spacing w:after="0"/>
        <w:jc w:val="both"/>
        <w:rPr>
          <w:rFonts w:ascii="Verdana" w:hAnsi="Verdana"/>
          <w:b/>
          <w:sz w:val="20"/>
          <w:szCs w:val="20"/>
          <w:u w:val="single"/>
          <w:lang w:eastAsia="en-GB"/>
        </w:rPr>
      </w:pPr>
    </w:p>
    <w:p w14:paraId="33026A5C" w14:textId="451D6362" w:rsidR="00D75A67" w:rsidRDefault="00B02718" w:rsidP="00B02718">
      <w:pPr>
        <w:autoSpaceDE w:val="0"/>
        <w:autoSpaceDN w:val="0"/>
        <w:adjustRightInd w:val="0"/>
        <w:spacing w:after="0"/>
        <w:jc w:val="both"/>
        <w:rPr>
          <w:rFonts w:ascii="Verdana" w:hAnsi="Verdana"/>
          <w:b/>
          <w:sz w:val="20"/>
          <w:szCs w:val="20"/>
          <w:u w:val="single"/>
          <w:lang w:eastAsia="en-GB"/>
        </w:rPr>
      </w:pPr>
      <w:r>
        <w:rPr>
          <w:rFonts w:ascii="Verdana" w:hAnsi="Verdana"/>
          <w:b/>
          <w:sz w:val="20"/>
          <w:szCs w:val="20"/>
          <w:u w:val="single"/>
          <w:lang w:eastAsia="en-GB"/>
        </w:rPr>
        <w:t>Overview of uses</w:t>
      </w:r>
    </w:p>
    <w:p w14:paraId="0328EA78" w14:textId="77777777" w:rsidR="00F408B6" w:rsidRDefault="00F408B6" w:rsidP="00B02718">
      <w:pPr>
        <w:autoSpaceDE w:val="0"/>
        <w:autoSpaceDN w:val="0"/>
        <w:adjustRightInd w:val="0"/>
        <w:spacing w:after="0"/>
        <w:jc w:val="both"/>
        <w:rPr>
          <w:rFonts w:ascii="Verdana" w:hAnsi="Verdana"/>
          <w:sz w:val="20"/>
          <w:szCs w:val="20"/>
        </w:rPr>
      </w:pPr>
    </w:p>
    <w:p w14:paraId="0D2A905B" w14:textId="71E7C164" w:rsidR="00F408B6" w:rsidRDefault="00F23261" w:rsidP="00ED47FC">
      <w:pPr>
        <w:autoSpaceDE w:val="0"/>
        <w:autoSpaceDN w:val="0"/>
        <w:adjustRightInd w:val="0"/>
        <w:spacing w:after="0" w:line="276" w:lineRule="auto"/>
        <w:jc w:val="both"/>
        <w:rPr>
          <w:rFonts w:ascii="Verdana" w:hAnsi="Verdana"/>
          <w:sz w:val="20"/>
          <w:szCs w:val="20"/>
        </w:rPr>
      </w:pPr>
      <w:r w:rsidRPr="00F1480F">
        <w:rPr>
          <w:rFonts w:ascii="Verdana" w:hAnsi="Verdana"/>
          <w:sz w:val="20"/>
          <w:szCs w:val="20"/>
        </w:rPr>
        <w:t>Carbon</w:t>
      </w:r>
      <w:r w:rsidRPr="00F1480F">
        <w:rPr>
          <w:rFonts w:ascii="Arial" w:hAnsi="Arial" w:cs="Arial"/>
          <w:sz w:val="22"/>
          <w:szCs w:val="22"/>
          <w:lang w:val="en-US"/>
        </w:rPr>
        <w:t xml:space="preserve"> </w:t>
      </w:r>
      <w:r>
        <w:rPr>
          <w:rFonts w:ascii="Verdana" w:hAnsi="Verdana"/>
          <w:sz w:val="20"/>
          <w:szCs w:val="20"/>
        </w:rPr>
        <w:t xml:space="preserve">disulfide is an organic solvent. </w:t>
      </w:r>
      <w:r w:rsidR="00C45326">
        <w:rPr>
          <w:rFonts w:ascii="Verdana" w:hAnsi="Verdana"/>
          <w:sz w:val="20"/>
          <w:szCs w:val="20"/>
        </w:rPr>
        <w:t xml:space="preserve">Technical function reported for carbon </w:t>
      </w:r>
      <w:r w:rsidR="00482EE8">
        <w:rPr>
          <w:rFonts w:ascii="Verdana" w:hAnsi="Verdana"/>
          <w:sz w:val="20"/>
          <w:szCs w:val="20"/>
        </w:rPr>
        <w:t>disulfide</w:t>
      </w:r>
      <w:r w:rsidR="00C45326">
        <w:rPr>
          <w:rFonts w:ascii="Verdana" w:hAnsi="Verdana"/>
          <w:sz w:val="20"/>
          <w:szCs w:val="20"/>
        </w:rPr>
        <w:t xml:space="preserve"> </w:t>
      </w:r>
      <w:r>
        <w:rPr>
          <w:rFonts w:ascii="Verdana" w:hAnsi="Verdana"/>
          <w:sz w:val="20"/>
          <w:szCs w:val="20"/>
        </w:rPr>
        <w:t xml:space="preserve">in the registration dossiers </w:t>
      </w:r>
      <w:r w:rsidR="00203C2F">
        <w:rPr>
          <w:rFonts w:ascii="Verdana" w:hAnsi="Verdana"/>
          <w:sz w:val="20"/>
          <w:szCs w:val="20"/>
        </w:rPr>
        <w:t>are</w:t>
      </w:r>
      <w:r w:rsidR="00C45326">
        <w:rPr>
          <w:rFonts w:ascii="Verdana" w:hAnsi="Verdana"/>
          <w:sz w:val="20"/>
          <w:szCs w:val="20"/>
        </w:rPr>
        <w:t xml:space="preserve"> </w:t>
      </w:r>
      <w:r w:rsidR="006378D0">
        <w:rPr>
          <w:rFonts w:ascii="Verdana" w:hAnsi="Verdana"/>
          <w:sz w:val="20"/>
          <w:szCs w:val="20"/>
        </w:rPr>
        <w:t>‘</w:t>
      </w:r>
      <w:r w:rsidR="00F408B6" w:rsidRPr="006F7D84">
        <w:rPr>
          <w:rFonts w:ascii="Verdana" w:hAnsi="Verdana"/>
          <w:sz w:val="20"/>
          <w:szCs w:val="20"/>
        </w:rPr>
        <w:t>intermediate (precursor)</w:t>
      </w:r>
      <w:r w:rsidR="006378D0">
        <w:rPr>
          <w:rFonts w:ascii="Verdana" w:hAnsi="Verdana"/>
          <w:sz w:val="20"/>
          <w:szCs w:val="20"/>
        </w:rPr>
        <w:t>’</w:t>
      </w:r>
      <w:r w:rsidR="00C45326">
        <w:rPr>
          <w:rFonts w:ascii="Verdana" w:hAnsi="Verdana"/>
          <w:sz w:val="20"/>
          <w:szCs w:val="20"/>
        </w:rPr>
        <w:t xml:space="preserve">, </w:t>
      </w:r>
      <w:r w:rsidR="006378D0">
        <w:rPr>
          <w:rFonts w:ascii="Verdana" w:hAnsi="Verdana"/>
          <w:sz w:val="20"/>
          <w:szCs w:val="20"/>
        </w:rPr>
        <w:t>‘</w:t>
      </w:r>
      <w:r w:rsidR="00C45326">
        <w:rPr>
          <w:rFonts w:ascii="Verdana" w:hAnsi="Verdana"/>
          <w:sz w:val="20"/>
          <w:szCs w:val="20"/>
        </w:rPr>
        <w:t>pH regulating agent</w:t>
      </w:r>
      <w:r w:rsidR="006378D0">
        <w:rPr>
          <w:rFonts w:ascii="Verdana" w:hAnsi="Verdana"/>
          <w:sz w:val="20"/>
          <w:szCs w:val="20"/>
        </w:rPr>
        <w:t>’</w:t>
      </w:r>
      <w:r w:rsidR="00C45326">
        <w:rPr>
          <w:rFonts w:ascii="Verdana" w:hAnsi="Verdana"/>
          <w:sz w:val="20"/>
          <w:szCs w:val="20"/>
        </w:rPr>
        <w:t xml:space="preserve">, </w:t>
      </w:r>
      <w:r w:rsidR="006378D0">
        <w:rPr>
          <w:rFonts w:ascii="Verdana" w:hAnsi="Verdana"/>
          <w:sz w:val="20"/>
          <w:szCs w:val="20"/>
        </w:rPr>
        <w:t>‘</w:t>
      </w:r>
      <w:r w:rsidR="00C45326">
        <w:rPr>
          <w:rFonts w:ascii="Verdana" w:hAnsi="Verdana"/>
          <w:sz w:val="20"/>
          <w:szCs w:val="20"/>
        </w:rPr>
        <w:t>solvent</w:t>
      </w:r>
      <w:r w:rsidR="006378D0">
        <w:rPr>
          <w:rFonts w:ascii="Verdana" w:hAnsi="Verdana"/>
          <w:sz w:val="20"/>
          <w:szCs w:val="20"/>
        </w:rPr>
        <w:t>’</w:t>
      </w:r>
      <w:r w:rsidR="00C45326">
        <w:rPr>
          <w:rFonts w:ascii="Verdana" w:hAnsi="Verdana"/>
          <w:sz w:val="20"/>
          <w:szCs w:val="20"/>
        </w:rPr>
        <w:t xml:space="preserve"> or </w:t>
      </w:r>
      <w:r w:rsidR="006378D0">
        <w:rPr>
          <w:rFonts w:ascii="Verdana" w:hAnsi="Verdana"/>
          <w:sz w:val="20"/>
          <w:szCs w:val="20"/>
        </w:rPr>
        <w:t>‘</w:t>
      </w:r>
      <w:r w:rsidR="00F408B6">
        <w:rPr>
          <w:rFonts w:ascii="Verdana" w:hAnsi="Verdana"/>
          <w:sz w:val="20"/>
          <w:szCs w:val="20"/>
        </w:rPr>
        <w:t>laboratory chemical</w:t>
      </w:r>
      <w:r w:rsidR="006378D0">
        <w:rPr>
          <w:rFonts w:ascii="Verdana" w:hAnsi="Verdana"/>
          <w:sz w:val="20"/>
          <w:szCs w:val="20"/>
        </w:rPr>
        <w:t>’</w:t>
      </w:r>
      <w:r w:rsidR="00252F7B">
        <w:rPr>
          <w:rFonts w:ascii="Verdana" w:hAnsi="Verdana"/>
          <w:sz w:val="20"/>
          <w:szCs w:val="20"/>
        </w:rPr>
        <w:t>.</w:t>
      </w:r>
    </w:p>
    <w:p w14:paraId="57A4ADBE" w14:textId="77777777" w:rsidR="008458AD" w:rsidRDefault="008458AD" w:rsidP="00ED47FC">
      <w:pPr>
        <w:autoSpaceDE w:val="0"/>
        <w:autoSpaceDN w:val="0"/>
        <w:adjustRightInd w:val="0"/>
        <w:spacing w:after="0" w:line="276" w:lineRule="auto"/>
        <w:jc w:val="both"/>
        <w:rPr>
          <w:rFonts w:ascii="Verdana" w:hAnsi="Verdana"/>
          <w:sz w:val="20"/>
          <w:szCs w:val="20"/>
        </w:rPr>
      </w:pPr>
    </w:p>
    <w:p w14:paraId="3AD86AE5" w14:textId="3C17D2AD" w:rsidR="00D14A8A" w:rsidRDefault="00482EE8" w:rsidP="00ED47FC">
      <w:pPr>
        <w:autoSpaceDE w:val="0"/>
        <w:autoSpaceDN w:val="0"/>
        <w:adjustRightInd w:val="0"/>
        <w:spacing w:after="0" w:line="276" w:lineRule="auto"/>
        <w:jc w:val="both"/>
        <w:rPr>
          <w:szCs w:val="20"/>
        </w:rPr>
      </w:pPr>
      <w:r>
        <w:rPr>
          <w:rFonts w:ascii="Verdana" w:hAnsi="Verdana"/>
          <w:sz w:val="20"/>
          <w:szCs w:val="20"/>
        </w:rPr>
        <w:t>The following uses are reporte</w:t>
      </w:r>
      <w:r w:rsidR="00D14A8A">
        <w:rPr>
          <w:rFonts w:ascii="Verdana" w:hAnsi="Verdana"/>
          <w:sz w:val="20"/>
          <w:szCs w:val="20"/>
        </w:rPr>
        <w:t>d</w:t>
      </w:r>
      <w:r>
        <w:rPr>
          <w:rFonts w:ascii="Verdana" w:hAnsi="Verdana"/>
          <w:sz w:val="20"/>
          <w:szCs w:val="20"/>
        </w:rPr>
        <w:t xml:space="preserve"> in the registration dossiers</w:t>
      </w:r>
      <w:r w:rsidR="00D14A8A">
        <w:rPr>
          <w:rFonts w:ascii="Verdana" w:hAnsi="Verdana"/>
          <w:sz w:val="20"/>
          <w:szCs w:val="20"/>
        </w:rPr>
        <w:t xml:space="preserve">: manufacturing of carbon </w:t>
      </w:r>
      <w:r>
        <w:rPr>
          <w:rFonts w:ascii="Verdana" w:hAnsi="Verdana"/>
          <w:sz w:val="20"/>
          <w:szCs w:val="20"/>
        </w:rPr>
        <w:t>disulfide</w:t>
      </w:r>
      <w:r w:rsidR="00D14A8A">
        <w:rPr>
          <w:rFonts w:ascii="Verdana" w:hAnsi="Verdana"/>
          <w:sz w:val="20"/>
          <w:szCs w:val="20"/>
        </w:rPr>
        <w:t>, manufacturing</w:t>
      </w:r>
      <w:r w:rsidR="008458AD" w:rsidRPr="00F1480F">
        <w:rPr>
          <w:rFonts w:ascii="Verdana" w:hAnsi="Verdana"/>
          <w:sz w:val="20"/>
          <w:szCs w:val="20"/>
        </w:rPr>
        <w:t xml:space="preserve"> of</w:t>
      </w:r>
      <w:r w:rsidR="008458AD">
        <w:rPr>
          <w:rFonts w:ascii="Verdana" w:hAnsi="Verdana"/>
          <w:sz w:val="20"/>
          <w:szCs w:val="20"/>
        </w:rPr>
        <w:t xml:space="preserve"> regenerative cellulose </w:t>
      </w:r>
      <w:r w:rsidR="00A603AF">
        <w:rPr>
          <w:rFonts w:ascii="Verdana" w:hAnsi="Verdana"/>
          <w:sz w:val="20"/>
          <w:szCs w:val="20"/>
        </w:rPr>
        <w:t>(viscose rayon, cellophane</w:t>
      </w:r>
      <w:r w:rsidR="007E19AB">
        <w:rPr>
          <w:rFonts w:ascii="Verdana" w:hAnsi="Verdana"/>
          <w:sz w:val="20"/>
          <w:szCs w:val="20"/>
        </w:rPr>
        <w:t xml:space="preserve">, </w:t>
      </w:r>
      <w:r w:rsidR="00A603AF">
        <w:rPr>
          <w:rFonts w:ascii="Verdana" w:hAnsi="Verdana"/>
          <w:sz w:val="20"/>
          <w:szCs w:val="20"/>
        </w:rPr>
        <w:t>and sponge</w:t>
      </w:r>
      <w:r w:rsidR="00AD0B28">
        <w:rPr>
          <w:rFonts w:ascii="Verdana" w:hAnsi="Verdana"/>
          <w:sz w:val="20"/>
          <w:szCs w:val="20"/>
        </w:rPr>
        <w:t>)</w:t>
      </w:r>
      <w:r w:rsidR="008458AD">
        <w:rPr>
          <w:rFonts w:ascii="Verdana" w:hAnsi="Verdana"/>
          <w:sz w:val="20"/>
          <w:szCs w:val="20"/>
        </w:rPr>
        <w:t xml:space="preserve">, </w:t>
      </w:r>
      <w:r w:rsidR="00D14A8A">
        <w:rPr>
          <w:rFonts w:ascii="Verdana" w:hAnsi="Verdana"/>
          <w:sz w:val="20"/>
          <w:szCs w:val="20"/>
        </w:rPr>
        <w:t xml:space="preserve">use </w:t>
      </w:r>
      <w:r w:rsidR="008458AD">
        <w:rPr>
          <w:rFonts w:ascii="Verdana" w:hAnsi="Verdana"/>
          <w:sz w:val="20"/>
          <w:szCs w:val="20"/>
        </w:rPr>
        <w:t xml:space="preserve">as an intermediate </w:t>
      </w:r>
      <w:r w:rsidR="008458AD" w:rsidRPr="00F1480F">
        <w:rPr>
          <w:rFonts w:ascii="Verdana" w:hAnsi="Verdana"/>
          <w:sz w:val="20"/>
          <w:szCs w:val="20"/>
        </w:rPr>
        <w:t>in the manufacture of rubbe</w:t>
      </w:r>
      <w:r w:rsidR="008458AD">
        <w:rPr>
          <w:rFonts w:ascii="Verdana" w:hAnsi="Verdana"/>
          <w:sz w:val="20"/>
          <w:szCs w:val="20"/>
        </w:rPr>
        <w:t>r chemicals, pharmaceutical</w:t>
      </w:r>
      <w:r w:rsidR="006A087F">
        <w:rPr>
          <w:rFonts w:ascii="Verdana" w:hAnsi="Verdana"/>
          <w:sz w:val="20"/>
          <w:szCs w:val="20"/>
        </w:rPr>
        <w:t>s</w:t>
      </w:r>
      <w:r w:rsidR="008458AD">
        <w:rPr>
          <w:rFonts w:ascii="Verdana" w:hAnsi="Verdana"/>
          <w:sz w:val="20"/>
          <w:szCs w:val="20"/>
        </w:rPr>
        <w:t xml:space="preserve">, </w:t>
      </w:r>
      <w:r w:rsidR="008458AD" w:rsidRPr="00F1480F">
        <w:rPr>
          <w:rFonts w:ascii="Verdana" w:hAnsi="Verdana"/>
          <w:sz w:val="20"/>
          <w:szCs w:val="20"/>
        </w:rPr>
        <w:t>fine chemicals</w:t>
      </w:r>
      <w:r w:rsidR="008458AD">
        <w:rPr>
          <w:rFonts w:ascii="Verdana" w:hAnsi="Verdana"/>
          <w:sz w:val="20"/>
          <w:szCs w:val="20"/>
        </w:rPr>
        <w:t>, flotation chemicals, plant pr</w:t>
      </w:r>
      <w:r w:rsidR="00D14A8A">
        <w:rPr>
          <w:rFonts w:ascii="Verdana" w:hAnsi="Verdana"/>
          <w:sz w:val="20"/>
          <w:szCs w:val="20"/>
        </w:rPr>
        <w:t xml:space="preserve">otection products and biocides, use </w:t>
      </w:r>
      <w:r w:rsidR="008458AD">
        <w:rPr>
          <w:rFonts w:ascii="Verdana" w:hAnsi="Verdana"/>
          <w:sz w:val="20"/>
          <w:szCs w:val="20"/>
        </w:rPr>
        <w:t>as a solvent in the manufacture of polymer preparations and compounds</w:t>
      </w:r>
      <w:r w:rsidR="00FB5862">
        <w:rPr>
          <w:rFonts w:ascii="Verdana" w:hAnsi="Verdana"/>
          <w:sz w:val="20"/>
          <w:szCs w:val="20"/>
        </w:rPr>
        <w:t xml:space="preserve"> and use as </w:t>
      </w:r>
      <w:r w:rsidR="008458AD">
        <w:rPr>
          <w:rFonts w:ascii="Verdana" w:hAnsi="Verdana"/>
          <w:sz w:val="20"/>
          <w:szCs w:val="20"/>
        </w:rPr>
        <w:t>a laboratory chemical.</w:t>
      </w:r>
      <w:r w:rsidR="008458AD" w:rsidRPr="00D614FF">
        <w:rPr>
          <w:szCs w:val="20"/>
        </w:rPr>
        <w:t xml:space="preserve"> </w:t>
      </w:r>
    </w:p>
    <w:p w14:paraId="6468EFCF" w14:textId="1226232F" w:rsidR="007E19AB" w:rsidRDefault="007E19AB" w:rsidP="00ED47FC">
      <w:pPr>
        <w:autoSpaceDE w:val="0"/>
        <w:autoSpaceDN w:val="0"/>
        <w:adjustRightInd w:val="0"/>
        <w:spacing w:after="0" w:line="276" w:lineRule="auto"/>
        <w:jc w:val="both"/>
        <w:rPr>
          <w:szCs w:val="20"/>
        </w:rPr>
      </w:pPr>
    </w:p>
    <w:p w14:paraId="5C207FBD" w14:textId="5B1009C7" w:rsidR="007E19AB" w:rsidRPr="007E19AB" w:rsidRDefault="007E19AB" w:rsidP="00ED47FC">
      <w:pPr>
        <w:autoSpaceDE w:val="0"/>
        <w:autoSpaceDN w:val="0"/>
        <w:adjustRightInd w:val="0"/>
        <w:spacing w:after="0" w:line="276" w:lineRule="auto"/>
        <w:jc w:val="both"/>
        <w:rPr>
          <w:rFonts w:ascii="Verdana" w:hAnsi="Verdana"/>
          <w:sz w:val="20"/>
          <w:szCs w:val="20"/>
        </w:rPr>
      </w:pPr>
      <w:r w:rsidRPr="007E19AB">
        <w:rPr>
          <w:rFonts w:ascii="Verdana" w:hAnsi="Verdana"/>
          <w:sz w:val="20"/>
          <w:szCs w:val="20"/>
        </w:rPr>
        <w:t>I</w:t>
      </w:r>
      <w:r w:rsidR="004E2300">
        <w:rPr>
          <w:rFonts w:ascii="Verdana" w:hAnsi="Verdana"/>
          <w:sz w:val="20"/>
          <w:szCs w:val="20"/>
        </w:rPr>
        <w:t>n addition,</w:t>
      </w:r>
      <w:r w:rsidRPr="007E19AB">
        <w:rPr>
          <w:rFonts w:ascii="Verdana" w:hAnsi="Verdana"/>
          <w:sz w:val="20"/>
          <w:szCs w:val="20"/>
        </w:rPr>
        <w:t xml:space="preserve"> to viscose rayon, cellophane and sponge reported in the dossier, </w:t>
      </w:r>
      <w:r w:rsidR="004E2300">
        <w:rPr>
          <w:rFonts w:ascii="Verdana" w:hAnsi="Verdana"/>
          <w:sz w:val="20"/>
          <w:szCs w:val="20"/>
        </w:rPr>
        <w:t xml:space="preserve">manufacturing of </w:t>
      </w:r>
      <w:r w:rsidRPr="007E19AB">
        <w:rPr>
          <w:rFonts w:ascii="Verdana" w:hAnsi="Verdana"/>
          <w:sz w:val="20"/>
          <w:szCs w:val="20"/>
        </w:rPr>
        <w:t>viscose casings is also</w:t>
      </w:r>
      <w:r>
        <w:rPr>
          <w:rFonts w:ascii="Verdana" w:hAnsi="Verdana"/>
          <w:sz w:val="20"/>
          <w:szCs w:val="20"/>
        </w:rPr>
        <w:t xml:space="preserve"> reported in the literature to be</w:t>
      </w:r>
      <w:r w:rsidRPr="007E19AB">
        <w:rPr>
          <w:rFonts w:ascii="Verdana" w:hAnsi="Verdana"/>
          <w:sz w:val="20"/>
          <w:szCs w:val="20"/>
        </w:rPr>
        <w:t xml:space="preserve"> an important use of carbon disulfide. </w:t>
      </w:r>
      <w:r w:rsidR="00A2362C">
        <w:rPr>
          <w:rFonts w:ascii="Verdana" w:hAnsi="Verdana"/>
          <w:sz w:val="20"/>
          <w:szCs w:val="20"/>
        </w:rPr>
        <w:t xml:space="preserve">In Rubber industry, carbon disulfide is reported to be used to make the specialty accelerator chemicals that replaced carbon disulfide in its pure form. </w:t>
      </w:r>
    </w:p>
    <w:p w14:paraId="0D155538" w14:textId="77777777" w:rsidR="00D14A8A" w:rsidRDefault="00D14A8A" w:rsidP="00ED47FC">
      <w:pPr>
        <w:pStyle w:val="Corpsdetexte"/>
        <w:spacing w:after="0" w:line="276" w:lineRule="auto"/>
        <w:jc w:val="both"/>
        <w:rPr>
          <w:rFonts w:ascii="Verdana" w:hAnsi="Verdana"/>
          <w:sz w:val="20"/>
          <w:szCs w:val="20"/>
          <w:lang w:val="en-US" w:eastAsia="en-GB"/>
        </w:rPr>
      </w:pPr>
    </w:p>
    <w:p w14:paraId="786F368D" w14:textId="4741C1C3" w:rsidR="008458AD" w:rsidRDefault="008458AD" w:rsidP="00ED47FC">
      <w:pPr>
        <w:pStyle w:val="Corpsdetexte"/>
        <w:spacing w:after="0" w:line="276" w:lineRule="auto"/>
        <w:jc w:val="both"/>
        <w:rPr>
          <w:rFonts w:ascii="Verdana" w:hAnsi="Verdana"/>
          <w:sz w:val="20"/>
          <w:szCs w:val="20"/>
          <w:lang w:eastAsia="en-GB"/>
        </w:rPr>
      </w:pPr>
      <w:r>
        <w:rPr>
          <w:rFonts w:ascii="Verdana" w:hAnsi="Verdana"/>
          <w:sz w:val="20"/>
          <w:szCs w:val="20"/>
          <w:lang w:eastAsia="en-GB"/>
        </w:rPr>
        <w:t xml:space="preserve">Carbon disulfide is used by professional workers (widespread use as a laboratory chemical </w:t>
      </w:r>
      <w:r w:rsidR="00D14A8A">
        <w:rPr>
          <w:rFonts w:ascii="Verdana" w:hAnsi="Verdana"/>
          <w:sz w:val="20"/>
          <w:szCs w:val="20"/>
          <w:lang w:eastAsia="en-GB"/>
        </w:rPr>
        <w:t>or in research and development)</w:t>
      </w:r>
      <w:r>
        <w:rPr>
          <w:rFonts w:ascii="Verdana" w:hAnsi="Verdana"/>
          <w:sz w:val="20"/>
          <w:szCs w:val="20"/>
          <w:lang w:eastAsia="en-GB"/>
        </w:rPr>
        <w:t xml:space="preserve"> or at industrial sites. </w:t>
      </w:r>
      <w:r w:rsidRPr="00D75A67">
        <w:rPr>
          <w:rFonts w:ascii="Verdana" w:hAnsi="Verdana"/>
          <w:sz w:val="20"/>
          <w:szCs w:val="20"/>
          <w:lang w:eastAsia="en-GB"/>
        </w:rPr>
        <w:t>There is no consumer use relevant f</w:t>
      </w:r>
      <w:r>
        <w:rPr>
          <w:rFonts w:ascii="Verdana" w:hAnsi="Verdana"/>
          <w:sz w:val="20"/>
          <w:szCs w:val="20"/>
          <w:lang w:eastAsia="en-GB"/>
        </w:rPr>
        <w:t xml:space="preserve">or the use of carbon disulfide. The exact number of industrial sites or workers in the EU is unknown. </w:t>
      </w:r>
    </w:p>
    <w:p w14:paraId="31EEA64B" w14:textId="77777777" w:rsidR="009D67C2" w:rsidRDefault="009D67C2" w:rsidP="00ED47FC">
      <w:pPr>
        <w:pStyle w:val="Corpsdetexte"/>
        <w:spacing w:after="0" w:line="276" w:lineRule="auto"/>
        <w:jc w:val="both"/>
        <w:rPr>
          <w:rFonts w:ascii="Verdana" w:hAnsi="Verdana"/>
          <w:sz w:val="20"/>
          <w:szCs w:val="20"/>
          <w:lang w:eastAsia="en-GB"/>
        </w:rPr>
      </w:pPr>
    </w:p>
    <w:p w14:paraId="207CF966" w14:textId="6F930D6E" w:rsidR="009D67C2" w:rsidRPr="00BE0657" w:rsidRDefault="009D67C2" w:rsidP="00ED47FC">
      <w:pPr>
        <w:pStyle w:val="Default"/>
        <w:spacing w:line="276" w:lineRule="auto"/>
        <w:jc w:val="both"/>
        <w:rPr>
          <w:szCs w:val="20"/>
        </w:rPr>
      </w:pPr>
      <w:r>
        <w:rPr>
          <w:rFonts w:ascii="Verdana" w:hAnsi="Verdana"/>
          <w:sz w:val="20"/>
          <w:szCs w:val="20"/>
        </w:rPr>
        <w:t xml:space="preserve">Confidential information on uses and tonnages available in the registration dossiers are presented in </w:t>
      </w:r>
      <w:r w:rsidR="003E19AC">
        <w:rPr>
          <w:rFonts w:ascii="Verdana" w:hAnsi="Verdana"/>
          <w:sz w:val="20"/>
          <w:szCs w:val="20"/>
        </w:rPr>
        <w:t>a separate Annex</w:t>
      </w:r>
      <w:r>
        <w:rPr>
          <w:rFonts w:ascii="Verdana" w:hAnsi="Verdana"/>
          <w:sz w:val="20"/>
          <w:szCs w:val="20"/>
        </w:rPr>
        <w:t>.</w:t>
      </w:r>
      <w:r w:rsidR="00252F7B">
        <w:rPr>
          <w:rFonts w:ascii="Verdana" w:hAnsi="Verdana"/>
          <w:sz w:val="20"/>
          <w:szCs w:val="20"/>
        </w:rPr>
        <w:t xml:space="preserve"> Uses as available in the ECHA disseminated database are reported in the table below.</w:t>
      </w:r>
      <w:r w:rsidR="00BE0657" w:rsidRPr="00BE0657">
        <w:rPr>
          <w:rFonts w:ascii="Verdana" w:hAnsi="Verdana"/>
          <w:sz w:val="20"/>
          <w:szCs w:val="20"/>
        </w:rPr>
        <w:t xml:space="preserve"> </w:t>
      </w:r>
      <w:r w:rsidR="00BE0657">
        <w:rPr>
          <w:rFonts w:ascii="Verdana" w:hAnsi="Verdana"/>
          <w:color w:val="auto"/>
          <w:sz w:val="20"/>
          <w:szCs w:val="20"/>
        </w:rPr>
        <w:t xml:space="preserve">Descriptors </w:t>
      </w:r>
      <w:r w:rsidR="002F5D6E">
        <w:rPr>
          <w:rFonts w:ascii="Verdana" w:hAnsi="Verdana"/>
          <w:color w:val="auto"/>
          <w:sz w:val="20"/>
          <w:szCs w:val="20"/>
        </w:rPr>
        <w:t>(PROC, SU</w:t>
      </w:r>
      <w:r w:rsidR="00FE5489">
        <w:rPr>
          <w:rFonts w:ascii="Verdana" w:hAnsi="Verdana"/>
          <w:color w:val="auto"/>
          <w:sz w:val="20"/>
          <w:szCs w:val="20"/>
        </w:rPr>
        <w:t xml:space="preserve">, PC) </w:t>
      </w:r>
      <w:r w:rsidR="00BE0657">
        <w:rPr>
          <w:rFonts w:ascii="Verdana" w:hAnsi="Verdana"/>
          <w:color w:val="auto"/>
          <w:sz w:val="20"/>
          <w:szCs w:val="20"/>
        </w:rPr>
        <w:t>used in the t</w:t>
      </w:r>
      <w:r w:rsidR="00BE0657" w:rsidRPr="00B02718">
        <w:rPr>
          <w:rFonts w:ascii="Verdana" w:hAnsi="Verdana"/>
          <w:color w:val="auto"/>
          <w:sz w:val="20"/>
          <w:szCs w:val="20"/>
        </w:rPr>
        <w:t xml:space="preserve">able </w:t>
      </w:r>
      <w:r w:rsidR="00FE5489">
        <w:rPr>
          <w:rFonts w:ascii="Verdana" w:hAnsi="Verdana"/>
          <w:color w:val="auto"/>
          <w:sz w:val="20"/>
          <w:szCs w:val="20"/>
        </w:rPr>
        <w:t>below</w:t>
      </w:r>
      <w:r w:rsidR="00BE0657" w:rsidRPr="00B02718">
        <w:rPr>
          <w:rFonts w:ascii="Verdana" w:hAnsi="Verdana"/>
          <w:color w:val="auto"/>
          <w:sz w:val="20"/>
          <w:szCs w:val="20"/>
        </w:rPr>
        <w:t xml:space="preserve"> are</w:t>
      </w:r>
      <w:r w:rsidR="00BE0657" w:rsidRPr="00D614FF">
        <w:rPr>
          <w:rFonts w:ascii="Verdana" w:hAnsi="Verdana"/>
          <w:color w:val="auto"/>
          <w:sz w:val="20"/>
          <w:szCs w:val="20"/>
        </w:rPr>
        <w:t xml:space="preserve"> </w:t>
      </w:r>
      <w:r w:rsidR="00BE0657">
        <w:rPr>
          <w:rFonts w:ascii="Verdana" w:hAnsi="Verdana"/>
          <w:color w:val="auto"/>
          <w:sz w:val="20"/>
          <w:szCs w:val="20"/>
        </w:rPr>
        <w:t>explain</w:t>
      </w:r>
      <w:r w:rsidR="00BE0657" w:rsidRPr="00D614FF">
        <w:rPr>
          <w:rFonts w:ascii="Verdana" w:hAnsi="Verdana"/>
          <w:color w:val="auto"/>
          <w:sz w:val="20"/>
          <w:szCs w:val="20"/>
        </w:rPr>
        <w:t>ed in Annex 2.</w:t>
      </w:r>
    </w:p>
    <w:p w14:paraId="41198326" w14:textId="77777777" w:rsidR="00B02718" w:rsidRDefault="00B02718" w:rsidP="00ED47FC">
      <w:pPr>
        <w:autoSpaceDE w:val="0"/>
        <w:autoSpaceDN w:val="0"/>
        <w:adjustRightInd w:val="0"/>
        <w:spacing w:after="0" w:line="276" w:lineRule="auto"/>
        <w:jc w:val="both"/>
        <w:rPr>
          <w:rFonts w:ascii="Verdana" w:hAnsi="Verdana"/>
          <w:sz w:val="20"/>
          <w:szCs w:val="20"/>
          <w:lang w:eastAsia="en-GB"/>
        </w:rPr>
      </w:pPr>
    </w:p>
    <w:p w14:paraId="6692C19A" w14:textId="033E045D" w:rsidR="00D75A67" w:rsidRDefault="00FD07C6" w:rsidP="00617EE5">
      <w:pPr>
        <w:pStyle w:val="Lgende"/>
        <w:rPr>
          <w:bCs/>
          <w:szCs w:val="20"/>
        </w:rPr>
      </w:pPr>
      <w:r>
        <w:t xml:space="preserve">Table </w:t>
      </w:r>
      <w:r>
        <w:fldChar w:fldCharType="begin"/>
      </w:r>
      <w:r>
        <w:instrText xml:space="preserve"> SEQ Table \* ARABIC </w:instrText>
      </w:r>
      <w:r>
        <w:fldChar w:fldCharType="separate"/>
      </w:r>
      <w:r w:rsidR="0014770F">
        <w:rPr>
          <w:noProof/>
        </w:rPr>
        <w:t>5</w:t>
      </w:r>
      <w:r>
        <w:rPr>
          <w:noProof/>
        </w:rPr>
        <w:fldChar w:fldCharType="end"/>
      </w:r>
      <w:r w:rsidR="008408CE">
        <w:tab/>
      </w:r>
      <w:r w:rsidR="00D75A67">
        <w:tab/>
      </w:r>
      <w:r w:rsidR="00B02718">
        <w:t>U</w:t>
      </w:r>
      <w:r w:rsidR="000723EF">
        <w:t>se</w:t>
      </w:r>
      <w:r w:rsidR="00940AF5">
        <w:t>s</w:t>
      </w:r>
      <w:r w:rsidR="000723EF">
        <w:t xml:space="preserve"> registered according to Art. 10</w:t>
      </w:r>
      <w:r w:rsidR="00252F7B">
        <w:t xml:space="preserve"> of the REACh regulation</w:t>
      </w:r>
      <w:r w:rsidR="000723EF">
        <w:t xml:space="preserve">, </w:t>
      </w:r>
      <w:r w:rsidR="004F4173">
        <w:t>full registration</w:t>
      </w:r>
      <w:r w:rsidR="00D75A67">
        <w:t xml:space="preserve"> (ECHA dissemination site, </w:t>
      </w:r>
      <w:r w:rsidR="00D75A67">
        <w:rPr>
          <w:bCs/>
          <w:szCs w:val="20"/>
        </w:rPr>
        <w:t>consulted on 16 June 2022)</w:t>
      </w:r>
    </w:p>
    <w:tbl>
      <w:tblPr>
        <w:tblStyle w:val="Grilledutableau"/>
        <w:tblW w:w="8595" w:type="dxa"/>
        <w:tblLook w:val="04A0" w:firstRow="1" w:lastRow="0" w:firstColumn="1" w:lastColumn="0" w:noHBand="0" w:noVBand="1"/>
      </w:tblPr>
      <w:tblGrid>
        <w:gridCol w:w="562"/>
        <w:gridCol w:w="1985"/>
        <w:gridCol w:w="1276"/>
        <w:gridCol w:w="4772"/>
      </w:tblGrid>
      <w:tr w:rsidR="00945A7B" w:rsidRPr="006F7D84" w14:paraId="091C412B" w14:textId="77777777" w:rsidTr="001C039C">
        <w:trPr>
          <w:trHeight w:val="296"/>
        </w:trPr>
        <w:tc>
          <w:tcPr>
            <w:tcW w:w="562" w:type="dxa"/>
            <w:shd w:val="clear" w:color="auto" w:fill="4F81BD" w:themeFill="accent1"/>
          </w:tcPr>
          <w:p w14:paraId="286041AD" w14:textId="77777777" w:rsidR="00945A7B" w:rsidRDefault="00945A7B" w:rsidP="00DD00BE">
            <w:pPr>
              <w:spacing w:after="0"/>
              <w:rPr>
                <w:rFonts w:ascii="Verdana" w:hAnsi="Verdana" w:cs="Calibri"/>
                <w:bCs/>
                <w:snapToGrid w:val="0"/>
                <w:color w:val="FFFFFF" w:themeColor="background1"/>
                <w:sz w:val="20"/>
                <w:szCs w:val="20"/>
              </w:rPr>
            </w:pPr>
          </w:p>
          <w:p w14:paraId="271A0EE8" w14:textId="421E8850" w:rsidR="000723EF" w:rsidRPr="006F7D84" w:rsidRDefault="000723EF" w:rsidP="00DD00BE">
            <w:pPr>
              <w:spacing w:after="0"/>
              <w:rPr>
                <w:rFonts w:ascii="Verdana" w:hAnsi="Verdana" w:cs="Calibri"/>
                <w:bCs/>
                <w:snapToGrid w:val="0"/>
                <w:color w:val="FFFFFF" w:themeColor="background1"/>
                <w:sz w:val="20"/>
                <w:szCs w:val="20"/>
              </w:rPr>
            </w:pPr>
          </w:p>
        </w:tc>
        <w:tc>
          <w:tcPr>
            <w:tcW w:w="1985" w:type="dxa"/>
            <w:shd w:val="clear" w:color="auto" w:fill="4F81BD" w:themeFill="accent1"/>
          </w:tcPr>
          <w:p w14:paraId="2DBAAB94" w14:textId="77777777" w:rsidR="00945A7B" w:rsidRPr="006F7D84" w:rsidRDefault="00945A7B" w:rsidP="00DD00BE">
            <w:pPr>
              <w:spacing w:after="0"/>
              <w:rPr>
                <w:rFonts w:ascii="Verdana" w:hAnsi="Verdana" w:cs="Calibri"/>
                <w:bCs/>
                <w:snapToGrid w:val="0"/>
                <w:color w:val="FFFFFF" w:themeColor="background1"/>
                <w:sz w:val="20"/>
                <w:szCs w:val="20"/>
              </w:rPr>
            </w:pPr>
            <w:r w:rsidRPr="006F7D84">
              <w:rPr>
                <w:rFonts w:ascii="Verdana" w:hAnsi="Verdana" w:cs="Calibri"/>
                <w:b/>
                <w:bCs/>
                <w:snapToGrid w:val="0"/>
                <w:color w:val="FFFFFF" w:themeColor="background1"/>
                <w:sz w:val="20"/>
                <w:szCs w:val="20"/>
              </w:rPr>
              <w:t>Exposure Scenario  (ES) name</w:t>
            </w:r>
          </w:p>
        </w:tc>
        <w:tc>
          <w:tcPr>
            <w:tcW w:w="1276" w:type="dxa"/>
            <w:shd w:val="clear" w:color="auto" w:fill="4F81BD" w:themeFill="accent1"/>
          </w:tcPr>
          <w:p w14:paraId="6D5529AD" w14:textId="676844F7" w:rsidR="00945A7B" w:rsidRPr="006F7D84" w:rsidRDefault="00252F7B" w:rsidP="00DD00BE">
            <w:pPr>
              <w:spacing w:after="0"/>
              <w:rPr>
                <w:rFonts w:ascii="Verdana" w:hAnsi="Verdana" w:cs="Calibri"/>
                <w:bCs/>
                <w:snapToGrid w:val="0"/>
                <w:color w:val="FFFFFF" w:themeColor="background1"/>
                <w:sz w:val="20"/>
                <w:szCs w:val="20"/>
              </w:rPr>
            </w:pPr>
            <w:r>
              <w:rPr>
                <w:rFonts w:ascii="Verdana" w:hAnsi="Verdana" w:cs="Calibri"/>
                <w:b/>
                <w:bCs/>
                <w:snapToGrid w:val="0"/>
                <w:color w:val="FFFFFF" w:themeColor="background1"/>
                <w:sz w:val="20"/>
                <w:szCs w:val="20"/>
              </w:rPr>
              <w:t>Process category (</w:t>
            </w:r>
            <w:r w:rsidR="00945A7B" w:rsidRPr="006F7D84">
              <w:rPr>
                <w:rFonts w:ascii="Verdana" w:hAnsi="Verdana" w:cs="Calibri"/>
                <w:b/>
                <w:bCs/>
                <w:snapToGrid w:val="0"/>
                <w:color w:val="FFFFFF" w:themeColor="background1"/>
                <w:sz w:val="20"/>
                <w:szCs w:val="20"/>
              </w:rPr>
              <w:t>PROC</w:t>
            </w:r>
            <w:r>
              <w:rPr>
                <w:rFonts w:ascii="Verdana" w:hAnsi="Verdana" w:cs="Calibri"/>
                <w:b/>
                <w:bCs/>
                <w:snapToGrid w:val="0"/>
                <w:color w:val="FFFFFF" w:themeColor="background1"/>
                <w:sz w:val="20"/>
                <w:szCs w:val="20"/>
              </w:rPr>
              <w:t>)</w:t>
            </w:r>
          </w:p>
        </w:tc>
        <w:tc>
          <w:tcPr>
            <w:tcW w:w="4772" w:type="dxa"/>
            <w:shd w:val="clear" w:color="auto" w:fill="4F81BD" w:themeFill="accent1"/>
          </w:tcPr>
          <w:p w14:paraId="772CB4AD" w14:textId="28D7F050" w:rsidR="00945A7B" w:rsidRPr="006F7D84" w:rsidRDefault="00945A7B" w:rsidP="00DD00BE">
            <w:pPr>
              <w:spacing w:after="0"/>
              <w:rPr>
                <w:rFonts w:ascii="Verdana" w:hAnsi="Verdana" w:cs="Calibri"/>
                <w:bCs/>
                <w:snapToGrid w:val="0"/>
                <w:color w:val="FFFFFF" w:themeColor="background1"/>
                <w:sz w:val="20"/>
                <w:szCs w:val="20"/>
              </w:rPr>
            </w:pPr>
            <w:r>
              <w:rPr>
                <w:rFonts w:ascii="Verdana" w:hAnsi="Verdana" w:cs="Calibri"/>
                <w:b/>
                <w:bCs/>
                <w:snapToGrid w:val="0"/>
                <w:color w:val="FFFFFF" w:themeColor="background1"/>
                <w:sz w:val="20"/>
                <w:szCs w:val="20"/>
              </w:rPr>
              <w:t xml:space="preserve">Product category (PC) and Sector of </w:t>
            </w:r>
            <w:r w:rsidRPr="006F7D84">
              <w:rPr>
                <w:rFonts w:ascii="Verdana" w:hAnsi="Verdana" w:cs="Calibri"/>
                <w:b/>
                <w:bCs/>
                <w:snapToGrid w:val="0"/>
                <w:color w:val="FFFFFF" w:themeColor="background1"/>
                <w:sz w:val="20"/>
                <w:szCs w:val="20"/>
              </w:rPr>
              <w:t>use</w:t>
            </w:r>
            <w:r>
              <w:rPr>
                <w:rFonts w:ascii="Verdana" w:hAnsi="Verdana" w:cs="Calibri"/>
                <w:b/>
                <w:bCs/>
                <w:snapToGrid w:val="0"/>
                <w:color w:val="FFFFFF" w:themeColor="background1"/>
                <w:sz w:val="20"/>
                <w:szCs w:val="20"/>
              </w:rPr>
              <w:t xml:space="preserve"> (SU) covered</w:t>
            </w:r>
          </w:p>
        </w:tc>
      </w:tr>
      <w:tr w:rsidR="00945A7B" w:rsidRPr="006F7D84" w14:paraId="43C7EE8D" w14:textId="77777777" w:rsidTr="001C039C">
        <w:tc>
          <w:tcPr>
            <w:tcW w:w="562" w:type="dxa"/>
            <w:shd w:val="clear" w:color="auto" w:fill="auto"/>
          </w:tcPr>
          <w:p w14:paraId="0E293C7C" w14:textId="77777777" w:rsidR="00945A7B" w:rsidRPr="006F7D84" w:rsidRDefault="00945A7B" w:rsidP="00DD00BE">
            <w:pPr>
              <w:pStyle w:val="Corpsdetexte"/>
              <w:spacing w:after="120"/>
              <w:jc w:val="both"/>
              <w:rPr>
                <w:rFonts w:ascii="Verdana" w:hAnsi="Verdana"/>
                <w:sz w:val="20"/>
                <w:szCs w:val="20"/>
              </w:rPr>
            </w:pPr>
          </w:p>
        </w:tc>
        <w:tc>
          <w:tcPr>
            <w:tcW w:w="1985" w:type="dxa"/>
            <w:shd w:val="clear" w:color="auto" w:fill="auto"/>
          </w:tcPr>
          <w:p w14:paraId="5F020D41" w14:textId="6AAFCA11" w:rsidR="00945A7B" w:rsidRPr="006F7D84" w:rsidRDefault="00945A7B" w:rsidP="00DD00BE">
            <w:pPr>
              <w:pStyle w:val="Corpsdetexte"/>
              <w:spacing w:after="120"/>
              <w:jc w:val="both"/>
              <w:rPr>
                <w:rFonts w:ascii="Verdana" w:hAnsi="Verdana"/>
                <w:sz w:val="20"/>
                <w:szCs w:val="20"/>
              </w:rPr>
            </w:pPr>
            <w:r>
              <w:rPr>
                <w:rFonts w:ascii="Verdana" w:hAnsi="Verdana"/>
                <w:sz w:val="20"/>
                <w:szCs w:val="20"/>
              </w:rPr>
              <w:t>No identified uses</w:t>
            </w:r>
          </w:p>
        </w:tc>
        <w:tc>
          <w:tcPr>
            <w:tcW w:w="1276" w:type="dxa"/>
            <w:shd w:val="clear" w:color="auto" w:fill="auto"/>
          </w:tcPr>
          <w:p w14:paraId="6CC356E5" w14:textId="77777777" w:rsidR="00945A7B" w:rsidRPr="006F7D84" w:rsidRDefault="00945A7B" w:rsidP="00DD00BE">
            <w:pPr>
              <w:pStyle w:val="Corpsdetexte"/>
              <w:spacing w:after="120"/>
              <w:jc w:val="both"/>
              <w:rPr>
                <w:rFonts w:ascii="Verdana" w:hAnsi="Verdana"/>
                <w:sz w:val="20"/>
                <w:szCs w:val="20"/>
              </w:rPr>
            </w:pPr>
          </w:p>
        </w:tc>
        <w:tc>
          <w:tcPr>
            <w:tcW w:w="4772" w:type="dxa"/>
            <w:shd w:val="clear" w:color="auto" w:fill="auto"/>
          </w:tcPr>
          <w:p w14:paraId="2AB339B8" w14:textId="77777777" w:rsidR="00B31501" w:rsidRDefault="00945A7B" w:rsidP="00B31501">
            <w:pPr>
              <w:pStyle w:val="Corpsdetexte"/>
              <w:spacing w:after="0"/>
              <w:jc w:val="both"/>
              <w:rPr>
                <w:rFonts w:ascii="Verdana" w:hAnsi="Verdana"/>
                <w:sz w:val="20"/>
                <w:szCs w:val="20"/>
              </w:rPr>
            </w:pPr>
            <w:r w:rsidRPr="004F4173">
              <w:rPr>
                <w:rFonts w:ascii="Verdana" w:hAnsi="Verdana"/>
                <w:sz w:val="20"/>
                <w:szCs w:val="20"/>
              </w:rPr>
              <w:t xml:space="preserve">This substance is imported into the EU in a polymer. </w:t>
            </w:r>
          </w:p>
          <w:p w14:paraId="1CE978B1" w14:textId="42749D98" w:rsidR="00945A7B" w:rsidRPr="006F7D84" w:rsidRDefault="00945A7B" w:rsidP="00B31501">
            <w:pPr>
              <w:pStyle w:val="Corpsdetexte"/>
              <w:spacing w:after="0"/>
              <w:jc w:val="both"/>
              <w:rPr>
                <w:rFonts w:ascii="Verdana" w:hAnsi="Verdana"/>
                <w:sz w:val="20"/>
                <w:szCs w:val="20"/>
              </w:rPr>
            </w:pPr>
          </w:p>
        </w:tc>
      </w:tr>
      <w:tr w:rsidR="00945A7B" w:rsidRPr="006F7D84" w14:paraId="0DDFF93F" w14:textId="77777777" w:rsidTr="001C039C">
        <w:tc>
          <w:tcPr>
            <w:tcW w:w="562" w:type="dxa"/>
            <w:shd w:val="clear" w:color="auto" w:fill="auto"/>
          </w:tcPr>
          <w:p w14:paraId="1BFCCCE4" w14:textId="77777777" w:rsidR="00945A7B" w:rsidRPr="006F7D84" w:rsidRDefault="00945A7B" w:rsidP="00DD00BE">
            <w:pPr>
              <w:pStyle w:val="Corpsdetexte"/>
              <w:spacing w:after="120"/>
              <w:jc w:val="both"/>
              <w:rPr>
                <w:rFonts w:ascii="Verdana" w:hAnsi="Verdana"/>
                <w:sz w:val="20"/>
                <w:szCs w:val="20"/>
              </w:rPr>
            </w:pPr>
            <w:r w:rsidRPr="006F7D84">
              <w:rPr>
                <w:rFonts w:ascii="Verdana" w:hAnsi="Verdana"/>
                <w:sz w:val="20"/>
                <w:szCs w:val="20"/>
              </w:rPr>
              <w:t>M</w:t>
            </w:r>
          </w:p>
        </w:tc>
        <w:tc>
          <w:tcPr>
            <w:tcW w:w="1985" w:type="dxa"/>
            <w:shd w:val="clear" w:color="auto" w:fill="auto"/>
          </w:tcPr>
          <w:p w14:paraId="4C4CF821" w14:textId="08E4AAAD" w:rsidR="00945A7B" w:rsidRPr="006F7D84" w:rsidRDefault="00945A7B" w:rsidP="00DD00BE">
            <w:pPr>
              <w:pStyle w:val="Corpsdetexte"/>
              <w:spacing w:after="120"/>
              <w:jc w:val="both"/>
              <w:rPr>
                <w:rFonts w:ascii="Verdana" w:hAnsi="Verdana"/>
                <w:sz w:val="20"/>
                <w:szCs w:val="20"/>
              </w:rPr>
            </w:pPr>
            <w:r w:rsidRPr="006F7D84">
              <w:rPr>
                <w:rFonts w:ascii="Verdana" w:hAnsi="Verdana"/>
                <w:sz w:val="20"/>
                <w:szCs w:val="20"/>
              </w:rPr>
              <w:t xml:space="preserve">Manufacture of </w:t>
            </w:r>
            <w:r>
              <w:rPr>
                <w:rFonts w:ascii="Verdana" w:hAnsi="Verdana"/>
                <w:sz w:val="20"/>
                <w:szCs w:val="20"/>
              </w:rPr>
              <w:t>Carbon disulfide</w:t>
            </w:r>
          </w:p>
        </w:tc>
        <w:tc>
          <w:tcPr>
            <w:tcW w:w="1276" w:type="dxa"/>
            <w:shd w:val="clear" w:color="auto" w:fill="auto"/>
          </w:tcPr>
          <w:p w14:paraId="3FD7F7C2" w14:textId="099CD58A" w:rsidR="00945A7B" w:rsidRPr="006F7D84" w:rsidRDefault="00945A7B" w:rsidP="00DD00BE">
            <w:pPr>
              <w:pStyle w:val="Corpsdetexte"/>
              <w:spacing w:after="120"/>
              <w:jc w:val="both"/>
              <w:rPr>
                <w:rFonts w:ascii="Verdana" w:hAnsi="Verdana"/>
                <w:sz w:val="20"/>
                <w:szCs w:val="20"/>
              </w:rPr>
            </w:pPr>
            <w:r w:rsidRPr="006F7D84">
              <w:rPr>
                <w:rFonts w:ascii="Verdana" w:hAnsi="Verdana"/>
                <w:sz w:val="20"/>
                <w:szCs w:val="20"/>
              </w:rPr>
              <w:t>1</w:t>
            </w:r>
          </w:p>
        </w:tc>
        <w:tc>
          <w:tcPr>
            <w:tcW w:w="4772" w:type="dxa"/>
            <w:shd w:val="clear" w:color="auto" w:fill="auto"/>
          </w:tcPr>
          <w:p w14:paraId="5B48AB49" w14:textId="52F27C24" w:rsidR="00945A7B" w:rsidRPr="006F7D84" w:rsidRDefault="00E80E44" w:rsidP="00DD00BE">
            <w:pPr>
              <w:pStyle w:val="Corpsdetexte"/>
              <w:spacing w:after="0"/>
              <w:jc w:val="both"/>
              <w:rPr>
                <w:rFonts w:ascii="Verdana" w:hAnsi="Verdana"/>
                <w:sz w:val="20"/>
                <w:szCs w:val="20"/>
              </w:rPr>
            </w:pPr>
            <w:r>
              <w:rPr>
                <w:rFonts w:ascii="Verdana" w:hAnsi="Verdana"/>
                <w:sz w:val="20"/>
                <w:szCs w:val="20"/>
              </w:rPr>
              <w:t>/</w:t>
            </w:r>
          </w:p>
        </w:tc>
      </w:tr>
      <w:tr w:rsidR="00FF51D1" w:rsidRPr="006F7D84" w14:paraId="123DF76C" w14:textId="77777777" w:rsidTr="001C039C">
        <w:tc>
          <w:tcPr>
            <w:tcW w:w="562" w:type="dxa"/>
            <w:shd w:val="clear" w:color="auto" w:fill="auto"/>
          </w:tcPr>
          <w:p w14:paraId="6469A4AD" w14:textId="77777777" w:rsidR="00FF51D1" w:rsidRPr="006F7D84" w:rsidRDefault="00FF51D1" w:rsidP="00FF51D1">
            <w:pPr>
              <w:pStyle w:val="Corpsdetexte"/>
              <w:spacing w:after="120"/>
              <w:jc w:val="both"/>
              <w:rPr>
                <w:rFonts w:ascii="Verdana" w:hAnsi="Verdana"/>
                <w:sz w:val="20"/>
                <w:szCs w:val="20"/>
              </w:rPr>
            </w:pPr>
            <w:r w:rsidRPr="006F7D84">
              <w:rPr>
                <w:rFonts w:ascii="Verdana" w:hAnsi="Verdana"/>
                <w:sz w:val="20"/>
                <w:szCs w:val="20"/>
              </w:rPr>
              <w:t>F</w:t>
            </w:r>
          </w:p>
        </w:tc>
        <w:tc>
          <w:tcPr>
            <w:tcW w:w="1985" w:type="dxa"/>
            <w:shd w:val="clear" w:color="auto" w:fill="auto"/>
          </w:tcPr>
          <w:p w14:paraId="43DF62EE" w14:textId="1DAD053A" w:rsidR="00FF51D1" w:rsidRPr="006F7D84" w:rsidRDefault="00FF51D1" w:rsidP="00993B07">
            <w:pPr>
              <w:pStyle w:val="Corpsdetexte"/>
              <w:spacing w:after="120"/>
              <w:jc w:val="both"/>
              <w:rPr>
                <w:rFonts w:ascii="Verdana" w:hAnsi="Verdana"/>
                <w:sz w:val="20"/>
                <w:szCs w:val="20"/>
              </w:rPr>
            </w:pPr>
            <w:r w:rsidRPr="006F7D84">
              <w:rPr>
                <w:rFonts w:ascii="Verdana" w:hAnsi="Verdana"/>
                <w:bCs/>
                <w:sz w:val="20"/>
                <w:szCs w:val="20"/>
                <w:lang w:val="en-US" w:eastAsia="fr-FR"/>
              </w:rPr>
              <w:t xml:space="preserve">Formulation </w:t>
            </w:r>
          </w:p>
        </w:tc>
        <w:tc>
          <w:tcPr>
            <w:tcW w:w="1276" w:type="dxa"/>
            <w:shd w:val="clear" w:color="auto" w:fill="auto"/>
          </w:tcPr>
          <w:p w14:paraId="6BE31562" w14:textId="3156B9FF" w:rsidR="00FF51D1" w:rsidRPr="006F7D84" w:rsidRDefault="00FF51D1" w:rsidP="00FF51D1">
            <w:pPr>
              <w:pStyle w:val="Corpsdetexte"/>
              <w:spacing w:after="120"/>
              <w:jc w:val="both"/>
              <w:rPr>
                <w:rFonts w:ascii="Verdana" w:hAnsi="Verdana"/>
                <w:sz w:val="20"/>
                <w:szCs w:val="20"/>
              </w:rPr>
            </w:pPr>
            <w:r>
              <w:rPr>
                <w:rFonts w:ascii="Verdana" w:hAnsi="Verdana"/>
                <w:sz w:val="20"/>
                <w:szCs w:val="20"/>
              </w:rPr>
              <w:t xml:space="preserve">1, 2, 3, 4, </w:t>
            </w:r>
            <w:r>
              <w:rPr>
                <w:rFonts w:ascii="Verdana" w:hAnsi="Verdana"/>
                <w:sz w:val="20"/>
                <w:szCs w:val="20"/>
              </w:rPr>
              <w:lastRenderedPageBreak/>
              <w:t>5, 8a, 8b, 9</w:t>
            </w:r>
          </w:p>
        </w:tc>
        <w:tc>
          <w:tcPr>
            <w:tcW w:w="4772" w:type="dxa"/>
            <w:shd w:val="clear" w:color="auto" w:fill="auto"/>
          </w:tcPr>
          <w:p w14:paraId="01B8310A" w14:textId="20F15796" w:rsidR="00FF51D1" w:rsidRPr="006F7D84" w:rsidRDefault="00993B07" w:rsidP="00FF51D1">
            <w:pPr>
              <w:pStyle w:val="Corpsdetexte"/>
              <w:spacing w:after="120"/>
              <w:jc w:val="both"/>
              <w:rPr>
                <w:rFonts w:ascii="Verdana" w:hAnsi="Verdana"/>
                <w:sz w:val="20"/>
                <w:szCs w:val="20"/>
                <w:lang w:val="en-US"/>
              </w:rPr>
            </w:pPr>
            <w:r>
              <w:rPr>
                <w:rFonts w:ascii="Verdana" w:hAnsi="Verdana"/>
                <w:sz w:val="20"/>
                <w:szCs w:val="20"/>
                <w:lang w:val="en-US"/>
              </w:rPr>
              <w:lastRenderedPageBreak/>
              <w:t>/</w:t>
            </w:r>
          </w:p>
        </w:tc>
      </w:tr>
      <w:tr w:rsidR="00FF51D1" w:rsidRPr="006F7D84" w14:paraId="4F45A7D3" w14:textId="2852D9BF" w:rsidTr="001C039C">
        <w:tc>
          <w:tcPr>
            <w:tcW w:w="562" w:type="dxa"/>
            <w:shd w:val="clear" w:color="auto" w:fill="auto"/>
          </w:tcPr>
          <w:p w14:paraId="1C2634CF" w14:textId="224270C3" w:rsidR="00FF51D1" w:rsidRPr="006F7D84" w:rsidRDefault="00F67841" w:rsidP="00FF51D1">
            <w:pPr>
              <w:pStyle w:val="Corpsdetexte"/>
              <w:spacing w:after="120"/>
              <w:jc w:val="both"/>
              <w:rPr>
                <w:rFonts w:ascii="Verdana" w:hAnsi="Verdana"/>
                <w:sz w:val="20"/>
                <w:szCs w:val="20"/>
              </w:rPr>
            </w:pPr>
            <w:r>
              <w:rPr>
                <w:rFonts w:ascii="Verdana" w:hAnsi="Verdana"/>
                <w:sz w:val="20"/>
                <w:szCs w:val="20"/>
              </w:rPr>
              <w:t>F</w:t>
            </w:r>
          </w:p>
        </w:tc>
        <w:tc>
          <w:tcPr>
            <w:tcW w:w="1985" w:type="dxa"/>
            <w:shd w:val="clear" w:color="auto" w:fill="auto"/>
          </w:tcPr>
          <w:p w14:paraId="00C4A60C" w14:textId="53988A64" w:rsidR="00FF51D1" w:rsidRPr="006F7D84" w:rsidRDefault="00FF51D1" w:rsidP="00FF51D1">
            <w:pPr>
              <w:pStyle w:val="Corpsdetexte"/>
              <w:spacing w:after="120"/>
              <w:jc w:val="both"/>
              <w:rPr>
                <w:rFonts w:ascii="Verdana" w:hAnsi="Verdana"/>
                <w:bCs/>
                <w:sz w:val="20"/>
                <w:szCs w:val="20"/>
                <w:lang w:val="en-US" w:eastAsia="fr-FR"/>
              </w:rPr>
            </w:pPr>
            <w:r>
              <w:rPr>
                <w:rFonts w:ascii="Verdana" w:hAnsi="Verdana"/>
                <w:sz w:val="20"/>
                <w:szCs w:val="20"/>
              </w:rPr>
              <w:t>Form</w:t>
            </w:r>
            <w:r w:rsidR="00B31501">
              <w:rPr>
                <w:rFonts w:ascii="Verdana" w:hAnsi="Verdana"/>
                <w:sz w:val="20"/>
                <w:szCs w:val="20"/>
              </w:rPr>
              <w:t>ulation as a laboratory chemical</w:t>
            </w:r>
          </w:p>
        </w:tc>
        <w:tc>
          <w:tcPr>
            <w:tcW w:w="1276" w:type="dxa"/>
            <w:shd w:val="clear" w:color="auto" w:fill="auto"/>
          </w:tcPr>
          <w:p w14:paraId="1322BA5B" w14:textId="7A34DFD9" w:rsidR="00FF51D1" w:rsidRPr="006F7D84" w:rsidRDefault="00FF51D1" w:rsidP="00FF51D1">
            <w:pPr>
              <w:pStyle w:val="Corpsdetexte"/>
              <w:spacing w:after="120"/>
              <w:jc w:val="both"/>
              <w:rPr>
                <w:rFonts w:ascii="Verdana" w:hAnsi="Verdana"/>
                <w:sz w:val="20"/>
                <w:szCs w:val="20"/>
              </w:rPr>
            </w:pPr>
            <w:r>
              <w:rPr>
                <w:rFonts w:ascii="Verdana" w:hAnsi="Verdana"/>
                <w:sz w:val="20"/>
                <w:szCs w:val="20"/>
              </w:rPr>
              <w:t>1, 5, 8b, 9, 15</w:t>
            </w:r>
          </w:p>
        </w:tc>
        <w:tc>
          <w:tcPr>
            <w:tcW w:w="4772" w:type="dxa"/>
            <w:shd w:val="clear" w:color="auto" w:fill="auto"/>
          </w:tcPr>
          <w:p w14:paraId="3653FE0A" w14:textId="4682DAFA" w:rsidR="00FF51D1" w:rsidRPr="006F7D84" w:rsidRDefault="00FF51D1" w:rsidP="00FF51D1">
            <w:pPr>
              <w:pStyle w:val="Corpsdetexte"/>
              <w:spacing w:after="120"/>
              <w:jc w:val="both"/>
              <w:rPr>
                <w:rFonts w:ascii="Verdana" w:hAnsi="Verdana"/>
                <w:sz w:val="20"/>
                <w:szCs w:val="20"/>
              </w:rPr>
            </w:pPr>
            <w:r w:rsidRPr="006F7D84">
              <w:rPr>
                <w:rFonts w:ascii="Verdana" w:hAnsi="Verdana"/>
                <w:sz w:val="20"/>
                <w:szCs w:val="20"/>
              </w:rPr>
              <w:t>PC21: Laboratory chemical</w:t>
            </w:r>
          </w:p>
        </w:tc>
      </w:tr>
      <w:tr w:rsidR="00993B07" w:rsidRPr="006F7D84" w14:paraId="6D111C14" w14:textId="77777777" w:rsidTr="001C039C">
        <w:tc>
          <w:tcPr>
            <w:tcW w:w="562" w:type="dxa"/>
            <w:shd w:val="clear" w:color="auto" w:fill="auto"/>
          </w:tcPr>
          <w:p w14:paraId="7E154CEB" w14:textId="02AAD88A" w:rsidR="00993B07" w:rsidRDefault="00993B07" w:rsidP="00FF51D1">
            <w:pPr>
              <w:pStyle w:val="Corpsdetexte"/>
              <w:spacing w:after="120"/>
              <w:jc w:val="both"/>
              <w:rPr>
                <w:rFonts w:ascii="Verdana" w:hAnsi="Verdana"/>
                <w:sz w:val="20"/>
                <w:szCs w:val="20"/>
              </w:rPr>
            </w:pPr>
            <w:r>
              <w:rPr>
                <w:rFonts w:ascii="Verdana" w:hAnsi="Verdana"/>
                <w:sz w:val="20"/>
                <w:szCs w:val="20"/>
              </w:rPr>
              <w:t>I</w:t>
            </w:r>
          </w:p>
        </w:tc>
        <w:tc>
          <w:tcPr>
            <w:tcW w:w="1985" w:type="dxa"/>
            <w:shd w:val="clear" w:color="auto" w:fill="auto"/>
          </w:tcPr>
          <w:p w14:paraId="1234C68A" w14:textId="423A7817" w:rsidR="00993B07" w:rsidRDefault="00993B07" w:rsidP="00FF51D1">
            <w:pPr>
              <w:pStyle w:val="Corpsdetexte"/>
              <w:spacing w:after="120"/>
              <w:jc w:val="both"/>
              <w:rPr>
                <w:rFonts w:ascii="Verdana" w:hAnsi="Verdana"/>
                <w:sz w:val="20"/>
                <w:szCs w:val="20"/>
              </w:rPr>
            </w:pPr>
            <w:r>
              <w:rPr>
                <w:rFonts w:ascii="Verdana" w:hAnsi="Verdana"/>
                <w:sz w:val="20"/>
                <w:szCs w:val="20"/>
              </w:rPr>
              <w:t>Industrial use as a laboratory chemical</w:t>
            </w:r>
          </w:p>
        </w:tc>
        <w:tc>
          <w:tcPr>
            <w:tcW w:w="1276" w:type="dxa"/>
            <w:shd w:val="clear" w:color="auto" w:fill="auto"/>
          </w:tcPr>
          <w:p w14:paraId="0DB156A8" w14:textId="628B7239" w:rsidR="00993B07" w:rsidRDefault="00993B07" w:rsidP="00FF51D1">
            <w:pPr>
              <w:pStyle w:val="Corpsdetexte"/>
              <w:spacing w:after="120"/>
              <w:jc w:val="both"/>
              <w:rPr>
                <w:rFonts w:ascii="Verdana" w:hAnsi="Verdana"/>
                <w:sz w:val="20"/>
                <w:szCs w:val="20"/>
              </w:rPr>
            </w:pPr>
            <w:r>
              <w:rPr>
                <w:rFonts w:ascii="Verdana" w:hAnsi="Verdana"/>
                <w:sz w:val="20"/>
                <w:szCs w:val="20"/>
              </w:rPr>
              <w:t>15</w:t>
            </w:r>
          </w:p>
        </w:tc>
        <w:tc>
          <w:tcPr>
            <w:tcW w:w="4772" w:type="dxa"/>
            <w:shd w:val="clear" w:color="auto" w:fill="auto"/>
          </w:tcPr>
          <w:p w14:paraId="1E9CE20E" w14:textId="77777777" w:rsidR="00993B07" w:rsidRDefault="00993B07" w:rsidP="00FF51D1">
            <w:pPr>
              <w:pStyle w:val="Corpsdetexte"/>
              <w:spacing w:after="120"/>
              <w:jc w:val="both"/>
              <w:rPr>
                <w:rFonts w:ascii="Verdana" w:hAnsi="Verdana"/>
                <w:sz w:val="20"/>
                <w:szCs w:val="20"/>
              </w:rPr>
            </w:pPr>
            <w:r w:rsidRPr="006F7D84">
              <w:rPr>
                <w:rFonts w:ascii="Verdana" w:hAnsi="Verdana"/>
                <w:sz w:val="20"/>
                <w:szCs w:val="20"/>
              </w:rPr>
              <w:t>PC21: Laboratory chemical</w:t>
            </w:r>
          </w:p>
          <w:p w14:paraId="2416A6A1" w14:textId="77777777" w:rsidR="00993B07" w:rsidRDefault="00993B07" w:rsidP="00FF51D1">
            <w:pPr>
              <w:pStyle w:val="Corpsdetexte"/>
              <w:spacing w:after="120"/>
              <w:jc w:val="both"/>
              <w:rPr>
                <w:rFonts w:ascii="Verdana" w:hAnsi="Verdana"/>
                <w:sz w:val="20"/>
                <w:szCs w:val="20"/>
              </w:rPr>
            </w:pPr>
            <w:r>
              <w:rPr>
                <w:rFonts w:ascii="Verdana" w:hAnsi="Verdana"/>
                <w:sz w:val="20"/>
                <w:szCs w:val="20"/>
              </w:rPr>
              <w:t>SU9: Manufacture of fine chemicals</w:t>
            </w:r>
          </w:p>
          <w:p w14:paraId="6756192F" w14:textId="19DFFCCD" w:rsidR="00993B07" w:rsidRPr="006F7D84" w:rsidRDefault="00993B07" w:rsidP="00FF51D1">
            <w:pPr>
              <w:pStyle w:val="Corpsdetexte"/>
              <w:spacing w:after="120"/>
              <w:jc w:val="both"/>
              <w:rPr>
                <w:rFonts w:ascii="Verdana" w:hAnsi="Verdana"/>
                <w:sz w:val="20"/>
                <w:szCs w:val="20"/>
              </w:rPr>
            </w:pPr>
            <w:r>
              <w:rPr>
                <w:rFonts w:ascii="Verdana" w:hAnsi="Verdana"/>
                <w:sz w:val="20"/>
                <w:szCs w:val="20"/>
              </w:rPr>
              <w:t>SU0: Other: SU 3: Uses of substances as such or in preparations at industrial sites</w:t>
            </w:r>
          </w:p>
        </w:tc>
      </w:tr>
      <w:tr w:rsidR="00B31501" w:rsidRPr="006F7D84" w14:paraId="7F76C763" w14:textId="77777777" w:rsidTr="001C039C">
        <w:tc>
          <w:tcPr>
            <w:tcW w:w="562" w:type="dxa"/>
            <w:shd w:val="clear" w:color="auto" w:fill="auto"/>
          </w:tcPr>
          <w:p w14:paraId="18E75555" w14:textId="3EA60717" w:rsidR="00B31501" w:rsidRDefault="00B31501" w:rsidP="00FF51D1">
            <w:pPr>
              <w:pStyle w:val="Corpsdetexte"/>
              <w:spacing w:after="120"/>
              <w:jc w:val="both"/>
              <w:rPr>
                <w:rFonts w:ascii="Verdana" w:hAnsi="Verdana"/>
                <w:sz w:val="20"/>
                <w:szCs w:val="20"/>
              </w:rPr>
            </w:pPr>
            <w:r>
              <w:rPr>
                <w:rFonts w:ascii="Verdana" w:hAnsi="Verdana"/>
                <w:sz w:val="20"/>
                <w:szCs w:val="20"/>
              </w:rPr>
              <w:t>P</w:t>
            </w:r>
          </w:p>
        </w:tc>
        <w:tc>
          <w:tcPr>
            <w:tcW w:w="1985" w:type="dxa"/>
            <w:shd w:val="clear" w:color="auto" w:fill="auto"/>
          </w:tcPr>
          <w:p w14:paraId="7DC15C24" w14:textId="288D73C3" w:rsidR="00B31501" w:rsidRDefault="00B31501" w:rsidP="00FF51D1">
            <w:pPr>
              <w:pStyle w:val="Corpsdetexte"/>
              <w:spacing w:after="120"/>
              <w:jc w:val="both"/>
              <w:rPr>
                <w:rFonts w:ascii="Verdana" w:hAnsi="Verdana"/>
                <w:sz w:val="20"/>
                <w:szCs w:val="20"/>
              </w:rPr>
            </w:pPr>
            <w:r>
              <w:rPr>
                <w:rFonts w:ascii="Verdana" w:hAnsi="Verdana"/>
                <w:sz w:val="20"/>
                <w:szCs w:val="20"/>
              </w:rPr>
              <w:t>Professional use as a laboratory chemical</w:t>
            </w:r>
          </w:p>
        </w:tc>
        <w:tc>
          <w:tcPr>
            <w:tcW w:w="1276" w:type="dxa"/>
            <w:shd w:val="clear" w:color="auto" w:fill="auto"/>
          </w:tcPr>
          <w:p w14:paraId="7DF8CF1B" w14:textId="0EFB21BA" w:rsidR="00B31501" w:rsidRDefault="00B31501" w:rsidP="00FF51D1">
            <w:pPr>
              <w:pStyle w:val="Corpsdetexte"/>
              <w:spacing w:after="120"/>
              <w:jc w:val="both"/>
              <w:rPr>
                <w:rFonts w:ascii="Verdana" w:hAnsi="Verdana"/>
                <w:sz w:val="20"/>
                <w:szCs w:val="20"/>
              </w:rPr>
            </w:pPr>
            <w:r>
              <w:rPr>
                <w:rFonts w:ascii="Verdana" w:hAnsi="Verdana"/>
                <w:sz w:val="20"/>
                <w:szCs w:val="20"/>
              </w:rPr>
              <w:t>15</w:t>
            </w:r>
          </w:p>
        </w:tc>
        <w:tc>
          <w:tcPr>
            <w:tcW w:w="4772" w:type="dxa"/>
            <w:shd w:val="clear" w:color="auto" w:fill="auto"/>
          </w:tcPr>
          <w:p w14:paraId="3D072477" w14:textId="2A8760F9" w:rsidR="00B31501" w:rsidRPr="00B31501" w:rsidRDefault="00B31501" w:rsidP="00B31501">
            <w:pPr>
              <w:spacing w:after="0"/>
              <w:rPr>
                <w:rFonts w:ascii="Verdana" w:hAnsi="Verdana"/>
                <w:sz w:val="20"/>
                <w:szCs w:val="20"/>
              </w:rPr>
            </w:pPr>
            <w:r w:rsidRPr="006F7D84">
              <w:rPr>
                <w:rFonts w:ascii="Verdana" w:hAnsi="Verdana"/>
                <w:sz w:val="20"/>
                <w:szCs w:val="20"/>
              </w:rPr>
              <w:t>PC21: Laboratory chemical</w:t>
            </w:r>
          </w:p>
          <w:p w14:paraId="71605447" w14:textId="77777777" w:rsidR="00B31501" w:rsidRPr="00B31501" w:rsidRDefault="00B31501" w:rsidP="00B31501">
            <w:pPr>
              <w:spacing w:after="0"/>
              <w:rPr>
                <w:rFonts w:ascii="Verdana" w:hAnsi="Verdana"/>
                <w:sz w:val="20"/>
                <w:szCs w:val="20"/>
              </w:rPr>
            </w:pPr>
          </w:p>
          <w:p w14:paraId="4D2E2CBA" w14:textId="0B62167C" w:rsidR="00B31501" w:rsidRPr="006F7D84" w:rsidRDefault="00083BBB" w:rsidP="00B31501">
            <w:pPr>
              <w:spacing w:after="0"/>
              <w:rPr>
                <w:rFonts w:ascii="Verdana" w:hAnsi="Verdana"/>
                <w:sz w:val="20"/>
                <w:szCs w:val="20"/>
              </w:rPr>
            </w:pPr>
            <w:r>
              <w:rPr>
                <w:rFonts w:ascii="Verdana" w:hAnsi="Verdana"/>
                <w:sz w:val="20"/>
                <w:szCs w:val="20"/>
              </w:rPr>
              <w:t>SU</w:t>
            </w:r>
            <w:r w:rsidR="00B31501" w:rsidRPr="00B31501">
              <w:rPr>
                <w:rFonts w:ascii="Verdana" w:hAnsi="Verdana"/>
                <w:sz w:val="20"/>
                <w:szCs w:val="20"/>
              </w:rPr>
              <w:t>0: Other: SU 22: Professional uses: Public domain (administration, education, entertainment, services, craftsmen)</w:t>
            </w:r>
          </w:p>
        </w:tc>
      </w:tr>
      <w:tr w:rsidR="00B34CBA" w:rsidRPr="006F7D84" w14:paraId="5EFF6588" w14:textId="77777777" w:rsidTr="001C039C">
        <w:tc>
          <w:tcPr>
            <w:tcW w:w="562" w:type="dxa"/>
            <w:shd w:val="clear" w:color="auto" w:fill="auto"/>
          </w:tcPr>
          <w:p w14:paraId="43F7895A" w14:textId="51690799" w:rsidR="00B34CBA" w:rsidRDefault="00B34CBA" w:rsidP="00FF51D1">
            <w:pPr>
              <w:pStyle w:val="Corpsdetexte"/>
              <w:spacing w:after="120"/>
              <w:jc w:val="both"/>
              <w:rPr>
                <w:rFonts w:ascii="Verdana" w:hAnsi="Verdana"/>
                <w:sz w:val="20"/>
                <w:szCs w:val="20"/>
              </w:rPr>
            </w:pPr>
            <w:r>
              <w:rPr>
                <w:rFonts w:ascii="Verdana" w:hAnsi="Verdana"/>
                <w:sz w:val="20"/>
                <w:szCs w:val="20"/>
              </w:rPr>
              <w:t>I</w:t>
            </w:r>
          </w:p>
        </w:tc>
        <w:tc>
          <w:tcPr>
            <w:tcW w:w="1985" w:type="dxa"/>
            <w:shd w:val="clear" w:color="auto" w:fill="auto"/>
          </w:tcPr>
          <w:p w14:paraId="0A5D0CDA" w14:textId="0205FEB9" w:rsidR="00B34CBA" w:rsidRDefault="00B34CBA" w:rsidP="00FF51D1">
            <w:pPr>
              <w:pStyle w:val="Corpsdetexte"/>
              <w:spacing w:after="120"/>
              <w:jc w:val="both"/>
              <w:rPr>
                <w:rFonts w:ascii="Verdana" w:hAnsi="Verdana"/>
                <w:sz w:val="20"/>
                <w:szCs w:val="20"/>
              </w:rPr>
            </w:pPr>
            <w:r>
              <w:rPr>
                <w:rFonts w:ascii="Verdana" w:hAnsi="Verdana"/>
                <w:sz w:val="20"/>
                <w:szCs w:val="20"/>
              </w:rPr>
              <w:t>Industrial use of products such as pH-regulators, flocculants, precipitants, neutralization agents, other unspecific</w:t>
            </w:r>
          </w:p>
        </w:tc>
        <w:tc>
          <w:tcPr>
            <w:tcW w:w="1276" w:type="dxa"/>
            <w:shd w:val="clear" w:color="auto" w:fill="auto"/>
          </w:tcPr>
          <w:p w14:paraId="2EC2C1CA" w14:textId="606A42ED" w:rsidR="00B34CBA" w:rsidRDefault="00B34CBA" w:rsidP="00FF51D1">
            <w:pPr>
              <w:pStyle w:val="Corpsdetexte"/>
              <w:spacing w:after="120"/>
              <w:jc w:val="both"/>
              <w:rPr>
                <w:rFonts w:ascii="Verdana" w:hAnsi="Verdana"/>
                <w:sz w:val="20"/>
                <w:szCs w:val="20"/>
              </w:rPr>
            </w:pPr>
            <w:r>
              <w:rPr>
                <w:rFonts w:ascii="Verdana" w:hAnsi="Verdana"/>
                <w:sz w:val="20"/>
                <w:szCs w:val="20"/>
              </w:rPr>
              <w:t>1, 2, 8a</w:t>
            </w:r>
          </w:p>
        </w:tc>
        <w:tc>
          <w:tcPr>
            <w:tcW w:w="4772" w:type="dxa"/>
            <w:shd w:val="clear" w:color="auto" w:fill="auto"/>
          </w:tcPr>
          <w:p w14:paraId="684786DA" w14:textId="0ECEA2DE" w:rsidR="00B34CBA" w:rsidRDefault="00B34CBA" w:rsidP="00B34CBA">
            <w:pPr>
              <w:pStyle w:val="Corpsdetexte"/>
              <w:spacing w:after="120"/>
              <w:jc w:val="both"/>
              <w:rPr>
                <w:rFonts w:ascii="Verdana" w:hAnsi="Verdana"/>
                <w:sz w:val="20"/>
                <w:szCs w:val="20"/>
                <w:lang w:val="en-US"/>
              </w:rPr>
            </w:pPr>
            <w:r>
              <w:rPr>
                <w:rFonts w:ascii="Verdana" w:hAnsi="Verdana"/>
                <w:sz w:val="20"/>
                <w:szCs w:val="20"/>
                <w:lang w:val="en-US"/>
              </w:rPr>
              <w:t xml:space="preserve">PC19: </w:t>
            </w:r>
            <w:r w:rsidR="00721042">
              <w:rPr>
                <w:rFonts w:ascii="Verdana" w:hAnsi="Verdana"/>
                <w:sz w:val="20"/>
                <w:szCs w:val="20"/>
                <w:lang w:val="en-US"/>
              </w:rPr>
              <w:t>I</w:t>
            </w:r>
            <w:r>
              <w:rPr>
                <w:rFonts w:ascii="Verdana" w:hAnsi="Verdana"/>
                <w:sz w:val="20"/>
                <w:szCs w:val="20"/>
                <w:lang w:val="en-US"/>
              </w:rPr>
              <w:t>ntermediate</w:t>
            </w:r>
            <w:r w:rsidR="006378D0" w:rsidRPr="006378D0">
              <w:rPr>
                <w:rFonts w:ascii="Verdana" w:hAnsi="Verdana"/>
                <w:sz w:val="20"/>
                <w:szCs w:val="20"/>
                <w:vertAlign w:val="superscript"/>
                <w:lang w:val="en-US"/>
              </w:rPr>
              <w:t>1</w:t>
            </w:r>
          </w:p>
          <w:p w14:paraId="47AB9DD7" w14:textId="284ADF8A" w:rsidR="00B34CBA" w:rsidRDefault="00083BBB" w:rsidP="00B34CBA">
            <w:pPr>
              <w:pStyle w:val="Corpsdetexte"/>
              <w:spacing w:after="0"/>
              <w:jc w:val="both"/>
              <w:rPr>
                <w:rFonts w:ascii="Verdana" w:hAnsi="Verdana"/>
                <w:sz w:val="20"/>
                <w:szCs w:val="20"/>
              </w:rPr>
            </w:pPr>
            <w:r>
              <w:rPr>
                <w:rFonts w:ascii="Verdana" w:hAnsi="Verdana"/>
                <w:sz w:val="20"/>
                <w:szCs w:val="20"/>
              </w:rPr>
              <w:t>PC</w:t>
            </w:r>
            <w:r w:rsidR="00B34CBA" w:rsidRPr="006F7D84">
              <w:rPr>
                <w:rFonts w:ascii="Verdana" w:hAnsi="Verdana"/>
                <w:sz w:val="20"/>
                <w:szCs w:val="20"/>
              </w:rPr>
              <w:t xml:space="preserve">20: </w:t>
            </w:r>
            <w:r w:rsidR="00721042">
              <w:rPr>
                <w:rFonts w:ascii="Verdana" w:hAnsi="Verdana"/>
                <w:sz w:val="20"/>
                <w:szCs w:val="20"/>
              </w:rPr>
              <w:t>P</w:t>
            </w:r>
            <w:r w:rsidR="00B34CBA" w:rsidRPr="006F7D84">
              <w:rPr>
                <w:rFonts w:ascii="Verdana" w:hAnsi="Verdana"/>
                <w:sz w:val="20"/>
                <w:szCs w:val="20"/>
              </w:rPr>
              <w:t>roducts such as pH-regulators, flocculants, precipitants, neutralisation agents</w:t>
            </w:r>
          </w:p>
          <w:p w14:paraId="6F09B61A" w14:textId="77777777" w:rsidR="00AD178B" w:rsidRPr="006F7D84" w:rsidRDefault="00AD178B" w:rsidP="00B34CBA">
            <w:pPr>
              <w:pStyle w:val="Corpsdetexte"/>
              <w:spacing w:after="0"/>
              <w:jc w:val="both"/>
              <w:rPr>
                <w:rFonts w:ascii="Verdana" w:hAnsi="Verdana"/>
                <w:sz w:val="20"/>
                <w:szCs w:val="20"/>
              </w:rPr>
            </w:pPr>
          </w:p>
          <w:p w14:paraId="00913DE0" w14:textId="4517F908" w:rsidR="00B34CBA" w:rsidRPr="006F7D84" w:rsidRDefault="00B34CBA" w:rsidP="00FF51D1">
            <w:pPr>
              <w:pStyle w:val="Corpsdetexte"/>
              <w:spacing w:after="120"/>
              <w:jc w:val="both"/>
              <w:rPr>
                <w:rFonts w:ascii="Verdana" w:hAnsi="Verdana"/>
                <w:sz w:val="20"/>
                <w:szCs w:val="20"/>
              </w:rPr>
            </w:pPr>
            <w:r>
              <w:rPr>
                <w:rFonts w:ascii="Verdana" w:hAnsi="Verdana"/>
                <w:sz w:val="20"/>
                <w:szCs w:val="20"/>
              </w:rPr>
              <w:t>SU0: Other: SU 3: Uses of substances as such or in preparations at industrial sites</w:t>
            </w:r>
          </w:p>
        </w:tc>
      </w:tr>
      <w:tr w:rsidR="00FF51D1" w:rsidRPr="006F7D84" w14:paraId="3D6153B5" w14:textId="77777777" w:rsidTr="001C039C">
        <w:tc>
          <w:tcPr>
            <w:tcW w:w="562" w:type="dxa"/>
            <w:shd w:val="clear" w:color="auto" w:fill="auto"/>
          </w:tcPr>
          <w:p w14:paraId="0419888D" w14:textId="77777777" w:rsidR="00FF51D1" w:rsidRPr="006F7D84" w:rsidRDefault="00FF51D1" w:rsidP="00FF51D1">
            <w:pPr>
              <w:pStyle w:val="Corpsdetexte"/>
              <w:spacing w:after="120"/>
              <w:jc w:val="both"/>
              <w:rPr>
                <w:rFonts w:ascii="Verdana" w:hAnsi="Verdana"/>
                <w:sz w:val="20"/>
                <w:szCs w:val="20"/>
              </w:rPr>
            </w:pPr>
            <w:r w:rsidRPr="006F7D84">
              <w:rPr>
                <w:rFonts w:ascii="Verdana" w:hAnsi="Verdana"/>
                <w:sz w:val="20"/>
                <w:szCs w:val="20"/>
              </w:rPr>
              <w:t>I</w:t>
            </w:r>
          </w:p>
        </w:tc>
        <w:tc>
          <w:tcPr>
            <w:tcW w:w="1985" w:type="dxa"/>
            <w:shd w:val="clear" w:color="auto" w:fill="auto"/>
          </w:tcPr>
          <w:p w14:paraId="62982E89" w14:textId="76B6A146" w:rsidR="00FF51D1" w:rsidRPr="006F7D84" w:rsidRDefault="00F408B6" w:rsidP="00F408B6">
            <w:pPr>
              <w:pStyle w:val="Corpsdetexte"/>
              <w:spacing w:after="120"/>
              <w:jc w:val="both"/>
              <w:rPr>
                <w:rFonts w:ascii="Verdana" w:hAnsi="Verdana"/>
                <w:bCs/>
                <w:sz w:val="20"/>
                <w:szCs w:val="20"/>
                <w:lang w:val="en-US" w:eastAsia="fr-FR"/>
              </w:rPr>
            </w:pPr>
            <w:r>
              <w:rPr>
                <w:rFonts w:ascii="Verdana" w:hAnsi="Verdana"/>
                <w:bCs/>
                <w:sz w:val="20"/>
                <w:szCs w:val="20"/>
                <w:lang w:val="en-US" w:eastAsia="fr-FR"/>
              </w:rPr>
              <w:t>Industrial use as a solvent</w:t>
            </w:r>
          </w:p>
        </w:tc>
        <w:tc>
          <w:tcPr>
            <w:tcW w:w="1276" w:type="dxa"/>
            <w:shd w:val="clear" w:color="auto" w:fill="auto"/>
          </w:tcPr>
          <w:p w14:paraId="033E2925" w14:textId="1C5368DC" w:rsidR="00FF51D1" w:rsidRPr="006F7D84" w:rsidRDefault="00FF51D1" w:rsidP="00FF51D1">
            <w:pPr>
              <w:pStyle w:val="Corpsdetexte"/>
              <w:spacing w:after="120"/>
              <w:jc w:val="both"/>
              <w:rPr>
                <w:rFonts w:ascii="Verdana" w:hAnsi="Verdana"/>
                <w:sz w:val="20"/>
                <w:szCs w:val="20"/>
              </w:rPr>
            </w:pPr>
            <w:r w:rsidRPr="006F7D84">
              <w:rPr>
                <w:rFonts w:ascii="Verdana" w:hAnsi="Verdana"/>
                <w:sz w:val="20"/>
                <w:szCs w:val="20"/>
              </w:rPr>
              <w:t xml:space="preserve">1, 2, 3, 4, 8b, </w:t>
            </w:r>
            <w:r>
              <w:rPr>
                <w:rFonts w:ascii="Verdana" w:hAnsi="Verdana"/>
                <w:sz w:val="20"/>
                <w:szCs w:val="20"/>
              </w:rPr>
              <w:t xml:space="preserve">14, </w:t>
            </w:r>
            <w:r w:rsidRPr="006F7D84">
              <w:rPr>
                <w:rFonts w:ascii="Verdana" w:hAnsi="Verdana"/>
                <w:sz w:val="20"/>
                <w:szCs w:val="20"/>
              </w:rPr>
              <w:t>15</w:t>
            </w:r>
          </w:p>
        </w:tc>
        <w:tc>
          <w:tcPr>
            <w:tcW w:w="4772" w:type="dxa"/>
            <w:shd w:val="clear" w:color="auto" w:fill="auto"/>
          </w:tcPr>
          <w:p w14:paraId="043B9461" w14:textId="5B6E7025" w:rsidR="00FF51D1" w:rsidRPr="006F7D84" w:rsidRDefault="00FF51D1" w:rsidP="00FF51D1">
            <w:pPr>
              <w:pStyle w:val="Corpsdetexte"/>
              <w:spacing w:after="0"/>
              <w:jc w:val="both"/>
              <w:rPr>
                <w:rFonts w:ascii="Verdana" w:hAnsi="Verdana"/>
                <w:sz w:val="20"/>
                <w:szCs w:val="20"/>
              </w:rPr>
            </w:pPr>
            <w:r w:rsidRPr="006F7D84">
              <w:rPr>
                <w:rFonts w:ascii="Verdana" w:hAnsi="Verdana"/>
                <w:sz w:val="20"/>
                <w:szCs w:val="20"/>
              </w:rPr>
              <w:t xml:space="preserve">PC32: </w:t>
            </w:r>
            <w:r w:rsidR="00721042">
              <w:rPr>
                <w:rFonts w:ascii="Verdana" w:hAnsi="Verdana"/>
                <w:sz w:val="20"/>
                <w:szCs w:val="20"/>
              </w:rPr>
              <w:t>P</w:t>
            </w:r>
            <w:r w:rsidRPr="006F7D84">
              <w:rPr>
                <w:rFonts w:ascii="Verdana" w:hAnsi="Verdana"/>
                <w:sz w:val="20"/>
                <w:szCs w:val="20"/>
              </w:rPr>
              <w:t>ol</w:t>
            </w:r>
            <w:r w:rsidR="00AD178B">
              <w:rPr>
                <w:rFonts w:ascii="Verdana" w:hAnsi="Verdana"/>
                <w:sz w:val="20"/>
                <w:szCs w:val="20"/>
              </w:rPr>
              <w:t>ymer preparations and compounds</w:t>
            </w:r>
          </w:p>
          <w:p w14:paraId="7CB7F000" w14:textId="747AF788" w:rsidR="00FF51D1" w:rsidRDefault="00083BBB" w:rsidP="00FF51D1">
            <w:pPr>
              <w:pStyle w:val="Corpsdetexte"/>
              <w:spacing w:after="0"/>
              <w:jc w:val="both"/>
              <w:rPr>
                <w:rFonts w:ascii="Verdana" w:hAnsi="Verdana"/>
                <w:sz w:val="20"/>
                <w:szCs w:val="20"/>
              </w:rPr>
            </w:pPr>
            <w:r>
              <w:rPr>
                <w:rFonts w:ascii="Verdana" w:hAnsi="Verdana"/>
                <w:sz w:val="20"/>
                <w:szCs w:val="20"/>
              </w:rPr>
              <w:t>SU</w:t>
            </w:r>
            <w:r w:rsidR="00FF51D1" w:rsidRPr="006F7D84">
              <w:rPr>
                <w:rFonts w:ascii="Verdana" w:hAnsi="Verdana"/>
                <w:sz w:val="20"/>
                <w:szCs w:val="20"/>
              </w:rPr>
              <w:t>8</w:t>
            </w:r>
            <w:r>
              <w:rPr>
                <w:rFonts w:ascii="Verdana" w:hAnsi="Verdana"/>
                <w:sz w:val="20"/>
                <w:szCs w:val="20"/>
              </w:rPr>
              <w:t>:</w:t>
            </w:r>
            <w:r w:rsidR="00FF51D1" w:rsidRPr="006F7D84">
              <w:rPr>
                <w:rFonts w:ascii="Verdana" w:hAnsi="Verdana"/>
                <w:sz w:val="20"/>
                <w:szCs w:val="20"/>
              </w:rPr>
              <w:t xml:space="preserve"> Manufacture of bulk, large scale chemicals</w:t>
            </w:r>
          </w:p>
          <w:p w14:paraId="2C771D96" w14:textId="77777777" w:rsidR="00AD178B" w:rsidRPr="006F7D84" w:rsidRDefault="00AD178B" w:rsidP="00FF51D1">
            <w:pPr>
              <w:pStyle w:val="Corpsdetexte"/>
              <w:spacing w:after="0"/>
              <w:jc w:val="both"/>
              <w:rPr>
                <w:rFonts w:ascii="Verdana" w:hAnsi="Verdana"/>
                <w:sz w:val="20"/>
                <w:szCs w:val="20"/>
              </w:rPr>
            </w:pPr>
          </w:p>
          <w:p w14:paraId="51B239D4" w14:textId="5D0FA5E8" w:rsidR="00FF51D1" w:rsidRPr="006F7D84" w:rsidRDefault="00993CB2" w:rsidP="00FF51D1">
            <w:pPr>
              <w:pStyle w:val="Corpsdetexte"/>
              <w:spacing w:after="0"/>
              <w:jc w:val="both"/>
              <w:rPr>
                <w:rFonts w:ascii="Verdana" w:hAnsi="Verdana"/>
                <w:sz w:val="20"/>
                <w:szCs w:val="20"/>
              </w:rPr>
            </w:pPr>
            <w:r>
              <w:rPr>
                <w:rFonts w:ascii="Verdana" w:hAnsi="Verdana"/>
                <w:sz w:val="20"/>
                <w:szCs w:val="20"/>
              </w:rPr>
              <w:t>SU</w:t>
            </w:r>
            <w:r w:rsidR="00FF51D1" w:rsidRPr="006F7D84">
              <w:rPr>
                <w:rFonts w:ascii="Verdana" w:hAnsi="Verdana"/>
                <w:sz w:val="20"/>
                <w:szCs w:val="20"/>
              </w:rPr>
              <w:t>24</w:t>
            </w:r>
            <w:r>
              <w:rPr>
                <w:rFonts w:ascii="Verdana" w:hAnsi="Verdana"/>
                <w:sz w:val="20"/>
                <w:szCs w:val="20"/>
              </w:rPr>
              <w:t>:</w:t>
            </w:r>
            <w:r w:rsidR="00FF51D1" w:rsidRPr="006F7D84">
              <w:rPr>
                <w:rFonts w:ascii="Verdana" w:hAnsi="Verdana"/>
                <w:sz w:val="20"/>
                <w:szCs w:val="20"/>
              </w:rPr>
              <w:t xml:space="preserve"> Scientific research and developme</w:t>
            </w:r>
            <w:r w:rsidR="00AD178B">
              <w:rPr>
                <w:rFonts w:ascii="Verdana" w:hAnsi="Verdana"/>
                <w:sz w:val="20"/>
                <w:szCs w:val="20"/>
              </w:rPr>
              <w:t>nt</w:t>
            </w:r>
          </w:p>
        </w:tc>
      </w:tr>
      <w:tr w:rsidR="00F408B6" w:rsidRPr="006F7D84" w14:paraId="02503836" w14:textId="77777777" w:rsidTr="001C039C">
        <w:tc>
          <w:tcPr>
            <w:tcW w:w="562" w:type="dxa"/>
            <w:shd w:val="clear" w:color="auto" w:fill="auto"/>
          </w:tcPr>
          <w:p w14:paraId="24DDC1DA" w14:textId="033E6C6E" w:rsidR="00F408B6" w:rsidRPr="006F7D84" w:rsidRDefault="00F408B6" w:rsidP="00FF51D1">
            <w:pPr>
              <w:pStyle w:val="Corpsdetexte"/>
              <w:spacing w:after="120"/>
              <w:jc w:val="both"/>
              <w:rPr>
                <w:rFonts w:ascii="Verdana" w:hAnsi="Verdana"/>
                <w:sz w:val="20"/>
                <w:szCs w:val="20"/>
              </w:rPr>
            </w:pPr>
            <w:r>
              <w:rPr>
                <w:rFonts w:ascii="Verdana" w:hAnsi="Verdana"/>
                <w:sz w:val="20"/>
                <w:szCs w:val="20"/>
              </w:rPr>
              <w:t>I</w:t>
            </w:r>
          </w:p>
        </w:tc>
        <w:tc>
          <w:tcPr>
            <w:tcW w:w="1985" w:type="dxa"/>
            <w:shd w:val="clear" w:color="auto" w:fill="auto"/>
          </w:tcPr>
          <w:p w14:paraId="6A62826A" w14:textId="6911538E" w:rsidR="00F408B6" w:rsidRPr="006F7D84" w:rsidRDefault="00B6569F" w:rsidP="00FF51D1">
            <w:pPr>
              <w:pStyle w:val="Corpsdetexte"/>
              <w:spacing w:after="120"/>
              <w:jc w:val="both"/>
              <w:rPr>
                <w:rFonts w:ascii="Verdana" w:hAnsi="Verdana"/>
                <w:bCs/>
                <w:sz w:val="20"/>
                <w:szCs w:val="20"/>
                <w:lang w:val="en-US" w:eastAsia="fr-FR"/>
              </w:rPr>
            </w:pPr>
            <w:r>
              <w:rPr>
                <w:rFonts w:ascii="Verdana" w:hAnsi="Verdana"/>
                <w:bCs/>
                <w:sz w:val="20"/>
                <w:szCs w:val="20"/>
                <w:lang w:val="en-US" w:eastAsia="fr-FR"/>
              </w:rPr>
              <w:t>Industrial use as intermediate</w:t>
            </w:r>
          </w:p>
        </w:tc>
        <w:tc>
          <w:tcPr>
            <w:tcW w:w="1276" w:type="dxa"/>
            <w:shd w:val="clear" w:color="auto" w:fill="auto"/>
          </w:tcPr>
          <w:p w14:paraId="6031FB84" w14:textId="26E71334" w:rsidR="00F408B6" w:rsidRPr="006F7D84" w:rsidRDefault="00F408B6" w:rsidP="00FF51D1">
            <w:pPr>
              <w:pStyle w:val="Corpsdetexte"/>
              <w:spacing w:after="120"/>
              <w:jc w:val="both"/>
              <w:rPr>
                <w:rFonts w:ascii="Verdana" w:hAnsi="Verdana"/>
                <w:sz w:val="20"/>
                <w:szCs w:val="20"/>
              </w:rPr>
            </w:pPr>
            <w:r>
              <w:rPr>
                <w:rFonts w:ascii="Verdana" w:hAnsi="Verdana"/>
                <w:sz w:val="20"/>
                <w:szCs w:val="20"/>
              </w:rPr>
              <w:t>1, 2, 3, 4, 8b, 15</w:t>
            </w:r>
          </w:p>
        </w:tc>
        <w:tc>
          <w:tcPr>
            <w:tcW w:w="4772" w:type="dxa"/>
            <w:shd w:val="clear" w:color="auto" w:fill="auto"/>
          </w:tcPr>
          <w:p w14:paraId="56576C1D" w14:textId="36D1326E" w:rsidR="00F408B6" w:rsidRDefault="00F408B6" w:rsidP="00F408B6">
            <w:pPr>
              <w:pStyle w:val="Corpsdetexte"/>
              <w:spacing w:after="0"/>
              <w:jc w:val="both"/>
              <w:rPr>
                <w:rFonts w:ascii="Verdana" w:hAnsi="Verdana"/>
                <w:sz w:val="20"/>
                <w:szCs w:val="20"/>
              </w:rPr>
            </w:pPr>
            <w:r w:rsidRPr="006F7D84">
              <w:rPr>
                <w:rFonts w:ascii="Verdana" w:hAnsi="Verdana"/>
                <w:sz w:val="20"/>
                <w:szCs w:val="20"/>
              </w:rPr>
              <w:t xml:space="preserve">PC8: </w:t>
            </w:r>
            <w:r w:rsidR="00721042">
              <w:rPr>
                <w:rFonts w:ascii="Verdana" w:hAnsi="Verdana"/>
                <w:sz w:val="20"/>
                <w:szCs w:val="20"/>
              </w:rPr>
              <w:t>B</w:t>
            </w:r>
            <w:r w:rsidRPr="006F7D84">
              <w:rPr>
                <w:rFonts w:ascii="Verdana" w:hAnsi="Verdana"/>
                <w:sz w:val="20"/>
                <w:szCs w:val="20"/>
              </w:rPr>
              <w:t>iocidal products (e.g. disinfectants, pest control)</w:t>
            </w:r>
          </w:p>
          <w:p w14:paraId="4F31C9AF" w14:textId="77A0F00B" w:rsidR="00B31501" w:rsidRPr="006F7D84" w:rsidRDefault="00993CB2" w:rsidP="00F408B6">
            <w:pPr>
              <w:pStyle w:val="Corpsdetexte"/>
              <w:spacing w:after="0"/>
              <w:jc w:val="both"/>
              <w:rPr>
                <w:rFonts w:ascii="Verdana" w:hAnsi="Verdana"/>
                <w:sz w:val="20"/>
                <w:szCs w:val="20"/>
              </w:rPr>
            </w:pPr>
            <w:r>
              <w:rPr>
                <w:rFonts w:ascii="Verdana" w:hAnsi="Verdana"/>
                <w:sz w:val="20"/>
                <w:szCs w:val="20"/>
              </w:rPr>
              <w:t>PC</w:t>
            </w:r>
            <w:r w:rsidR="00B31501">
              <w:rPr>
                <w:rFonts w:ascii="Verdana" w:hAnsi="Verdana"/>
                <w:sz w:val="20"/>
                <w:szCs w:val="20"/>
              </w:rPr>
              <w:t>19: Intermediate</w:t>
            </w:r>
            <w:r w:rsidR="006378D0" w:rsidRPr="006378D0">
              <w:rPr>
                <w:rFonts w:ascii="Verdana" w:hAnsi="Verdana"/>
                <w:sz w:val="20"/>
                <w:szCs w:val="20"/>
                <w:vertAlign w:val="superscript"/>
                <w:lang w:val="en-US"/>
              </w:rPr>
              <w:t>1</w:t>
            </w:r>
          </w:p>
          <w:p w14:paraId="72DB7C62" w14:textId="12886A86" w:rsidR="00F408B6" w:rsidRPr="006F7D84" w:rsidRDefault="00993CB2" w:rsidP="00F408B6">
            <w:pPr>
              <w:pStyle w:val="Corpsdetexte"/>
              <w:spacing w:after="0"/>
              <w:jc w:val="both"/>
              <w:rPr>
                <w:rFonts w:ascii="Verdana" w:hAnsi="Verdana"/>
                <w:sz w:val="20"/>
                <w:szCs w:val="20"/>
              </w:rPr>
            </w:pPr>
            <w:r>
              <w:rPr>
                <w:rFonts w:ascii="Verdana" w:hAnsi="Verdana"/>
                <w:sz w:val="20"/>
                <w:szCs w:val="20"/>
              </w:rPr>
              <w:t>PC</w:t>
            </w:r>
            <w:r w:rsidR="00F408B6" w:rsidRPr="006F7D84">
              <w:rPr>
                <w:rFonts w:ascii="Verdana" w:hAnsi="Verdana"/>
                <w:sz w:val="20"/>
                <w:szCs w:val="20"/>
              </w:rPr>
              <w:t xml:space="preserve">20: </w:t>
            </w:r>
            <w:r w:rsidR="00721042">
              <w:rPr>
                <w:rFonts w:ascii="Verdana" w:hAnsi="Verdana"/>
                <w:sz w:val="20"/>
                <w:szCs w:val="20"/>
              </w:rPr>
              <w:t>P</w:t>
            </w:r>
            <w:r w:rsidR="00F408B6" w:rsidRPr="006F7D84">
              <w:rPr>
                <w:rFonts w:ascii="Verdana" w:hAnsi="Verdana"/>
                <w:sz w:val="20"/>
                <w:szCs w:val="20"/>
              </w:rPr>
              <w:t>roducts such as pH-regulators, flocculants, precipitants, neutralisation agents</w:t>
            </w:r>
          </w:p>
          <w:p w14:paraId="61C50A3A" w14:textId="77777777" w:rsidR="00F408B6" w:rsidRPr="006F7D84" w:rsidRDefault="00F408B6" w:rsidP="00F408B6">
            <w:pPr>
              <w:pStyle w:val="Corpsdetexte"/>
              <w:spacing w:after="0"/>
              <w:jc w:val="both"/>
              <w:rPr>
                <w:rFonts w:ascii="Verdana" w:hAnsi="Verdana"/>
                <w:sz w:val="20"/>
                <w:szCs w:val="20"/>
              </w:rPr>
            </w:pPr>
            <w:r w:rsidRPr="006F7D84">
              <w:rPr>
                <w:rFonts w:ascii="Verdana" w:hAnsi="Verdana"/>
                <w:sz w:val="20"/>
                <w:szCs w:val="20"/>
              </w:rPr>
              <w:t>PC27: Plant protection products</w:t>
            </w:r>
          </w:p>
          <w:p w14:paraId="712A807D" w14:textId="166B51E0" w:rsidR="00F408B6" w:rsidRDefault="00F408B6" w:rsidP="00FF51D1">
            <w:pPr>
              <w:pStyle w:val="Corpsdetexte"/>
              <w:spacing w:after="0"/>
              <w:jc w:val="both"/>
              <w:rPr>
                <w:rFonts w:ascii="Verdana" w:hAnsi="Verdana"/>
                <w:sz w:val="20"/>
                <w:szCs w:val="20"/>
              </w:rPr>
            </w:pPr>
            <w:r w:rsidRPr="006F7D84">
              <w:rPr>
                <w:rFonts w:ascii="Verdana" w:hAnsi="Verdana"/>
                <w:sz w:val="20"/>
                <w:szCs w:val="20"/>
              </w:rPr>
              <w:t xml:space="preserve">PC32: </w:t>
            </w:r>
            <w:r w:rsidR="00721042">
              <w:rPr>
                <w:rFonts w:ascii="Verdana" w:hAnsi="Verdana"/>
                <w:sz w:val="20"/>
                <w:szCs w:val="20"/>
              </w:rPr>
              <w:t>P</w:t>
            </w:r>
            <w:r w:rsidRPr="006F7D84">
              <w:rPr>
                <w:rFonts w:ascii="Verdana" w:hAnsi="Verdana"/>
                <w:sz w:val="20"/>
                <w:szCs w:val="20"/>
              </w:rPr>
              <w:t>ol</w:t>
            </w:r>
            <w:r>
              <w:rPr>
                <w:rFonts w:ascii="Verdana" w:hAnsi="Verdana"/>
                <w:sz w:val="20"/>
                <w:szCs w:val="20"/>
              </w:rPr>
              <w:t>ymer preparations and compounds</w:t>
            </w:r>
          </w:p>
          <w:p w14:paraId="012DF8CB" w14:textId="77777777" w:rsidR="00B6569F" w:rsidRDefault="00B6569F" w:rsidP="00FF51D1">
            <w:pPr>
              <w:pStyle w:val="Corpsdetexte"/>
              <w:spacing w:after="0"/>
              <w:jc w:val="both"/>
              <w:rPr>
                <w:rFonts w:ascii="Verdana" w:hAnsi="Verdana"/>
                <w:sz w:val="20"/>
                <w:szCs w:val="20"/>
              </w:rPr>
            </w:pPr>
          </w:p>
          <w:p w14:paraId="2F543F10" w14:textId="70C89CA6" w:rsidR="00B6569F" w:rsidRDefault="00083BBB" w:rsidP="00B6569F">
            <w:pPr>
              <w:pStyle w:val="Corpsdetexte"/>
              <w:spacing w:after="0"/>
              <w:jc w:val="both"/>
              <w:rPr>
                <w:rFonts w:ascii="Verdana" w:hAnsi="Verdana"/>
                <w:sz w:val="20"/>
                <w:szCs w:val="20"/>
              </w:rPr>
            </w:pPr>
            <w:r>
              <w:rPr>
                <w:rFonts w:ascii="Verdana" w:hAnsi="Verdana"/>
                <w:sz w:val="20"/>
                <w:szCs w:val="20"/>
              </w:rPr>
              <w:t>SU</w:t>
            </w:r>
            <w:r w:rsidR="00B6569F" w:rsidRPr="006F7D84">
              <w:rPr>
                <w:rFonts w:ascii="Verdana" w:hAnsi="Verdana"/>
                <w:sz w:val="20"/>
                <w:szCs w:val="20"/>
              </w:rPr>
              <w:t>8</w:t>
            </w:r>
            <w:r>
              <w:rPr>
                <w:rFonts w:ascii="Verdana" w:hAnsi="Verdana"/>
                <w:sz w:val="20"/>
                <w:szCs w:val="20"/>
              </w:rPr>
              <w:t>:</w:t>
            </w:r>
            <w:r w:rsidR="00B6569F" w:rsidRPr="006F7D84">
              <w:rPr>
                <w:rFonts w:ascii="Verdana" w:hAnsi="Verdana"/>
                <w:sz w:val="20"/>
                <w:szCs w:val="20"/>
              </w:rPr>
              <w:t xml:space="preserve"> Manufacture of bulk, large scale chemicals</w:t>
            </w:r>
          </w:p>
          <w:p w14:paraId="1E09A91D" w14:textId="570BF821" w:rsidR="00B31501" w:rsidRPr="006F7D84" w:rsidRDefault="00993CB2" w:rsidP="00B6569F">
            <w:pPr>
              <w:pStyle w:val="Corpsdetexte"/>
              <w:spacing w:after="0"/>
              <w:jc w:val="both"/>
              <w:rPr>
                <w:rFonts w:ascii="Verdana" w:hAnsi="Verdana"/>
                <w:sz w:val="20"/>
                <w:szCs w:val="20"/>
              </w:rPr>
            </w:pPr>
            <w:r>
              <w:rPr>
                <w:rFonts w:ascii="Verdana" w:hAnsi="Verdana"/>
                <w:sz w:val="20"/>
                <w:szCs w:val="20"/>
              </w:rPr>
              <w:t>SU</w:t>
            </w:r>
            <w:r w:rsidR="00B31501">
              <w:rPr>
                <w:rFonts w:ascii="Verdana" w:hAnsi="Verdana"/>
                <w:sz w:val="20"/>
                <w:szCs w:val="20"/>
              </w:rPr>
              <w:t>9:</w:t>
            </w:r>
            <w:r w:rsidR="00721042">
              <w:rPr>
                <w:rFonts w:ascii="Verdana" w:hAnsi="Verdana"/>
                <w:sz w:val="20"/>
                <w:szCs w:val="20"/>
              </w:rPr>
              <w:t xml:space="preserve"> </w:t>
            </w:r>
            <w:r w:rsidR="00B31501">
              <w:rPr>
                <w:rFonts w:ascii="Verdana" w:hAnsi="Verdana"/>
                <w:sz w:val="20"/>
                <w:szCs w:val="20"/>
              </w:rPr>
              <w:t>Manufacture of fine chemicals</w:t>
            </w:r>
          </w:p>
          <w:p w14:paraId="2F1A8180" w14:textId="4C9D1F3E" w:rsidR="00B6569F" w:rsidRDefault="00993CB2" w:rsidP="00FF51D1">
            <w:pPr>
              <w:pStyle w:val="Corpsdetexte"/>
              <w:spacing w:after="0"/>
              <w:jc w:val="both"/>
              <w:rPr>
                <w:rFonts w:ascii="Verdana" w:hAnsi="Verdana"/>
                <w:sz w:val="20"/>
                <w:szCs w:val="20"/>
              </w:rPr>
            </w:pPr>
            <w:r>
              <w:rPr>
                <w:rFonts w:ascii="Verdana" w:hAnsi="Verdana"/>
                <w:sz w:val="20"/>
                <w:szCs w:val="20"/>
              </w:rPr>
              <w:t>SU</w:t>
            </w:r>
            <w:r w:rsidR="00B6569F" w:rsidRPr="006F7D84">
              <w:rPr>
                <w:rFonts w:ascii="Verdana" w:hAnsi="Verdana"/>
                <w:sz w:val="20"/>
                <w:szCs w:val="20"/>
              </w:rPr>
              <w:t>24</w:t>
            </w:r>
            <w:r w:rsidR="00721042">
              <w:rPr>
                <w:rFonts w:ascii="Verdana" w:hAnsi="Verdana"/>
                <w:sz w:val="20"/>
                <w:szCs w:val="20"/>
              </w:rPr>
              <w:t>:</w:t>
            </w:r>
            <w:r w:rsidR="00B6569F" w:rsidRPr="006F7D84">
              <w:rPr>
                <w:rFonts w:ascii="Verdana" w:hAnsi="Verdana"/>
                <w:sz w:val="20"/>
                <w:szCs w:val="20"/>
              </w:rPr>
              <w:t xml:space="preserve"> Scie</w:t>
            </w:r>
            <w:r w:rsidR="00B6569F">
              <w:rPr>
                <w:rFonts w:ascii="Verdana" w:hAnsi="Verdana"/>
                <w:sz w:val="20"/>
                <w:szCs w:val="20"/>
              </w:rPr>
              <w:t>ntific research and development</w:t>
            </w:r>
          </w:p>
          <w:p w14:paraId="788ADD14" w14:textId="37142994" w:rsidR="00B31501" w:rsidRPr="00B31501" w:rsidRDefault="00B31501" w:rsidP="00FF51D1">
            <w:pPr>
              <w:pStyle w:val="Corpsdetexte"/>
              <w:spacing w:after="0"/>
              <w:jc w:val="both"/>
              <w:rPr>
                <w:rFonts w:ascii="Verdana" w:hAnsi="Verdana"/>
                <w:sz w:val="20"/>
                <w:szCs w:val="20"/>
              </w:rPr>
            </w:pPr>
            <w:r>
              <w:rPr>
                <w:rFonts w:ascii="Verdana" w:hAnsi="Verdana"/>
                <w:sz w:val="20"/>
                <w:szCs w:val="20"/>
              </w:rPr>
              <w:t>SU0: Other: SU 3: Uses of substances as such or in preparations at industrial sites</w:t>
            </w:r>
          </w:p>
        </w:tc>
      </w:tr>
      <w:tr w:rsidR="00B6569F" w:rsidRPr="006F7D84" w14:paraId="7E448F97" w14:textId="77777777" w:rsidTr="001C039C">
        <w:tc>
          <w:tcPr>
            <w:tcW w:w="562" w:type="dxa"/>
            <w:shd w:val="clear" w:color="auto" w:fill="auto"/>
          </w:tcPr>
          <w:p w14:paraId="0A1BB4D8" w14:textId="39C2AD7F" w:rsidR="00B6569F" w:rsidRPr="006F7D84" w:rsidRDefault="00B34CBA" w:rsidP="00FF51D1">
            <w:pPr>
              <w:pStyle w:val="Corpsdetexte"/>
              <w:spacing w:after="120"/>
              <w:jc w:val="both"/>
              <w:rPr>
                <w:rFonts w:ascii="Verdana" w:hAnsi="Verdana"/>
                <w:sz w:val="20"/>
                <w:szCs w:val="20"/>
              </w:rPr>
            </w:pPr>
            <w:r>
              <w:rPr>
                <w:rFonts w:ascii="Verdana" w:hAnsi="Verdana"/>
                <w:sz w:val="20"/>
                <w:szCs w:val="20"/>
              </w:rPr>
              <w:t>I</w:t>
            </w:r>
          </w:p>
        </w:tc>
        <w:tc>
          <w:tcPr>
            <w:tcW w:w="1985" w:type="dxa"/>
            <w:shd w:val="clear" w:color="auto" w:fill="auto"/>
          </w:tcPr>
          <w:p w14:paraId="63F57259" w14:textId="55407768" w:rsidR="00B6569F" w:rsidRPr="006F7D84" w:rsidRDefault="00B34CBA" w:rsidP="00FF51D1">
            <w:pPr>
              <w:pStyle w:val="Corpsdetexte"/>
              <w:spacing w:after="120"/>
              <w:jc w:val="both"/>
              <w:rPr>
                <w:rFonts w:ascii="Verdana" w:hAnsi="Verdana"/>
                <w:bCs/>
                <w:sz w:val="20"/>
                <w:szCs w:val="20"/>
                <w:lang w:val="en-US" w:eastAsia="fr-FR"/>
              </w:rPr>
            </w:pPr>
            <w:r>
              <w:rPr>
                <w:rFonts w:ascii="Verdana" w:hAnsi="Verdana"/>
                <w:bCs/>
                <w:sz w:val="20"/>
                <w:szCs w:val="20"/>
                <w:lang w:val="en-US" w:eastAsia="fr-FR"/>
              </w:rPr>
              <w:t>Manufactur</w:t>
            </w:r>
            <w:r w:rsidR="00B31501">
              <w:rPr>
                <w:rFonts w:ascii="Verdana" w:hAnsi="Verdana"/>
                <w:bCs/>
                <w:sz w:val="20"/>
                <w:szCs w:val="20"/>
                <w:lang w:val="en-US" w:eastAsia="fr-FR"/>
              </w:rPr>
              <w:t>e of polymer preparations and co</w:t>
            </w:r>
            <w:r>
              <w:rPr>
                <w:rFonts w:ascii="Verdana" w:hAnsi="Verdana"/>
                <w:bCs/>
                <w:sz w:val="20"/>
                <w:szCs w:val="20"/>
                <w:lang w:val="en-US" w:eastAsia="fr-FR"/>
              </w:rPr>
              <w:t>mpounds</w:t>
            </w:r>
          </w:p>
        </w:tc>
        <w:tc>
          <w:tcPr>
            <w:tcW w:w="1276" w:type="dxa"/>
            <w:shd w:val="clear" w:color="auto" w:fill="auto"/>
          </w:tcPr>
          <w:p w14:paraId="5A309CCB" w14:textId="0FD14FCE" w:rsidR="00B6569F" w:rsidRPr="00B34CBA" w:rsidRDefault="00B34CBA" w:rsidP="00FF51D1">
            <w:pPr>
              <w:pStyle w:val="Corpsdetexte"/>
              <w:spacing w:after="120"/>
              <w:jc w:val="both"/>
              <w:rPr>
                <w:rFonts w:ascii="Verdana" w:hAnsi="Verdana"/>
                <w:sz w:val="20"/>
                <w:szCs w:val="20"/>
                <w:lang w:val="en-US"/>
              </w:rPr>
            </w:pPr>
            <w:r>
              <w:rPr>
                <w:rFonts w:ascii="Verdana" w:hAnsi="Verdana"/>
                <w:sz w:val="20"/>
                <w:szCs w:val="20"/>
                <w:lang w:val="en-US"/>
              </w:rPr>
              <w:t>14</w:t>
            </w:r>
          </w:p>
        </w:tc>
        <w:tc>
          <w:tcPr>
            <w:tcW w:w="4772" w:type="dxa"/>
            <w:shd w:val="clear" w:color="auto" w:fill="auto"/>
          </w:tcPr>
          <w:p w14:paraId="2B7E1A68" w14:textId="2E30C4E2" w:rsidR="00B34CBA" w:rsidRDefault="00B34CBA" w:rsidP="00B34CBA">
            <w:pPr>
              <w:pStyle w:val="Corpsdetexte"/>
              <w:spacing w:after="0"/>
              <w:jc w:val="both"/>
              <w:rPr>
                <w:rFonts w:ascii="Verdana" w:hAnsi="Verdana"/>
                <w:sz w:val="20"/>
                <w:szCs w:val="20"/>
              </w:rPr>
            </w:pPr>
            <w:r>
              <w:rPr>
                <w:rFonts w:ascii="Verdana" w:hAnsi="Verdana"/>
                <w:sz w:val="20"/>
                <w:szCs w:val="20"/>
                <w:lang w:val="en-US"/>
              </w:rPr>
              <w:t xml:space="preserve">PC 32: </w:t>
            </w:r>
            <w:r w:rsidR="00721042">
              <w:rPr>
                <w:rFonts w:ascii="Verdana" w:hAnsi="Verdana"/>
                <w:sz w:val="20"/>
                <w:szCs w:val="20"/>
              </w:rPr>
              <w:t>P</w:t>
            </w:r>
            <w:r w:rsidRPr="006F7D84">
              <w:rPr>
                <w:rFonts w:ascii="Verdana" w:hAnsi="Verdana"/>
                <w:sz w:val="20"/>
                <w:szCs w:val="20"/>
              </w:rPr>
              <w:t>ol</w:t>
            </w:r>
            <w:r>
              <w:rPr>
                <w:rFonts w:ascii="Verdana" w:hAnsi="Verdana"/>
                <w:sz w:val="20"/>
                <w:szCs w:val="20"/>
              </w:rPr>
              <w:t>ymer preparations and compounds</w:t>
            </w:r>
          </w:p>
          <w:p w14:paraId="004B30F0" w14:textId="77777777" w:rsidR="00B34CBA" w:rsidRDefault="00B34CBA" w:rsidP="00FF51D1">
            <w:pPr>
              <w:pStyle w:val="Corpsdetexte"/>
              <w:spacing w:after="0"/>
              <w:jc w:val="both"/>
              <w:rPr>
                <w:rFonts w:ascii="Verdana" w:hAnsi="Verdana"/>
                <w:sz w:val="20"/>
                <w:szCs w:val="20"/>
                <w:lang w:val="en-US"/>
              </w:rPr>
            </w:pPr>
          </w:p>
          <w:p w14:paraId="3A14D866" w14:textId="0A1FC813" w:rsidR="00B6569F" w:rsidRDefault="00B34CBA" w:rsidP="00FF51D1">
            <w:pPr>
              <w:pStyle w:val="Corpsdetexte"/>
              <w:spacing w:after="0"/>
              <w:jc w:val="both"/>
              <w:rPr>
                <w:rFonts w:ascii="Verdana" w:hAnsi="Verdana"/>
                <w:sz w:val="20"/>
                <w:szCs w:val="20"/>
                <w:lang w:val="en-US"/>
              </w:rPr>
            </w:pPr>
            <w:r>
              <w:rPr>
                <w:rFonts w:ascii="Verdana" w:hAnsi="Verdana"/>
                <w:sz w:val="20"/>
                <w:szCs w:val="20"/>
              </w:rPr>
              <w:t>SU0: Other: SU 3: Uses of substances as such or in preparations at industrial sites</w:t>
            </w:r>
          </w:p>
          <w:p w14:paraId="15FBF722" w14:textId="53E6032E" w:rsidR="00B34CBA" w:rsidRPr="006F7D84" w:rsidRDefault="00B34CBA" w:rsidP="00FF51D1">
            <w:pPr>
              <w:pStyle w:val="Corpsdetexte"/>
              <w:spacing w:after="0"/>
              <w:jc w:val="both"/>
              <w:rPr>
                <w:rFonts w:ascii="Verdana" w:hAnsi="Verdana"/>
                <w:sz w:val="20"/>
                <w:szCs w:val="20"/>
                <w:lang w:val="en-US"/>
              </w:rPr>
            </w:pPr>
          </w:p>
        </w:tc>
      </w:tr>
      <w:tr w:rsidR="00FF51D1" w:rsidRPr="006F7D84" w14:paraId="2E087E65" w14:textId="77777777" w:rsidTr="001C039C">
        <w:tc>
          <w:tcPr>
            <w:tcW w:w="562" w:type="dxa"/>
            <w:shd w:val="clear" w:color="auto" w:fill="auto"/>
          </w:tcPr>
          <w:p w14:paraId="5D168831" w14:textId="77777777" w:rsidR="00FF51D1" w:rsidRPr="006F7D84" w:rsidRDefault="00FF51D1" w:rsidP="00FF51D1">
            <w:pPr>
              <w:pStyle w:val="Corpsdetexte"/>
              <w:spacing w:after="120"/>
              <w:jc w:val="both"/>
              <w:rPr>
                <w:rFonts w:ascii="Verdana" w:hAnsi="Verdana"/>
                <w:sz w:val="20"/>
                <w:szCs w:val="20"/>
              </w:rPr>
            </w:pPr>
            <w:r w:rsidRPr="006F7D84">
              <w:rPr>
                <w:rFonts w:ascii="Verdana" w:hAnsi="Verdana"/>
                <w:sz w:val="20"/>
                <w:szCs w:val="20"/>
              </w:rPr>
              <w:t>I</w:t>
            </w:r>
          </w:p>
        </w:tc>
        <w:tc>
          <w:tcPr>
            <w:tcW w:w="1985" w:type="dxa"/>
            <w:shd w:val="clear" w:color="auto" w:fill="auto"/>
          </w:tcPr>
          <w:p w14:paraId="4473B36A" w14:textId="629A8C89" w:rsidR="00FF51D1" w:rsidRPr="006F7D84" w:rsidRDefault="00FF51D1" w:rsidP="00FF51D1">
            <w:pPr>
              <w:pStyle w:val="Corpsdetexte"/>
              <w:spacing w:after="120"/>
              <w:jc w:val="both"/>
              <w:rPr>
                <w:rFonts w:ascii="Verdana" w:hAnsi="Verdana"/>
                <w:bCs/>
                <w:sz w:val="20"/>
                <w:szCs w:val="20"/>
                <w:lang w:val="en-US" w:eastAsia="fr-FR"/>
              </w:rPr>
            </w:pPr>
            <w:r>
              <w:rPr>
                <w:rFonts w:ascii="Verdana" w:hAnsi="Verdana"/>
                <w:sz w:val="20"/>
                <w:szCs w:val="20"/>
              </w:rPr>
              <w:t>Industrial use in the m</w:t>
            </w:r>
            <w:r w:rsidRPr="006F7D84">
              <w:rPr>
                <w:rFonts w:ascii="Verdana" w:hAnsi="Verdana"/>
                <w:sz w:val="20"/>
                <w:szCs w:val="20"/>
              </w:rPr>
              <w:t>anufacturing of regenerated cellulose</w:t>
            </w:r>
          </w:p>
        </w:tc>
        <w:tc>
          <w:tcPr>
            <w:tcW w:w="1276" w:type="dxa"/>
            <w:shd w:val="clear" w:color="auto" w:fill="auto"/>
          </w:tcPr>
          <w:p w14:paraId="25B6CDC4" w14:textId="2062175D" w:rsidR="00FF51D1" w:rsidRPr="006F7D84" w:rsidRDefault="00FF51D1" w:rsidP="00FF51D1">
            <w:pPr>
              <w:pStyle w:val="Corpsdetexte"/>
              <w:spacing w:after="120"/>
              <w:jc w:val="both"/>
              <w:rPr>
                <w:rFonts w:ascii="Verdana" w:hAnsi="Verdana"/>
                <w:sz w:val="20"/>
                <w:szCs w:val="20"/>
              </w:rPr>
            </w:pPr>
            <w:r w:rsidRPr="006F7D84">
              <w:rPr>
                <w:rFonts w:ascii="Verdana" w:hAnsi="Verdana"/>
                <w:sz w:val="20"/>
                <w:szCs w:val="20"/>
              </w:rPr>
              <w:t>1, 2, 4, 8a, 8b, 15, 19, 20</w:t>
            </w:r>
            <w:r w:rsidR="00993B07">
              <w:rPr>
                <w:rFonts w:ascii="Verdana" w:hAnsi="Verdana"/>
                <w:sz w:val="20"/>
                <w:szCs w:val="20"/>
              </w:rPr>
              <w:t>, 28</w:t>
            </w:r>
          </w:p>
        </w:tc>
        <w:tc>
          <w:tcPr>
            <w:tcW w:w="4772" w:type="dxa"/>
            <w:shd w:val="clear" w:color="auto" w:fill="auto"/>
          </w:tcPr>
          <w:p w14:paraId="7DE4A291" w14:textId="77777777" w:rsidR="00993B07" w:rsidRDefault="00993B07" w:rsidP="00993B07">
            <w:pPr>
              <w:pStyle w:val="Corpsdetexte"/>
              <w:spacing w:after="120"/>
              <w:jc w:val="both"/>
              <w:rPr>
                <w:rFonts w:ascii="Verdana" w:hAnsi="Verdana"/>
                <w:sz w:val="20"/>
                <w:szCs w:val="20"/>
                <w:lang w:val="en-US"/>
              </w:rPr>
            </w:pPr>
            <w:r>
              <w:rPr>
                <w:rFonts w:ascii="Verdana" w:hAnsi="Verdana"/>
                <w:sz w:val="20"/>
                <w:szCs w:val="20"/>
                <w:lang w:val="en-US"/>
              </w:rPr>
              <w:t>PC0: Other: textile</w:t>
            </w:r>
          </w:p>
          <w:p w14:paraId="5A5C7488" w14:textId="1FFDE905" w:rsidR="00993B07" w:rsidRDefault="00993B07" w:rsidP="00FF51D1">
            <w:pPr>
              <w:pStyle w:val="Corpsdetexte"/>
              <w:spacing w:after="120"/>
              <w:jc w:val="both"/>
              <w:rPr>
                <w:rFonts w:ascii="Verdana" w:hAnsi="Verdana"/>
                <w:sz w:val="20"/>
                <w:szCs w:val="20"/>
                <w:lang w:val="en-US"/>
              </w:rPr>
            </w:pPr>
            <w:r>
              <w:rPr>
                <w:rFonts w:ascii="Verdana" w:hAnsi="Verdana"/>
                <w:sz w:val="20"/>
                <w:szCs w:val="20"/>
                <w:lang w:val="en-US"/>
              </w:rPr>
              <w:t xml:space="preserve">PC19: </w:t>
            </w:r>
            <w:r w:rsidR="00721042">
              <w:rPr>
                <w:rFonts w:ascii="Verdana" w:hAnsi="Verdana"/>
                <w:sz w:val="20"/>
                <w:szCs w:val="20"/>
                <w:lang w:val="en-US"/>
              </w:rPr>
              <w:t>I</w:t>
            </w:r>
            <w:r>
              <w:rPr>
                <w:rFonts w:ascii="Verdana" w:hAnsi="Verdana"/>
                <w:sz w:val="20"/>
                <w:szCs w:val="20"/>
                <w:lang w:val="en-US"/>
              </w:rPr>
              <w:t>ntermediate</w:t>
            </w:r>
            <w:r w:rsidR="006378D0" w:rsidRPr="006378D0">
              <w:rPr>
                <w:rFonts w:ascii="Verdana" w:hAnsi="Verdana"/>
                <w:sz w:val="20"/>
                <w:szCs w:val="20"/>
                <w:vertAlign w:val="superscript"/>
                <w:lang w:val="en-US"/>
              </w:rPr>
              <w:t>1</w:t>
            </w:r>
          </w:p>
          <w:p w14:paraId="65042D29" w14:textId="6AE13344" w:rsidR="00993B07" w:rsidRDefault="00993B07" w:rsidP="00FF51D1">
            <w:pPr>
              <w:pStyle w:val="Corpsdetexte"/>
              <w:spacing w:after="120"/>
              <w:jc w:val="both"/>
              <w:rPr>
                <w:rFonts w:ascii="Verdana" w:hAnsi="Verdana"/>
                <w:sz w:val="20"/>
                <w:szCs w:val="20"/>
                <w:lang w:val="en-US"/>
              </w:rPr>
            </w:pPr>
            <w:r>
              <w:rPr>
                <w:rFonts w:ascii="Verdana" w:hAnsi="Verdana"/>
                <w:sz w:val="20"/>
                <w:szCs w:val="20"/>
                <w:lang w:val="en-US"/>
              </w:rPr>
              <w:t xml:space="preserve">PC20: </w:t>
            </w:r>
            <w:r w:rsidRPr="006F7D84">
              <w:rPr>
                <w:rFonts w:ascii="Verdana" w:hAnsi="Verdana"/>
                <w:sz w:val="20"/>
                <w:szCs w:val="20"/>
                <w:lang w:val="en-US"/>
              </w:rPr>
              <w:t>Products such as p</w:t>
            </w:r>
            <w:r w:rsidR="00721042">
              <w:rPr>
                <w:rFonts w:ascii="Verdana" w:hAnsi="Verdana"/>
                <w:sz w:val="20"/>
                <w:szCs w:val="20"/>
                <w:lang w:val="en-US"/>
              </w:rPr>
              <w:t>H</w:t>
            </w:r>
            <w:r w:rsidRPr="006F7D84">
              <w:rPr>
                <w:rFonts w:ascii="Verdana" w:hAnsi="Verdana"/>
                <w:sz w:val="20"/>
                <w:szCs w:val="20"/>
                <w:lang w:val="en-US"/>
              </w:rPr>
              <w:t>-regulators, flocculants, precipitants, neutralisation agents</w:t>
            </w:r>
          </w:p>
          <w:p w14:paraId="7B6A150B" w14:textId="5C78985C" w:rsidR="00993B07" w:rsidRPr="006F7D84" w:rsidRDefault="00993B07" w:rsidP="00993B07">
            <w:pPr>
              <w:pStyle w:val="Corpsdetexte"/>
              <w:spacing w:after="0"/>
              <w:jc w:val="both"/>
              <w:rPr>
                <w:rFonts w:ascii="Verdana" w:hAnsi="Verdana"/>
                <w:sz w:val="20"/>
                <w:szCs w:val="20"/>
              </w:rPr>
            </w:pPr>
            <w:r w:rsidRPr="006F7D84">
              <w:rPr>
                <w:rFonts w:ascii="Verdana" w:hAnsi="Verdana"/>
                <w:sz w:val="20"/>
                <w:szCs w:val="20"/>
              </w:rPr>
              <w:lastRenderedPageBreak/>
              <w:t xml:space="preserve">PC32: </w:t>
            </w:r>
            <w:r w:rsidR="00721042">
              <w:rPr>
                <w:rFonts w:ascii="Verdana" w:hAnsi="Verdana"/>
                <w:sz w:val="20"/>
                <w:szCs w:val="20"/>
              </w:rPr>
              <w:t>P</w:t>
            </w:r>
            <w:r w:rsidRPr="006F7D84">
              <w:rPr>
                <w:rFonts w:ascii="Verdana" w:hAnsi="Verdana"/>
                <w:sz w:val="20"/>
                <w:szCs w:val="20"/>
              </w:rPr>
              <w:t>olymer preparations and compounds</w:t>
            </w:r>
          </w:p>
          <w:p w14:paraId="33BA1766" w14:textId="38EE60DC" w:rsidR="00993B07" w:rsidRPr="00993B07" w:rsidRDefault="00993B07" w:rsidP="00FF51D1">
            <w:pPr>
              <w:pStyle w:val="Corpsdetexte"/>
              <w:spacing w:after="120"/>
              <w:jc w:val="both"/>
              <w:rPr>
                <w:rFonts w:ascii="Verdana" w:hAnsi="Verdana"/>
                <w:sz w:val="20"/>
                <w:szCs w:val="20"/>
                <w:lang w:val="en-US"/>
              </w:rPr>
            </w:pPr>
            <w:r w:rsidRPr="00993B07">
              <w:rPr>
                <w:rFonts w:ascii="Verdana" w:hAnsi="Verdana"/>
                <w:sz w:val="20"/>
                <w:szCs w:val="20"/>
                <w:lang w:val="en-US"/>
              </w:rPr>
              <w:t>SU0: Other: SU 3</w:t>
            </w:r>
            <w:r w:rsidR="00721042">
              <w:rPr>
                <w:rFonts w:ascii="Verdana" w:hAnsi="Verdana"/>
                <w:sz w:val="20"/>
                <w:szCs w:val="20"/>
                <w:lang w:val="en-US"/>
              </w:rPr>
              <w:t>:</w:t>
            </w:r>
            <w:r w:rsidRPr="00993B07">
              <w:rPr>
                <w:rFonts w:ascii="Verdana" w:hAnsi="Verdana"/>
                <w:sz w:val="20"/>
                <w:szCs w:val="20"/>
                <w:lang w:val="en-US"/>
              </w:rPr>
              <w:t xml:space="preserve"> Industrial uses: uses </w:t>
            </w:r>
            <w:r w:rsidR="00EA6447">
              <w:rPr>
                <w:rFonts w:ascii="Verdana" w:hAnsi="Verdana"/>
                <w:sz w:val="20"/>
                <w:szCs w:val="20"/>
                <w:lang w:val="en-US"/>
              </w:rPr>
              <w:t>of substances as such or in prep</w:t>
            </w:r>
            <w:r w:rsidRPr="00993B07">
              <w:rPr>
                <w:rFonts w:ascii="Verdana" w:hAnsi="Verdana"/>
                <w:sz w:val="20"/>
                <w:szCs w:val="20"/>
                <w:lang w:val="en-US"/>
              </w:rPr>
              <w:t>arations at industrial sites</w:t>
            </w:r>
          </w:p>
          <w:p w14:paraId="3D2F218E" w14:textId="54C606B4" w:rsidR="00FF51D1" w:rsidRPr="006F7D84" w:rsidRDefault="00FF51D1" w:rsidP="00FF51D1">
            <w:pPr>
              <w:pStyle w:val="Corpsdetexte"/>
              <w:spacing w:after="120"/>
              <w:jc w:val="both"/>
              <w:rPr>
                <w:rFonts w:ascii="Verdana" w:hAnsi="Verdana"/>
                <w:sz w:val="20"/>
                <w:szCs w:val="20"/>
                <w:lang w:val="en-US"/>
              </w:rPr>
            </w:pPr>
            <w:r w:rsidRPr="006F7D84">
              <w:rPr>
                <w:rFonts w:ascii="Verdana" w:hAnsi="Verdana"/>
                <w:sz w:val="20"/>
                <w:szCs w:val="20"/>
                <w:lang w:val="en-US"/>
              </w:rPr>
              <w:t>SU5: Manufacture of textiles, leather, fur</w:t>
            </w:r>
          </w:p>
          <w:p w14:paraId="54272086" w14:textId="1979E78D" w:rsidR="00FF51D1" w:rsidRPr="006F7D84" w:rsidRDefault="00FF51D1" w:rsidP="00FF51D1">
            <w:pPr>
              <w:pStyle w:val="Corpsdetexte"/>
              <w:spacing w:after="120"/>
              <w:jc w:val="both"/>
              <w:rPr>
                <w:rFonts w:ascii="Verdana" w:hAnsi="Verdana"/>
                <w:sz w:val="20"/>
                <w:szCs w:val="20"/>
                <w:lang w:val="en-US"/>
              </w:rPr>
            </w:pPr>
            <w:r w:rsidRPr="006F7D84">
              <w:rPr>
                <w:rFonts w:ascii="Verdana" w:hAnsi="Verdana"/>
                <w:sz w:val="20"/>
                <w:szCs w:val="20"/>
                <w:lang w:val="en-US"/>
              </w:rPr>
              <w:t xml:space="preserve">SU24: </w:t>
            </w:r>
            <w:r w:rsidR="00721042">
              <w:rPr>
                <w:rFonts w:ascii="Verdana" w:hAnsi="Verdana"/>
                <w:sz w:val="20"/>
                <w:szCs w:val="20"/>
                <w:lang w:val="en-US"/>
              </w:rPr>
              <w:t>R</w:t>
            </w:r>
            <w:r w:rsidRPr="006F7D84">
              <w:rPr>
                <w:rFonts w:ascii="Verdana" w:hAnsi="Verdana"/>
                <w:sz w:val="20"/>
                <w:szCs w:val="20"/>
                <w:lang w:val="en-US"/>
              </w:rPr>
              <w:t>esearch and development</w:t>
            </w:r>
          </w:p>
          <w:p w14:paraId="7C1789A5" w14:textId="74B4D5CD" w:rsidR="00FF51D1" w:rsidRPr="006F7D84" w:rsidRDefault="00FF51D1" w:rsidP="00FF51D1">
            <w:pPr>
              <w:pStyle w:val="Corpsdetexte"/>
              <w:spacing w:after="0"/>
              <w:jc w:val="both"/>
              <w:rPr>
                <w:rFonts w:ascii="Verdana" w:hAnsi="Verdana"/>
                <w:sz w:val="20"/>
                <w:szCs w:val="20"/>
              </w:rPr>
            </w:pPr>
            <w:r w:rsidRPr="006F7D84">
              <w:rPr>
                <w:rFonts w:ascii="Verdana" w:hAnsi="Verdana"/>
                <w:sz w:val="20"/>
                <w:szCs w:val="20"/>
                <w:lang w:val="en-US"/>
              </w:rPr>
              <w:t xml:space="preserve">Technical function: </w:t>
            </w:r>
            <w:r w:rsidR="00721042">
              <w:rPr>
                <w:rFonts w:ascii="Verdana" w:hAnsi="Verdana"/>
                <w:sz w:val="20"/>
                <w:szCs w:val="20"/>
                <w:lang w:val="en-US"/>
              </w:rPr>
              <w:t>I</w:t>
            </w:r>
            <w:r w:rsidRPr="006F7D84">
              <w:rPr>
                <w:rFonts w:ascii="Verdana" w:hAnsi="Verdana"/>
                <w:sz w:val="20"/>
                <w:szCs w:val="20"/>
                <w:lang w:val="en-US"/>
              </w:rPr>
              <w:t>ntermediate (precursor); solvent</w:t>
            </w:r>
          </w:p>
        </w:tc>
      </w:tr>
      <w:tr w:rsidR="00B31501" w:rsidRPr="006F7D84" w14:paraId="62B4F2E2" w14:textId="77777777" w:rsidTr="001C039C">
        <w:tc>
          <w:tcPr>
            <w:tcW w:w="562" w:type="dxa"/>
            <w:shd w:val="clear" w:color="auto" w:fill="auto"/>
          </w:tcPr>
          <w:p w14:paraId="7DF50921" w14:textId="3ACCFEF3" w:rsidR="00B31501" w:rsidRPr="006F7D84" w:rsidRDefault="00B31501" w:rsidP="00FF51D1">
            <w:pPr>
              <w:pStyle w:val="Corpsdetexte"/>
              <w:spacing w:after="120"/>
              <w:jc w:val="both"/>
              <w:rPr>
                <w:rFonts w:ascii="Verdana" w:hAnsi="Verdana"/>
                <w:sz w:val="20"/>
                <w:szCs w:val="20"/>
              </w:rPr>
            </w:pPr>
            <w:r>
              <w:rPr>
                <w:rFonts w:ascii="Verdana" w:hAnsi="Verdana"/>
                <w:sz w:val="20"/>
                <w:szCs w:val="20"/>
              </w:rPr>
              <w:lastRenderedPageBreak/>
              <w:t>I</w:t>
            </w:r>
            <w:r w:rsidR="00FD07C6">
              <w:rPr>
                <w:rFonts w:ascii="Verdana" w:hAnsi="Verdana"/>
                <w:sz w:val="20"/>
                <w:szCs w:val="20"/>
              </w:rPr>
              <w:t>/P</w:t>
            </w:r>
          </w:p>
        </w:tc>
        <w:tc>
          <w:tcPr>
            <w:tcW w:w="1985" w:type="dxa"/>
            <w:shd w:val="clear" w:color="auto" w:fill="auto"/>
          </w:tcPr>
          <w:p w14:paraId="3C6C3DA3" w14:textId="587B018C" w:rsidR="00B31501" w:rsidRDefault="00B31501" w:rsidP="00FF51D1">
            <w:pPr>
              <w:pStyle w:val="Corpsdetexte"/>
              <w:spacing w:after="120"/>
              <w:jc w:val="both"/>
              <w:rPr>
                <w:rFonts w:ascii="Verdana" w:hAnsi="Verdana"/>
                <w:sz w:val="20"/>
                <w:szCs w:val="20"/>
              </w:rPr>
            </w:pPr>
            <w:r>
              <w:rPr>
                <w:rFonts w:ascii="Verdana" w:hAnsi="Verdana"/>
                <w:sz w:val="20"/>
                <w:szCs w:val="20"/>
              </w:rPr>
              <w:t>Industrial use</w:t>
            </w:r>
            <w:r w:rsidR="00FD07C6">
              <w:rPr>
                <w:rFonts w:ascii="Verdana" w:hAnsi="Verdana"/>
                <w:sz w:val="20"/>
                <w:szCs w:val="20"/>
              </w:rPr>
              <w:t>/Professional use</w:t>
            </w:r>
            <w:r>
              <w:rPr>
                <w:rFonts w:ascii="Verdana" w:hAnsi="Verdana"/>
                <w:sz w:val="20"/>
                <w:szCs w:val="20"/>
              </w:rPr>
              <w:t xml:space="preserve"> in </w:t>
            </w:r>
            <w:r w:rsidR="00721042">
              <w:rPr>
                <w:rFonts w:ascii="Verdana" w:hAnsi="Verdana"/>
                <w:sz w:val="20"/>
                <w:szCs w:val="20"/>
              </w:rPr>
              <w:t>s</w:t>
            </w:r>
            <w:r>
              <w:rPr>
                <w:rFonts w:ascii="Verdana" w:hAnsi="Verdana"/>
                <w:sz w:val="20"/>
                <w:szCs w:val="20"/>
              </w:rPr>
              <w:t>cientific research and development</w:t>
            </w:r>
          </w:p>
        </w:tc>
        <w:tc>
          <w:tcPr>
            <w:tcW w:w="1276" w:type="dxa"/>
            <w:shd w:val="clear" w:color="auto" w:fill="auto"/>
          </w:tcPr>
          <w:p w14:paraId="1F85596E" w14:textId="7B2A05FA" w:rsidR="00B31501" w:rsidRPr="006F7D84" w:rsidRDefault="00B31501" w:rsidP="00FF51D1">
            <w:pPr>
              <w:pStyle w:val="Corpsdetexte"/>
              <w:spacing w:after="120"/>
              <w:jc w:val="both"/>
              <w:rPr>
                <w:rFonts w:ascii="Verdana" w:hAnsi="Verdana"/>
                <w:sz w:val="20"/>
                <w:szCs w:val="20"/>
              </w:rPr>
            </w:pPr>
            <w:r>
              <w:rPr>
                <w:rFonts w:ascii="Verdana" w:hAnsi="Verdana"/>
                <w:sz w:val="20"/>
                <w:szCs w:val="20"/>
              </w:rPr>
              <w:t>1, 2, 3, 4, 5, 8a, 8b, 9, 15</w:t>
            </w:r>
          </w:p>
        </w:tc>
        <w:tc>
          <w:tcPr>
            <w:tcW w:w="4772" w:type="dxa"/>
            <w:shd w:val="clear" w:color="auto" w:fill="auto"/>
          </w:tcPr>
          <w:p w14:paraId="21E9314F" w14:textId="32471582" w:rsidR="00B31501" w:rsidRPr="006F7D84" w:rsidRDefault="00083BBB" w:rsidP="00B31501">
            <w:pPr>
              <w:pStyle w:val="Corpsdetexte"/>
              <w:spacing w:after="120"/>
              <w:jc w:val="both"/>
              <w:rPr>
                <w:rFonts w:ascii="Verdana" w:hAnsi="Verdana"/>
                <w:sz w:val="20"/>
                <w:szCs w:val="20"/>
                <w:lang w:val="en-US"/>
              </w:rPr>
            </w:pPr>
            <w:r>
              <w:rPr>
                <w:rFonts w:ascii="Verdana" w:hAnsi="Verdana"/>
                <w:sz w:val="20"/>
                <w:szCs w:val="20"/>
                <w:lang w:val="en-US"/>
              </w:rPr>
              <w:t>PC</w:t>
            </w:r>
            <w:r w:rsidR="0008751D">
              <w:rPr>
                <w:rFonts w:ascii="Verdana" w:hAnsi="Verdana"/>
                <w:sz w:val="20"/>
                <w:szCs w:val="20"/>
                <w:lang w:val="en-US"/>
              </w:rPr>
              <w:t>20: Products such as pH</w:t>
            </w:r>
            <w:r w:rsidR="00B31501" w:rsidRPr="006F7D84">
              <w:rPr>
                <w:rFonts w:ascii="Verdana" w:hAnsi="Verdana"/>
                <w:sz w:val="20"/>
                <w:szCs w:val="20"/>
                <w:lang w:val="en-US"/>
              </w:rPr>
              <w:t>-regulators, flocculants, precipitants, neutralisation agents</w:t>
            </w:r>
          </w:p>
          <w:p w14:paraId="11A42614" w14:textId="01F73D3E" w:rsidR="00B31501" w:rsidRDefault="00B31501" w:rsidP="00993B07">
            <w:pPr>
              <w:pStyle w:val="Corpsdetexte"/>
              <w:spacing w:after="120"/>
              <w:jc w:val="both"/>
              <w:rPr>
                <w:rFonts w:ascii="Verdana" w:hAnsi="Verdana"/>
                <w:sz w:val="20"/>
                <w:szCs w:val="20"/>
                <w:lang w:val="en-US"/>
              </w:rPr>
            </w:pPr>
            <w:r>
              <w:rPr>
                <w:rFonts w:ascii="Verdana" w:hAnsi="Verdana"/>
                <w:sz w:val="20"/>
                <w:szCs w:val="20"/>
                <w:lang w:val="en-US"/>
              </w:rPr>
              <w:t xml:space="preserve">PC21: </w:t>
            </w:r>
            <w:r w:rsidR="00721042">
              <w:rPr>
                <w:rFonts w:ascii="Verdana" w:hAnsi="Verdana"/>
                <w:sz w:val="20"/>
                <w:szCs w:val="20"/>
                <w:lang w:val="en-US"/>
              </w:rPr>
              <w:t>L</w:t>
            </w:r>
            <w:r>
              <w:rPr>
                <w:rFonts w:ascii="Verdana" w:hAnsi="Verdana"/>
                <w:sz w:val="20"/>
                <w:szCs w:val="20"/>
                <w:lang w:val="en-US"/>
              </w:rPr>
              <w:t>aboratory chemicals</w:t>
            </w:r>
          </w:p>
          <w:p w14:paraId="659E19C4" w14:textId="56ED8D16" w:rsidR="00B31501" w:rsidRDefault="00B31501" w:rsidP="00993B07">
            <w:pPr>
              <w:pStyle w:val="Corpsdetexte"/>
              <w:spacing w:after="120"/>
              <w:jc w:val="both"/>
              <w:rPr>
                <w:rFonts w:ascii="Verdana" w:hAnsi="Verdana"/>
                <w:sz w:val="20"/>
                <w:szCs w:val="20"/>
                <w:lang w:val="en-US"/>
              </w:rPr>
            </w:pPr>
            <w:r>
              <w:rPr>
                <w:rFonts w:ascii="Verdana" w:hAnsi="Verdana"/>
                <w:sz w:val="20"/>
                <w:szCs w:val="20"/>
                <w:lang w:val="en-US"/>
              </w:rPr>
              <w:t>SU20: Health services</w:t>
            </w:r>
          </w:p>
          <w:p w14:paraId="59C481D0" w14:textId="215F364C" w:rsidR="00B31501" w:rsidRDefault="00083BBB" w:rsidP="00993B07">
            <w:pPr>
              <w:pStyle w:val="Corpsdetexte"/>
              <w:spacing w:after="120"/>
              <w:jc w:val="both"/>
              <w:rPr>
                <w:rFonts w:ascii="Verdana" w:hAnsi="Verdana"/>
                <w:sz w:val="20"/>
                <w:szCs w:val="20"/>
                <w:lang w:val="en-US"/>
              </w:rPr>
            </w:pPr>
            <w:r>
              <w:rPr>
                <w:rFonts w:ascii="Verdana" w:hAnsi="Verdana"/>
                <w:sz w:val="20"/>
                <w:szCs w:val="20"/>
                <w:lang w:val="en-US"/>
              </w:rPr>
              <w:t>SU</w:t>
            </w:r>
            <w:r w:rsidR="00B31501">
              <w:rPr>
                <w:rFonts w:ascii="Verdana" w:hAnsi="Verdana"/>
                <w:sz w:val="20"/>
                <w:szCs w:val="20"/>
                <w:lang w:val="en-US"/>
              </w:rPr>
              <w:t>24: Scientific research and development</w:t>
            </w:r>
          </w:p>
        </w:tc>
      </w:tr>
    </w:tbl>
    <w:p w14:paraId="792ACD6B" w14:textId="55466251" w:rsidR="006378D0" w:rsidRDefault="00D75A67" w:rsidP="00D75A67">
      <w:pPr>
        <w:pStyle w:val="Corpsdetexte"/>
        <w:spacing w:after="0"/>
        <w:rPr>
          <w:rFonts w:ascii="Verdana" w:hAnsi="Verdana"/>
          <w:sz w:val="18"/>
        </w:rPr>
      </w:pPr>
      <w:r>
        <w:rPr>
          <w:rFonts w:ascii="Verdana" w:hAnsi="Verdana"/>
          <w:sz w:val="18"/>
        </w:rPr>
        <w:t xml:space="preserve">M: Manufacture; </w:t>
      </w:r>
      <w:r w:rsidRPr="0065549B">
        <w:rPr>
          <w:rFonts w:ascii="Verdana" w:hAnsi="Verdana"/>
          <w:sz w:val="18"/>
        </w:rPr>
        <w:t xml:space="preserve">F: </w:t>
      </w:r>
      <w:r w:rsidR="003221A7">
        <w:rPr>
          <w:rFonts w:ascii="Verdana" w:hAnsi="Verdana"/>
          <w:sz w:val="18"/>
        </w:rPr>
        <w:t>F</w:t>
      </w:r>
      <w:r w:rsidRPr="0065549B">
        <w:rPr>
          <w:rFonts w:ascii="Verdana" w:hAnsi="Verdana"/>
          <w:sz w:val="18"/>
        </w:rPr>
        <w:t xml:space="preserve">ormulation, I: </w:t>
      </w:r>
      <w:r w:rsidR="003221A7">
        <w:rPr>
          <w:rFonts w:ascii="Verdana" w:hAnsi="Verdana"/>
          <w:sz w:val="18"/>
        </w:rPr>
        <w:t>I</w:t>
      </w:r>
      <w:r w:rsidRPr="0065549B">
        <w:rPr>
          <w:rFonts w:ascii="Verdana" w:hAnsi="Verdana"/>
          <w:sz w:val="18"/>
        </w:rPr>
        <w:t xml:space="preserve">ndustrial use, </w:t>
      </w:r>
      <w:r>
        <w:rPr>
          <w:rFonts w:ascii="Verdana" w:hAnsi="Verdana"/>
          <w:sz w:val="18"/>
        </w:rPr>
        <w:t xml:space="preserve">P: </w:t>
      </w:r>
      <w:r w:rsidR="003221A7">
        <w:rPr>
          <w:rFonts w:ascii="Verdana" w:hAnsi="Verdana"/>
          <w:sz w:val="18"/>
        </w:rPr>
        <w:t>P</w:t>
      </w:r>
      <w:r>
        <w:rPr>
          <w:rFonts w:ascii="Verdana" w:hAnsi="Verdana"/>
          <w:sz w:val="18"/>
        </w:rPr>
        <w:t>rofessional workers</w:t>
      </w:r>
      <w:r w:rsidR="006378D0">
        <w:rPr>
          <w:rFonts w:ascii="Verdana" w:hAnsi="Verdana"/>
          <w:sz w:val="18"/>
        </w:rPr>
        <w:t xml:space="preserve">; </w:t>
      </w:r>
    </w:p>
    <w:p w14:paraId="5BA1E26D" w14:textId="3AB271E3" w:rsidR="00D75A67" w:rsidRDefault="006378D0" w:rsidP="00D75A67">
      <w:pPr>
        <w:pStyle w:val="Corpsdetexte"/>
        <w:spacing w:after="0"/>
        <w:rPr>
          <w:rFonts w:ascii="Verdana" w:hAnsi="Verdana"/>
          <w:sz w:val="18"/>
        </w:rPr>
      </w:pPr>
      <w:r w:rsidRPr="006378D0">
        <w:rPr>
          <w:rFonts w:ascii="Verdana" w:hAnsi="Verdana"/>
          <w:sz w:val="20"/>
          <w:szCs w:val="20"/>
          <w:vertAlign w:val="superscript"/>
          <w:lang w:val="en-US"/>
        </w:rPr>
        <w:t>1</w:t>
      </w:r>
      <w:r>
        <w:rPr>
          <w:rFonts w:ascii="Verdana" w:hAnsi="Verdana"/>
          <w:sz w:val="20"/>
          <w:szCs w:val="20"/>
          <w:vertAlign w:val="superscript"/>
          <w:lang w:val="en-US"/>
        </w:rPr>
        <w:t xml:space="preserve">: </w:t>
      </w:r>
      <w:r w:rsidRPr="006378D0">
        <w:rPr>
          <w:rFonts w:ascii="Verdana" w:hAnsi="Verdana"/>
          <w:sz w:val="18"/>
        </w:rPr>
        <w:t>Removed from PC list and relocated in the technical</w:t>
      </w:r>
      <w:r>
        <w:rPr>
          <w:rFonts w:ascii="Verdana" w:hAnsi="Verdana"/>
          <w:sz w:val="18"/>
        </w:rPr>
        <w:t xml:space="preserve"> </w:t>
      </w:r>
      <w:r w:rsidRPr="006378D0">
        <w:rPr>
          <w:rFonts w:ascii="Verdana" w:hAnsi="Verdana"/>
          <w:sz w:val="18"/>
        </w:rPr>
        <w:t>function list</w:t>
      </w:r>
      <w:r>
        <w:rPr>
          <w:rFonts w:ascii="Verdana" w:hAnsi="Verdana"/>
          <w:sz w:val="18"/>
        </w:rPr>
        <w:t xml:space="preserve"> in the latest version of REACh guidance, chapter R12 on the description of uses</w:t>
      </w:r>
    </w:p>
    <w:p w14:paraId="6AC7E3E2" w14:textId="77777777" w:rsidR="006378D0" w:rsidRPr="006378D0" w:rsidRDefault="006378D0" w:rsidP="00617EE5">
      <w:pPr>
        <w:pStyle w:val="Lgende"/>
      </w:pPr>
    </w:p>
    <w:p w14:paraId="1AC0E0E2" w14:textId="77777777" w:rsidR="00D614FF" w:rsidRDefault="00D614FF" w:rsidP="00D614FF">
      <w:pPr>
        <w:pStyle w:val="Default"/>
        <w:jc w:val="both"/>
        <w:rPr>
          <w:rFonts w:ascii="Verdana" w:hAnsi="Verdana"/>
          <w:sz w:val="20"/>
          <w:szCs w:val="20"/>
        </w:rPr>
      </w:pPr>
    </w:p>
    <w:p w14:paraId="4600FDA2" w14:textId="32944EF2" w:rsidR="00FD07C6" w:rsidRPr="00940AF5" w:rsidRDefault="00FD07C6" w:rsidP="00617EE5">
      <w:pPr>
        <w:pStyle w:val="Lgende"/>
        <w:rPr>
          <w:bCs/>
          <w:szCs w:val="20"/>
        </w:rPr>
      </w:pPr>
      <w:r w:rsidRPr="00940AF5">
        <w:t xml:space="preserve">Table </w:t>
      </w:r>
      <w:r w:rsidRPr="00940AF5">
        <w:fldChar w:fldCharType="begin"/>
      </w:r>
      <w:r w:rsidRPr="00940AF5">
        <w:instrText xml:space="preserve"> SEQ Table \* ARABIC </w:instrText>
      </w:r>
      <w:r w:rsidRPr="00940AF5">
        <w:fldChar w:fldCharType="separate"/>
      </w:r>
      <w:r w:rsidR="0014770F">
        <w:rPr>
          <w:noProof/>
        </w:rPr>
        <w:t>6</w:t>
      </w:r>
      <w:r w:rsidRPr="00940AF5">
        <w:rPr>
          <w:noProof/>
        </w:rPr>
        <w:fldChar w:fldCharType="end"/>
      </w:r>
      <w:r w:rsidR="008408CE">
        <w:tab/>
      </w:r>
      <w:r w:rsidRPr="00940AF5">
        <w:tab/>
        <w:t xml:space="preserve">Intermediate uses only </w:t>
      </w:r>
      <w:r w:rsidR="000723EF" w:rsidRPr="00940AF5">
        <w:t>registered according to REAC</w:t>
      </w:r>
      <w:r w:rsidR="009C227F">
        <w:t>h</w:t>
      </w:r>
      <w:r w:rsidR="00617EE5">
        <w:t xml:space="preserve"> </w:t>
      </w:r>
      <w:r w:rsidR="000723EF" w:rsidRPr="00940AF5">
        <w:t xml:space="preserve">Article 17/18 </w:t>
      </w:r>
      <w:r w:rsidRPr="00940AF5">
        <w:t xml:space="preserve">(according to ECHA dissemination site, </w:t>
      </w:r>
      <w:r w:rsidRPr="00940AF5">
        <w:rPr>
          <w:bCs/>
          <w:szCs w:val="20"/>
        </w:rPr>
        <w:t>consulted on 16 June 2022)</w:t>
      </w:r>
    </w:p>
    <w:p w14:paraId="0D3460A5" w14:textId="7E32BC19" w:rsidR="00FD07C6" w:rsidRDefault="00FD07C6" w:rsidP="00F1480F">
      <w:pPr>
        <w:autoSpaceDE w:val="0"/>
        <w:autoSpaceDN w:val="0"/>
        <w:adjustRightInd w:val="0"/>
        <w:spacing w:after="0"/>
        <w:jc w:val="both"/>
        <w:rPr>
          <w:rFonts w:ascii="Verdana" w:hAnsi="Verdana"/>
          <w:b/>
          <w:sz w:val="20"/>
          <w:szCs w:val="20"/>
          <w:u w:val="single"/>
          <w:lang w:val="nl-BE" w:eastAsia="en-GB"/>
        </w:rPr>
      </w:pPr>
    </w:p>
    <w:tbl>
      <w:tblPr>
        <w:tblStyle w:val="Grilledutableau"/>
        <w:tblW w:w="9256" w:type="dxa"/>
        <w:tblLook w:val="04A0" w:firstRow="1" w:lastRow="0" w:firstColumn="1" w:lastColumn="0" w:noHBand="0" w:noVBand="1"/>
      </w:tblPr>
      <w:tblGrid>
        <w:gridCol w:w="562"/>
        <w:gridCol w:w="1985"/>
        <w:gridCol w:w="1276"/>
        <w:gridCol w:w="5433"/>
      </w:tblGrid>
      <w:tr w:rsidR="00FD07C6" w:rsidRPr="006F7D84" w14:paraId="684C2D90" w14:textId="77777777" w:rsidTr="005970D6">
        <w:trPr>
          <w:trHeight w:val="296"/>
        </w:trPr>
        <w:tc>
          <w:tcPr>
            <w:tcW w:w="562" w:type="dxa"/>
            <w:shd w:val="clear" w:color="auto" w:fill="4F81BD" w:themeFill="accent1"/>
          </w:tcPr>
          <w:p w14:paraId="1CAE4A02" w14:textId="77777777" w:rsidR="00FD07C6" w:rsidRPr="006F7D84" w:rsidRDefault="00FD07C6" w:rsidP="005970D6">
            <w:pPr>
              <w:spacing w:after="0"/>
              <w:rPr>
                <w:rFonts w:ascii="Verdana" w:hAnsi="Verdana" w:cs="Calibri"/>
                <w:bCs/>
                <w:snapToGrid w:val="0"/>
                <w:color w:val="FFFFFF" w:themeColor="background1"/>
                <w:sz w:val="20"/>
                <w:szCs w:val="20"/>
              </w:rPr>
            </w:pPr>
          </w:p>
        </w:tc>
        <w:tc>
          <w:tcPr>
            <w:tcW w:w="1985" w:type="dxa"/>
            <w:shd w:val="clear" w:color="auto" w:fill="4F81BD" w:themeFill="accent1"/>
          </w:tcPr>
          <w:p w14:paraId="6559F682" w14:textId="77777777" w:rsidR="00FD07C6" w:rsidRPr="006F7D84" w:rsidRDefault="00FD07C6" w:rsidP="005970D6">
            <w:pPr>
              <w:spacing w:after="0"/>
              <w:rPr>
                <w:rFonts w:ascii="Verdana" w:hAnsi="Verdana" w:cs="Calibri"/>
                <w:bCs/>
                <w:snapToGrid w:val="0"/>
                <w:color w:val="FFFFFF" w:themeColor="background1"/>
                <w:sz w:val="20"/>
                <w:szCs w:val="20"/>
              </w:rPr>
            </w:pPr>
            <w:r w:rsidRPr="006F7D84">
              <w:rPr>
                <w:rFonts w:ascii="Verdana" w:hAnsi="Verdana" w:cs="Calibri"/>
                <w:b/>
                <w:bCs/>
                <w:snapToGrid w:val="0"/>
                <w:color w:val="FFFFFF" w:themeColor="background1"/>
                <w:sz w:val="20"/>
                <w:szCs w:val="20"/>
              </w:rPr>
              <w:t>Exposure Scenario  (ES) name</w:t>
            </w:r>
          </w:p>
        </w:tc>
        <w:tc>
          <w:tcPr>
            <w:tcW w:w="1276" w:type="dxa"/>
            <w:shd w:val="clear" w:color="auto" w:fill="4F81BD" w:themeFill="accent1"/>
          </w:tcPr>
          <w:p w14:paraId="4752B384" w14:textId="77777777" w:rsidR="00FD07C6" w:rsidRPr="006F7D84" w:rsidRDefault="00FD07C6" w:rsidP="005970D6">
            <w:pPr>
              <w:spacing w:after="0"/>
              <w:rPr>
                <w:rFonts w:ascii="Verdana" w:hAnsi="Verdana" w:cs="Calibri"/>
                <w:bCs/>
                <w:snapToGrid w:val="0"/>
                <w:color w:val="FFFFFF" w:themeColor="background1"/>
                <w:sz w:val="20"/>
                <w:szCs w:val="20"/>
              </w:rPr>
            </w:pPr>
            <w:r w:rsidRPr="006F7D84">
              <w:rPr>
                <w:rFonts w:ascii="Verdana" w:hAnsi="Verdana" w:cs="Calibri"/>
                <w:b/>
                <w:bCs/>
                <w:snapToGrid w:val="0"/>
                <w:color w:val="FFFFFF" w:themeColor="background1"/>
                <w:sz w:val="20"/>
                <w:szCs w:val="20"/>
              </w:rPr>
              <w:t>PROC</w:t>
            </w:r>
          </w:p>
        </w:tc>
        <w:tc>
          <w:tcPr>
            <w:tcW w:w="5433" w:type="dxa"/>
            <w:shd w:val="clear" w:color="auto" w:fill="4F81BD" w:themeFill="accent1"/>
          </w:tcPr>
          <w:p w14:paraId="4ABDA412" w14:textId="77777777" w:rsidR="00FD07C6" w:rsidRPr="006F7D84" w:rsidRDefault="00FD07C6" w:rsidP="005970D6">
            <w:pPr>
              <w:spacing w:after="0"/>
              <w:rPr>
                <w:rFonts w:ascii="Verdana" w:hAnsi="Verdana" w:cs="Calibri"/>
                <w:bCs/>
                <w:snapToGrid w:val="0"/>
                <w:color w:val="FFFFFF" w:themeColor="background1"/>
                <w:sz w:val="20"/>
                <w:szCs w:val="20"/>
              </w:rPr>
            </w:pPr>
            <w:r>
              <w:rPr>
                <w:rFonts w:ascii="Verdana" w:hAnsi="Verdana" w:cs="Calibri"/>
                <w:b/>
                <w:bCs/>
                <w:snapToGrid w:val="0"/>
                <w:color w:val="FFFFFF" w:themeColor="background1"/>
                <w:sz w:val="20"/>
                <w:szCs w:val="20"/>
              </w:rPr>
              <w:t xml:space="preserve">Product category (PC) and Sector of </w:t>
            </w:r>
            <w:r w:rsidRPr="006F7D84">
              <w:rPr>
                <w:rFonts w:ascii="Verdana" w:hAnsi="Verdana" w:cs="Calibri"/>
                <w:b/>
                <w:bCs/>
                <w:snapToGrid w:val="0"/>
                <w:color w:val="FFFFFF" w:themeColor="background1"/>
                <w:sz w:val="20"/>
                <w:szCs w:val="20"/>
              </w:rPr>
              <w:t>use</w:t>
            </w:r>
            <w:r>
              <w:rPr>
                <w:rFonts w:ascii="Verdana" w:hAnsi="Verdana" w:cs="Calibri"/>
                <w:b/>
                <w:bCs/>
                <w:snapToGrid w:val="0"/>
                <w:color w:val="FFFFFF" w:themeColor="background1"/>
                <w:sz w:val="20"/>
                <w:szCs w:val="20"/>
              </w:rPr>
              <w:t xml:space="preserve"> (SU) covered</w:t>
            </w:r>
          </w:p>
        </w:tc>
      </w:tr>
      <w:tr w:rsidR="00FD07C6" w:rsidRPr="006F7D84" w14:paraId="723A1CE6" w14:textId="77777777" w:rsidTr="005970D6">
        <w:tc>
          <w:tcPr>
            <w:tcW w:w="562" w:type="dxa"/>
            <w:shd w:val="clear" w:color="auto" w:fill="auto"/>
          </w:tcPr>
          <w:p w14:paraId="4D7CE426" w14:textId="77777777" w:rsidR="00FD07C6" w:rsidRPr="006F7D84" w:rsidRDefault="00FD07C6" w:rsidP="005970D6">
            <w:pPr>
              <w:pStyle w:val="Corpsdetexte"/>
              <w:spacing w:after="120"/>
              <w:jc w:val="both"/>
              <w:rPr>
                <w:rFonts w:ascii="Verdana" w:hAnsi="Verdana"/>
                <w:sz w:val="20"/>
                <w:szCs w:val="20"/>
              </w:rPr>
            </w:pPr>
          </w:p>
        </w:tc>
        <w:tc>
          <w:tcPr>
            <w:tcW w:w="1985" w:type="dxa"/>
            <w:shd w:val="clear" w:color="auto" w:fill="auto"/>
          </w:tcPr>
          <w:p w14:paraId="4B4962CA" w14:textId="77777777" w:rsidR="00FD07C6" w:rsidRPr="006F7D84" w:rsidRDefault="00FD07C6" w:rsidP="005970D6">
            <w:pPr>
              <w:pStyle w:val="Corpsdetexte"/>
              <w:spacing w:after="120"/>
              <w:jc w:val="both"/>
              <w:rPr>
                <w:rFonts w:ascii="Verdana" w:hAnsi="Verdana"/>
                <w:sz w:val="20"/>
                <w:szCs w:val="20"/>
              </w:rPr>
            </w:pPr>
            <w:r>
              <w:rPr>
                <w:rFonts w:ascii="Verdana" w:hAnsi="Verdana"/>
                <w:sz w:val="20"/>
                <w:szCs w:val="20"/>
              </w:rPr>
              <w:t>No identified uses</w:t>
            </w:r>
          </w:p>
        </w:tc>
        <w:tc>
          <w:tcPr>
            <w:tcW w:w="1276" w:type="dxa"/>
            <w:shd w:val="clear" w:color="auto" w:fill="auto"/>
          </w:tcPr>
          <w:p w14:paraId="595FC92E" w14:textId="77777777" w:rsidR="00FD07C6" w:rsidRPr="006F7D84" w:rsidRDefault="00FD07C6" w:rsidP="005970D6">
            <w:pPr>
              <w:pStyle w:val="Corpsdetexte"/>
              <w:spacing w:after="120"/>
              <w:jc w:val="both"/>
              <w:rPr>
                <w:rFonts w:ascii="Verdana" w:hAnsi="Verdana"/>
                <w:sz w:val="20"/>
                <w:szCs w:val="20"/>
              </w:rPr>
            </w:pPr>
          </w:p>
        </w:tc>
        <w:tc>
          <w:tcPr>
            <w:tcW w:w="5433" w:type="dxa"/>
            <w:shd w:val="clear" w:color="auto" w:fill="auto"/>
          </w:tcPr>
          <w:p w14:paraId="3CD92A57" w14:textId="11A09AAE" w:rsidR="00FD07C6" w:rsidRPr="006F7D84" w:rsidRDefault="00FD07C6" w:rsidP="005970D6">
            <w:pPr>
              <w:pStyle w:val="Corpsdetexte"/>
              <w:spacing w:after="0"/>
              <w:jc w:val="both"/>
              <w:rPr>
                <w:rFonts w:ascii="Verdana" w:hAnsi="Verdana"/>
                <w:sz w:val="20"/>
                <w:szCs w:val="20"/>
              </w:rPr>
            </w:pPr>
            <w:r>
              <w:rPr>
                <w:rFonts w:ascii="Verdana" w:hAnsi="Verdana"/>
                <w:sz w:val="20"/>
                <w:szCs w:val="20"/>
              </w:rPr>
              <w:t>Other reactant in an imported polymer</w:t>
            </w:r>
          </w:p>
        </w:tc>
      </w:tr>
      <w:tr w:rsidR="00FD07C6" w:rsidRPr="006F7D84" w14:paraId="78A2A336" w14:textId="77777777" w:rsidTr="005970D6">
        <w:tc>
          <w:tcPr>
            <w:tcW w:w="562" w:type="dxa"/>
            <w:shd w:val="clear" w:color="auto" w:fill="auto"/>
          </w:tcPr>
          <w:p w14:paraId="3A73A6D4" w14:textId="036B91E4" w:rsidR="00FD07C6" w:rsidRPr="006F7D84" w:rsidRDefault="000723EF" w:rsidP="005970D6">
            <w:pPr>
              <w:pStyle w:val="Corpsdetexte"/>
              <w:spacing w:after="120"/>
              <w:jc w:val="both"/>
              <w:rPr>
                <w:rFonts w:ascii="Verdana" w:hAnsi="Verdana"/>
                <w:sz w:val="20"/>
                <w:szCs w:val="20"/>
              </w:rPr>
            </w:pPr>
            <w:r>
              <w:rPr>
                <w:rFonts w:ascii="Verdana" w:hAnsi="Verdana"/>
                <w:sz w:val="20"/>
                <w:szCs w:val="20"/>
              </w:rPr>
              <w:t>I</w:t>
            </w:r>
          </w:p>
        </w:tc>
        <w:tc>
          <w:tcPr>
            <w:tcW w:w="1985" w:type="dxa"/>
            <w:shd w:val="clear" w:color="auto" w:fill="auto"/>
          </w:tcPr>
          <w:p w14:paraId="01D3F5DA" w14:textId="342C7682" w:rsidR="00FD07C6" w:rsidRPr="006F7D84" w:rsidRDefault="000723EF" w:rsidP="005970D6">
            <w:pPr>
              <w:pStyle w:val="Corpsdetexte"/>
              <w:spacing w:after="120"/>
              <w:jc w:val="both"/>
              <w:rPr>
                <w:rFonts w:ascii="Verdana" w:hAnsi="Verdana"/>
                <w:sz w:val="20"/>
                <w:szCs w:val="20"/>
              </w:rPr>
            </w:pPr>
            <w:r>
              <w:rPr>
                <w:rFonts w:ascii="Verdana" w:hAnsi="Verdana"/>
                <w:sz w:val="20"/>
                <w:szCs w:val="20"/>
              </w:rPr>
              <w:t>Uses at Industrial sites</w:t>
            </w:r>
          </w:p>
        </w:tc>
        <w:tc>
          <w:tcPr>
            <w:tcW w:w="1276" w:type="dxa"/>
            <w:shd w:val="clear" w:color="auto" w:fill="auto"/>
          </w:tcPr>
          <w:p w14:paraId="3B8B4FB6" w14:textId="693B3CF9" w:rsidR="00FD07C6" w:rsidRPr="006F7D84" w:rsidRDefault="000723EF" w:rsidP="005970D6">
            <w:pPr>
              <w:pStyle w:val="Corpsdetexte"/>
              <w:spacing w:after="120"/>
              <w:jc w:val="both"/>
              <w:rPr>
                <w:rFonts w:ascii="Verdana" w:hAnsi="Verdana"/>
                <w:sz w:val="20"/>
                <w:szCs w:val="20"/>
              </w:rPr>
            </w:pPr>
            <w:r>
              <w:rPr>
                <w:rFonts w:ascii="Verdana" w:hAnsi="Verdana"/>
                <w:sz w:val="20"/>
                <w:szCs w:val="20"/>
              </w:rPr>
              <w:t>1, 2, 3, 8b, 15</w:t>
            </w:r>
          </w:p>
        </w:tc>
        <w:tc>
          <w:tcPr>
            <w:tcW w:w="5433" w:type="dxa"/>
            <w:shd w:val="clear" w:color="auto" w:fill="auto"/>
          </w:tcPr>
          <w:p w14:paraId="6A7DD6B4" w14:textId="5EC0A269" w:rsidR="00FD07C6" w:rsidRPr="006F7D84" w:rsidRDefault="00AD178B" w:rsidP="005970D6">
            <w:pPr>
              <w:pStyle w:val="Corpsdetexte"/>
              <w:spacing w:after="0"/>
              <w:jc w:val="both"/>
              <w:rPr>
                <w:rFonts w:ascii="Verdana" w:hAnsi="Verdana"/>
                <w:sz w:val="20"/>
                <w:szCs w:val="20"/>
              </w:rPr>
            </w:pPr>
            <w:r>
              <w:rPr>
                <w:rFonts w:ascii="Verdana" w:hAnsi="Verdana"/>
                <w:sz w:val="20"/>
                <w:szCs w:val="20"/>
              </w:rPr>
              <w:t>SU</w:t>
            </w:r>
            <w:r w:rsidR="00EA6447">
              <w:rPr>
                <w:rFonts w:ascii="Verdana" w:hAnsi="Verdana"/>
                <w:sz w:val="20"/>
                <w:szCs w:val="20"/>
              </w:rPr>
              <w:t>9</w:t>
            </w:r>
            <w:r w:rsidR="000723EF">
              <w:rPr>
                <w:rFonts w:ascii="Verdana" w:hAnsi="Verdana"/>
                <w:sz w:val="20"/>
                <w:szCs w:val="20"/>
              </w:rPr>
              <w:t>: manufacture of fine chemicals</w:t>
            </w:r>
          </w:p>
        </w:tc>
      </w:tr>
    </w:tbl>
    <w:p w14:paraId="2BB4F99C" w14:textId="6B42F90A" w:rsidR="00FD07C6" w:rsidRPr="00FD07C6" w:rsidRDefault="00FD07C6" w:rsidP="00F1480F">
      <w:pPr>
        <w:autoSpaceDE w:val="0"/>
        <w:autoSpaceDN w:val="0"/>
        <w:adjustRightInd w:val="0"/>
        <w:spacing w:after="0"/>
        <w:jc w:val="both"/>
        <w:rPr>
          <w:rFonts w:ascii="Verdana" w:hAnsi="Verdana"/>
          <w:b/>
          <w:sz w:val="20"/>
          <w:szCs w:val="20"/>
          <w:u w:val="single"/>
          <w:lang w:eastAsia="en-GB"/>
        </w:rPr>
      </w:pPr>
    </w:p>
    <w:p w14:paraId="35BD4FDE" w14:textId="77777777" w:rsidR="00B80652" w:rsidRDefault="00B80652" w:rsidP="00F1480F">
      <w:pPr>
        <w:autoSpaceDE w:val="0"/>
        <w:autoSpaceDN w:val="0"/>
        <w:adjustRightInd w:val="0"/>
        <w:spacing w:after="0"/>
        <w:jc w:val="both"/>
        <w:rPr>
          <w:rFonts w:ascii="Verdana" w:hAnsi="Verdana"/>
          <w:b/>
          <w:sz w:val="20"/>
          <w:szCs w:val="20"/>
          <w:u w:val="single"/>
          <w:lang w:val="nl-BE" w:eastAsia="en-GB"/>
        </w:rPr>
      </w:pPr>
    </w:p>
    <w:p w14:paraId="26603BCB" w14:textId="0EFA3FD1" w:rsidR="008E489B" w:rsidRPr="00B02718" w:rsidRDefault="00B02718" w:rsidP="00F1480F">
      <w:pPr>
        <w:autoSpaceDE w:val="0"/>
        <w:autoSpaceDN w:val="0"/>
        <w:adjustRightInd w:val="0"/>
        <w:spacing w:after="0"/>
        <w:jc w:val="both"/>
        <w:rPr>
          <w:rFonts w:ascii="Verdana" w:hAnsi="Verdana"/>
          <w:b/>
          <w:sz w:val="20"/>
          <w:szCs w:val="20"/>
          <w:u w:val="single"/>
          <w:lang w:eastAsia="en-GB"/>
        </w:rPr>
      </w:pPr>
      <w:r w:rsidRPr="008616B9">
        <w:rPr>
          <w:rFonts w:ascii="Verdana" w:hAnsi="Verdana"/>
          <w:b/>
          <w:sz w:val="20"/>
          <w:szCs w:val="20"/>
          <w:u w:val="single"/>
          <w:lang w:eastAsia="en-GB"/>
        </w:rPr>
        <w:t>Exposure information based on registrations</w:t>
      </w:r>
    </w:p>
    <w:p w14:paraId="1C6990D6" w14:textId="77777777" w:rsidR="00B02718" w:rsidRDefault="00B02718" w:rsidP="00F1480F">
      <w:pPr>
        <w:autoSpaceDE w:val="0"/>
        <w:autoSpaceDN w:val="0"/>
        <w:adjustRightInd w:val="0"/>
        <w:spacing w:after="0"/>
        <w:jc w:val="both"/>
        <w:rPr>
          <w:rFonts w:ascii="Verdana" w:hAnsi="Verdana"/>
          <w:sz w:val="20"/>
          <w:szCs w:val="20"/>
          <w:lang w:eastAsia="en-GB"/>
        </w:rPr>
      </w:pPr>
    </w:p>
    <w:p w14:paraId="5CA7D718" w14:textId="655FF47B" w:rsidR="00B02718" w:rsidRDefault="00B02718" w:rsidP="00ED47FC">
      <w:pPr>
        <w:pStyle w:val="Corpsdetexte"/>
        <w:spacing w:after="120" w:line="276" w:lineRule="auto"/>
        <w:jc w:val="both"/>
        <w:rPr>
          <w:rFonts w:ascii="Verdana" w:hAnsi="Verdana"/>
          <w:sz w:val="20"/>
          <w:szCs w:val="20"/>
          <w:lang w:val="en-US" w:eastAsia="en-GB"/>
        </w:rPr>
      </w:pPr>
      <w:r w:rsidRPr="00A304D7">
        <w:rPr>
          <w:rFonts w:ascii="Verdana" w:hAnsi="Verdana"/>
          <w:sz w:val="20"/>
          <w:szCs w:val="20"/>
          <w:lang w:val="en-US" w:eastAsia="en-GB"/>
        </w:rPr>
        <w:t>For all the exposure scenario</w:t>
      </w:r>
      <w:r w:rsidR="008616B9">
        <w:rPr>
          <w:rFonts w:ascii="Verdana" w:hAnsi="Verdana"/>
          <w:sz w:val="20"/>
          <w:szCs w:val="20"/>
          <w:lang w:val="en-US" w:eastAsia="en-GB"/>
        </w:rPr>
        <w:t>s</w:t>
      </w:r>
      <w:r w:rsidR="00AC62AD">
        <w:rPr>
          <w:rFonts w:ascii="Verdana" w:hAnsi="Verdana"/>
          <w:sz w:val="20"/>
          <w:szCs w:val="20"/>
          <w:lang w:val="en-US" w:eastAsia="en-GB"/>
        </w:rPr>
        <w:t xml:space="preserve"> via inhalation</w:t>
      </w:r>
      <w:r w:rsidRPr="00A304D7">
        <w:rPr>
          <w:rFonts w:ascii="Verdana" w:hAnsi="Verdana"/>
          <w:sz w:val="20"/>
          <w:szCs w:val="20"/>
          <w:lang w:val="en-US" w:eastAsia="en-GB"/>
        </w:rPr>
        <w:t xml:space="preserve">, modelling with either ECETOC TRA </w:t>
      </w:r>
      <w:r w:rsidR="008616B9">
        <w:rPr>
          <w:rFonts w:ascii="Verdana" w:hAnsi="Verdana"/>
          <w:sz w:val="20"/>
          <w:szCs w:val="20"/>
          <w:lang w:val="en-US" w:eastAsia="en-GB"/>
        </w:rPr>
        <w:t>v</w:t>
      </w:r>
      <w:r w:rsidRPr="00A304D7">
        <w:rPr>
          <w:rFonts w:ascii="Verdana" w:hAnsi="Verdana"/>
          <w:sz w:val="20"/>
          <w:szCs w:val="20"/>
          <w:lang w:val="en-US" w:eastAsia="en-GB"/>
        </w:rPr>
        <w:t>3.0 or ART v1.5 was used</w:t>
      </w:r>
      <w:r w:rsidR="007B1C32">
        <w:rPr>
          <w:rFonts w:ascii="Verdana" w:hAnsi="Verdana"/>
          <w:sz w:val="20"/>
          <w:szCs w:val="20"/>
          <w:lang w:val="en-US" w:eastAsia="en-GB"/>
        </w:rPr>
        <w:t xml:space="preserve"> </w:t>
      </w:r>
      <w:r w:rsidR="00FE5489">
        <w:rPr>
          <w:rFonts w:ascii="Verdana" w:hAnsi="Verdana"/>
          <w:sz w:val="20"/>
          <w:szCs w:val="20"/>
          <w:lang w:val="en-US" w:eastAsia="en-GB"/>
        </w:rPr>
        <w:t>in the registration dossiers</w:t>
      </w:r>
      <w:r w:rsidRPr="00A304D7">
        <w:rPr>
          <w:rFonts w:ascii="Verdana" w:hAnsi="Verdana"/>
          <w:sz w:val="20"/>
          <w:szCs w:val="20"/>
          <w:lang w:val="en-US" w:eastAsia="en-GB"/>
        </w:rPr>
        <w:t xml:space="preserve">. </w:t>
      </w:r>
      <w:r w:rsidR="00195DF0">
        <w:rPr>
          <w:rFonts w:ascii="Verdana" w:hAnsi="Verdana"/>
          <w:sz w:val="20"/>
          <w:szCs w:val="20"/>
          <w:lang w:val="en-US" w:eastAsia="en-GB"/>
        </w:rPr>
        <w:t>The following scenarios were described in the lead registration dossiers (CSR</w:t>
      </w:r>
      <w:r w:rsidR="00617EE5">
        <w:rPr>
          <w:rFonts w:ascii="Verdana" w:hAnsi="Verdana"/>
          <w:sz w:val="20"/>
          <w:szCs w:val="20"/>
          <w:lang w:val="en-US" w:eastAsia="en-GB"/>
        </w:rPr>
        <w:t>, 2019</w:t>
      </w:r>
      <w:r w:rsidR="00195DF0">
        <w:rPr>
          <w:rFonts w:ascii="Verdana" w:hAnsi="Verdana"/>
          <w:sz w:val="20"/>
          <w:szCs w:val="20"/>
          <w:lang w:val="en-US" w:eastAsia="en-GB"/>
        </w:rPr>
        <w:t>).</w:t>
      </w:r>
    </w:p>
    <w:p w14:paraId="4D9D030C" w14:textId="5AD8B7CB" w:rsidR="003B085A" w:rsidRDefault="003B085A" w:rsidP="00ED47FC">
      <w:pPr>
        <w:pStyle w:val="Corpsdetexte"/>
        <w:spacing w:after="120" w:line="276" w:lineRule="auto"/>
        <w:jc w:val="both"/>
        <w:rPr>
          <w:rFonts w:ascii="Verdana" w:hAnsi="Verdana"/>
          <w:sz w:val="20"/>
          <w:szCs w:val="20"/>
          <w:u w:val="single"/>
          <w:lang w:val="en-US" w:eastAsia="en-GB"/>
        </w:rPr>
      </w:pPr>
      <w:r w:rsidRPr="008E4C82">
        <w:rPr>
          <w:rFonts w:ascii="Verdana" w:hAnsi="Verdana"/>
          <w:sz w:val="20"/>
          <w:szCs w:val="20"/>
          <w:u w:val="single"/>
          <w:lang w:val="en-US" w:eastAsia="en-GB"/>
        </w:rPr>
        <w:t>Manufacturing</w:t>
      </w:r>
    </w:p>
    <w:p w14:paraId="470FC156" w14:textId="16110688" w:rsidR="00C64B9B" w:rsidRPr="008C059D" w:rsidRDefault="00C64B9B" w:rsidP="00ED47FC">
      <w:pPr>
        <w:pStyle w:val="Corpsdetexte"/>
        <w:spacing w:after="120" w:line="276" w:lineRule="auto"/>
        <w:jc w:val="both"/>
        <w:rPr>
          <w:rFonts w:ascii="Verdana" w:hAnsi="Verdana"/>
          <w:sz w:val="20"/>
          <w:szCs w:val="20"/>
          <w:lang w:val="en-US" w:eastAsia="en-GB"/>
        </w:rPr>
      </w:pPr>
      <w:r w:rsidRPr="008C059D">
        <w:rPr>
          <w:rFonts w:ascii="Verdana" w:hAnsi="Verdana"/>
          <w:sz w:val="20"/>
          <w:szCs w:val="20"/>
          <w:lang w:val="en-US" w:eastAsia="en-GB"/>
        </w:rPr>
        <w:t>The manufacturing scenario describes the process of the manufacturing of ca</w:t>
      </w:r>
      <w:r w:rsidR="009B4D4D">
        <w:rPr>
          <w:rFonts w:ascii="Verdana" w:hAnsi="Verdana"/>
          <w:sz w:val="20"/>
          <w:szCs w:val="20"/>
          <w:lang w:val="en-US" w:eastAsia="en-GB"/>
        </w:rPr>
        <w:t>r</w:t>
      </w:r>
      <w:r w:rsidRPr="008C059D">
        <w:rPr>
          <w:rFonts w:ascii="Verdana" w:hAnsi="Verdana"/>
          <w:sz w:val="20"/>
          <w:szCs w:val="20"/>
          <w:lang w:val="en-US" w:eastAsia="en-GB"/>
        </w:rPr>
        <w:t>bon disulfide itself. Th</w:t>
      </w:r>
      <w:r w:rsidR="009B4D4D">
        <w:rPr>
          <w:rFonts w:ascii="Verdana" w:hAnsi="Verdana"/>
          <w:sz w:val="20"/>
          <w:szCs w:val="20"/>
          <w:lang w:val="en-US" w:eastAsia="en-GB"/>
        </w:rPr>
        <w:t>e substance is produce</w:t>
      </w:r>
      <w:r w:rsidR="008616B9">
        <w:rPr>
          <w:rFonts w:ascii="Verdana" w:hAnsi="Verdana"/>
          <w:sz w:val="20"/>
          <w:szCs w:val="20"/>
          <w:lang w:val="en-US" w:eastAsia="en-GB"/>
        </w:rPr>
        <w:t>d</w:t>
      </w:r>
      <w:r w:rsidR="009B4D4D">
        <w:rPr>
          <w:rFonts w:ascii="Verdana" w:hAnsi="Verdana"/>
          <w:sz w:val="20"/>
          <w:szCs w:val="20"/>
          <w:lang w:val="en-US" w:eastAsia="en-GB"/>
        </w:rPr>
        <w:t xml:space="preserve"> based on the reaction of sulfur and methane.</w:t>
      </w:r>
    </w:p>
    <w:p w14:paraId="0F65F6B2" w14:textId="0D78F9F0" w:rsidR="00C64B9B" w:rsidRDefault="00FE5489"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Carbon disulfide</w:t>
      </w:r>
      <w:r w:rsidR="00C64B9B" w:rsidRPr="00C64B9B">
        <w:rPr>
          <w:rFonts w:ascii="Verdana" w:hAnsi="Verdana"/>
          <w:sz w:val="20"/>
          <w:szCs w:val="20"/>
          <w:lang w:val="en-US" w:eastAsia="en-GB"/>
        </w:rPr>
        <w:t xml:space="preserve"> is manufactured in closed systems, under strictly controlled conditions</w:t>
      </w:r>
      <w:r w:rsidR="00C64B9B">
        <w:rPr>
          <w:rFonts w:ascii="Verdana" w:hAnsi="Verdana"/>
          <w:sz w:val="20"/>
          <w:szCs w:val="20"/>
          <w:lang w:val="en-US" w:eastAsia="en-GB"/>
        </w:rPr>
        <w:t xml:space="preserve"> </w:t>
      </w:r>
      <w:r w:rsidR="00C64B9B" w:rsidRPr="00C64B9B">
        <w:rPr>
          <w:rFonts w:ascii="Verdana" w:hAnsi="Verdana"/>
          <w:sz w:val="20"/>
          <w:szCs w:val="20"/>
          <w:lang w:val="en-US" w:eastAsia="en-GB"/>
        </w:rPr>
        <w:t xml:space="preserve">due to </w:t>
      </w:r>
      <w:r w:rsidR="009B4D4D">
        <w:rPr>
          <w:rFonts w:ascii="Verdana" w:hAnsi="Verdana"/>
          <w:sz w:val="20"/>
          <w:szCs w:val="20"/>
          <w:lang w:val="en-US" w:eastAsia="en-GB"/>
        </w:rPr>
        <w:t>its high flammability,</w:t>
      </w:r>
      <w:r w:rsidR="00C64B9B" w:rsidRPr="00C64B9B">
        <w:rPr>
          <w:rFonts w:ascii="Verdana" w:hAnsi="Verdana"/>
          <w:sz w:val="20"/>
          <w:szCs w:val="20"/>
          <w:lang w:val="en-US" w:eastAsia="en-GB"/>
        </w:rPr>
        <w:t xml:space="preserve"> resulting in a high risk of explosion </w:t>
      </w:r>
      <w:r>
        <w:rPr>
          <w:rFonts w:ascii="Verdana" w:hAnsi="Verdana"/>
          <w:sz w:val="20"/>
          <w:szCs w:val="20"/>
          <w:lang w:val="en-US" w:eastAsia="en-GB"/>
        </w:rPr>
        <w:t>at even low concentrations of carbon disulfide</w:t>
      </w:r>
      <w:r w:rsidR="00C64B9B" w:rsidRPr="00C64B9B">
        <w:rPr>
          <w:rFonts w:ascii="Verdana" w:hAnsi="Verdana"/>
          <w:sz w:val="20"/>
          <w:szCs w:val="20"/>
          <w:lang w:val="en-US" w:eastAsia="en-GB"/>
        </w:rPr>
        <w:t xml:space="preserve"> in indoor air.</w:t>
      </w:r>
      <w:r w:rsidR="00195DF0">
        <w:rPr>
          <w:rFonts w:ascii="Verdana" w:hAnsi="Verdana"/>
          <w:sz w:val="20"/>
          <w:szCs w:val="20"/>
          <w:lang w:val="en-US" w:eastAsia="en-GB"/>
        </w:rPr>
        <w:t xml:space="preserve"> The only place where exposure </w:t>
      </w:r>
      <w:r w:rsidR="00C64B9B">
        <w:rPr>
          <w:rFonts w:ascii="Verdana" w:hAnsi="Verdana"/>
          <w:sz w:val="20"/>
          <w:szCs w:val="20"/>
          <w:lang w:val="en-US" w:eastAsia="en-GB"/>
        </w:rPr>
        <w:t xml:space="preserve">is expected to occur is </w:t>
      </w:r>
      <w:r w:rsidR="00C64B9B" w:rsidRPr="00C64B9B">
        <w:rPr>
          <w:rFonts w:ascii="Verdana" w:hAnsi="Verdana"/>
          <w:sz w:val="20"/>
          <w:szCs w:val="20"/>
          <w:lang w:val="en-US" w:eastAsia="en-GB"/>
        </w:rPr>
        <w:t>in the tanker loading areas.</w:t>
      </w:r>
    </w:p>
    <w:p w14:paraId="63F41A06" w14:textId="0E2F7792" w:rsidR="00336014" w:rsidRDefault="00336014"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For this use</w:t>
      </w:r>
      <w:r w:rsidR="008616B9">
        <w:rPr>
          <w:rFonts w:ascii="Verdana" w:hAnsi="Verdana"/>
          <w:sz w:val="20"/>
          <w:szCs w:val="20"/>
          <w:lang w:val="en-US" w:eastAsia="en-GB"/>
        </w:rPr>
        <w:t>,</w:t>
      </w:r>
      <w:r>
        <w:rPr>
          <w:rFonts w:ascii="Verdana" w:hAnsi="Verdana"/>
          <w:sz w:val="20"/>
          <w:szCs w:val="20"/>
          <w:lang w:val="en-US" w:eastAsia="en-GB"/>
        </w:rPr>
        <w:t xml:space="preserve"> both </w:t>
      </w:r>
      <w:r w:rsidR="009B4D4D">
        <w:rPr>
          <w:rFonts w:ascii="Verdana" w:hAnsi="Verdana"/>
          <w:sz w:val="20"/>
          <w:szCs w:val="20"/>
          <w:lang w:val="en-US" w:eastAsia="en-GB"/>
        </w:rPr>
        <w:t>modelling estimates</w:t>
      </w:r>
      <w:r>
        <w:rPr>
          <w:rFonts w:ascii="Verdana" w:hAnsi="Verdana"/>
          <w:sz w:val="20"/>
          <w:szCs w:val="20"/>
          <w:lang w:val="en-US" w:eastAsia="en-GB"/>
        </w:rPr>
        <w:t xml:space="preserve"> and measured data </w:t>
      </w:r>
      <w:r w:rsidR="009B4D4D">
        <w:rPr>
          <w:rFonts w:ascii="Verdana" w:hAnsi="Verdana"/>
          <w:sz w:val="20"/>
          <w:szCs w:val="20"/>
          <w:lang w:val="en-US" w:eastAsia="en-GB"/>
        </w:rPr>
        <w:t xml:space="preserve">at the tanker loading area </w:t>
      </w:r>
      <w:r>
        <w:rPr>
          <w:rFonts w:ascii="Verdana" w:hAnsi="Verdana"/>
          <w:sz w:val="20"/>
          <w:szCs w:val="20"/>
          <w:lang w:val="en-US" w:eastAsia="en-GB"/>
        </w:rPr>
        <w:t>were available. Range of exposure</w:t>
      </w:r>
      <w:r w:rsidR="00195DF0">
        <w:rPr>
          <w:rFonts w:ascii="Verdana" w:hAnsi="Verdana"/>
          <w:sz w:val="20"/>
          <w:szCs w:val="20"/>
          <w:lang w:val="en-US" w:eastAsia="en-GB"/>
        </w:rPr>
        <w:t xml:space="preserve"> levels</w:t>
      </w:r>
      <w:r>
        <w:rPr>
          <w:rFonts w:ascii="Verdana" w:hAnsi="Verdana"/>
          <w:sz w:val="20"/>
          <w:szCs w:val="20"/>
          <w:lang w:val="en-US" w:eastAsia="en-GB"/>
        </w:rPr>
        <w:t xml:space="preserve"> are provided in table </w:t>
      </w:r>
      <w:r w:rsidR="008616B9">
        <w:rPr>
          <w:rFonts w:ascii="Verdana" w:hAnsi="Verdana"/>
          <w:sz w:val="20"/>
          <w:szCs w:val="20"/>
          <w:lang w:val="en-US" w:eastAsia="en-GB"/>
        </w:rPr>
        <w:t xml:space="preserve">7 </w:t>
      </w:r>
      <w:r>
        <w:rPr>
          <w:rFonts w:ascii="Verdana" w:hAnsi="Verdana"/>
          <w:sz w:val="20"/>
          <w:szCs w:val="20"/>
          <w:lang w:val="en-US" w:eastAsia="en-GB"/>
        </w:rPr>
        <w:t>below.</w:t>
      </w:r>
    </w:p>
    <w:p w14:paraId="763104AC" w14:textId="03E06707" w:rsidR="00336014" w:rsidRDefault="00336014" w:rsidP="00ED47FC">
      <w:pPr>
        <w:pStyle w:val="Corpsdetexte"/>
        <w:spacing w:after="120" w:line="276" w:lineRule="auto"/>
        <w:jc w:val="both"/>
        <w:rPr>
          <w:rFonts w:ascii="Verdana" w:hAnsi="Verdana"/>
          <w:sz w:val="20"/>
          <w:szCs w:val="20"/>
          <w:u w:val="single"/>
          <w:lang w:val="en-US" w:eastAsia="en-GB"/>
        </w:rPr>
      </w:pPr>
    </w:p>
    <w:p w14:paraId="6A2D67FD" w14:textId="184D1189" w:rsidR="00336014" w:rsidRPr="00336014" w:rsidRDefault="00336014" w:rsidP="00ED47FC">
      <w:pPr>
        <w:pStyle w:val="Corpsdetexte"/>
        <w:spacing w:after="120" w:line="276" w:lineRule="auto"/>
        <w:jc w:val="both"/>
        <w:rPr>
          <w:rFonts w:ascii="Verdana" w:hAnsi="Verdana"/>
          <w:sz w:val="20"/>
          <w:szCs w:val="20"/>
          <w:u w:val="single"/>
          <w:lang w:val="en-US" w:eastAsia="en-GB"/>
        </w:rPr>
      </w:pPr>
      <w:r w:rsidRPr="00336014">
        <w:rPr>
          <w:rFonts w:ascii="Verdana" w:hAnsi="Verdana"/>
          <w:sz w:val="20"/>
          <w:szCs w:val="20"/>
          <w:u w:val="single"/>
          <w:lang w:val="en-US" w:eastAsia="en-GB"/>
        </w:rPr>
        <w:lastRenderedPageBreak/>
        <w:t>Industrial use in the manufacturing of regenerated cellulose</w:t>
      </w:r>
    </w:p>
    <w:p w14:paraId="22B5780F" w14:textId="5FA66E03" w:rsidR="003812C6" w:rsidRPr="003812C6" w:rsidRDefault="00195DF0" w:rsidP="004E2300">
      <w:pPr>
        <w:autoSpaceDE w:val="0"/>
        <w:autoSpaceDN w:val="0"/>
        <w:adjustRightInd w:val="0"/>
        <w:spacing w:after="0" w:line="276" w:lineRule="auto"/>
        <w:jc w:val="both"/>
        <w:rPr>
          <w:rFonts w:ascii="Verdana" w:hAnsi="Verdana"/>
          <w:sz w:val="20"/>
          <w:szCs w:val="20"/>
          <w:lang w:val="en-US" w:eastAsia="en-GB"/>
        </w:rPr>
      </w:pPr>
      <w:r>
        <w:rPr>
          <w:rFonts w:ascii="Verdana" w:hAnsi="Verdana"/>
          <w:sz w:val="20"/>
          <w:szCs w:val="20"/>
          <w:lang w:val="en-US" w:eastAsia="en-GB"/>
        </w:rPr>
        <w:t>Carbon disulfide</w:t>
      </w:r>
      <w:r w:rsidR="003812C6" w:rsidRPr="003812C6">
        <w:rPr>
          <w:rFonts w:ascii="Verdana" w:hAnsi="Verdana"/>
          <w:sz w:val="20"/>
          <w:szCs w:val="20"/>
          <w:lang w:val="en-US" w:eastAsia="en-GB"/>
        </w:rPr>
        <w:t xml:space="preserve"> is used to form viscose that can be </w:t>
      </w:r>
      <w:r w:rsidR="004912D3" w:rsidRPr="003812C6">
        <w:rPr>
          <w:rFonts w:ascii="Verdana" w:hAnsi="Verdana"/>
          <w:sz w:val="20"/>
          <w:szCs w:val="20"/>
          <w:lang w:val="en-US" w:eastAsia="en-GB"/>
        </w:rPr>
        <w:t>used</w:t>
      </w:r>
      <w:r w:rsidR="003812C6" w:rsidRPr="003812C6">
        <w:rPr>
          <w:rFonts w:ascii="Verdana" w:hAnsi="Verdana"/>
          <w:sz w:val="20"/>
          <w:szCs w:val="20"/>
          <w:lang w:val="en-US" w:eastAsia="en-GB"/>
        </w:rPr>
        <w:t xml:space="preserve"> to manufacture </w:t>
      </w:r>
      <w:r>
        <w:rPr>
          <w:rFonts w:ascii="Verdana" w:hAnsi="Verdana"/>
          <w:sz w:val="20"/>
          <w:szCs w:val="20"/>
          <w:lang w:val="en-US" w:eastAsia="en-GB"/>
        </w:rPr>
        <w:t>regenerated cellulose (</w:t>
      </w:r>
      <w:r w:rsidR="003812C6" w:rsidRPr="003812C6">
        <w:rPr>
          <w:rFonts w:ascii="Verdana" w:hAnsi="Verdana"/>
          <w:sz w:val="20"/>
          <w:szCs w:val="20"/>
          <w:lang w:val="en-US" w:eastAsia="en-GB"/>
        </w:rPr>
        <w:t>viscose rayon</w:t>
      </w:r>
      <w:r>
        <w:rPr>
          <w:rFonts w:ascii="Verdana" w:hAnsi="Verdana"/>
          <w:sz w:val="20"/>
          <w:szCs w:val="20"/>
          <w:lang w:val="en-US" w:eastAsia="en-GB"/>
        </w:rPr>
        <w:t>, cellulose, sponge). Close, semi-close or</w:t>
      </w:r>
      <w:r w:rsidR="003812C6" w:rsidRPr="003812C6">
        <w:rPr>
          <w:rFonts w:ascii="Verdana" w:hAnsi="Verdana"/>
          <w:sz w:val="20"/>
          <w:szCs w:val="20"/>
          <w:lang w:val="en-US" w:eastAsia="en-GB"/>
        </w:rPr>
        <w:t xml:space="preserve"> open processes are described.</w:t>
      </w:r>
    </w:p>
    <w:p w14:paraId="7B53478B" w14:textId="6532CBBC" w:rsidR="009B4D4D" w:rsidRPr="00EB7ABC" w:rsidRDefault="009B4D4D" w:rsidP="00ED47FC">
      <w:pPr>
        <w:pStyle w:val="Para"/>
        <w:spacing w:line="276" w:lineRule="auto"/>
        <w:ind w:firstLine="0"/>
        <w:rPr>
          <w:rFonts w:ascii="Verdana" w:hAnsi="Verdana"/>
          <w:color w:val="auto"/>
          <w:w w:val="100"/>
          <w:sz w:val="20"/>
          <w:szCs w:val="20"/>
          <w:lang w:val="en-US" w:eastAsia="en-GB"/>
        </w:rPr>
      </w:pPr>
      <w:r>
        <w:rPr>
          <w:rFonts w:ascii="Verdana" w:hAnsi="Verdana"/>
          <w:color w:val="auto"/>
          <w:w w:val="100"/>
          <w:sz w:val="20"/>
          <w:szCs w:val="20"/>
          <w:lang w:val="en-US" w:eastAsia="en-GB"/>
        </w:rPr>
        <w:t>R</w:t>
      </w:r>
      <w:r w:rsidRPr="00EB7ABC">
        <w:rPr>
          <w:rFonts w:ascii="Verdana" w:hAnsi="Verdana"/>
          <w:color w:val="auto"/>
          <w:w w:val="100"/>
          <w:sz w:val="20"/>
          <w:szCs w:val="20"/>
          <w:lang w:val="en-US" w:eastAsia="en-GB"/>
        </w:rPr>
        <w:t>ange of exposure</w:t>
      </w:r>
      <w:r>
        <w:rPr>
          <w:rFonts w:ascii="Verdana" w:hAnsi="Verdana"/>
          <w:color w:val="auto"/>
          <w:w w:val="100"/>
          <w:sz w:val="20"/>
          <w:szCs w:val="20"/>
          <w:lang w:val="en-US" w:eastAsia="en-GB"/>
        </w:rPr>
        <w:t xml:space="preserve"> estimates based on modelling are</w:t>
      </w:r>
      <w:r w:rsidRPr="00EB7ABC">
        <w:rPr>
          <w:rFonts w:ascii="Verdana" w:hAnsi="Verdana"/>
          <w:color w:val="auto"/>
          <w:w w:val="100"/>
          <w:sz w:val="20"/>
          <w:szCs w:val="20"/>
          <w:lang w:val="en-US" w:eastAsia="en-GB"/>
        </w:rPr>
        <w:t xml:space="preserve"> provided in the table </w:t>
      </w:r>
      <w:r w:rsidR="008616B9">
        <w:rPr>
          <w:rFonts w:ascii="Verdana" w:hAnsi="Verdana"/>
          <w:color w:val="auto"/>
          <w:w w:val="100"/>
          <w:sz w:val="20"/>
          <w:szCs w:val="20"/>
          <w:lang w:val="en-US" w:eastAsia="en-GB"/>
        </w:rPr>
        <w:t xml:space="preserve">7 </w:t>
      </w:r>
      <w:r w:rsidRPr="00EB7ABC">
        <w:rPr>
          <w:rFonts w:ascii="Verdana" w:hAnsi="Verdana"/>
          <w:color w:val="auto"/>
          <w:w w:val="100"/>
          <w:sz w:val="20"/>
          <w:szCs w:val="20"/>
          <w:lang w:val="en-US" w:eastAsia="en-GB"/>
        </w:rPr>
        <w:t>below.</w:t>
      </w:r>
    </w:p>
    <w:p w14:paraId="44DA8CB4" w14:textId="77777777" w:rsidR="00EB7ABC" w:rsidRPr="00EB7ABC" w:rsidRDefault="00EB7ABC" w:rsidP="00ED47FC">
      <w:pPr>
        <w:pStyle w:val="Para"/>
        <w:spacing w:line="276" w:lineRule="auto"/>
        <w:ind w:firstLine="0"/>
        <w:rPr>
          <w:rFonts w:ascii="Times" w:hAnsi="Times" w:cs="Times"/>
          <w:sz w:val="20"/>
          <w:szCs w:val="20"/>
        </w:rPr>
      </w:pPr>
    </w:p>
    <w:p w14:paraId="7F3147E8" w14:textId="655CE915" w:rsidR="00336014" w:rsidRPr="00336014" w:rsidRDefault="00336014" w:rsidP="00ED47FC">
      <w:pPr>
        <w:pStyle w:val="Corpsdetexte"/>
        <w:spacing w:after="120" w:line="276" w:lineRule="auto"/>
        <w:jc w:val="both"/>
        <w:rPr>
          <w:rFonts w:ascii="Verdana" w:hAnsi="Verdana"/>
          <w:sz w:val="20"/>
          <w:szCs w:val="20"/>
          <w:u w:val="single"/>
          <w:lang w:val="en-US" w:eastAsia="en-GB"/>
        </w:rPr>
      </w:pPr>
      <w:r>
        <w:rPr>
          <w:rFonts w:ascii="Verdana" w:hAnsi="Verdana"/>
          <w:sz w:val="20"/>
          <w:szCs w:val="20"/>
          <w:u w:val="single"/>
          <w:lang w:val="en-US" w:eastAsia="en-GB"/>
        </w:rPr>
        <w:t>Industr</w:t>
      </w:r>
      <w:r w:rsidR="009B4D4D">
        <w:rPr>
          <w:rFonts w:ascii="Verdana" w:hAnsi="Verdana"/>
          <w:sz w:val="20"/>
          <w:szCs w:val="20"/>
          <w:u w:val="single"/>
          <w:lang w:val="en-US" w:eastAsia="en-GB"/>
        </w:rPr>
        <w:t xml:space="preserve">ial use </w:t>
      </w:r>
      <w:r w:rsidR="008A2B92">
        <w:rPr>
          <w:rFonts w:ascii="Verdana" w:hAnsi="Verdana"/>
          <w:sz w:val="20"/>
          <w:szCs w:val="20"/>
          <w:u w:val="single"/>
          <w:lang w:val="en-US" w:eastAsia="en-GB"/>
        </w:rPr>
        <w:t xml:space="preserve">as an intermediate </w:t>
      </w:r>
      <w:r w:rsidR="009B4D4D">
        <w:rPr>
          <w:rFonts w:ascii="Verdana" w:hAnsi="Verdana"/>
          <w:sz w:val="20"/>
          <w:szCs w:val="20"/>
          <w:u w:val="single"/>
          <w:lang w:val="en-US" w:eastAsia="en-GB"/>
        </w:rPr>
        <w:t>for the production of</w:t>
      </w:r>
      <w:r>
        <w:rPr>
          <w:rFonts w:ascii="Verdana" w:hAnsi="Verdana"/>
          <w:sz w:val="20"/>
          <w:szCs w:val="20"/>
          <w:u w:val="single"/>
          <w:lang w:val="en-US" w:eastAsia="en-GB"/>
        </w:rPr>
        <w:t xml:space="preserve"> </w:t>
      </w:r>
      <w:r w:rsidR="009B4D4D">
        <w:rPr>
          <w:rFonts w:ascii="Verdana" w:hAnsi="Verdana"/>
          <w:sz w:val="20"/>
          <w:szCs w:val="20"/>
          <w:u w:val="single"/>
          <w:lang w:val="en-US" w:eastAsia="en-GB"/>
        </w:rPr>
        <w:t>plant protection products,</w:t>
      </w:r>
      <w:r>
        <w:rPr>
          <w:rFonts w:ascii="Verdana" w:hAnsi="Verdana"/>
          <w:sz w:val="20"/>
          <w:szCs w:val="20"/>
          <w:u w:val="single"/>
          <w:lang w:val="en-US" w:eastAsia="en-GB"/>
        </w:rPr>
        <w:t xml:space="preserve"> biocides</w:t>
      </w:r>
      <w:r w:rsidR="009B4D4D">
        <w:rPr>
          <w:rFonts w:ascii="Verdana" w:hAnsi="Verdana"/>
          <w:sz w:val="20"/>
          <w:szCs w:val="20"/>
          <w:u w:val="single"/>
          <w:lang w:val="en-US" w:eastAsia="en-GB"/>
        </w:rPr>
        <w:t>, processing aids</w:t>
      </w:r>
    </w:p>
    <w:p w14:paraId="6077E6E2" w14:textId="52A4FBF1" w:rsidR="00C64B9B" w:rsidRDefault="00336014" w:rsidP="00ED47FC">
      <w:pPr>
        <w:pStyle w:val="Corpsdetexte"/>
        <w:spacing w:after="120" w:line="276" w:lineRule="auto"/>
        <w:jc w:val="both"/>
      </w:pPr>
      <w:r w:rsidRPr="00336014">
        <w:rPr>
          <w:rFonts w:ascii="Verdana" w:hAnsi="Verdana"/>
          <w:sz w:val="20"/>
          <w:szCs w:val="20"/>
          <w:lang w:val="en-US" w:eastAsia="en-GB"/>
        </w:rPr>
        <w:t>In general, a wi</w:t>
      </w:r>
      <w:r w:rsidR="00195DF0">
        <w:rPr>
          <w:rFonts w:ascii="Verdana" w:hAnsi="Verdana"/>
          <w:sz w:val="20"/>
          <w:szCs w:val="20"/>
          <w:lang w:val="en-US" w:eastAsia="en-GB"/>
        </w:rPr>
        <w:t xml:space="preserve">de range of processes </w:t>
      </w:r>
      <w:r w:rsidR="008616B9">
        <w:rPr>
          <w:rFonts w:ascii="Verdana" w:hAnsi="Verdana"/>
          <w:sz w:val="20"/>
          <w:szCs w:val="20"/>
          <w:lang w:val="en-US" w:eastAsia="en-GB"/>
        </w:rPr>
        <w:t>has</w:t>
      </w:r>
      <w:r w:rsidR="008616B9" w:rsidRPr="00336014">
        <w:rPr>
          <w:rFonts w:ascii="Verdana" w:hAnsi="Verdana"/>
          <w:sz w:val="20"/>
          <w:szCs w:val="20"/>
          <w:lang w:val="en-US" w:eastAsia="en-GB"/>
        </w:rPr>
        <w:t xml:space="preserve"> </w:t>
      </w:r>
      <w:r w:rsidRPr="00336014">
        <w:rPr>
          <w:rFonts w:ascii="Verdana" w:hAnsi="Verdana"/>
          <w:sz w:val="20"/>
          <w:szCs w:val="20"/>
          <w:lang w:val="en-US" w:eastAsia="en-GB"/>
        </w:rPr>
        <w:t>been indicated.</w:t>
      </w:r>
      <w:r w:rsidR="00EB7ABC">
        <w:rPr>
          <w:rFonts w:ascii="Verdana" w:hAnsi="Verdana"/>
          <w:sz w:val="20"/>
          <w:szCs w:val="20"/>
          <w:lang w:val="en-US" w:eastAsia="en-GB"/>
        </w:rPr>
        <w:t xml:space="preserve"> Biocidal products and plant protection products are manufactured in closed systems </w:t>
      </w:r>
      <w:r w:rsidR="008F4672">
        <w:rPr>
          <w:rFonts w:ascii="Verdana" w:hAnsi="Verdana"/>
          <w:sz w:val="20"/>
          <w:szCs w:val="20"/>
          <w:lang w:val="en-US" w:eastAsia="en-GB"/>
        </w:rPr>
        <w:t xml:space="preserve">and also in semi-closed process (PROC 4) </w:t>
      </w:r>
      <w:r w:rsidR="002D0738">
        <w:rPr>
          <w:rFonts w:ascii="Verdana" w:hAnsi="Verdana"/>
          <w:sz w:val="20"/>
          <w:szCs w:val="20"/>
          <w:lang w:val="en-US" w:eastAsia="en-GB"/>
        </w:rPr>
        <w:t>and carbon disulfide</w:t>
      </w:r>
      <w:r w:rsidR="00EB7ABC">
        <w:rPr>
          <w:rFonts w:ascii="Verdana" w:hAnsi="Verdana"/>
          <w:sz w:val="20"/>
          <w:szCs w:val="20"/>
          <w:lang w:val="en-US" w:eastAsia="en-GB"/>
        </w:rPr>
        <w:t xml:space="preserve"> is used as an intermediate</w:t>
      </w:r>
      <w:r w:rsidR="00195DF0">
        <w:rPr>
          <w:rFonts w:ascii="Verdana" w:hAnsi="Verdana"/>
          <w:sz w:val="20"/>
          <w:szCs w:val="20"/>
          <w:lang w:val="en-US" w:eastAsia="en-GB"/>
        </w:rPr>
        <w:t>.</w:t>
      </w:r>
    </w:p>
    <w:p w14:paraId="27F5C385" w14:textId="4B1EF5CF" w:rsidR="00DB0E68" w:rsidRPr="00EB7ABC" w:rsidRDefault="00DB0E68" w:rsidP="00ED47FC">
      <w:pPr>
        <w:pStyle w:val="Para"/>
        <w:spacing w:line="276" w:lineRule="auto"/>
        <w:ind w:firstLine="0"/>
        <w:rPr>
          <w:rFonts w:ascii="Verdana" w:hAnsi="Verdana"/>
          <w:color w:val="auto"/>
          <w:w w:val="100"/>
          <w:sz w:val="20"/>
          <w:szCs w:val="20"/>
          <w:lang w:val="en-US" w:eastAsia="en-GB"/>
        </w:rPr>
      </w:pPr>
      <w:r>
        <w:rPr>
          <w:rFonts w:ascii="Verdana" w:hAnsi="Verdana"/>
          <w:color w:val="auto"/>
          <w:w w:val="100"/>
          <w:sz w:val="20"/>
          <w:szCs w:val="20"/>
          <w:lang w:val="en-US" w:eastAsia="en-GB"/>
        </w:rPr>
        <w:t>R</w:t>
      </w:r>
      <w:r w:rsidRPr="00EB7ABC">
        <w:rPr>
          <w:rFonts w:ascii="Verdana" w:hAnsi="Verdana"/>
          <w:color w:val="auto"/>
          <w:w w:val="100"/>
          <w:sz w:val="20"/>
          <w:szCs w:val="20"/>
          <w:lang w:val="en-US" w:eastAsia="en-GB"/>
        </w:rPr>
        <w:t>ange of exposure</w:t>
      </w:r>
      <w:r>
        <w:rPr>
          <w:rFonts w:ascii="Verdana" w:hAnsi="Verdana"/>
          <w:color w:val="auto"/>
          <w:w w:val="100"/>
          <w:sz w:val="20"/>
          <w:szCs w:val="20"/>
          <w:lang w:val="en-US" w:eastAsia="en-GB"/>
        </w:rPr>
        <w:t xml:space="preserve"> estimates based on modelling are</w:t>
      </w:r>
      <w:r w:rsidRPr="00EB7ABC">
        <w:rPr>
          <w:rFonts w:ascii="Verdana" w:hAnsi="Verdana"/>
          <w:color w:val="auto"/>
          <w:w w:val="100"/>
          <w:sz w:val="20"/>
          <w:szCs w:val="20"/>
          <w:lang w:val="en-US" w:eastAsia="en-GB"/>
        </w:rPr>
        <w:t xml:space="preserve"> provided in the table </w:t>
      </w:r>
      <w:r w:rsidR="008616B9">
        <w:rPr>
          <w:rFonts w:ascii="Verdana" w:hAnsi="Verdana"/>
          <w:color w:val="auto"/>
          <w:w w:val="100"/>
          <w:sz w:val="20"/>
          <w:szCs w:val="20"/>
          <w:lang w:val="en-US" w:eastAsia="en-GB"/>
        </w:rPr>
        <w:t xml:space="preserve">7 </w:t>
      </w:r>
      <w:r w:rsidRPr="00EB7ABC">
        <w:rPr>
          <w:rFonts w:ascii="Verdana" w:hAnsi="Verdana"/>
          <w:color w:val="auto"/>
          <w:w w:val="100"/>
          <w:sz w:val="20"/>
          <w:szCs w:val="20"/>
          <w:lang w:val="en-US" w:eastAsia="en-GB"/>
        </w:rPr>
        <w:t>below.</w:t>
      </w:r>
    </w:p>
    <w:p w14:paraId="5451A1B5" w14:textId="77777777" w:rsidR="00336014" w:rsidRPr="00336014" w:rsidRDefault="00336014" w:rsidP="00ED47FC">
      <w:pPr>
        <w:pStyle w:val="Corpsdetexte"/>
        <w:spacing w:after="120" w:line="276" w:lineRule="auto"/>
        <w:jc w:val="both"/>
        <w:rPr>
          <w:rFonts w:ascii="Verdana" w:hAnsi="Verdana"/>
          <w:sz w:val="20"/>
          <w:szCs w:val="20"/>
          <w:u w:val="single"/>
          <w:lang w:val="en-US" w:eastAsia="en-GB"/>
        </w:rPr>
      </w:pPr>
    </w:p>
    <w:p w14:paraId="2C18D4C7" w14:textId="0C5BE515" w:rsidR="002F4422" w:rsidRDefault="002F4422" w:rsidP="00ED47FC">
      <w:pPr>
        <w:pStyle w:val="Corpsdetexte"/>
        <w:spacing w:after="120" w:line="276" w:lineRule="auto"/>
        <w:jc w:val="both"/>
        <w:rPr>
          <w:rFonts w:ascii="Verdana" w:hAnsi="Verdana"/>
          <w:sz w:val="20"/>
          <w:szCs w:val="20"/>
          <w:u w:val="single"/>
          <w:lang w:val="en-US" w:eastAsia="en-GB"/>
        </w:rPr>
      </w:pPr>
      <w:bookmarkStart w:id="13" w:name="_Toc525569308"/>
      <w:bookmarkStart w:id="14" w:name="_Toc526501406"/>
      <w:r w:rsidRPr="00336014">
        <w:rPr>
          <w:rFonts w:ascii="Verdana" w:hAnsi="Verdana"/>
          <w:sz w:val="20"/>
          <w:szCs w:val="20"/>
          <w:u w:val="single"/>
          <w:lang w:val="en-US" w:eastAsia="en-GB"/>
        </w:rPr>
        <w:t xml:space="preserve">Industrial use </w:t>
      </w:r>
      <w:r w:rsidR="00195DF0">
        <w:rPr>
          <w:rFonts w:ascii="Verdana" w:hAnsi="Verdana"/>
          <w:sz w:val="20"/>
          <w:szCs w:val="20"/>
          <w:u w:val="single"/>
          <w:lang w:val="en-US" w:eastAsia="en-GB"/>
        </w:rPr>
        <w:t xml:space="preserve">as a solvent in </w:t>
      </w:r>
      <w:r w:rsidRPr="00336014">
        <w:rPr>
          <w:rFonts w:ascii="Verdana" w:hAnsi="Verdana"/>
          <w:sz w:val="20"/>
          <w:szCs w:val="20"/>
          <w:u w:val="single"/>
          <w:lang w:val="en-US" w:eastAsia="en-GB"/>
        </w:rPr>
        <w:t>the production of polymer</w:t>
      </w:r>
      <w:r>
        <w:rPr>
          <w:rFonts w:ascii="Verdana" w:hAnsi="Verdana"/>
          <w:sz w:val="20"/>
          <w:szCs w:val="20"/>
          <w:u w:val="single"/>
          <w:lang w:val="en-US" w:eastAsia="en-GB"/>
        </w:rPr>
        <w:t xml:space="preserve"> preparations and compounds</w:t>
      </w:r>
    </w:p>
    <w:p w14:paraId="4FA7AEDC" w14:textId="0E48B689" w:rsidR="002F4422" w:rsidRPr="00EB7ABC" w:rsidRDefault="002F4422" w:rsidP="00ED47FC">
      <w:pPr>
        <w:pStyle w:val="Para"/>
        <w:spacing w:line="276" w:lineRule="auto"/>
        <w:ind w:firstLine="0"/>
        <w:rPr>
          <w:rFonts w:ascii="Verdana" w:hAnsi="Verdana"/>
          <w:color w:val="auto"/>
          <w:w w:val="100"/>
          <w:sz w:val="20"/>
          <w:szCs w:val="20"/>
          <w:lang w:val="en-US" w:eastAsia="en-GB"/>
        </w:rPr>
      </w:pPr>
      <w:r>
        <w:rPr>
          <w:rFonts w:ascii="Verdana" w:hAnsi="Verdana"/>
          <w:color w:val="auto"/>
          <w:w w:val="100"/>
          <w:sz w:val="20"/>
          <w:szCs w:val="20"/>
          <w:lang w:val="en-US" w:eastAsia="en-GB"/>
        </w:rPr>
        <w:t>Carbon disulfide is use</w:t>
      </w:r>
      <w:r w:rsidR="008616B9">
        <w:rPr>
          <w:rFonts w:ascii="Verdana" w:hAnsi="Verdana"/>
          <w:color w:val="auto"/>
          <w:w w:val="100"/>
          <w:sz w:val="20"/>
          <w:szCs w:val="20"/>
          <w:lang w:val="en-US" w:eastAsia="en-GB"/>
        </w:rPr>
        <w:t>d</w:t>
      </w:r>
      <w:r>
        <w:rPr>
          <w:rFonts w:ascii="Verdana" w:hAnsi="Verdana"/>
          <w:color w:val="auto"/>
          <w:w w:val="100"/>
          <w:sz w:val="20"/>
          <w:szCs w:val="20"/>
          <w:lang w:val="en-US" w:eastAsia="en-GB"/>
        </w:rPr>
        <w:t xml:space="preserve"> as a solvent</w:t>
      </w:r>
      <w:r w:rsidRPr="00EB7ABC">
        <w:rPr>
          <w:rFonts w:ascii="Verdana" w:hAnsi="Verdana"/>
          <w:color w:val="auto"/>
          <w:w w:val="100"/>
          <w:sz w:val="20"/>
          <w:szCs w:val="20"/>
          <w:lang w:val="en-US" w:eastAsia="en-GB"/>
        </w:rPr>
        <w:t xml:space="preserve"> in many different processes within the polymer manufacturing industry. The application of solvents occur</w:t>
      </w:r>
      <w:r w:rsidR="008616B9">
        <w:rPr>
          <w:rFonts w:ascii="Verdana" w:hAnsi="Verdana"/>
          <w:color w:val="auto"/>
          <w:w w:val="100"/>
          <w:sz w:val="20"/>
          <w:szCs w:val="20"/>
          <w:lang w:val="en-US" w:eastAsia="en-GB"/>
        </w:rPr>
        <w:t>s</w:t>
      </w:r>
      <w:r w:rsidRPr="00EB7ABC">
        <w:rPr>
          <w:rFonts w:ascii="Verdana" w:hAnsi="Verdana"/>
          <w:color w:val="auto"/>
          <w:w w:val="100"/>
          <w:sz w:val="20"/>
          <w:szCs w:val="20"/>
          <w:lang w:val="en-US" w:eastAsia="en-GB"/>
        </w:rPr>
        <w:t xml:space="preserve"> during the production of preparations or articles by tabletting compression, extrusion and palletisation (PROC 14). In this process, an increas</w:t>
      </w:r>
      <w:r w:rsidR="002D0738">
        <w:rPr>
          <w:rFonts w:ascii="Verdana" w:hAnsi="Verdana"/>
          <w:color w:val="auto"/>
          <w:w w:val="100"/>
          <w:sz w:val="20"/>
          <w:szCs w:val="20"/>
          <w:lang w:val="en-US" w:eastAsia="en-GB"/>
        </w:rPr>
        <w:t>e in indoor concentrations of carbon disulfide</w:t>
      </w:r>
      <w:r w:rsidRPr="00EB7ABC">
        <w:rPr>
          <w:rFonts w:ascii="Verdana" w:hAnsi="Verdana"/>
          <w:color w:val="auto"/>
          <w:w w:val="100"/>
          <w:sz w:val="20"/>
          <w:szCs w:val="20"/>
          <w:lang w:val="en-US" w:eastAsia="en-GB"/>
        </w:rPr>
        <w:t xml:space="preserve"> is expected (not a close</w:t>
      </w:r>
      <w:r w:rsidR="008616B9">
        <w:rPr>
          <w:rFonts w:ascii="Verdana" w:hAnsi="Verdana"/>
          <w:color w:val="auto"/>
          <w:w w:val="100"/>
          <w:sz w:val="20"/>
          <w:szCs w:val="20"/>
          <w:lang w:val="en-US" w:eastAsia="en-GB"/>
        </w:rPr>
        <w:t>d</w:t>
      </w:r>
      <w:r w:rsidRPr="00EB7ABC">
        <w:rPr>
          <w:rFonts w:ascii="Verdana" w:hAnsi="Verdana"/>
          <w:color w:val="auto"/>
          <w:w w:val="100"/>
          <w:sz w:val="20"/>
          <w:szCs w:val="20"/>
          <w:lang w:val="en-US" w:eastAsia="en-GB"/>
        </w:rPr>
        <w:t xml:space="preserve"> process).</w:t>
      </w:r>
      <w:r>
        <w:rPr>
          <w:rFonts w:ascii="Verdana" w:hAnsi="Verdana"/>
          <w:color w:val="auto"/>
          <w:w w:val="100"/>
          <w:sz w:val="20"/>
          <w:szCs w:val="20"/>
          <w:lang w:val="en-US" w:eastAsia="en-GB"/>
        </w:rPr>
        <w:t xml:space="preserve"> </w:t>
      </w:r>
    </w:p>
    <w:p w14:paraId="6EEBFC38" w14:textId="77777777" w:rsidR="002F4422" w:rsidRPr="00EB7ABC" w:rsidRDefault="002F4422" w:rsidP="00ED47FC">
      <w:pPr>
        <w:pStyle w:val="Para"/>
        <w:spacing w:line="276" w:lineRule="auto"/>
        <w:ind w:firstLine="0"/>
        <w:rPr>
          <w:rFonts w:ascii="Verdana" w:hAnsi="Verdana"/>
          <w:color w:val="auto"/>
          <w:w w:val="100"/>
          <w:sz w:val="20"/>
          <w:szCs w:val="20"/>
          <w:lang w:val="en-US" w:eastAsia="en-GB"/>
        </w:rPr>
      </w:pPr>
    </w:p>
    <w:p w14:paraId="6E37E96D" w14:textId="28D1CD2E" w:rsidR="002F4422" w:rsidRDefault="002F4422" w:rsidP="00ED47FC">
      <w:pPr>
        <w:pStyle w:val="Para"/>
        <w:spacing w:line="276" w:lineRule="auto"/>
        <w:ind w:firstLine="0"/>
        <w:rPr>
          <w:rFonts w:ascii="Verdana" w:hAnsi="Verdana"/>
          <w:color w:val="auto"/>
          <w:w w:val="100"/>
          <w:sz w:val="20"/>
          <w:szCs w:val="20"/>
          <w:lang w:val="en-US" w:eastAsia="en-GB"/>
        </w:rPr>
      </w:pPr>
      <w:r>
        <w:rPr>
          <w:rFonts w:ascii="Verdana" w:hAnsi="Verdana"/>
          <w:color w:val="auto"/>
          <w:w w:val="100"/>
          <w:sz w:val="20"/>
          <w:szCs w:val="20"/>
          <w:lang w:val="en-US" w:eastAsia="en-GB"/>
        </w:rPr>
        <w:t>R</w:t>
      </w:r>
      <w:r w:rsidRPr="00EB7ABC">
        <w:rPr>
          <w:rFonts w:ascii="Verdana" w:hAnsi="Verdana"/>
          <w:color w:val="auto"/>
          <w:w w:val="100"/>
          <w:sz w:val="20"/>
          <w:szCs w:val="20"/>
          <w:lang w:val="en-US" w:eastAsia="en-GB"/>
        </w:rPr>
        <w:t>ange of exposure</w:t>
      </w:r>
      <w:r>
        <w:rPr>
          <w:rFonts w:ascii="Verdana" w:hAnsi="Verdana"/>
          <w:color w:val="auto"/>
          <w:w w:val="100"/>
          <w:sz w:val="20"/>
          <w:szCs w:val="20"/>
          <w:lang w:val="en-US" w:eastAsia="en-GB"/>
        </w:rPr>
        <w:t xml:space="preserve"> estimates based on modelling are</w:t>
      </w:r>
      <w:r w:rsidRPr="00EB7ABC">
        <w:rPr>
          <w:rFonts w:ascii="Verdana" w:hAnsi="Verdana"/>
          <w:color w:val="auto"/>
          <w:w w:val="100"/>
          <w:sz w:val="20"/>
          <w:szCs w:val="20"/>
          <w:lang w:val="en-US" w:eastAsia="en-GB"/>
        </w:rPr>
        <w:t xml:space="preserve"> provided in the table </w:t>
      </w:r>
      <w:r w:rsidR="002D0738">
        <w:rPr>
          <w:rFonts w:ascii="Verdana" w:hAnsi="Verdana"/>
          <w:color w:val="auto"/>
          <w:w w:val="100"/>
          <w:sz w:val="20"/>
          <w:szCs w:val="20"/>
          <w:lang w:val="en-US" w:eastAsia="en-GB"/>
        </w:rPr>
        <w:t>7</w:t>
      </w:r>
      <w:r w:rsidR="008616B9">
        <w:rPr>
          <w:rFonts w:ascii="Verdana" w:hAnsi="Verdana"/>
          <w:color w:val="auto"/>
          <w:w w:val="100"/>
          <w:sz w:val="20"/>
          <w:szCs w:val="20"/>
          <w:lang w:val="en-US" w:eastAsia="en-GB"/>
        </w:rPr>
        <w:t xml:space="preserve"> </w:t>
      </w:r>
      <w:r w:rsidRPr="00EB7ABC">
        <w:rPr>
          <w:rFonts w:ascii="Verdana" w:hAnsi="Verdana"/>
          <w:color w:val="auto"/>
          <w:w w:val="100"/>
          <w:sz w:val="20"/>
          <w:szCs w:val="20"/>
          <w:lang w:val="en-US" w:eastAsia="en-GB"/>
        </w:rPr>
        <w:t>below.</w:t>
      </w:r>
    </w:p>
    <w:p w14:paraId="27BD1F92" w14:textId="77777777" w:rsidR="002F4422" w:rsidRPr="00EB7ABC" w:rsidRDefault="002F4422" w:rsidP="00ED47FC">
      <w:pPr>
        <w:pStyle w:val="Para"/>
        <w:spacing w:line="276" w:lineRule="auto"/>
        <w:ind w:firstLine="0"/>
        <w:rPr>
          <w:rFonts w:ascii="Verdana" w:hAnsi="Verdana"/>
          <w:color w:val="auto"/>
          <w:w w:val="100"/>
          <w:sz w:val="20"/>
          <w:szCs w:val="20"/>
          <w:lang w:val="en-US" w:eastAsia="en-GB"/>
        </w:rPr>
      </w:pPr>
    </w:p>
    <w:p w14:paraId="1A9964AB" w14:textId="6ADA7732" w:rsidR="008E4C82" w:rsidRPr="00336014" w:rsidRDefault="00336014" w:rsidP="00ED47FC">
      <w:pPr>
        <w:spacing w:line="276" w:lineRule="auto"/>
        <w:jc w:val="both"/>
        <w:rPr>
          <w:rFonts w:ascii="Verdana" w:hAnsi="Verdana"/>
          <w:sz w:val="20"/>
          <w:szCs w:val="20"/>
          <w:u w:val="single"/>
          <w:lang w:val="en-US" w:eastAsia="en-GB"/>
        </w:rPr>
      </w:pPr>
      <w:r w:rsidRPr="00336014">
        <w:rPr>
          <w:rFonts w:ascii="Verdana" w:hAnsi="Verdana"/>
          <w:sz w:val="20"/>
          <w:szCs w:val="20"/>
          <w:u w:val="single"/>
          <w:lang w:val="en-US" w:eastAsia="en-GB"/>
        </w:rPr>
        <w:t>U</w:t>
      </w:r>
      <w:r w:rsidR="008E4C82" w:rsidRPr="00336014">
        <w:rPr>
          <w:rFonts w:ascii="Verdana" w:hAnsi="Verdana"/>
          <w:sz w:val="20"/>
          <w:szCs w:val="20"/>
          <w:u w:val="single"/>
          <w:lang w:val="en-US" w:eastAsia="en-GB"/>
        </w:rPr>
        <w:t>se as</w:t>
      </w:r>
      <w:r>
        <w:rPr>
          <w:rFonts w:ascii="Verdana" w:hAnsi="Verdana"/>
          <w:sz w:val="20"/>
          <w:szCs w:val="20"/>
          <w:u w:val="single"/>
          <w:lang w:val="en-US" w:eastAsia="en-GB"/>
        </w:rPr>
        <w:t xml:space="preserve"> a</w:t>
      </w:r>
      <w:r w:rsidR="008E4C82" w:rsidRPr="00336014">
        <w:rPr>
          <w:rFonts w:ascii="Verdana" w:hAnsi="Verdana"/>
          <w:sz w:val="20"/>
          <w:szCs w:val="20"/>
          <w:u w:val="single"/>
          <w:lang w:val="en-US" w:eastAsia="en-GB"/>
        </w:rPr>
        <w:t xml:space="preserve"> laboratory </w:t>
      </w:r>
      <w:r w:rsidR="002F4422">
        <w:rPr>
          <w:rFonts w:ascii="Verdana" w:hAnsi="Verdana"/>
          <w:sz w:val="20"/>
          <w:szCs w:val="20"/>
          <w:u w:val="single"/>
          <w:lang w:val="en-US" w:eastAsia="en-GB"/>
        </w:rPr>
        <w:t>re</w:t>
      </w:r>
      <w:r w:rsidR="008E4C82" w:rsidRPr="00336014">
        <w:rPr>
          <w:rFonts w:ascii="Verdana" w:hAnsi="Verdana"/>
          <w:sz w:val="20"/>
          <w:szCs w:val="20"/>
          <w:u w:val="single"/>
          <w:lang w:val="en-US" w:eastAsia="en-GB"/>
        </w:rPr>
        <w:t>agent</w:t>
      </w:r>
      <w:bookmarkEnd w:id="13"/>
      <w:bookmarkEnd w:id="14"/>
    </w:p>
    <w:p w14:paraId="4E54BC71" w14:textId="0C8C83C4" w:rsidR="008E4C82" w:rsidRDefault="008E4C82" w:rsidP="00ED47FC">
      <w:pPr>
        <w:spacing w:line="276" w:lineRule="auto"/>
        <w:jc w:val="both"/>
        <w:rPr>
          <w:rFonts w:ascii="Verdana" w:hAnsi="Verdana"/>
          <w:sz w:val="20"/>
          <w:szCs w:val="20"/>
          <w:lang w:val="en-US" w:eastAsia="en-GB"/>
        </w:rPr>
      </w:pPr>
      <w:r w:rsidRPr="00336014">
        <w:rPr>
          <w:rFonts w:ascii="Verdana" w:hAnsi="Verdana"/>
          <w:sz w:val="20"/>
          <w:szCs w:val="20"/>
          <w:lang w:val="en-US" w:eastAsia="en-GB"/>
        </w:rPr>
        <w:t xml:space="preserve">Carbon disulfide is exclusively used in industrial settings, except for the use as laboratory chemical which is also registered for professional workers. </w:t>
      </w:r>
      <w:r w:rsidR="00195DF0">
        <w:rPr>
          <w:rFonts w:ascii="Verdana" w:hAnsi="Verdana"/>
          <w:sz w:val="20"/>
          <w:szCs w:val="20"/>
          <w:lang w:val="en-US" w:eastAsia="en-GB"/>
        </w:rPr>
        <w:t>The use as a laboratory reagent</w:t>
      </w:r>
      <w:r w:rsidRPr="00336014">
        <w:rPr>
          <w:rFonts w:ascii="Verdana" w:hAnsi="Verdana"/>
          <w:sz w:val="20"/>
          <w:szCs w:val="20"/>
          <w:lang w:val="en-US" w:eastAsia="en-GB"/>
        </w:rPr>
        <w:t xml:space="preserve"> was</w:t>
      </w:r>
      <w:r w:rsidR="001D606B" w:rsidRPr="00336014">
        <w:rPr>
          <w:rFonts w:ascii="Verdana" w:hAnsi="Verdana"/>
          <w:sz w:val="20"/>
          <w:szCs w:val="20"/>
          <w:lang w:val="en-US" w:eastAsia="en-GB"/>
        </w:rPr>
        <w:t xml:space="preserve"> described by one member of the join submission but was</w:t>
      </w:r>
      <w:r w:rsidR="00195DF0">
        <w:rPr>
          <w:rFonts w:ascii="Verdana" w:hAnsi="Verdana"/>
          <w:sz w:val="20"/>
          <w:szCs w:val="20"/>
          <w:lang w:val="en-US" w:eastAsia="en-GB"/>
        </w:rPr>
        <w:t xml:space="preserve"> not proposed</w:t>
      </w:r>
      <w:r w:rsidRPr="00336014">
        <w:rPr>
          <w:rFonts w:ascii="Verdana" w:hAnsi="Verdana"/>
          <w:sz w:val="20"/>
          <w:szCs w:val="20"/>
          <w:lang w:val="en-US" w:eastAsia="en-GB"/>
        </w:rPr>
        <w:t xml:space="preserve"> by the lead registrant. </w:t>
      </w:r>
      <w:r w:rsidR="00195DF0">
        <w:rPr>
          <w:rFonts w:ascii="Verdana" w:hAnsi="Verdana"/>
          <w:sz w:val="20"/>
          <w:szCs w:val="20"/>
          <w:lang w:val="en-US" w:eastAsia="en-GB"/>
        </w:rPr>
        <w:t>The use of carbon disulfide</w:t>
      </w:r>
      <w:r w:rsidR="003B085A" w:rsidRPr="00336014">
        <w:rPr>
          <w:rFonts w:ascii="Verdana" w:hAnsi="Verdana"/>
          <w:sz w:val="20"/>
          <w:szCs w:val="20"/>
          <w:lang w:val="en-US" w:eastAsia="en-GB"/>
        </w:rPr>
        <w:t xml:space="preserve"> as a laboratory reagent, has to be performed under strictly controlled safety measures due to its high volatility and toxicity. Handling of the substance is</w:t>
      </w:r>
      <w:r w:rsidR="00195DF0">
        <w:rPr>
          <w:rFonts w:ascii="Verdana" w:hAnsi="Verdana"/>
          <w:sz w:val="20"/>
          <w:szCs w:val="20"/>
          <w:lang w:val="en-US" w:eastAsia="en-GB"/>
        </w:rPr>
        <w:t xml:space="preserve"> reported to be</w:t>
      </w:r>
      <w:r w:rsidR="003B085A" w:rsidRPr="00336014">
        <w:rPr>
          <w:rFonts w:ascii="Verdana" w:hAnsi="Verdana"/>
          <w:sz w:val="20"/>
          <w:szCs w:val="20"/>
          <w:lang w:val="en-US" w:eastAsia="en-GB"/>
        </w:rPr>
        <w:t xml:space="preserve"> done under the fume hood.</w:t>
      </w:r>
    </w:p>
    <w:p w14:paraId="7D501F6C" w14:textId="230C9CFB" w:rsidR="008F4672" w:rsidRPr="00336014" w:rsidRDefault="008F4672" w:rsidP="00ED47FC">
      <w:pPr>
        <w:spacing w:line="276" w:lineRule="auto"/>
        <w:jc w:val="both"/>
        <w:rPr>
          <w:rFonts w:ascii="Verdana" w:hAnsi="Verdana"/>
          <w:sz w:val="20"/>
          <w:szCs w:val="20"/>
          <w:lang w:val="en-US" w:eastAsia="en-GB"/>
        </w:rPr>
      </w:pPr>
      <w:r>
        <w:rPr>
          <w:rFonts w:ascii="Verdana" w:hAnsi="Verdana"/>
          <w:sz w:val="20"/>
          <w:szCs w:val="20"/>
          <w:lang w:val="en-US" w:eastAsia="en-GB"/>
        </w:rPr>
        <w:t xml:space="preserve">Sector of end-use for professional workers are </w:t>
      </w:r>
      <w:r w:rsidR="00195DF0">
        <w:rPr>
          <w:rFonts w:ascii="Verdana" w:hAnsi="Verdana"/>
          <w:sz w:val="20"/>
          <w:szCs w:val="20"/>
          <w:lang w:val="en-US" w:eastAsia="en-GB"/>
        </w:rPr>
        <w:t xml:space="preserve">reported to be </w:t>
      </w:r>
      <w:r>
        <w:rPr>
          <w:rFonts w:ascii="Verdana" w:hAnsi="Verdana"/>
          <w:sz w:val="20"/>
          <w:szCs w:val="20"/>
          <w:lang w:val="en-US" w:eastAsia="en-GB"/>
        </w:rPr>
        <w:t>health services and research and development.</w:t>
      </w:r>
    </w:p>
    <w:p w14:paraId="5F550AA7" w14:textId="4DBB3A9A" w:rsidR="004637EA" w:rsidRDefault="00AD0B28"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I</w:t>
      </w:r>
      <w:r w:rsidR="003B085A">
        <w:rPr>
          <w:rFonts w:ascii="Verdana" w:hAnsi="Verdana"/>
          <w:sz w:val="20"/>
          <w:szCs w:val="20"/>
          <w:lang w:val="en-US" w:eastAsia="en-GB"/>
        </w:rPr>
        <w:t>n the</w:t>
      </w:r>
      <w:r w:rsidR="00195DF0">
        <w:rPr>
          <w:rFonts w:ascii="Verdana" w:hAnsi="Verdana"/>
          <w:sz w:val="20"/>
          <w:szCs w:val="20"/>
          <w:lang w:val="en-US" w:eastAsia="en-GB"/>
        </w:rPr>
        <w:t xml:space="preserve"> registration dossier discussing the use by professional workers,</w:t>
      </w:r>
      <w:r>
        <w:rPr>
          <w:rFonts w:ascii="Verdana" w:hAnsi="Verdana"/>
          <w:sz w:val="20"/>
          <w:szCs w:val="20"/>
          <w:lang w:val="en-US" w:eastAsia="en-GB"/>
        </w:rPr>
        <w:t xml:space="preserve"> estimates were </w:t>
      </w:r>
      <w:r w:rsidR="00704348">
        <w:rPr>
          <w:rFonts w:ascii="Verdana" w:hAnsi="Verdana"/>
          <w:sz w:val="20"/>
          <w:szCs w:val="20"/>
          <w:lang w:val="en-US" w:eastAsia="en-GB"/>
        </w:rPr>
        <w:t>modelled</w:t>
      </w:r>
      <w:r>
        <w:rPr>
          <w:rFonts w:ascii="Verdana" w:hAnsi="Verdana"/>
          <w:sz w:val="20"/>
          <w:szCs w:val="20"/>
          <w:lang w:val="en-US" w:eastAsia="en-GB"/>
        </w:rPr>
        <w:t xml:space="preserve"> using </w:t>
      </w:r>
      <w:r w:rsidR="00704348">
        <w:rPr>
          <w:rFonts w:ascii="Verdana" w:hAnsi="Verdana"/>
          <w:sz w:val="20"/>
          <w:szCs w:val="20"/>
          <w:lang w:val="en-US" w:eastAsia="en-GB"/>
        </w:rPr>
        <w:t>TRA workers and exposure concentration was 15.07 mg/m</w:t>
      </w:r>
      <w:r w:rsidR="00704348" w:rsidRPr="008E4C82">
        <w:rPr>
          <w:rFonts w:ascii="Verdana" w:hAnsi="Verdana"/>
          <w:sz w:val="20"/>
          <w:szCs w:val="20"/>
          <w:vertAlign w:val="superscript"/>
          <w:lang w:val="en-US" w:eastAsia="en-GB"/>
        </w:rPr>
        <w:t>3</w:t>
      </w:r>
      <w:r w:rsidR="003B085A">
        <w:rPr>
          <w:rFonts w:ascii="Verdana" w:hAnsi="Verdana"/>
          <w:sz w:val="20"/>
          <w:szCs w:val="20"/>
          <w:lang w:val="en-US" w:eastAsia="en-GB"/>
        </w:rPr>
        <w:t xml:space="preserve"> </w:t>
      </w:r>
      <w:r w:rsidR="00336014">
        <w:rPr>
          <w:rFonts w:ascii="Verdana" w:hAnsi="Verdana"/>
          <w:sz w:val="20"/>
          <w:szCs w:val="20"/>
          <w:lang w:val="en-US" w:eastAsia="en-GB"/>
        </w:rPr>
        <w:t>(PROC 15)</w:t>
      </w:r>
      <w:r w:rsidR="00704348">
        <w:rPr>
          <w:rFonts w:ascii="Verdana" w:hAnsi="Verdana"/>
          <w:sz w:val="20"/>
          <w:szCs w:val="20"/>
          <w:lang w:val="en-US" w:eastAsia="en-GB"/>
        </w:rPr>
        <w:t>.</w:t>
      </w:r>
    </w:p>
    <w:p w14:paraId="78272D53" w14:textId="77777777" w:rsidR="00C64B9B" w:rsidRPr="00C64B9B" w:rsidRDefault="00C64B9B" w:rsidP="00ED47FC">
      <w:pPr>
        <w:pStyle w:val="Corpsdetexte"/>
        <w:spacing w:after="120" w:line="276" w:lineRule="auto"/>
        <w:jc w:val="both"/>
        <w:rPr>
          <w:rFonts w:ascii="Verdana" w:hAnsi="Verdana"/>
          <w:sz w:val="20"/>
          <w:szCs w:val="20"/>
          <w:u w:val="single"/>
          <w:lang w:val="en-US" w:eastAsia="en-GB"/>
        </w:rPr>
      </w:pPr>
      <w:r w:rsidRPr="00C64B9B">
        <w:rPr>
          <w:rFonts w:ascii="Verdana" w:hAnsi="Verdana"/>
          <w:sz w:val="20"/>
          <w:szCs w:val="20"/>
          <w:u w:val="single"/>
          <w:lang w:val="en-US" w:eastAsia="en-GB"/>
        </w:rPr>
        <w:t>Uncertainties on exposure assessment</w:t>
      </w:r>
    </w:p>
    <w:p w14:paraId="4F9100D7" w14:textId="4DD88735" w:rsidR="00195DF0" w:rsidRDefault="008A2B92"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For the</w:t>
      </w:r>
      <w:r w:rsidR="00C64B9B" w:rsidRPr="00A304D7">
        <w:rPr>
          <w:rFonts w:ascii="Verdana" w:hAnsi="Verdana"/>
          <w:sz w:val="20"/>
          <w:szCs w:val="20"/>
          <w:lang w:val="en-US" w:eastAsia="en-GB"/>
        </w:rPr>
        <w:t xml:space="preserve"> </w:t>
      </w:r>
      <w:r w:rsidR="00C64B9B" w:rsidRPr="00BC69BE">
        <w:rPr>
          <w:rFonts w:ascii="Verdana" w:hAnsi="Verdana"/>
          <w:sz w:val="20"/>
          <w:szCs w:val="20"/>
          <w:lang w:val="en-US" w:eastAsia="en-GB"/>
        </w:rPr>
        <w:t>manufacture of carbon disulfide</w:t>
      </w:r>
      <w:r w:rsidR="00C64B9B" w:rsidRPr="00A304D7">
        <w:rPr>
          <w:rFonts w:ascii="Verdana" w:hAnsi="Verdana"/>
          <w:sz w:val="20"/>
          <w:szCs w:val="20"/>
          <w:lang w:val="en-US" w:eastAsia="en-GB"/>
        </w:rPr>
        <w:t>, a measured value from personal samplers was provided in the tank loading area (PROC 1</w:t>
      </w:r>
      <w:r w:rsidR="00C64B9B">
        <w:rPr>
          <w:rFonts w:ascii="Verdana" w:hAnsi="Verdana"/>
          <w:sz w:val="20"/>
          <w:szCs w:val="20"/>
          <w:lang w:val="en-US" w:eastAsia="en-GB"/>
        </w:rPr>
        <w:t xml:space="preserve"> “chemical production or refinery in closed processes with equivalent containment conditions”</w:t>
      </w:r>
      <w:r w:rsidR="00C64B9B" w:rsidRPr="00A304D7">
        <w:rPr>
          <w:rFonts w:ascii="Verdana" w:hAnsi="Verdana"/>
          <w:sz w:val="20"/>
          <w:szCs w:val="20"/>
          <w:lang w:val="en-US" w:eastAsia="en-GB"/>
        </w:rPr>
        <w:t>).</w:t>
      </w:r>
      <w:r w:rsidR="00C64B9B" w:rsidRPr="005D544C">
        <w:rPr>
          <w:rFonts w:ascii="Verdana" w:hAnsi="Verdana"/>
          <w:sz w:val="20"/>
          <w:szCs w:val="20"/>
          <w:lang w:val="en-US" w:eastAsia="en-GB"/>
        </w:rPr>
        <w:t xml:space="preserve"> Although </w:t>
      </w:r>
      <w:r w:rsidR="00C64B9B">
        <w:rPr>
          <w:rFonts w:ascii="Verdana" w:hAnsi="Verdana"/>
          <w:sz w:val="20"/>
          <w:szCs w:val="20"/>
          <w:lang w:val="en-US" w:eastAsia="en-GB"/>
        </w:rPr>
        <w:t xml:space="preserve">the </w:t>
      </w:r>
      <w:r w:rsidR="00C64B9B" w:rsidRPr="005D544C">
        <w:rPr>
          <w:rFonts w:ascii="Verdana" w:hAnsi="Verdana"/>
          <w:sz w:val="20"/>
          <w:szCs w:val="20"/>
          <w:lang w:val="en-US" w:eastAsia="en-GB"/>
        </w:rPr>
        <w:t xml:space="preserve">Tier I </w:t>
      </w:r>
      <w:r w:rsidR="00C64B9B">
        <w:rPr>
          <w:rFonts w:ascii="Verdana" w:hAnsi="Verdana"/>
          <w:sz w:val="20"/>
          <w:szCs w:val="20"/>
          <w:lang w:val="en-US" w:eastAsia="en-GB"/>
        </w:rPr>
        <w:t xml:space="preserve">modelling </w:t>
      </w:r>
      <w:r w:rsidR="00C64B9B" w:rsidRPr="005D544C">
        <w:rPr>
          <w:rFonts w:ascii="Verdana" w:hAnsi="Verdana"/>
          <w:sz w:val="20"/>
          <w:szCs w:val="20"/>
          <w:lang w:val="en-US" w:eastAsia="en-GB"/>
        </w:rPr>
        <w:t xml:space="preserve">tool ECETOC TRA </w:t>
      </w:r>
      <w:r w:rsidR="00C64B9B">
        <w:rPr>
          <w:rFonts w:ascii="Verdana" w:hAnsi="Verdana"/>
          <w:sz w:val="20"/>
          <w:szCs w:val="20"/>
          <w:lang w:val="en-US" w:eastAsia="en-GB"/>
        </w:rPr>
        <w:t>is</w:t>
      </w:r>
      <w:r w:rsidR="00C64B9B" w:rsidRPr="005D544C">
        <w:rPr>
          <w:rFonts w:ascii="Verdana" w:hAnsi="Verdana"/>
          <w:sz w:val="20"/>
          <w:szCs w:val="20"/>
          <w:lang w:val="en-US" w:eastAsia="en-GB"/>
        </w:rPr>
        <w:t xml:space="preserve"> </w:t>
      </w:r>
      <w:r w:rsidR="00515BEB">
        <w:rPr>
          <w:rFonts w:ascii="Verdana" w:hAnsi="Verdana"/>
          <w:sz w:val="20"/>
          <w:szCs w:val="20"/>
          <w:lang w:val="en-US" w:eastAsia="en-GB"/>
        </w:rPr>
        <w:t xml:space="preserve">normally </w:t>
      </w:r>
      <w:r w:rsidR="00C64B9B" w:rsidRPr="005D544C">
        <w:rPr>
          <w:rFonts w:ascii="Verdana" w:hAnsi="Verdana"/>
          <w:sz w:val="20"/>
          <w:szCs w:val="20"/>
          <w:lang w:val="en-US" w:eastAsia="en-GB"/>
        </w:rPr>
        <w:t xml:space="preserve">conservative, </w:t>
      </w:r>
      <w:r w:rsidR="00515BEB">
        <w:rPr>
          <w:rFonts w:ascii="Verdana" w:hAnsi="Verdana"/>
          <w:sz w:val="20"/>
          <w:szCs w:val="20"/>
          <w:lang w:val="en-US" w:eastAsia="en-GB"/>
        </w:rPr>
        <w:t xml:space="preserve">the modelled </w:t>
      </w:r>
      <w:r w:rsidR="003619E9">
        <w:rPr>
          <w:rFonts w:ascii="Verdana" w:hAnsi="Verdana"/>
          <w:sz w:val="20"/>
          <w:szCs w:val="20"/>
          <w:lang w:val="en-US" w:eastAsia="en-GB"/>
        </w:rPr>
        <w:t>exposure value obtained with</w:t>
      </w:r>
      <w:r w:rsidR="00515BEB" w:rsidRPr="005D544C">
        <w:rPr>
          <w:rFonts w:ascii="Verdana" w:hAnsi="Verdana"/>
          <w:sz w:val="20"/>
          <w:szCs w:val="20"/>
          <w:lang w:val="en-US" w:eastAsia="en-GB"/>
        </w:rPr>
        <w:t xml:space="preserve"> </w:t>
      </w:r>
      <w:r w:rsidR="003619E9">
        <w:rPr>
          <w:rFonts w:ascii="Verdana" w:hAnsi="Verdana"/>
          <w:sz w:val="20"/>
          <w:szCs w:val="20"/>
          <w:lang w:val="en-US" w:eastAsia="en-GB"/>
        </w:rPr>
        <w:t xml:space="preserve">by ECETOC TRA </w:t>
      </w:r>
      <w:r w:rsidR="00C64B9B" w:rsidRPr="005D544C">
        <w:rPr>
          <w:rFonts w:ascii="Verdana" w:hAnsi="Verdana"/>
          <w:sz w:val="20"/>
          <w:szCs w:val="20"/>
          <w:lang w:val="en-US" w:eastAsia="en-GB"/>
        </w:rPr>
        <w:t xml:space="preserve">was not </w:t>
      </w:r>
      <w:r w:rsidR="003619E9">
        <w:rPr>
          <w:rFonts w:ascii="Verdana" w:hAnsi="Verdana"/>
          <w:sz w:val="20"/>
          <w:szCs w:val="20"/>
          <w:lang w:val="en-US" w:eastAsia="en-GB"/>
        </w:rPr>
        <w:t>worst case compared to</w:t>
      </w:r>
      <w:r w:rsidR="00C64B9B" w:rsidRPr="005D544C">
        <w:rPr>
          <w:rFonts w:ascii="Verdana" w:hAnsi="Verdana"/>
          <w:sz w:val="20"/>
          <w:szCs w:val="20"/>
          <w:lang w:val="en-US" w:eastAsia="en-GB"/>
        </w:rPr>
        <w:t xml:space="preserve"> the</w:t>
      </w:r>
      <w:r w:rsidR="00C64B9B">
        <w:rPr>
          <w:rFonts w:ascii="Verdana" w:hAnsi="Verdana"/>
          <w:sz w:val="20"/>
          <w:szCs w:val="20"/>
          <w:lang w:val="en-US" w:eastAsia="en-GB"/>
        </w:rPr>
        <w:t xml:space="preserve"> </w:t>
      </w:r>
      <w:r w:rsidR="003619E9">
        <w:rPr>
          <w:rFonts w:ascii="Verdana" w:hAnsi="Verdana"/>
          <w:sz w:val="20"/>
          <w:szCs w:val="20"/>
          <w:lang w:val="en-US" w:eastAsia="en-GB"/>
        </w:rPr>
        <w:t xml:space="preserve">available air monitoring </w:t>
      </w:r>
      <w:r w:rsidR="00B5482E">
        <w:rPr>
          <w:rFonts w:ascii="Verdana" w:hAnsi="Verdana"/>
          <w:sz w:val="20"/>
          <w:szCs w:val="20"/>
          <w:lang w:val="en-US" w:eastAsia="en-GB"/>
        </w:rPr>
        <w:t xml:space="preserve">exposure </w:t>
      </w:r>
      <w:r w:rsidR="004E2300">
        <w:rPr>
          <w:rFonts w:ascii="Verdana" w:hAnsi="Verdana"/>
          <w:sz w:val="20"/>
          <w:szCs w:val="20"/>
          <w:lang w:val="en-US" w:eastAsia="en-GB"/>
        </w:rPr>
        <w:t>measurements</w:t>
      </w:r>
      <w:r w:rsidR="003619E9">
        <w:rPr>
          <w:rFonts w:ascii="Verdana" w:hAnsi="Verdana"/>
          <w:sz w:val="20"/>
          <w:szCs w:val="20"/>
          <w:lang w:val="en-US" w:eastAsia="en-GB"/>
        </w:rPr>
        <w:t xml:space="preserve">. Indeed, air monitoring value proposed in the dossier </w:t>
      </w:r>
      <w:r w:rsidR="00C64B9B" w:rsidRPr="00A304D7">
        <w:rPr>
          <w:rFonts w:ascii="Verdana" w:hAnsi="Verdana"/>
          <w:sz w:val="20"/>
          <w:szCs w:val="20"/>
          <w:lang w:val="en-US" w:eastAsia="en-GB"/>
        </w:rPr>
        <w:t xml:space="preserve">was more than 50-fold higher than the </w:t>
      </w:r>
      <w:r w:rsidR="00C64B9B">
        <w:rPr>
          <w:rFonts w:ascii="Verdana" w:hAnsi="Verdana"/>
          <w:sz w:val="20"/>
          <w:szCs w:val="20"/>
          <w:lang w:val="en-US" w:eastAsia="en-GB"/>
        </w:rPr>
        <w:t xml:space="preserve">modelling value obtained with </w:t>
      </w:r>
      <w:r w:rsidR="00C64B9B">
        <w:rPr>
          <w:rFonts w:ascii="Verdana" w:hAnsi="Verdana"/>
          <w:sz w:val="20"/>
          <w:szCs w:val="20"/>
          <w:lang w:val="en-US" w:eastAsia="en-GB"/>
        </w:rPr>
        <w:lastRenderedPageBreak/>
        <w:t>ECETOC</w:t>
      </w:r>
      <w:r w:rsidR="00C64B9B" w:rsidRPr="00A304D7">
        <w:rPr>
          <w:rFonts w:ascii="Verdana" w:hAnsi="Verdana"/>
          <w:sz w:val="20"/>
          <w:szCs w:val="20"/>
          <w:lang w:val="en-US" w:eastAsia="en-GB"/>
        </w:rPr>
        <w:t xml:space="preserve"> TRA Workers. An explanation for the difference between the measured and the modelled values was not provided. </w:t>
      </w:r>
      <w:r w:rsidR="00C64B9B">
        <w:rPr>
          <w:rFonts w:ascii="Verdana" w:hAnsi="Verdana"/>
          <w:sz w:val="20"/>
          <w:szCs w:val="20"/>
          <w:lang w:val="en-US" w:eastAsia="en-GB"/>
        </w:rPr>
        <w:t>Few information and no contextual information are available with the measured data</w:t>
      </w:r>
      <w:r>
        <w:rPr>
          <w:rFonts w:ascii="Verdana" w:hAnsi="Verdana"/>
          <w:sz w:val="20"/>
          <w:szCs w:val="20"/>
          <w:lang w:val="en-US" w:eastAsia="en-GB"/>
        </w:rPr>
        <w:t xml:space="preserve"> that may explain the difference in results (number of measurements, </w:t>
      </w:r>
      <w:r w:rsidR="00C64B9B">
        <w:rPr>
          <w:rFonts w:ascii="Verdana" w:hAnsi="Verdana"/>
          <w:sz w:val="20"/>
          <w:szCs w:val="20"/>
          <w:lang w:val="en-US" w:eastAsia="en-GB"/>
        </w:rPr>
        <w:t xml:space="preserve">year of measurements, </w:t>
      </w:r>
      <w:r>
        <w:rPr>
          <w:rFonts w:ascii="Verdana" w:hAnsi="Verdana"/>
          <w:sz w:val="20"/>
          <w:szCs w:val="20"/>
          <w:lang w:val="en-US" w:eastAsia="en-GB"/>
        </w:rPr>
        <w:t xml:space="preserve">duration of exposure, </w:t>
      </w:r>
      <w:r w:rsidR="008616B9">
        <w:rPr>
          <w:rFonts w:ascii="Verdana" w:hAnsi="Verdana"/>
          <w:sz w:val="20"/>
          <w:szCs w:val="20"/>
          <w:lang w:val="en-US" w:eastAsia="en-GB"/>
        </w:rPr>
        <w:t>occupational conditions (</w:t>
      </w:r>
      <w:r w:rsidR="00C64B9B">
        <w:rPr>
          <w:rFonts w:ascii="Verdana" w:hAnsi="Verdana"/>
          <w:sz w:val="20"/>
          <w:szCs w:val="20"/>
          <w:lang w:val="en-US" w:eastAsia="en-GB"/>
        </w:rPr>
        <w:t>OC</w:t>
      </w:r>
      <w:r w:rsidR="008616B9">
        <w:rPr>
          <w:rFonts w:ascii="Verdana" w:hAnsi="Verdana"/>
          <w:sz w:val="20"/>
          <w:szCs w:val="20"/>
          <w:lang w:val="en-US" w:eastAsia="en-GB"/>
        </w:rPr>
        <w:t>)</w:t>
      </w:r>
      <w:r w:rsidR="00C64B9B">
        <w:rPr>
          <w:rFonts w:ascii="Verdana" w:hAnsi="Verdana"/>
          <w:sz w:val="20"/>
          <w:szCs w:val="20"/>
          <w:lang w:val="en-US" w:eastAsia="en-GB"/>
        </w:rPr>
        <w:t xml:space="preserve"> and </w:t>
      </w:r>
      <w:r w:rsidR="008616B9">
        <w:rPr>
          <w:rFonts w:ascii="Verdana" w:hAnsi="Verdana"/>
          <w:sz w:val="20"/>
          <w:szCs w:val="20"/>
          <w:lang w:val="en-US" w:eastAsia="en-GB"/>
        </w:rPr>
        <w:t>risk mitigation measures (</w:t>
      </w:r>
      <w:r w:rsidR="00C64B9B">
        <w:rPr>
          <w:rFonts w:ascii="Verdana" w:hAnsi="Verdana"/>
          <w:sz w:val="20"/>
          <w:szCs w:val="20"/>
          <w:lang w:val="en-US" w:eastAsia="en-GB"/>
        </w:rPr>
        <w:t>RMMs</w:t>
      </w:r>
      <w:r w:rsidR="008616B9">
        <w:rPr>
          <w:rFonts w:ascii="Verdana" w:hAnsi="Verdana"/>
          <w:sz w:val="20"/>
          <w:szCs w:val="20"/>
          <w:lang w:val="en-US" w:eastAsia="en-GB"/>
        </w:rPr>
        <w:t>)</w:t>
      </w:r>
      <w:r w:rsidR="00C64B9B">
        <w:rPr>
          <w:rFonts w:ascii="Verdana" w:hAnsi="Verdana"/>
          <w:sz w:val="20"/>
          <w:szCs w:val="20"/>
          <w:lang w:val="en-US" w:eastAsia="en-GB"/>
        </w:rPr>
        <w:t>)</w:t>
      </w:r>
      <w:r>
        <w:rPr>
          <w:rFonts w:ascii="Verdana" w:hAnsi="Verdana"/>
          <w:sz w:val="20"/>
          <w:szCs w:val="20"/>
          <w:lang w:val="en-US" w:eastAsia="en-GB"/>
        </w:rPr>
        <w:t>.</w:t>
      </w:r>
      <w:r w:rsidR="00C64B9B">
        <w:rPr>
          <w:rFonts w:ascii="Verdana" w:hAnsi="Verdana"/>
          <w:sz w:val="20"/>
          <w:szCs w:val="20"/>
          <w:lang w:val="en-US" w:eastAsia="en-GB"/>
        </w:rPr>
        <w:t xml:space="preserve"> </w:t>
      </w:r>
    </w:p>
    <w:p w14:paraId="3B2235B2" w14:textId="21C3DDE9" w:rsidR="00C64B9B" w:rsidRPr="00A304D7" w:rsidRDefault="00195DF0"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In addition, a</w:t>
      </w:r>
      <w:r w:rsidR="00C64B9B" w:rsidRPr="00A304D7">
        <w:rPr>
          <w:rFonts w:ascii="Verdana" w:hAnsi="Verdana"/>
          <w:sz w:val="20"/>
          <w:szCs w:val="20"/>
          <w:lang w:val="en-US" w:eastAsia="en-GB"/>
        </w:rPr>
        <w:t>ccording to ECETOC TRA, 2018 technical report, TRA does allow to assess exposures to very volatile liquids</w:t>
      </w:r>
      <w:r>
        <w:rPr>
          <w:rFonts w:ascii="Verdana" w:hAnsi="Verdana"/>
          <w:sz w:val="20"/>
          <w:szCs w:val="20"/>
          <w:lang w:val="en-US" w:eastAsia="en-GB"/>
        </w:rPr>
        <w:t>, such as carbon disulfide,</w:t>
      </w:r>
      <w:r w:rsidR="00C64B9B" w:rsidRPr="00A304D7">
        <w:rPr>
          <w:rFonts w:ascii="Verdana" w:hAnsi="Verdana"/>
          <w:sz w:val="20"/>
          <w:szCs w:val="20"/>
          <w:lang w:val="en-US" w:eastAsia="en-GB"/>
        </w:rPr>
        <w:t xml:space="preserve"> </w:t>
      </w:r>
      <w:r>
        <w:rPr>
          <w:rFonts w:ascii="Verdana" w:hAnsi="Verdana"/>
          <w:sz w:val="20"/>
          <w:szCs w:val="20"/>
          <w:lang w:val="en-US" w:eastAsia="en-GB"/>
        </w:rPr>
        <w:t>and</w:t>
      </w:r>
      <w:r w:rsidR="00C64B9B">
        <w:rPr>
          <w:rFonts w:ascii="Verdana" w:hAnsi="Verdana"/>
          <w:sz w:val="20"/>
          <w:szCs w:val="20"/>
          <w:lang w:val="en-US" w:eastAsia="en-GB"/>
        </w:rPr>
        <w:t xml:space="preserve"> the technical report did not set an upper bound for</w:t>
      </w:r>
      <w:r w:rsidR="00C64B9B" w:rsidRPr="00A304D7">
        <w:rPr>
          <w:rFonts w:ascii="Verdana" w:hAnsi="Verdana"/>
          <w:sz w:val="20"/>
          <w:szCs w:val="20"/>
          <w:lang w:val="en-US" w:eastAsia="en-GB"/>
        </w:rPr>
        <w:t xml:space="preserve"> vapour pressure. Nevertheless, the report noted that the estimate </w:t>
      </w:r>
      <w:r>
        <w:rPr>
          <w:rFonts w:ascii="Verdana" w:hAnsi="Verdana"/>
          <w:sz w:val="20"/>
          <w:szCs w:val="20"/>
          <w:lang w:val="en-US" w:eastAsia="en-GB"/>
        </w:rPr>
        <w:t xml:space="preserve">for very volatile compounds </w:t>
      </w:r>
      <w:r w:rsidR="00C64B9B" w:rsidRPr="00A304D7">
        <w:rPr>
          <w:rFonts w:ascii="Verdana" w:hAnsi="Verdana"/>
          <w:sz w:val="20"/>
          <w:szCs w:val="20"/>
          <w:lang w:val="en-US" w:eastAsia="en-GB"/>
        </w:rPr>
        <w:t>is really likely relevant for PROCs that do not describe open conditions of use</w:t>
      </w:r>
      <w:r w:rsidR="00C64B9B">
        <w:rPr>
          <w:rFonts w:ascii="Verdana" w:hAnsi="Verdana"/>
          <w:sz w:val="20"/>
          <w:szCs w:val="20"/>
          <w:lang w:val="en-US" w:eastAsia="en-GB"/>
        </w:rPr>
        <w:t>, such as PROC 1</w:t>
      </w:r>
      <w:r w:rsidR="00C64B9B" w:rsidRPr="00A304D7">
        <w:rPr>
          <w:rFonts w:ascii="Verdana" w:hAnsi="Verdana"/>
          <w:sz w:val="20"/>
          <w:szCs w:val="20"/>
          <w:lang w:val="en-US" w:eastAsia="en-GB"/>
        </w:rPr>
        <w:t>. The underest</w:t>
      </w:r>
      <w:r w:rsidR="00C64B9B">
        <w:rPr>
          <w:rFonts w:ascii="Verdana" w:hAnsi="Verdana"/>
          <w:sz w:val="20"/>
          <w:szCs w:val="20"/>
          <w:lang w:val="en-US" w:eastAsia="en-GB"/>
        </w:rPr>
        <w:t>imation of the exposure</w:t>
      </w:r>
      <w:r w:rsidR="00C64B9B" w:rsidRPr="00A304D7">
        <w:rPr>
          <w:rFonts w:ascii="Verdana" w:hAnsi="Verdana"/>
          <w:sz w:val="20"/>
          <w:szCs w:val="20"/>
          <w:lang w:val="en-US" w:eastAsia="en-GB"/>
        </w:rPr>
        <w:t xml:space="preserve"> value obtained from the mode</w:t>
      </w:r>
      <w:r w:rsidR="00C64B9B">
        <w:rPr>
          <w:rFonts w:ascii="Verdana" w:hAnsi="Verdana"/>
          <w:sz w:val="20"/>
          <w:szCs w:val="20"/>
          <w:lang w:val="en-US" w:eastAsia="en-GB"/>
        </w:rPr>
        <w:t>ling</w:t>
      </w:r>
      <w:r w:rsidR="00C64B9B" w:rsidRPr="00A304D7">
        <w:rPr>
          <w:rFonts w:ascii="Verdana" w:hAnsi="Verdana"/>
          <w:sz w:val="20"/>
          <w:szCs w:val="20"/>
          <w:lang w:val="en-US" w:eastAsia="en-GB"/>
        </w:rPr>
        <w:t xml:space="preserve"> for PROC1 compared to air </w:t>
      </w:r>
      <w:r w:rsidR="00C64B9B">
        <w:rPr>
          <w:rFonts w:ascii="Verdana" w:hAnsi="Verdana"/>
          <w:sz w:val="20"/>
          <w:szCs w:val="20"/>
          <w:lang w:val="en-US" w:eastAsia="en-GB"/>
        </w:rPr>
        <w:t>measurements</w:t>
      </w:r>
      <w:r w:rsidR="00C64B9B" w:rsidRPr="00A304D7">
        <w:rPr>
          <w:rFonts w:ascii="Verdana" w:hAnsi="Verdana"/>
          <w:sz w:val="20"/>
          <w:szCs w:val="20"/>
          <w:lang w:val="en-US" w:eastAsia="en-GB"/>
        </w:rPr>
        <w:t xml:space="preserve"> </w:t>
      </w:r>
      <w:r w:rsidR="00C64B9B">
        <w:rPr>
          <w:rFonts w:ascii="Verdana" w:hAnsi="Verdana"/>
          <w:sz w:val="20"/>
          <w:szCs w:val="20"/>
          <w:lang w:val="en-US" w:eastAsia="en-GB"/>
        </w:rPr>
        <w:t>is unknown but</w:t>
      </w:r>
      <w:r w:rsidR="00C64B9B" w:rsidRPr="00A304D7">
        <w:rPr>
          <w:rFonts w:ascii="Verdana" w:hAnsi="Verdana"/>
          <w:sz w:val="20"/>
          <w:szCs w:val="20"/>
          <w:lang w:val="en-US" w:eastAsia="en-GB"/>
        </w:rPr>
        <w:t xml:space="preserve"> leads to uncertainties on exposure assessment and safety concern </w:t>
      </w:r>
      <w:r w:rsidR="00C64B9B">
        <w:rPr>
          <w:rFonts w:ascii="Verdana" w:hAnsi="Verdana"/>
          <w:sz w:val="20"/>
          <w:szCs w:val="20"/>
          <w:lang w:val="en-US" w:eastAsia="en-GB"/>
        </w:rPr>
        <w:t xml:space="preserve">mainly </w:t>
      </w:r>
      <w:r w:rsidR="00C64B9B" w:rsidRPr="00A304D7">
        <w:rPr>
          <w:rFonts w:ascii="Verdana" w:hAnsi="Verdana"/>
          <w:sz w:val="20"/>
          <w:szCs w:val="20"/>
          <w:lang w:val="en-US" w:eastAsia="en-GB"/>
        </w:rPr>
        <w:t>in case of open condition</w:t>
      </w:r>
      <w:r w:rsidR="00B5482E">
        <w:rPr>
          <w:rFonts w:ascii="Verdana" w:hAnsi="Verdana"/>
          <w:sz w:val="20"/>
          <w:szCs w:val="20"/>
          <w:lang w:val="en-US" w:eastAsia="en-GB"/>
        </w:rPr>
        <w:t>s</w:t>
      </w:r>
      <w:r w:rsidR="00C64B9B">
        <w:rPr>
          <w:rFonts w:ascii="Verdana" w:hAnsi="Verdana"/>
          <w:sz w:val="20"/>
          <w:szCs w:val="20"/>
          <w:lang w:val="en-US" w:eastAsia="en-GB"/>
        </w:rPr>
        <w:t xml:space="preserve"> (e.g. open spin bath during regenerated cellulose manufacturing)</w:t>
      </w:r>
      <w:r w:rsidR="00C64B9B" w:rsidRPr="00A304D7">
        <w:rPr>
          <w:rFonts w:ascii="Verdana" w:hAnsi="Verdana"/>
          <w:sz w:val="20"/>
          <w:szCs w:val="20"/>
          <w:lang w:val="en-US" w:eastAsia="en-GB"/>
        </w:rPr>
        <w:t xml:space="preserve">. </w:t>
      </w:r>
    </w:p>
    <w:p w14:paraId="2A72BFB6" w14:textId="77777777" w:rsidR="00C64B9B" w:rsidRPr="004637EA" w:rsidRDefault="00C64B9B" w:rsidP="00ED47FC">
      <w:pPr>
        <w:pStyle w:val="Corpsdetexte"/>
        <w:spacing w:after="120" w:line="276" w:lineRule="auto"/>
        <w:jc w:val="both"/>
      </w:pPr>
      <w:r>
        <w:rPr>
          <w:rFonts w:ascii="Verdana" w:hAnsi="Verdana"/>
          <w:sz w:val="20"/>
          <w:szCs w:val="20"/>
          <w:lang w:val="en-US" w:eastAsia="en-GB"/>
        </w:rPr>
        <w:t xml:space="preserve">In addition, the lack of dermal exposure </w:t>
      </w:r>
      <w:r w:rsidRPr="00467D3A">
        <w:rPr>
          <w:rFonts w:ascii="Verdana" w:hAnsi="Verdana"/>
          <w:sz w:val="20"/>
          <w:szCs w:val="20"/>
          <w:lang w:val="en-US" w:eastAsia="en-GB"/>
        </w:rPr>
        <w:t>modelling or human biomonitoring data provide uncertainties on exposure assessment</w:t>
      </w:r>
      <w:r>
        <w:rPr>
          <w:rFonts w:ascii="Verdana" w:hAnsi="Verdana"/>
          <w:sz w:val="20"/>
          <w:szCs w:val="20"/>
          <w:lang w:val="en-US" w:eastAsia="en-GB"/>
        </w:rPr>
        <w:t xml:space="preserve"> </w:t>
      </w:r>
      <w:r w:rsidRPr="004637EA">
        <w:rPr>
          <w:rFonts w:ascii="Verdana" w:hAnsi="Verdana"/>
          <w:sz w:val="20"/>
          <w:szCs w:val="20"/>
          <w:lang w:val="en-US" w:eastAsia="en-GB"/>
        </w:rPr>
        <w:t>which is based on inhalation exposure only. The fact that carbon disulfide vapour may be readily absorbed via the skin may lead to underestimation of the exposure.</w:t>
      </w:r>
      <w:r w:rsidRPr="004637EA">
        <w:t xml:space="preserve"> </w:t>
      </w:r>
    </w:p>
    <w:p w14:paraId="0F317EFD" w14:textId="06BFD903" w:rsidR="00C64B9B" w:rsidRDefault="00C64B9B" w:rsidP="00ED47FC">
      <w:pPr>
        <w:pStyle w:val="Corpsdetexte"/>
        <w:spacing w:after="120" w:line="276" w:lineRule="auto"/>
        <w:jc w:val="both"/>
        <w:rPr>
          <w:rFonts w:ascii="Verdana" w:hAnsi="Verdana"/>
          <w:sz w:val="20"/>
          <w:szCs w:val="20"/>
          <w:lang w:val="en-US" w:eastAsia="en-GB"/>
        </w:rPr>
      </w:pPr>
      <w:r w:rsidRPr="004637EA">
        <w:rPr>
          <w:rFonts w:ascii="Verdana" w:hAnsi="Verdana"/>
          <w:sz w:val="20"/>
          <w:szCs w:val="20"/>
          <w:lang w:val="en-US" w:eastAsia="en-GB"/>
        </w:rPr>
        <w:t xml:space="preserve">Overall, there are significant uncertainties in the </w:t>
      </w:r>
      <w:r w:rsidR="00195DF0">
        <w:rPr>
          <w:rFonts w:ascii="Verdana" w:hAnsi="Verdana"/>
          <w:sz w:val="20"/>
          <w:szCs w:val="20"/>
          <w:lang w:val="en-US" w:eastAsia="en-GB"/>
        </w:rPr>
        <w:t>exposure estimate</w:t>
      </w:r>
      <w:r w:rsidR="008616B9">
        <w:rPr>
          <w:rFonts w:ascii="Verdana" w:hAnsi="Verdana"/>
          <w:sz w:val="20"/>
          <w:szCs w:val="20"/>
          <w:lang w:val="en-US" w:eastAsia="en-GB"/>
        </w:rPr>
        <w:t>s</w:t>
      </w:r>
      <w:r w:rsidR="00195DF0">
        <w:rPr>
          <w:rFonts w:ascii="Verdana" w:hAnsi="Verdana"/>
          <w:sz w:val="20"/>
          <w:szCs w:val="20"/>
          <w:lang w:val="en-US" w:eastAsia="en-GB"/>
        </w:rPr>
        <w:t xml:space="preserve"> provided in the </w:t>
      </w:r>
      <w:r w:rsidRPr="004637EA">
        <w:rPr>
          <w:rFonts w:ascii="Verdana" w:hAnsi="Verdana"/>
          <w:sz w:val="20"/>
          <w:szCs w:val="20"/>
          <w:lang w:val="en-US" w:eastAsia="en-GB"/>
        </w:rPr>
        <w:t xml:space="preserve">2019 CSR </w:t>
      </w:r>
      <w:r w:rsidR="008A2B92">
        <w:rPr>
          <w:rFonts w:ascii="Verdana" w:hAnsi="Verdana"/>
          <w:sz w:val="20"/>
          <w:szCs w:val="20"/>
          <w:lang w:val="en-US" w:eastAsia="en-GB"/>
        </w:rPr>
        <w:t>as modelling</w:t>
      </w:r>
      <w:r w:rsidRPr="004637EA">
        <w:rPr>
          <w:rFonts w:ascii="Verdana" w:hAnsi="Verdana"/>
          <w:sz w:val="20"/>
          <w:szCs w:val="20"/>
          <w:lang w:val="en-US" w:eastAsia="en-GB"/>
        </w:rPr>
        <w:t xml:space="preserve"> may </w:t>
      </w:r>
      <w:r w:rsidR="00195DF0">
        <w:rPr>
          <w:rFonts w:ascii="Verdana" w:hAnsi="Verdana"/>
          <w:sz w:val="20"/>
          <w:szCs w:val="20"/>
          <w:lang w:val="en-US" w:eastAsia="en-GB"/>
        </w:rPr>
        <w:t>underestimate actual exposure</w:t>
      </w:r>
      <w:r w:rsidRPr="004637EA">
        <w:rPr>
          <w:rFonts w:ascii="Verdana" w:hAnsi="Verdana"/>
          <w:sz w:val="20"/>
          <w:szCs w:val="20"/>
          <w:lang w:val="en-US" w:eastAsia="en-GB"/>
        </w:rPr>
        <w:t>.</w:t>
      </w:r>
    </w:p>
    <w:p w14:paraId="7DA37CD9" w14:textId="291FECE7" w:rsidR="008E4C82" w:rsidRPr="00BB54F4" w:rsidRDefault="008E4C82" w:rsidP="008E4C82">
      <w:pPr>
        <w:pStyle w:val="Corpsdetexte"/>
        <w:rPr>
          <w:b/>
        </w:rPr>
      </w:pPr>
      <w:r w:rsidRPr="007B1C32">
        <w:rPr>
          <w:rFonts w:ascii="Verdana" w:hAnsi="Verdana"/>
          <w:b/>
          <w:sz w:val="20"/>
          <w:szCs w:val="18"/>
          <w:lang w:val="nl-BE" w:eastAsia="en-GB"/>
        </w:rPr>
        <w:t xml:space="preserve">Table </w:t>
      </w:r>
      <w:r w:rsidRPr="007B1C32">
        <w:rPr>
          <w:rFonts w:ascii="Verdana" w:hAnsi="Verdana"/>
          <w:b/>
          <w:sz w:val="20"/>
          <w:szCs w:val="18"/>
          <w:lang w:val="nl-BE" w:eastAsia="en-GB"/>
        </w:rPr>
        <w:fldChar w:fldCharType="begin"/>
      </w:r>
      <w:r w:rsidRPr="007B1C32">
        <w:rPr>
          <w:rFonts w:ascii="Verdana" w:hAnsi="Verdana"/>
          <w:b/>
          <w:sz w:val="20"/>
          <w:szCs w:val="18"/>
          <w:lang w:val="nl-BE" w:eastAsia="en-GB"/>
        </w:rPr>
        <w:instrText xml:space="preserve"> SEQ Table \* ARABIC </w:instrText>
      </w:r>
      <w:r w:rsidRPr="007B1C32">
        <w:rPr>
          <w:rFonts w:ascii="Verdana" w:hAnsi="Verdana"/>
          <w:b/>
          <w:sz w:val="20"/>
          <w:szCs w:val="18"/>
          <w:lang w:val="nl-BE" w:eastAsia="en-GB"/>
        </w:rPr>
        <w:fldChar w:fldCharType="separate"/>
      </w:r>
      <w:r w:rsidR="002D0738">
        <w:rPr>
          <w:rFonts w:ascii="Verdana" w:hAnsi="Verdana"/>
          <w:b/>
          <w:noProof/>
          <w:sz w:val="20"/>
          <w:szCs w:val="18"/>
          <w:lang w:val="nl-BE" w:eastAsia="en-GB"/>
        </w:rPr>
        <w:t>7</w:t>
      </w:r>
      <w:r w:rsidRPr="007B1C32">
        <w:rPr>
          <w:rFonts w:ascii="Verdana" w:hAnsi="Verdana"/>
          <w:b/>
          <w:sz w:val="20"/>
          <w:szCs w:val="18"/>
          <w:lang w:val="nl-BE" w:eastAsia="en-GB"/>
        </w:rPr>
        <w:fldChar w:fldCharType="end"/>
      </w:r>
      <w:r w:rsidR="008408CE">
        <w:rPr>
          <w:rFonts w:ascii="Verdana" w:hAnsi="Verdana"/>
          <w:b/>
          <w:sz w:val="20"/>
          <w:szCs w:val="18"/>
          <w:lang w:val="nl-BE" w:eastAsia="en-GB"/>
        </w:rPr>
        <w:tab/>
      </w:r>
      <w:r>
        <w:rPr>
          <w:rFonts w:ascii="Verdana" w:hAnsi="Verdana"/>
          <w:b/>
          <w:sz w:val="20"/>
          <w:szCs w:val="18"/>
          <w:lang w:val="nl-BE" w:eastAsia="en-GB"/>
        </w:rPr>
        <w:t xml:space="preserve"> Summary of wo</w:t>
      </w:r>
      <w:r w:rsidRPr="007B1C32">
        <w:rPr>
          <w:rFonts w:ascii="Verdana" w:hAnsi="Verdana"/>
          <w:b/>
          <w:sz w:val="20"/>
          <w:szCs w:val="18"/>
          <w:lang w:val="nl-BE" w:eastAsia="en-GB"/>
        </w:rPr>
        <w:t>rker exposure scenarios</w:t>
      </w:r>
      <w:r>
        <w:rPr>
          <w:rFonts w:ascii="Verdana" w:hAnsi="Verdana"/>
          <w:b/>
          <w:sz w:val="20"/>
          <w:szCs w:val="18"/>
          <w:lang w:val="nl-BE" w:eastAsia="en-GB"/>
        </w:rPr>
        <w:t xml:space="preserve"> and exposure ranges (lead registration dossier)</w:t>
      </w:r>
    </w:p>
    <w:tbl>
      <w:tblPr>
        <w:tblStyle w:val="Grilledutableau"/>
        <w:tblW w:w="8784" w:type="dxa"/>
        <w:tblLook w:val="04A0" w:firstRow="1" w:lastRow="0" w:firstColumn="1" w:lastColumn="0" w:noHBand="0" w:noVBand="1"/>
      </w:tblPr>
      <w:tblGrid>
        <w:gridCol w:w="672"/>
        <w:gridCol w:w="2345"/>
        <w:gridCol w:w="1373"/>
        <w:gridCol w:w="4394"/>
      </w:tblGrid>
      <w:tr w:rsidR="008E4C82" w:rsidRPr="004A03E1" w14:paraId="72014943" w14:textId="77777777" w:rsidTr="00580CAF">
        <w:trPr>
          <w:trHeight w:val="640"/>
        </w:trPr>
        <w:tc>
          <w:tcPr>
            <w:tcW w:w="672" w:type="dxa"/>
            <w:shd w:val="clear" w:color="auto" w:fill="4F81BD" w:themeFill="accent1"/>
          </w:tcPr>
          <w:p w14:paraId="03F99A2E" w14:textId="77777777" w:rsidR="008E4C82" w:rsidRPr="007B1C32" w:rsidRDefault="008E4C82" w:rsidP="00580CAF">
            <w:pPr>
              <w:pStyle w:val="Corpsdetexte"/>
              <w:spacing w:after="120"/>
              <w:jc w:val="both"/>
              <w:rPr>
                <w:rFonts w:ascii="Verdana" w:hAnsi="Verdana"/>
                <w:b/>
                <w:color w:val="FFFFFF" w:themeColor="background1"/>
                <w:sz w:val="20"/>
                <w:szCs w:val="20"/>
              </w:rPr>
            </w:pPr>
            <w:r w:rsidRPr="007B1C32">
              <w:rPr>
                <w:rFonts w:ascii="Verdana" w:hAnsi="Verdana"/>
                <w:b/>
                <w:color w:val="FFFFFF" w:themeColor="background1"/>
                <w:sz w:val="20"/>
                <w:szCs w:val="20"/>
              </w:rPr>
              <w:t>ES n°</w:t>
            </w:r>
          </w:p>
        </w:tc>
        <w:tc>
          <w:tcPr>
            <w:tcW w:w="2345" w:type="dxa"/>
            <w:shd w:val="clear" w:color="auto" w:fill="4F81BD" w:themeFill="accent1"/>
          </w:tcPr>
          <w:p w14:paraId="199C883E" w14:textId="77777777" w:rsidR="008E4C82" w:rsidRPr="007B1C32" w:rsidRDefault="008E4C82" w:rsidP="00580CAF">
            <w:pPr>
              <w:pStyle w:val="Corpsdetexte"/>
              <w:spacing w:after="120"/>
              <w:jc w:val="both"/>
              <w:rPr>
                <w:rFonts w:ascii="Verdana" w:hAnsi="Verdana"/>
                <w:b/>
                <w:color w:val="FFFFFF" w:themeColor="background1"/>
                <w:sz w:val="20"/>
                <w:szCs w:val="20"/>
              </w:rPr>
            </w:pPr>
            <w:r w:rsidRPr="007B1C32">
              <w:rPr>
                <w:rFonts w:ascii="Verdana" w:hAnsi="Verdana"/>
                <w:b/>
                <w:color w:val="FFFFFF" w:themeColor="background1"/>
                <w:sz w:val="20"/>
                <w:szCs w:val="20"/>
              </w:rPr>
              <w:t>Exposure Scenario  (ES) name</w:t>
            </w:r>
          </w:p>
        </w:tc>
        <w:tc>
          <w:tcPr>
            <w:tcW w:w="1373" w:type="dxa"/>
            <w:shd w:val="clear" w:color="auto" w:fill="4F81BD" w:themeFill="accent1"/>
          </w:tcPr>
          <w:p w14:paraId="25236879" w14:textId="77777777" w:rsidR="008E4C82" w:rsidRPr="007B1C32" w:rsidRDefault="008E4C82" w:rsidP="00580CAF">
            <w:pPr>
              <w:pStyle w:val="Corpsdetexte"/>
              <w:spacing w:after="120"/>
              <w:jc w:val="both"/>
              <w:rPr>
                <w:rFonts w:ascii="Verdana" w:hAnsi="Verdana"/>
                <w:b/>
                <w:color w:val="FFFFFF" w:themeColor="background1"/>
                <w:sz w:val="20"/>
                <w:szCs w:val="20"/>
              </w:rPr>
            </w:pPr>
            <w:r w:rsidRPr="007B1C32">
              <w:rPr>
                <w:rFonts w:ascii="Verdana" w:hAnsi="Verdana"/>
                <w:b/>
                <w:color w:val="FFFFFF" w:themeColor="background1"/>
                <w:sz w:val="20"/>
                <w:szCs w:val="20"/>
              </w:rPr>
              <w:t>PROC</w:t>
            </w:r>
          </w:p>
        </w:tc>
        <w:tc>
          <w:tcPr>
            <w:tcW w:w="4394" w:type="dxa"/>
            <w:shd w:val="clear" w:color="auto" w:fill="4F81BD" w:themeFill="accent1"/>
          </w:tcPr>
          <w:p w14:paraId="5A6BBB67" w14:textId="77777777" w:rsidR="008E4C82" w:rsidRPr="007B1C32" w:rsidRDefault="008E4C82" w:rsidP="00580CAF">
            <w:pPr>
              <w:pStyle w:val="Corpsdetexte"/>
              <w:spacing w:after="120"/>
              <w:jc w:val="both"/>
              <w:rPr>
                <w:rFonts w:ascii="Verdana" w:hAnsi="Verdana"/>
                <w:b/>
                <w:color w:val="FFFFFF" w:themeColor="background1"/>
                <w:sz w:val="20"/>
                <w:szCs w:val="20"/>
              </w:rPr>
            </w:pPr>
            <w:r>
              <w:rPr>
                <w:rFonts w:ascii="Verdana" w:hAnsi="Verdana"/>
                <w:b/>
                <w:color w:val="FFFFFF" w:themeColor="background1"/>
                <w:sz w:val="20"/>
                <w:szCs w:val="20"/>
              </w:rPr>
              <w:t>Exposure ranges</w:t>
            </w:r>
          </w:p>
        </w:tc>
      </w:tr>
      <w:tr w:rsidR="008E4C82" w:rsidRPr="004A03E1" w14:paraId="4B0057F3" w14:textId="77777777" w:rsidTr="00580CAF">
        <w:trPr>
          <w:trHeight w:val="402"/>
        </w:trPr>
        <w:tc>
          <w:tcPr>
            <w:tcW w:w="8784" w:type="dxa"/>
            <w:gridSpan w:val="4"/>
            <w:shd w:val="clear" w:color="auto" w:fill="DDD9C3" w:themeFill="background2" w:themeFillShade="E6"/>
            <w:vAlign w:val="center"/>
          </w:tcPr>
          <w:p w14:paraId="3664904B" w14:textId="77777777" w:rsidR="008E4C82" w:rsidRPr="007B1C32" w:rsidRDefault="008E4C82" w:rsidP="00580CAF">
            <w:pPr>
              <w:pStyle w:val="Corpsdetexte"/>
              <w:spacing w:after="0"/>
              <w:jc w:val="both"/>
              <w:rPr>
                <w:rFonts w:ascii="Verdana" w:hAnsi="Verdana"/>
                <w:sz w:val="20"/>
                <w:szCs w:val="20"/>
              </w:rPr>
            </w:pPr>
            <w:r w:rsidRPr="007B1C32">
              <w:rPr>
                <w:rFonts w:ascii="Verdana" w:hAnsi="Verdana"/>
                <w:sz w:val="20"/>
                <w:szCs w:val="20"/>
              </w:rPr>
              <w:t>Manufacture</w:t>
            </w:r>
          </w:p>
        </w:tc>
      </w:tr>
      <w:tr w:rsidR="008E4C82" w:rsidRPr="004A03E1" w14:paraId="4AAD7132" w14:textId="77777777" w:rsidTr="00580CAF">
        <w:tc>
          <w:tcPr>
            <w:tcW w:w="672" w:type="dxa"/>
          </w:tcPr>
          <w:p w14:paraId="673AE2C9"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1</w:t>
            </w:r>
          </w:p>
        </w:tc>
        <w:tc>
          <w:tcPr>
            <w:tcW w:w="2345" w:type="dxa"/>
          </w:tcPr>
          <w:p w14:paraId="591B2D3B" w14:textId="7ED61728"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 xml:space="preserve">Manufacture of Carbon </w:t>
            </w:r>
            <w:r w:rsidR="00482EE8">
              <w:rPr>
                <w:rFonts w:ascii="Verdana" w:hAnsi="Verdana"/>
                <w:sz w:val="20"/>
                <w:szCs w:val="20"/>
              </w:rPr>
              <w:t>Disulfide</w:t>
            </w:r>
          </w:p>
        </w:tc>
        <w:tc>
          <w:tcPr>
            <w:tcW w:w="1373" w:type="dxa"/>
          </w:tcPr>
          <w:p w14:paraId="02A32613"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1</w:t>
            </w:r>
          </w:p>
        </w:tc>
        <w:tc>
          <w:tcPr>
            <w:tcW w:w="4394" w:type="dxa"/>
          </w:tcPr>
          <w:p w14:paraId="47F8611F" w14:textId="3168E020" w:rsidR="008E4C82" w:rsidRDefault="008E4C82" w:rsidP="00580CAF">
            <w:pPr>
              <w:pStyle w:val="Corpsdetexte"/>
              <w:spacing w:after="0"/>
              <w:jc w:val="both"/>
              <w:rPr>
                <w:rFonts w:ascii="Verdana" w:hAnsi="Verdana"/>
                <w:sz w:val="20"/>
                <w:szCs w:val="20"/>
              </w:rPr>
            </w:pPr>
            <w:r>
              <w:rPr>
                <w:rFonts w:ascii="Verdana" w:hAnsi="Verdana"/>
                <w:sz w:val="20"/>
                <w:szCs w:val="20"/>
              </w:rPr>
              <w:t>1.5 mg/m</w:t>
            </w:r>
            <w:r w:rsidRPr="00195DF0">
              <w:rPr>
                <w:rFonts w:ascii="Verdana" w:hAnsi="Verdana"/>
                <w:sz w:val="20"/>
                <w:szCs w:val="20"/>
                <w:vertAlign w:val="superscript"/>
              </w:rPr>
              <w:t>3</w:t>
            </w:r>
            <w:r>
              <w:rPr>
                <w:rFonts w:ascii="Verdana" w:hAnsi="Verdana"/>
                <w:sz w:val="20"/>
                <w:szCs w:val="20"/>
              </w:rPr>
              <w:t xml:space="preserve"> (</w:t>
            </w:r>
            <w:r w:rsidR="00504831">
              <w:rPr>
                <w:rFonts w:ascii="Verdana" w:hAnsi="Verdana"/>
                <w:sz w:val="20"/>
                <w:szCs w:val="20"/>
              </w:rPr>
              <w:t>0.50</w:t>
            </w:r>
            <w:r w:rsidR="00A45255">
              <w:rPr>
                <w:rFonts w:ascii="Verdana" w:hAnsi="Verdana"/>
                <w:sz w:val="20"/>
                <w:szCs w:val="20"/>
              </w:rPr>
              <w:t xml:space="preserve"> ppm) (</w:t>
            </w:r>
            <w:r>
              <w:rPr>
                <w:rFonts w:ascii="Verdana" w:hAnsi="Verdana"/>
                <w:sz w:val="20"/>
                <w:szCs w:val="20"/>
              </w:rPr>
              <w:t>based on measured data)</w:t>
            </w:r>
          </w:p>
          <w:p w14:paraId="1EB2C147" w14:textId="5228BC1E" w:rsidR="008E4C82" w:rsidRPr="007B1C32" w:rsidRDefault="008E4C82" w:rsidP="00580CAF">
            <w:pPr>
              <w:pStyle w:val="Corpsdetexte"/>
              <w:spacing w:after="0"/>
              <w:jc w:val="both"/>
              <w:rPr>
                <w:rFonts w:ascii="Verdana" w:hAnsi="Verdana"/>
                <w:sz w:val="20"/>
                <w:szCs w:val="20"/>
              </w:rPr>
            </w:pPr>
            <w:r>
              <w:rPr>
                <w:rFonts w:ascii="Verdana" w:hAnsi="Verdana"/>
                <w:sz w:val="20"/>
                <w:szCs w:val="20"/>
              </w:rPr>
              <w:t>0.022 mg/m</w:t>
            </w:r>
            <w:r w:rsidRPr="00195DF0">
              <w:rPr>
                <w:rFonts w:ascii="Verdana" w:hAnsi="Verdana"/>
                <w:sz w:val="20"/>
                <w:szCs w:val="20"/>
                <w:vertAlign w:val="superscript"/>
              </w:rPr>
              <w:t>3</w:t>
            </w:r>
            <w:r>
              <w:rPr>
                <w:rFonts w:ascii="Verdana" w:hAnsi="Verdana"/>
                <w:sz w:val="20"/>
                <w:szCs w:val="20"/>
              </w:rPr>
              <w:t xml:space="preserve"> </w:t>
            </w:r>
            <w:r w:rsidR="00A45255">
              <w:rPr>
                <w:rFonts w:ascii="Verdana" w:hAnsi="Verdana"/>
                <w:sz w:val="20"/>
                <w:szCs w:val="20"/>
              </w:rPr>
              <w:t>(0.0</w:t>
            </w:r>
            <w:r w:rsidR="00504831">
              <w:rPr>
                <w:rFonts w:ascii="Verdana" w:hAnsi="Verdana"/>
                <w:sz w:val="20"/>
                <w:szCs w:val="20"/>
              </w:rPr>
              <w:t>0</w:t>
            </w:r>
            <w:r w:rsidR="00A45255">
              <w:rPr>
                <w:rFonts w:ascii="Verdana" w:hAnsi="Verdana"/>
                <w:sz w:val="20"/>
                <w:szCs w:val="20"/>
              </w:rPr>
              <w:t xml:space="preserve">70 ppm) </w:t>
            </w:r>
            <w:r>
              <w:rPr>
                <w:rFonts w:ascii="Verdana" w:hAnsi="Verdana"/>
                <w:sz w:val="20"/>
                <w:szCs w:val="20"/>
              </w:rPr>
              <w:t>(TRA workers)</w:t>
            </w:r>
          </w:p>
        </w:tc>
      </w:tr>
      <w:tr w:rsidR="008E4C82" w:rsidRPr="004A03E1" w14:paraId="760FD288" w14:textId="77777777" w:rsidTr="00580CAF">
        <w:trPr>
          <w:trHeight w:val="401"/>
        </w:trPr>
        <w:tc>
          <w:tcPr>
            <w:tcW w:w="8784" w:type="dxa"/>
            <w:gridSpan w:val="4"/>
            <w:shd w:val="clear" w:color="auto" w:fill="DDD9C3" w:themeFill="background2" w:themeFillShade="E6"/>
            <w:vAlign w:val="center"/>
          </w:tcPr>
          <w:p w14:paraId="7ADC720A" w14:textId="77777777" w:rsidR="008E4C82" w:rsidRPr="007B1C32" w:rsidRDefault="008E4C82" w:rsidP="00580CAF">
            <w:pPr>
              <w:pStyle w:val="Corpsdetexte"/>
              <w:spacing w:after="0"/>
              <w:jc w:val="both"/>
              <w:rPr>
                <w:rFonts w:ascii="Verdana" w:hAnsi="Verdana"/>
                <w:sz w:val="20"/>
                <w:szCs w:val="20"/>
              </w:rPr>
            </w:pPr>
            <w:r w:rsidRPr="007B1C32">
              <w:rPr>
                <w:rFonts w:ascii="Verdana" w:hAnsi="Verdana"/>
                <w:sz w:val="20"/>
                <w:szCs w:val="20"/>
              </w:rPr>
              <w:t>Use at industrial sites</w:t>
            </w:r>
          </w:p>
        </w:tc>
      </w:tr>
      <w:tr w:rsidR="008E4C82" w:rsidRPr="004A03E1" w14:paraId="0284F943" w14:textId="77777777" w:rsidTr="00580CAF">
        <w:tc>
          <w:tcPr>
            <w:tcW w:w="672" w:type="dxa"/>
          </w:tcPr>
          <w:p w14:paraId="580C90A2"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2</w:t>
            </w:r>
          </w:p>
        </w:tc>
        <w:tc>
          <w:tcPr>
            <w:tcW w:w="2345" w:type="dxa"/>
          </w:tcPr>
          <w:p w14:paraId="75157FF9"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Manufacturing of regenerated cellulose</w:t>
            </w:r>
          </w:p>
        </w:tc>
        <w:tc>
          <w:tcPr>
            <w:tcW w:w="1373" w:type="dxa"/>
          </w:tcPr>
          <w:p w14:paraId="54DB6D97"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1, 2, 4, 8a, 8b, 15, 19</w:t>
            </w:r>
          </w:p>
        </w:tc>
        <w:tc>
          <w:tcPr>
            <w:tcW w:w="4394" w:type="dxa"/>
          </w:tcPr>
          <w:p w14:paraId="010816B2" w14:textId="77777777" w:rsidR="008E4C82" w:rsidRPr="005C6397" w:rsidRDefault="008E4C82" w:rsidP="00580CAF">
            <w:pPr>
              <w:pStyle w:val="Corpsdetexte"/>
              <w:spacing w:after="0"/>
              <w:jc w:val="both"/>
              <w:rPr>
                <w:rFonts w:ascii="Verdana" w:hAnsi="Verdana"/>
                <w:sz w:val="20"/>
                <w:szCs w:val="20"/>
              </w:rPr>
            </w:pPr>
            <w:r w:rsidRPr="005C6397">
              <w:rPr>
                <w:rFonts w:ascii="Verdana" w:hAnsi="Verdana"/>
                <w:sz w:val="20"/>
                <w:szCs w:val="20"/>
              </w:rPr>
              <w:t>0.032-11.89 mg/m</w:t>
            </w:r>
            <w:r w:rsidRPr="00195DF0">
              <w:rPr>
                <w:rFonts w:ascii="Verdana" w:hAnsi="Verdana"/>
                <w:sz w:val="20"/>
                <w:szCs w:val="20"/>
                <w:vertAlign w:val="superscript"/>
              </w:rPr>
              <w:t>3</w:t>
            </w:r>
            <w:r>
              <w:rPr>
                <w:rFonts w:ascii="Verdana" w:hAnsi="Verdana"/>
                <w:sz w:val="20"/>
                <w:szCs w:val="20"/>
              </w:rPr>
              <w:t xml:space="preserve"> (TRA workers)</w:t>
            </w:r>
          </w:p>
          <w:p w14:paraId="2E5B602A" w14:textId="77777777" w:rsidR="008E4C82" w:rsidRPr="007B1C32" w:rsidRDefault="008E4C82" w:rsidP="00580CAF">
            <w:pPr>
              <w:pStyle w:val="Corpsdetexte"/>
              <w:spacing w:after="120"/>
              <w:jc w:val="both"/>
              <w:rPr>
                <w:rFonts w:ascii="Verdana" w:hAnsi="Verdana"/>
                <w:sz w:val="20"/>
                <w:szCs w:val="20"/>
              </w:rPr>
            </w:pPr>
            <w:r>
              <w:rPr>
                <w:rFonts w:ascii="Verdana" w:hAnsi="Verdana"/>
                <w:sz w:val="20"/>
                <w:szCs w:val="20"/>
              </w:rPr>
              <w:t>(0.01-3.77 ppm)</w:t>
            </w:r>
          </w:p>
        </w:tc>
      </w:tr>
      <w:tr w:rsidR="008E4C82" w:rsidRPr="004A03E1" w14:paraId="36526392" w14:textId="77777777" w:rsidTr="00580CAF">
        <w:tc>
          <w:tcPr>
            <w:tcW w:w="672" w:type="dxa"/>
          </w:tcPr>
          <w:p w14:paraId="425B41B0"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3</w:t>
            </w:r>
          </w:p>
        </w:tc>
        <w:tc>
          <w:tcPr>
            <w:tcW w:w="2345" w:type="dxa"/>
          </w:tcPr>
          <w:p w14:paraId="41F3E3EE"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Industrial use as an intermediate, use in the manufacture of plant protection products and biocides</w:t>
            </w:r>
          </w:p>
        </w:tc>
        <w:tc>
          <w:tcPr>
            <w:tcW w:w="1373" w:type="dxa"/>
          </w:tcPr>
          <w:p w14:paraId="447BF23C"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1, 2, 3, 4, 8b, 15</w:t>
            </w:r>
          </w:p>
        </w:tc>
        <w:tc>
          <w:tcPr>
            <w:tcW w:w="4394" w:type="dxa"/>
          </w:tcPr>
          <w:p w14:paraId="6208BA4B" w14:textId="77777777" w:rsidR="008E4C82" w:rsidRPr="005C6397" w:rsidRDefault="008E4C82" w:rsidP="00580CAF">
            <w:pPr>
              <w:pStyle w:val="Corpsdetexte"/>
              <w:spacing w:after="0"/>
              <w:rPr>
                <w:rFonts w:ascii="Verdana" w:hAnsi="Verdana"/>
                <w:sz w:val="20"/>
                <w:szCs w:val="20"/>
              </w:rPr>
            </w:pPr>
            <w:r w:rsidRPr="005C6397">
              <w:rPr>
                <w:rFonts w:ascii="Verdana" w:hAnsi="Verdana"/>
                <w:sz w:val="20"/>
                <w:szCs w:val="20"/>
              </w:rPr>
              <w:t>3.17- 13.32 mg/m</w:t>
            </w:r>
            <w:r w:rsidRPr="00195DF0">
              <w:rPr>
                <w:rFonts w:ascii="Verdana" w:hAnsi="Verdana"/>
                <w:sz w:val="20"/>
                <w:szCs w:val="20"/>
                <w:vertAlign w:val="superscript"/>
              </w:rPr>
              <w:t>3</w:t>
            </w:r>
            <w:r w:rsidRPr="005C6397">
              <w:rPr>
                <w:rFonts w:ascii="Verdana" w:hAnsi="Verdana"/>
                <w:sz w:val="20"/>
                <w:szCs w:val="20"/>
              </w:rPr>
              <w:t xml:space="preserve"> (TRA workers)</w:t>
            </w:r>
          </w:p>
          <w:p w14:paraId="03DFA891" w14:textId="77777777" w:rsidR="008E4C82" w:rsidRPr="007B1C32" w:rsidRDefault="008E4C82" w:rsidP="00580CAF">
            <w:pPr>
              <w:pStyle w:val="Corpsdetexte"/>
              <w:spacing w:after="0"/>
              <w:rPr>
                <w:rFonts w:ascii="Verdana" w:hAnsi="Verdana"/>
                <w:sz w:val="20"/>
                <w:szCs w:val="20"/>
              </w:rPr>
            </w:pPr>
            <w:r>
              <w:rPr>
                <w:rFonts w:ascii="Verdana" w:hAnsi="Verdana"/>
                <w:sz w:val="20"/>
                <w:szCs w:val="20"/>
              </w:rPr>
              <w:t>(1-4.2 ppm)</w:t>
            </w:r>
          </w:p>
        </w:tc>
      </w:tr>
      <w:tr w:rsidR="008E4C82" w:rsidRPr="004A03E1" w14:paraId="34091BC0" w14:textId="77777777" w:rsidTr="00580CAF">
        <w:tc>
          <w:tcPr>
            <w:tcW w:w="672" w:type="dxa"/>
          </w:tcPr>
          <w:p w14:paraId="11C2A7EA"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4</w:t>
            </w:r>
          </w:p>
        </w:tc>
        <w:tc>
          <w:tcPr>
            <w:tcW w:w="2345" w:type="dxa"/>
          </w:tcPr>
          <w:p w14:paraId="73B0879C"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Industrial use as a solvent</w:t>
            </w:r>
          </w:p>
        </w:tc>
        <w:tc>
          <w:tcPr>
            <w:tcW w:w="1373" w:type="dxa"/>
          </w:tcPr>
          <w:p w14:paraId="564F5013" w14:textId="77777777" w:rsidR="008E4C82" w:rsidRPr="007B1C32" w:rsidRDefault="008E4C82" w:rsidP="00580CAF">
            <w:pPr>
              <w:pStyle w:val="Corpsdetexte"/>
              <w:spacing w:after="120"/>
              <w:jc w:val="both"/>
              <w:rPr>
                <w:rFonts w:ascii="Verdana" w:hAnsi="Verdana"/>
                <w:sz w:val="20"/>
                <w:szCs w:val="20"/>
              </w:rPr>
            </w:pPr>
            <w:r w:rsidRPr="007B1C32">
              <w:rPr>
                <w:rFonts w:ascii="Verdana" w:hAnsi="Verdana"/>
                <w:sz w:val="20"/>
                <w:szCs w:val="20"/>
              </w:rPr>
              <w:t>1, 8b, 15</w:t>
            </w:r>
          </w:p>
        </w:tc>
        <w:tc>
          <w:tcPr>
            <w:tcW w:w="4394" w:type="dxa"/>
          </w:tcPr>
          <w:p w14:paraId="3BBFD207" w14:textId="77777777" w:rsidR="008E4C82" w:rsidRPr="005C6397" w:rsidRDefault="008E4C82" w:rsidP="00580CAF">
            <w:pPr>
              <w:pStyle w:val="Corpsdetexte"/>
              <w:spacing w:after="0"/>
              <w:rPr>
                <w:rFonts w:ascii="Verdana" w:hAnsi="Verdana"/>
                <w:sz w:val="20"/>
                <w:szCs w:val="20"/>
              </w:rPr>
            </w:pPr>
            <w:r w:rsidRPr="005C6397">
              <w:rPr>
                <w:rFonts w:ascii="Verdana" w:hAnsi="Verdana"/>
                <w:sz w:val="20"/>
                <w:szCs w:val="20"/>
              </w:rPr>
              <w:t>0.032- 4.76 mg/m</w:t>
            </w:r>
            <w:r w:rsidRPr="00195DF0">
              <w:rPr>
                <w:rFonts w:ascii="Verdana" w:hAnsi="Verdana"/>
                <w:sz w:val="20"/>
                <w:szCs w:val="20"/>
                <w:vertAlign w:val="superscript"/>
              </w:rPr>
              <w:t>3</w:t>
            </w:r>
            <w:r w:rsidRPr="005C6397">
              <w:rPr>
                <w:rFonts w:ascii="Verdana" w:hAnsi="Verdana"/>
                <w:sz w:val="20"/>
                <w:szCs w:val="20"/>
              </w:rPr>
              <w:t xml:space="preserve"> (TRA workers)</w:t>
            </w:r>
          </w:p>
          <w:p w14:paraId="48E92A50" w14:textId="77777777" w:rsidR="008E4C82" w:rsidRPr="007B1C32" w:rsidRDefault="008E4C82" w:rsidP="00580CAF">
            <w:pPr>
              <w:pStyle w:val="Corpsdetexte"/>
              <w:spacing w:after="0"/>
              <w:rPr>
                <w:rFonts w:ascii="Verdana" w:hAnsi="Verdana"/>
                <w:sz w:val="20"/>
                <w:szCs w:val="20"/>
              </w:rPr>
            </w:pPr>
            <w:r w:rsidRPr="005C6397">
              <w:rPr>
                <w:rFonts w:ascii="Verdana" w:hAnsi="Verdana"/>
                <w:sz w:val="20"/>
                <w:szCs w:val="20"/>
              </w:rPr>
              <w:t>(0.01-1.5 ppm)</w:t>
            </w:r>
          </w:p>
        </w:tc>
      </w:tr>
    </w:tbl>
    <w:p w14:paraId="7F1FF875" w14:textId="77777777" w:rsidR="008E4C82" w:rsidRPr="008E4C82" w:rsidRDefault="008E4C82" w:rsidP="00B02718">
      <w:pPr>
        <w:pStyle w:val="Corpsdetexte"/>
        <w:spacing w:after="120"/>
        <w:jc w:val="both"/>
        <w:rPr>
          <w:rFonts w:ascii="Verdana" w:hAnsi="Verdana"/>
          <w:sz w:val="20"/>
          <w:szCs w:val="20"/>
          <w:lang w:eastAsia="en-GB"/>
        </w:rPr>
      </w:pPr>
    </w:p>
    <w:p w14:paraId="16571D54" w14:textId="0E5D94B1" w:rsidR="00B02718" w:rsidRDefault="00B02718" w:rsidP="00ED47FC">
      <w:pPr>
        <w:pStyle w:val="Corpsdetexte"/>
        <w:spacing w:after="120" w:line="276" w:lineRule="auto"/>
        <w:jc w:val="both"/>
        <w:rPr>
          <w:rFonts w:ascii="Verdana" w:hAnsi="Verdana"/>
          <w:sz w:val="20"/>
          <w:szCs w:val="20"/>
          <w:lang w:val="en-US" w:eastAsia="en-GB"/>
        </w:rPr>
      </w:pPr>
      <w:r w:rsidRPr="00B02718">
        <w:rPr>
          <w:rFonts w:ascii="Verdana" w:hAnsi="Verdana"/>
          <w:b/>
          <w:sz w:val="20"/>
          <w:szCs w:val="20"/>
          <w:u w:val="single"/>
          <w:lang w:eastAsia="en-GB"/>
        </w:rPr>
        <w:t xml:space="preserve">Exposure information based on </w:t>
      </w:r>
      <w:r w:rsidR="00345B5B">
        <w:rPr>
          <w:rFonts w:ascii="Verdana" w:hAnsi="Verdana"/>
          <w:b/>
          <w:sz w:val="20"/>
          <w:szCs w:val="20"/>
          <w:u w:val="single"/>
          <w:lang w:eastAsia="en-GB"/>
        </w:rPr>
        <w:t>li</w:t>
      </w:r>
      <w:r>
        <w:rPr>
          <w:rFonts w:ascii="Verdana" w:hAnsi="Verdana"/>
          <w:b/>
          <w:sz w:val="20"/>
          <w:szCs w:val="20"/>
          <w:u w:val="single"/>
          <w:lang w:eastAsia="en-GB"/>
        </w:rPr>
        <w:t>terature</w:t>
      </w:r>
    </w:p>
    <w:p w14:paraId="03F8DCBC" w14:textId="01E7CC57" w:rsidR="001E54DD" w:rsidRDefault="00B02718"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In the literature, there are some data availabl</w:t>
      </w:r>
      <w:r w:rsidR="005D56D0">
        <w:rPr>
          <w:rFonts w:ascii="Verdana" w:hAnsi="Verdana"/>
          <w:sz w:val="20"/>
          <w:szCs w:val="20"/>
          <w:lang w:val="en-US" w:eastAsia="en-GB"/>
        </w:rPr>
        <w:t>e on worker exposure in the EU in viscose production plants</w:t>
      </w:r>
      <w:r>
        <w:rPr>
          <w:rFonts w:ascii="Verdana" w:hAnsi="Verdana"/>
          <w:sz w:val="20"/>
          <w:szCs w:val="20"/>
          <w:lang w:val="en-US" w:eastAsia="en-GB"/>
        </w:rPr>
        <w:t>.</w:t>
      </w:r>
      <w:r w:rsidR="0047414F">
        <w:rPr>
          <w:rFonts w:ascii="Verdana" w:hAnsi="Verdana"/>
          <w:sz w:val="20"/>
          <w:szCs w:val="20"/>
          <w:lang w:val="en-US" w:eastAsia="en-GB"/>
        </w:rPr>
        <w:t xml:space="preserve"> Exposure was assessed using air monitoring (personal </w:t>
      </w:r>
      <w:r w:rsidR="0047414F">
        <w:rPr>
          <w:rFonts w:ascii="Verdana" w:hAnsi="Verdana"/>
          <w:sz w:val="20"/>
          <w:szCs w:val="20"/>
          <w:lang w:val="en-US" w:eastAsia="en-GB"/>
        </w:rPr>
        <w:lastRenderedPageBreak/>
        <w:t>or static measurements) and/or biomonitoring. Indeed,</w:t>
      </w:r>
      <w:r w:rsidR="0047414F">
        <w:rPr>
          <w:rFonts w:ascii="Verdana" w:hAnsi="Verdana"/>
          <w:sz w:val="20"/>
          <w:szCs w:val="20"/>
        </w:rPr>
        <w:t xml:space="preserve"> </w:t>
      </w:r>
      <w:r w:rsidR="0047414F" w:rsidRPr="00066957">
        <w:rPr>
          <w:rFonts w:ascii="Verdana" w:hAnsi="Verdana"/>
          <w:sz w:val="20"/>
          <w:szCs w:val="20"/>
        </w:rPr>
        <w:t>thiazolidine-2-thione-4-carboxylic acid</w:t>
      </w:r>
      <w:r w:rsidR="0047414F">
        <w:rPr>
          <w:rFonts w:ascii="Verdana" w:hAnsi="Verdana"/>
          <w:sz w:val="20"/>
          <w:szCs w:val="20"/>
        </w:rPr>
        <w:t xml:space="preserve"> (TTCA), a urinary metabolite of carbon disulfide, can be use</w:t>
      </w:r>
      <w:r w:rsidR="00B5482E">
        <w:rPr>
          <w:rFonts w:ascii="Verdana" w:hAnsi="Verdana"/>
          <w:sz w:val="20"/>
          <w:szCs w:val="20"/>
        </w:rPr>
        <w:t>d</w:t>
      </w:r>
      <w:r w:rsidR="0047414F">
        <w:rPr>
          <w:rFonts w:ascii="Verdana" w:hAnsi="Verdana"/>
          <w:sz w:val="20"/>
          <w:szCs w:val="20"/>
        </w:rPr>
        <w:t xml:space="preserve"> as a marker of exposure of carbon disulfide</w:t>
      </w:r>
      <w:r w:rsidR="0047414F">
        <w:rPr>
          <w:rFonts w:ascii="Verdana" w:hAnsi="Verdana"/>
          <w:sz w:val="20"/>
          <w:szCs w:val="20"/>
          <w:lang w:val="en-US" w:eastAsia="en-GB"/>
        </w:rPr>
        <w:t>. T</w:t>
      </w:r>
      <w:r w:rsidR="0047414F" w:rsidRPr="005D544C">
        <w:rPr>
          <w:rFonts w:ascii="Verdana" w:hAnsi="Verdana"/>
          <w:sz w:val="20"/>
          <w:szCs w:val="20"/>
          <w:lang w:val="en-US" w:eastAsia="en-GB"/>
        </w:rPr>
        <w:t>he literature</w:t>
      </w:r>
      <w:r w:rsidR="0047414F">
        <w:rPr>
          <w:rFonts w:ascii="Verdana" w:hAnsi="Verdana"/>
          <w:sz w:val="20"/>
          <w:szCs w:val="20"/>
          <w:lang w:val="en-US" w:eastAsia="en-GB"/>
        </w:rPr>
        <w:t xml:space="preserve"> data</w:t>
      </w:r>
      <w:r w:rsidR="0047414F" w:rsidRPr="005D544C">
        <w:rPr>
          <w:rFonts w:ascii="Verdana" w:hAnsi="Verdana"/>
          <w:sz w:val="20"/>
          <w:szCs w:val="20"/>
          <w:lang w:val="en-US" w:eastAsia="en-GB"/>
        </w:rPr>
        <w:t xml:space="preserve"> (pu</w:t>
      </w:r>
      <w:r w:rsidR="0047414F">
        <w:rPr>
          <w:rFonts w:ascii="Verdana" w:hAnsi="Verdana"/>
          <w:sz w:val="20"/>
          <w:szCs w:val="20"/>
          <w:lang w:val="en-US" w:eastAsia="en-GB"/>
        </w:rPr>
        <w:t xml:space="preserve">blished period: 2010-2020) </w:t>
      </w:r>
      <w:r w:rsidR="00CB10E2">
        <w:rPr>
          <w:rFonts w:ascii="Verdana" w:hAnsi="Verdana"/>
          <w:sz w:val="20"/>
          <w:szCs w:val="20"/>
          <w:lang w:val="en-US" w:eastAsia="en-GB"/>
        </w:rPr>
        <w:t>report</w:t>
      </w:r>
      <w:r w:rsidR="0047414F">
        <w:rPr>
          <w:rFonts w:ascii="Verdana" w:hAnsi="Verdana"/>
          <w:sz w:val="20"/>
          <w:szCs w:val="20"/>
          <w:lang w:val="en-US" w:eastAsia="en-GB"/>
        </w:rPr>
        <w:t xml:space="preserve"> </w:t>
      </w:r>
      <w:r w:rsidR="0047414F" w:rsidRPr="005D544C">
        <w:rPr>
          <w:rFonts w:ascii="Verdana" w:hAnsi="Verdana"/>
          <w:sz w:val="20"/>
          <w:szCs w:val="20"/>
          <w:lang w:val="en-US" w:eastAsia="en-GB"/>
        </w:rPr>
        <w:t>exposure to worker</w:t>
      </w:r>
      <w:r w:rsidR="0047414F">
        <w:rPr>
          <w:rFonts w:ascii="Verdana" w:hAnsi="Verdana"/>
          <w:sz w:val="20"/>
          <w:szCs w:val="20"/>
          <w:lang w:val="en-US" w:eastAsia="en-GB"/>
        </w:rPr>
        <w:t xml:space="preserve"> slightly above the IOELV</w:t>
      </w:r>
      <w:r w:rsidR="00CB10E2">
        <w:rPr>
          <w:rFonts w:ascii="Verdana" w:hAnsi="Verdana"/>
          <w:sz w:val="20"/>
          <w:szCs w:val="20"/>
          <w:lang w:val="en-US" w:eastAsia="en-GB"/>
        </w:rPr>
        <w:t>.</w:t>
      </w:r>
    </w:p>
    <w:p w14:paraId="22468ABC" w14:textId="4B0F860E" w:rsidR="00E3094F" w:rsidRDefault="001E54DD" w:rsidP="00ED47FC">
      <w:pPr>
        <w:pStyle w:val="Corpsdetexte"/>
        <w:spacing w:after="120" w:line="276" w:lineRule="auto"/>
        <w:jc w:val="both"/>
        <w:rPr>
          <w:rFonts w:ascii="Verdana" w:hAnsi="Verdana"/>
          <w:sz w:val="20"/>
          <w:szCs w:val="20"/>
          <w:lang w:val="en-US" w:eastAsia="en-GB"/>
        </w:rPr>
      </w:pPr>
      <w:r>
        <w:rPr>
          <w:rFonts w:ascii="Verdana" w:hAnsi="Verdana"/>
          <w:sz w:val="20"/>
          <w:szCs w:val="20"/>
          <w:lang w:val="en-US" w:eastAsia="en-GB"/>
        </w:rPr>
        <w:t>In two</w:t>
      </w:r>
      <w:r w:rsidR="00B02718" w:rsidRPr="005D544C">
        <w:rPr>
          <w:rFonts w:ascii="Verdana" w:hAnsi="Verdana"/>
          <w:sz w:val="20"/>
          <w:szCs w:val="20"/>
          <w:lang w:val="en-US" w:eastAsia="en-GB"/>
        </w:rPr>
        <w:t xml:space="preserve"> </w:t>
      </w:r>
      <w:r w:rsidR="00E3094F">
        <w:rPr>
          <w:rFonts w:ascii="Verdana" w:hAnsi="Verdana"/>
          <w:sz w:val="20"/>
          <w:szCs w:val="20"/>
          <w:lang w:val="en-US" w:eastAsia="en-GB"/>
        </w:rPr>
        <w:t>cross-sectional studies</w:t>
      </w:r>
      <w:r w:rsidR="005D56D0">
        <w:rPr>
          <w:rFonts w:ascii="Verdana" w:hAnsi="Verdana"/>
          <w:sz w:val="20"/>
          <w:szCs w:val="20"/>
          <w:lang w:val="en-US" w:eastAsia="en-GB"/>
        </w:rPr>
        <w:t xml:space="preserve"> in a German </w:t>
      </w:r>
      <w:r w:rsidR="005D56D0" w:rsidRPr="005D544C">
        <w:rPr>
          <w:rFonts w:ascii="Verdana" w:hAnsi="Verdana"/>
          <w:sz w:val="20"/>
          <w:szCs w:val="20"/>
          <w:lang w:val="en-US" w:eastAsia="en-GB"/>
        </w:rPr>
        <w:t>viscose rayon industry</w:t>
      </w:r>
      <w:r w:rsidR="005D56D0">
        <w:rPr>
          <w:rFonts w:ascii="Verdana" w:hAnsi="Verdana"/>
          <w:sz w:val="20"/>
          <w:szCs w:val="20"/>
          <w:lang w:val="en-US" w:eastAsia="en-GB"/>
        </w:rPr>
        <w:t xml:space="preserve"> published by Göen </w:t>
      </w:r>
      <w:r w:rsidR="0008751D" w:rsidRPr="0008751D">
        <w:rPr>
          <w:rFonts w:ascii="Verdana" w:hAnsi="Verdana"/>
          <w:i/>
          <w:sz w:val="20"/>
          <w:szCs w:val="20"/>
          <w:lang w:val="en-US" w:eastAsia="en-GB"/>
        </w:rPr>
        <w:t>et al.</w:t>
      </w:r>
      <w:r w:rsidR="005D56D0">
        <w:rPr>
          <w:rFonts w:ascii="Verdana" w:hAnsi="Verdana"/>
          <w:sz w:val="20"/>
          <w:szCs w:val="20"/>
          <w:lang w:val="en-US" w:eastAsia="en-GB"/>
        </w:rPr>
        <w:t>,</w:t>
      </w:r>
      <w:r w:rsidR="00E3094F">
        <w:rPr>
          <w:rFonts w:ascii="Verdana" w:hAnsi="Verdana"/>
          <w:sz w:val="20"/>
          <w:szCs w:val="20"/>
          <w:lang w:val="en-US" w:eastAsia="en-GB"/>
        </w:rPr>
        <w:t xml:space="preserve"> </w:t>
      </w:r>
      <w:r w:rsidR="001B4542">
        <w:rPr>
          <w:rFonts w:ascii="Verdana" w:hAnsi="Verdana"/>
          <w:sz w:val="20"/>
          <w:szCs w:val="20"/>
          <w:lang w:val="en-US" w:eastAsia="en-GB"/>
        </w:rPr>
        <w:t xml:space="preserve">the </w:t>
      </w:r>
      <w:r w:rsidR="005D56D0" w:rsidRPr="005D56D0">
        <w:rPr>
          <w:rFonts w:ascii="Verdana" w:hAnsi="Verdana"/>
          <w:sz w:val="20"/>
          <w:szCs w:val="20"/>
          <w:lang w:val="en-US" w:eastAsia="en-GB"/>
        </w:rPr>
        <w:t>cumulative external exposure and the cumulative internal exposure were calculated for each worker</w:t>
      </w:r>
      <w:r w:rsidR="005D56D0">
        <w:rPr>
          <w:rFonts w:ascii="Verdana" w:hAnsi="Verdana"/>
          <w:sz w:val="20"/>
          <w:szCs w:val="20"/>
          <w:lang w:val="en-US" w:eastAsia="en-GB"/>
        </w:rPr>
        <w:t xml:space="preserve"> (Gö</w:t>
      </w:r>
      <w:r w:rsidR="005D56D0" w:rsidRPr="005D544C">
        <w:rPr>
          <w:rFonts w:ascii="Verdana" w:hAnsi="Verdana"/>
          <w:sz w:val="20"/>
          <w:szCs w:val="20"/>
          <w:lang w:val="en-US" w:eastAsia="en-GB"/>
        </w:rPr>
        <w:t xml:space="preserve">en </w:t>
      </w:r>
      <w:r w:rsidR="0008751D" w:rsidRPr="0008751D">
        <w:rPr>
          <w:rFonts w:ascii="Verdana" w:hAnsi="Verdana"/>
          <w:i/>
          <w:sz w:val="20"/>
          <w:szCs w:val="20"/>
          <w:lang w:val="en-US" w:eastAsia="en-GB"/>
        </w:rPr>
        <w:t>et al.</w:t>
      </w:r>
      <w:r w:rsidR="005D56D0" w:rsidRPr="005D544C">
        <w:rPr>
          <w:rFonts w:ascii="Verdana" w:hAnsi="Verdana"/>
          <w:sz w:val="20"/>
          <w:szCs w:val="20"/>
          <w:lang w:val="en-US" w:eastAsia="en-GB"/>
        </w:rPr>
        <w:t>, 2</w:t>
      </w:r>
      <w:r w:rsidR="005D56D0">
        <w:rPr>
          <w:rFonts w:ascii="Verdana" w:hAnsi="Verdana"/>
          <w:sz w:val="20"/>
          <w:szCs w:val="20"/>
          <w:lang w:val="en-US" w:eastAsia="en-GB"/>
        </w:rPr>
        <w:t>014)</w:t>
      </w:r>
      <w:r w:rsidR="005D56D0" w:rsidRPr="005D56D0">
        <w:rPr>
          <w:rFonts w:ascii="Verdana" w:hAnsi="Verdana"/>
          <w:sz w:val="20"/>
          <w:szCs w:val="20"/>
          <w:lang w:val="en-US" w:eastAsia="en-GB"/>
        </w:rPr>
        <w:t xml:space="preserve">. </w:t>
      </w:r>
      <w:r w:rsidR="00241483">
        <w:rPr>
          <w:rFonts w:ascii="Verdana" w:hAnsi="Verdana"/>
          <w:sz w:val="20"/>
          <w:szCs w:val="20"/>
          <w:lang w:val="en-US" w:eastAsia="en-GB"/>
        </w:rPr>
        <w:t>Ambient</w:t>
      </w:r>
      <w:r w:rsidR="00FC5F57">
        <w:rPr>
          <w:rFonts w:ascii="Verdana" w:hAnsi="Verdana"/>
          <w:sz w:val="20"/>
          <w:szCs w:val="20"/>
          <w:lang w:val="en-US" w:eastAsia="en-GB"/>
        </w:rPr>
        <w:t xml:space="preserve"> air monitoring</w:t>
      </w:r>
      <w:r w:rsidR="002D425F">
        <w:rPr>
          <w:rFonts w:ascii="Verdana" w:hAnsi="Verdana"/>
          <w:sz w:val="20"/>
          <w:szCs w:val="20"/>
          <w:lang w:val="en-US" w:eastAsia="en-GB"/>
        </w:rPr>
        <w:t xml:space="preserve"> were </w:t>
      </w:r>
      <w:r w:rsidR="00FC5F57">
        <w:rPr>
          <w:rFonts w:ascii="Verdana" w:hAnsi="Verdana"/>
          <w:sz w:val="20"/>
          <w:szCs w:val="20"/>
          <w:lang w:val="en-US" w:eastAsia="en-GB"/>
        </w:rPr>
        <w:t xml:space="preserve">carried out for </w:t>
      </w:r>
      <w:r w:rsidR="002D425F">
        <w:rPr>
          <w:rFonts w:ascii="Verdana" w:hAnsi="Verdana"/>
          <w:sz w:val="20"/>
          <w:szCs w:val="20"/>
          <w:lang w:val="en-US" w:eastAsia="en-GB"/>
        </w:rPr>
        <w:t xml:space="preserve">362 male workers in 1992 and </w:t>
      </w:r>
      <w:r w:rsidR="00FC5F57">
        <w:rPr>
          <w:rFonts w:ascii="Verdana" w:hAnsi="Verdana"/>
          <w:sz w:val="20"/>
          <w:szCs w:val="20"/>
          <w:lang w:val="en-US" w:eastAsia="en-GB"/>
        </w:rPr>
        <w:t>individual air concentration was measured in</w:t>
      </w:r>
      <w:r w:rsidR="002D425F">
        <w:rPr>
          <w:rFonts w:ascii="Verdana" w:hAnsi="Verdana"/>
          <w:sz w:val="20"/>
          <w:szCs w:val="20"/>
          <w:lang w:val="en-US" w:eastAsia="en-GB"/>
        </w:rPr>
        <w:t xml:space="preserve"> 290 carbon disulfide-exposed workers in 2009</w:t>
      </w:r>
      <w:r w:rsidR="00FC5F57">
        <w:rPr>
          <w:rFonts w:ascii="Verdana" w:hAnsi="Verdana"/>
          <w:sz w:val="20"/>
          <w:szCs w:val="20"/>
          <w:lang w:val="en-US" w:eastAsia="en-GB"/>
        </w:rPr>
        <w:t xml:space="preserve">. </w:t>
      </w:r>
      <w:r w:rsidR="00195DF0">
        <w:rPr>
          <w:rFonts w:ascii="Verdana" w:hAnsi="Verdana"/>
          <w:sz w:val="20"/>
          <w:szCs w:val="20"/>
          <w:lang w:val="en-US" w:eastAsia="en-GB"/>
        </w:rPr>
        <w:t>In</w:t>
      </w:r>
      <w:r w:rsidR="00AD1794">
        <w:rPr>
          <w:rFonts w:ascii="Verdana" w:hAnsi="Verdana"/>
          <w:sz w:val="20"/>
          <w:szCs w:val="20"/>
          <w:lang w:val="en-US" w:eastAsia="en-GB"/>
        </w:rPr>
        <w:t xml:space="preserve"> addition, company-internal sample measurements were taken during the period 1993 to 2008. </w:t>
      </w:r>
      <w:r w:rsidR="00FC5F57">
        <w:rPr>
          <w:rFonts w:ascii="Verdana" w:hAnsi="Verdana"/>
          <w:sz w:val="20"/>
          <w:szCs w:val="20"/>
          <w:lang w:val="en-US" w:eastAsia="en-GB"/>
        </w:rPr>
        <w:t xml:space="preserve">Biological monitoring was carried out in the years 1993, 1995, 1997, 1998, 1999, 2002, 2006 and 2007 on the exposed workers. It is stated that OC and RMM have continuously been improved since 1992. </w:t>
      </w:r>
      <w:r w:rsidR="009628AE">
        <w:rPr>
          <w:rFonts w:ascii="Verdana" w:hAnsi="Verdana"/>
          <w:sz w:val="20"/>
          <w:szCs w:val="20"/>
          <w:lang w:val="en-US" w:eastAsia="en-GB"/>
        </w:rPr>
        <w:t>External and internal carbon disulfide</w:t>
      </w:r>
      <w:r w:rsidR="00E3094F" w:rsidRPr="005D56D0">
        <w:rPr>
          <w:rFonts w:ascii="Verdana" w:hAnsi="Verdana"/>
          <w:sz w:val="20"/>
          <w:szCs w:val="20"/>
          <w:lang w:val="en-US" w:eastAsia="en-GB"/>
        </w:rPr>
        <w:t xml:space="preserve"> exposure</w:t>
      </w:r>
      <w:r w:rsidR="00271666">
        <w:rPr>
          <w:rFonts w:ascii="Verdana" w:hAnsi="Verdana"/>
          <w:sz w:val="20"/>
          <w:szCs w:val="20"/>
          <w:lang w:val="en-US" w:eastAsia="en-GB"/>
        </w:rPr>
        <w:t>s</w:t>
      </w:r>
      <w:r w:rsidR="00E3094F" w:rsidRPr="005D56D0">
        <w:rPr>
          <w:rFonts w:ascii="Verdana" w:hAnsi="Verdana"/>
          <w:sz w:val="20"/>
          <w:szCs w:val="20"/>
          <w:lang w:val="en-US" w:eastAsia="en-GB"/>
        </w:rPr>
        <w:t xml:space="preserve"> of the employees decreased from 1992 (medians 4.0 ppm</w:t>
      </w:r>
      <w:r w:rsidR="00AD1794">
        <w:rPr>
          <w:rFonts w:ascii="Verdana" w:hAnsi="Verdana"/>
          <w:sz w:val="20"/>
          <w:szCs w:val="20"/>
          <w:lang w:val="en-US" w:eastAsia="en-GB"/>
        </w:rPr>
        <w:t>, 95</w:t>
      </w:r>
      <w:r w:rsidR="00AD1794" w:rsidRPr="00AD1794">
        <w:rPr>
          <w:rFonts w:ascii="Verdana" w:hAnsi="Verdana"/>
          <w:sz w:val="20"/>
          <w:szCs w:val="20"/>
          <w:vertAlign w:val="superscript"/>
          <w:lang w:val="en-US" w:eastAsia="en-GB"/>
        </w:rPr>
        <w:t>th</w:t>
      </w:r>
      <w:r w:rsidR="00AD1794">
        <w:rPr>
          <w:rFonts w:ascii="Verdana" w:hAnsi="Verdana"/>
          <w:sz w:val="20"/>
          <w:szCs w:val="20"/>
          <w:lang w:val="en-US" w:eastAsia="en-GB"/>
        </w:rPr>
        <w:t xml:space="preserve"> percentile 15.4 ppm</w:t>
      </w:r>
      <w:r w:rsidR="00E3094F" w:rsidRPr="005D56D0">
        <w:rPr>
          <w:rFonts w:ascii="Verdana" w:hAnsi="Verdana"/>
          <w:sz w:val="20"/>
          <w:szCs w:val="20"/>
          <w:lang w:val="en-US" w:eastAsia="en-GB"/>
        </w:rPr>
        <w:t xml:space="preserve"> and 1.63 mg</w:t>
      </w:r>
      <w:r w:rsidR="00697CFF">
        <w:rPr>
          <w:rFonts w:ascii="Verdana" w:hAnsi="Verdana"/>
          <w:sz w:val="20"/>
          <w:szCs w:val="20"/>
          <w:lang w:val="en-US" w:eastAsia="en-GB"/>
        </w:rPr>
        <w:t xml:space="preserve"> </w:t>
      </w:r>
      <w:r w:rsidR="00E3094F" w:rsidRPr="005D56D0">
        <w:rPr>
          <w:rFonts w:ascii="Verdana" w:hAnsi="Verdana"/>
          <w:sz w:val="20"/>
          <w:szCs w:val="20"/>
          <w:lang w:val="en-US" w:eastAsia="en-GB"/>
        </w:rPr>
        <w:t>TTCA/ g creatinine) to 2009 (medians 2.5 ppm</w:t>
      </w:r>
      <w:r w:rsidR="00AD1794">
        <w:rPr>
          <w:rFonts w:ascii="Verdana" w:hAnsi="Verdana"/>
          <w:sz w:val="20"/>
          <w:szCs w:val="20"/>
          <w:lang w:val="en-US" w:eastAsia="en-GB"/>
        </w:rPr>
        <w:t>, 95</w:t>
      </w:r>
      <w:r w:rsidR="00AD1794" w:rsidRPr="00AD1794">
        <w:rPr>
          <w:rFonts w:ascii="Verdana" w:hAnsi="Verdana"/>
          <w:sz w:val="20"/>
          <w:szCs w:val="20"/>
          <w:vertAlign w:val="superscript"/>
          <w:lang w:val="en-US" w:eastAsia="en-GB"/>
        </w:rPr>
        <w:t>th</w:t>
      </w:r>
      <w:r w:rsidR="00AD1794">
        <w:rPr>
          <w:rFonts w:ascii="Verdana" w:hAnsi="Verdana"/>
          <w:sz w:val="20"/>
          <w:szCs w:val="20"/>
          <w:lang w:val="en-US" w:eastAsia="en-GB"/>
        </w:rPr>
        <w:t xml:space="preserve"> percentile 6.74 ppm</w:t>
      </w:r>
      <w:r w:rsidR="00E3094F" w:rsidRPr="005D56D0">
        <w:rPr>
          <w:rFonts w:ascii="Verdana" w:hAnsi="Verdana"/>
          <w:sz w:val="20"/>
          <w:szCs w:val="20"/>
          <w:lang w:val="en-US" w:eastAsia="en-GB"/>
        </w:rPr>
        <w:t xml:space="preserve"> and 0.86 mg</w:t>
      </w:r>
      <w:r w:rsidR="00F4709A">
        <w:rPr>
          <w:rFonts w:ascii="Verdana" w:hAnsi="Verdana"/>
          <w:sz w:val="20"/>
          <w:szCs w:val="20"/>
          <w:lang w:val="en-US" w:eastAsia="en-GB"/>
        </w:rPr>
        <w:t xml:space="preserve"> TTCA</w:t>
      </w:r>
      <w:r w:rsidR="00E3094F" w:rsidRPr="005D56D0">
        <w:rPr>
          <w:rFonts w:ascii="Verdana" w:hAnsi="Verdana"/>
          <w:sz w:val="20"/>
          <w:szCs w:val="20"/>
          <w:lang w:val="en-US" w:eastAsia="en-GB"/>
        </w:rPr>
        <w:t>/</w:t>
      </w:r>
      <w:r w:rsidR="009628AE">
        <w:rPr>
          <w:rFonts w:ascii="Verdana" w:hAnsi="Verdana"/>
          <w:sz w:val="20"/>
          <w:szCs w:val="20"/>
          <w:lang w:val="en-US" w:eastAsia="en-GB"/>
        </w:rPr>
        <w:t>g</w:t>
      </w:r>
      <w:r w:rsidR="00F4709A">
        <w:rPr>
          <w:rFonts w:ascii="Verdana" w:hAnsi="Verdana"/>
          <w:sz w:val="20"/>
          <w:szCs w:val="20"/>
          <w:lang w:val="en-US" w:eastAsia="en-GB"/>
        </w:rPr>
        <w:t xml:space="preserve"> creatinine</w:t>
      </w:r>
      <w:r w:rsidR="009628AE">
        <w:rPr>
          <w:rFonts w:ascii="Verdana" w:hAnsi="Verdana"/>
          <w:sz w:val="20"/>
          <w:szCs w:val="20"/>
          <w:lang w:val="en-US" w:eastAsia="en-GB"/>
        </w:rPr>
        <w:t xml:space="preserve">). </w:t>
      </w:r>
      <w:r w:rsidR="00AD1794" w:rsidRPr="00A53819">
        <w:rPr>
          <w:rFonts w:ascii="Verdana" w:hAnsi="Verdana"/>
          <w:sz w:val="20"/>
          <w:szCs w:val="20"/>
          <w:lang w:val="en-US" w:eastAsia="en-GB"/>
        </w:rPr>
        <w:t>Large variation</w:t>
      </w:r>
      <w:r w:rsidR="00A53819">
        <w:rPr>
          <w:rFonts w:ascii="Verdana" w:hAnsi="Verdana"/>
          <w:sz w:val="20"/>
          <w:szCs w:val="20"/>
          <w:lang w:val="en-US" w:eastAsia="en-GB"/>
        </w:rPr>
        <w:t>s</w:t>
      </w:r>
      <w:r w:rsidR="00AD1794">
        <w:rPr>
          <w:rFonts w:ascii="Verdana" w:hAnsi="Verdana"/>
          <w:sz w:val="20"/>
          <w:szCs w:val="20"/>
          <w:lang w:val="en-US" w:eastAsia="en-GB"/>
        </w:rPr>
        <w:t xml:space="preserve"> were observed between departments (spinning of textile rayon, spinning of technical rayon, washing of textile rayon spools, post-treatment, rayon ageing and filter cleaning). A</w:t>
      </w:r>
      <w:r w:rsidR="009628AE">
        <w:rPr>
          <w:rFonts w:ascii="Verdana" w:hAnsi="Verdana"/>
          <w:sz w:val="20"/>
          <w:szCs w:val="20"/>
          <w:lang w:val="en-US" w:eastAsia="en-GB"/>
        </w:rPr>
        <w:t xml:space="preserve">ccording to the authors, company-internal carbon disulfide </w:t>
      </w:r>
      <w:r w:rsidR="00E3094F" w:rsidRPr="005D56D0">
        <w:rPr>
          <w:rFonts w:ascii="Verdana" w:hAnsi="Verdana"/>
          <w:sz w:val="20"/>
          <w:szCs w:val="20"/>
          <w:lang w:val="en-US" w:eastAsia="en-GB"/>
        </w:rPr>
        <w:t>data do not show a straight trend for this period</w:t>
      </w:r>
      <w:r w:rsidR="00AD1794">
        <w:rPr>
          <w:rFonts w:ascii="Verdana" w:hAnsi="Verdana"/>
          <w:sz w:val="20"/>
          <w:szCs w:val="20"/>
          <w:lang w:val="en-US" w:eastAsia="en-GB"/>
        </w:rPr>
        <w:t xml:space="preserve"> (1992-2009)</w:t>
      </w:r>
      <w:r w:rsidR="00E3094F" w:rsidRPr="005D56D0">
        <w:rPr>
          <w:rFonts w:ascii="Verdana" w:hAnsi="Verdana"/>
          <w:sz w:val="20"/>
          <w:szCs w:val="20"/>
          <w:lang w:val="en-US" w:eastAsia="en-GB"/>
        </w:rPr>
        <w:t xml:space="preserve">. The annual medians of the company internal measurement of external exposure to </w:t>
      </w:r>
      <w:r w:rsidR="009628AE">
        <w:rPr>
          <w:rFonts w:ascii="Verdana" w:hAnsi="Verdana"/>
          <w:sz w:val="20"/>
          <w:szCs w:val="20"/>
          <w:lang w:val="en-US" w:eastAsia="en-GB"/>
        </w:rPr>
        <w:t>carbon disulfide</w:t>
      </w:r>
      <w:r w:rsidR="00E3094F" w:rsidRPr="005D56D0">
        <w:rPr>
          <w:rFonts w:ascii="Verdana" w:hAnsi="Verdana"/>
          <w:sz w:val="20"/>
          <w:szCs w:val="20"/>
          <w:lang w:val="en-US" w:eastAsia="en-GB"/>
        </w:rPr>
        <w:t xml:space="preserve"> have varied between 2.7 and 8.4 ppm, in which median values exceeded 5 ppm generally since 2000. The annual medians for the company-internal biomonitoring assessment ranged between 1.2 and 2.8 mg</w:t>
      </w:r>
      <w:r w:rsidR="00A53819">
        <w:rPr>
          <w:rFonts w:ascii="Verdana" w:hAnsi="Verdana"/>
          <w:sz w:val="20"/>
          <w:szCs w:val="20"/>
          <w:lang w:val="en-US" w:eastAsia="en-GB"/>
        </w:rPr>
        <w:t xml:space="preserve"> TTCA</w:t>
      </w:r>
      <w:r w:rsidR="00E3094F" w:rsidRPr="005D56D0">
        <w:rPr>
          <w:rFonts w:ascii="Verdana" w:hAnsi="Verdana"/>
          <w:sz w:val="20"/>
          <w:szCs w:val="20"/>
          <w:lang w:val="en-US" w:eastAsia="en-GB"/>
        </w:rPr>
        <w:t xml:space="preserve">/g creatinine. </w:t>
      </w:r>
    </w:p>
    <w:p w14:paraId="239E8651" w14:textId="69D9F8B4" w:rsidR="00BC2272" w:rsidRDefault="00BC2272" w:rsidP="00ED47FC">
      <w:pPr>
        <w:pStyle w:val="Corpsdetexte"/>
        <w:spacing w:after="120" w:line="276" w:lineRule="auto"/>
        <w:jc w:val="both"/>
        <w:rPr>
          <w:rFonts w:ascii="Verdana" w:hAnsi="Verdana"/>
          <w:sz w:val="20"/>
          <w:szCs w:val="20"/>
          <w:lang w:val="en-US" w:eastAsia="en-GB"/>
        </w:rPr>
      </w:pPr>
      <w:r w:rsidRPr="00BC2272">
        <w:rPr>
          <w:rFonts w:ascii="Verdana" w:hAnsi="Verdana"/>
          <w:sz w:val="20"/>
          <w:szCs w:val="20"/>
          <w:lang w:val="en-US" w:eastAsia="en-GB"/>
        </w:rPr>
        <w:t xml:space="preserve">According to the study by Kilo </w:t>
      </w:r>
      <w:r w:rsidR="0008751D" w:rsidRPr="0008751D">
        <w:rPr>
          <w:rFonts w:ascii="Verdana" w:hAnsi="Verdana"/>
          <w:i/>
          <w:sz w:val="20"/>
          <w:szCs w:val="20"/>
          <w:lang w:val="en-US" w:eastAsia="en-GB"/>
        </w:rPr>
        <w:t>et al.</w:t>
      </w:r>
      <w:r w:rsidRPr="00BC2272">
        <w:rPr>
          <w:rFonts w:ascii="Verdana" w:hAnsi="Verdana"/>
          <w:sz w:val="20"/>
          <w:szCs w:val="20"/>
          <w:lang w:val="en-US" w:eastAsia="en-GB"/>
        </w:rPr>
        <w:t xml:space="preserve"> (2015), although internal exposure</w:t>
      </w:r>
      <w:r w:rsidR="0047414F">
        <w:rPr>
          <w:rFonts w:ascii="Verdana" w:hAnsi="Verdana"/>
          <w:sz w:val="20"/>
          <w:szCs w:val="20"/>
          <w:lang w:val="en-US" w:eastAsia="en-GB"/>
        </w:rPr>
        <w:t>, as measured by biomonitoring</w:t>
      </w:r>
      <w:r w:rsidR="002D0738">
        <w:rPr>
          <w:rFonts w:ascii="Verdana" w:hAnsi="Verdana"/>
          <w:sz w:val="20"/>
          <w:szCs w:val="20"/>
          <w:lang w:val="en-US" w:eastAsia="en-GB"/>
        </w:rPr>
        <w:t xml:space="preserve"> </w:t>
      </w:r>
      <w:r w:rsidRPr="00BC2272">
        <w:rPr>
          <w:rFonts w:ascii="Verdana" w:hAnsi="Verdana"/>
          <w:sz w:val="20"/>
          <w:szCs w:val="20"/>
          <w:lang w:val="en-US" w:eastAsia="en-GB"/>
        </w:rPr>
        <w:t>of the employees</w:t>
      </w:r>
      <w:r w:rsidR="0047414F">
        <w:rPr>
          <w:rFonts w:ascii="Verdana" w:hAnsi="Verdana"/>
          <w:sz w:val="20"/>
          <w:szCs w:val="20"/>
          <w:lang w:val="en-US" w:eastAsia="en-GB"/>
        </w:rPr>
        <w:t>,</w:t>
      </w:r>
      <w:r w:rsidRPr="00BC2272">
        <w:rPr>
          <w:rFonts w:ascii="Verdana" w:hAnsi="Verdana"/>
          <w:sz w:val="20"/>
          <w:szCs w:val="20"/>
          <w:lang w:val="en-US" w:eastAsia="en-GB"/>
        </w:rPr>
        <w:t xml:space="preserve"> correlated with the individual external exposure to carbon </w:t>
      </w:r>
      <w:r w:rsidR="00482EE8">
        <w:rPr>
          <w:rFonts w:ascii="Verdana" w:hAnsi="Verdana"/>
          <w:sz w:val="20"/>
          <w:szCs w:val="20"/>
          <w:lang w:val="en-US" w:eastAsia="en-GB"/>
        </w:rPr>
        <w:t>disulfide</w:t>
      </w:r>
      <w:r w:rsidR="0047414F">
        <w:rPr>
          <w:rFonts w:ascii="Verdana" w:hAnsi="Verdana"/>
          <w:sz w:val="20"/>
          <w:szCs w:val="20"/>
          <w:lang w:val="en-US" w:eastAsia="en-GB"/>
        </w:rPr>
        <w:t xml:space="preserve"> (measured by personal air monitoring)</w:t>
      </w:r>
      <w:r w:rsidRPr="00BC2272">
        <w:rPr>
          <w:rFonts w:ascii="Verdana" w:hAnsi="Verdana"/>
          <w:sz w:val="20"/>
          <w:szCs w:val="20"/>
          <w:lang w:val="en-US" w:eastAsia="en-GB"/>
        </w:rPr>
        <w:t xml:space="preserve">, several factors such as physical work load or dermal </w:t>
      </w:r>
      <w:r w:rsidR="0047414F">
        <w:rPr>
          <w:rFonts w:ascii="Verdana" w:hAnsi="Verdana"/>
          <w:sz w:val="20"/>
          <w:szCs w:val="20"/>
          <w:lang w:val="en-US" w:eastAsia="en-GB"/>
        </w:rPr>
        <w:t>exposure</w:t>
      </w:r>
      <w:r w:rsidRPr="00BC2272">
        <w:rPr>
          <w:rFonts w:ascii="Verdana" w:hAnsi="Verdana"/>
          <w:sz w:val="20"/>
          <w:szCs w:val="20"/>
          <w:lang w:val="en-US" w:eastAsia="en-GB"/>
        </w:rPr>
        <w:t xml:space="preserve"> can affect the uptake of carbon </w:t>
      </w:r>
      <w:r w:rsidR="00482EE8">
        <w:rPr>
          <w:rFonts w:ascii="Verdana" w:hAnsi="Verdana"/>
          <w:sz w:val="20"/>
          <w:szCs w:val="20"/>
          <w:lang w:val="en-US" w:eastAsia="en-GB"/>
        </w:rPr>
        <w:t>disulfide</w:t>
      </w:r>
      <w:r w:rsidRPr="00BC2272">
        <w:rPr>
          <w:rFonts w:ascii="Verdana" w:hAnsi="Verdana"/>
          <w:sz w:val="20"/>
          <w:szCs w:val="20"/>
          <w:lang w:val="en-US" w:eastAsia="en-GB"/>
        </w:rPr>
        <w:t xml:space="preserve">. Dermal </w:t>
      </w:r>
      <w:r w:rsidR="0047414F">
        <w:rPr>
          <w:rFonts w:ascii="Verdana" w:hAnsi="Verdana"/>
          <w:sz w:val="20"/>
          <w:szCs w:val="20"/>
          <w:lang w:val="en-US" w:eastAsia="en-GB"/>
        </w:rPr>
        <w:t>absorption</w:t>
      </w:r>
      <w:r w:rsidR="0047414F" w:rsidRPr="00BC2272">
        <w:rPr>
          <w:rFonts w:ascii="Verdana" w:hAnsi="Verdana"/>
          <w:sz w:val="20"/>
          <w:szCs w:val="20"/>
          <w:lang w:val="en-US" w:eastAsia="en-GB"/>
        </w:rPr>
        <w:t xml:space="preserve"> </w:t>
      </w:r>
      <w:r w:rsidRPr="00BC2272">
        <w:rPr>
          <w:rFonts w:ascii="Verdana" w:hAnsi="Verdana"/>
          <w:sz w:val="20"/>
          <w:szCs w:val="20"/>
          <w:lang w:val="en-US" w:eastAsia="en-GB"/>
        </w:rPr>
        <w:t xml:space="preserve">may be an important factor for internal exposure to carbon </w:t>
      </w:r>
      <w:r w:rsidR="00482EE8">
        <w:rPr>
          <w:rFonts w:ascii="Verdana" w:hAnsi="Verdana"/>
          <w:sz w:val="20"/>
          <w:szCs w:val="20"/>
          <w:lang w:val="en-US" w:eastAsia="en-GB"/>
        </w:rPr>
        <w:t>disulfide</w:t>
      </w:r>
      <w:r w:rsidRPr="00BC2272">
        <w:rPr>
          <w:rFonts w:ascii="Verdana" w:hAnsi="Verdana"/>
          <w:sz w:val="20"/>
          <w:szCs w:val="20"/>
          <w:lang w:val="en-US" w:eastAsia="en-GB"/>
        </w:rPr>
        <w:t xml:space="preserve">, particularly at low or medium ambient carbon </w:t>
      </w:r>
      <w:r w:rsidR="00482EE8">
        <w:rPr>
          <w:rFonts w:ascii="Verdana" w:hAnsi="Verdana"/>
          <w:sz w:val="20"/>
          <w:szCs w:val="20"/>
          <w:lang w:val="en-US" w:eastAsia="en-GB"/>
        </w:rPr>
        <w:t>disulfide</w:t>
      </w:r>
      <w:r w:rsidRPr="00BC2272">
        <w:rPr>
          <w:rFonts w:ascii="Verdana" w:hAnsi="Verdana"/>
          <w:sz w:val="20"/>
          <w:szCs w:val="20"/>
          <w:lang w:val="en-US" w:eastAsia="en-GB"/>
        </w:rPr>
        <w:t xml:space="preserve"> levels (mean 1.6 ppm and 2.8 ppm). Moreover, they also noted that direct dermal contact to wet spinning spools (during manufacture of regenerated cellulose) result</w:t>
      </w:r>
      <w:r w:rsidR="00A53819">
        <w:rPr>
          <w:rFonts w:ascii="Verdana" w:hAnsi="Verdana"/>
          <w:sz w:val="20"/>
          <w:szCs w:val="20"/>
          <w:lang w:val="en-US" w:eastAsia="en-GB"/>
        </w:rPr>
        <w:t>s</w:t>
      </w:r>
      <w:r w:rsidRPr="00BC2272">
        <w:rPr>
          <w:rFonts w:ascii="Verdana" w:hAnsi="Verdana"/>
          <w:sz w:val="20"/>
          <w:szCs w:val="20"/>
          <w:lang w:val="en-US" w:eastAsia="en-GB"/>
        </w:rPr>
        <w:t xml:space="preserve"> in an increase in relative internal exposure to carbon </w:t>
      </w:r>
      <w:r w:rsidR="00482EE8">
        <w:rPr>
          <w:rFonts w:ascii="Verdana" w:hAnsi="Verdana"/>
          <w:sz w:val="20"/>
          <w:szCs w:val="20"/>
          <w:lang w:val="en-US" w:eastAsia="en-GB"/>
        </w:rPr>
        <w:t>disulfide</w:t>
      </w:r>
      <w:r w:rsidRPr="00BC2272">
        <w:rPr>
          <w:rFonts w:ascii="Verdana" w:hAnsi="Verdana"/>
          <w:sz w:val="20"/>
          <w:szCs w:val="20"/>
          <w:lang w:val="en-US" w:eastAsia="en-GB"/>
        </w:rPr>
        <w:t>.</w:t>
      </w:r>
      <w:r w:rsidR="00195DF0">
        <w:rPr>
          <w:rFonts w:ascii="Verdana" w:hAnsi="Verdana"/>
          <w:sz w:val="20"/>
          <w:szCs w:val="20"/>
          <w:lang w:val="en-US" w:eastAsia="en-GB"/>
        </w:rPr>
        <w:t xml:space="preserve"> This study highlight</w:t>
      </w:r>
      <w:r w:rsidR="00A53819">
        <w:rPr>
          <w:rFonts w:ascii="Verdana" w:hAnsi="Verdana"/>
          <w:sz w:val="20"/>
          <w:szCs w:val="20"/>
          <w:lang w:val="en-US" w:eastAsia="en-GB"/>
        </w:rPr>
        <w:t>s</w:t>
      </w:r>
      <w:r w:rsidR="00195DF0">
        <w:rPr>
          <w:rFonts w:ascii="Verdana" w:hAnsi="Verdana"/>
          <w:sz w:val="20"/>
          <w:szCs w:val="20"/>
          <w:lang w:val="en-US" w:eastAsia="en-GB"/>
        </w:rPr>
        <w:t xml:space="preserve"> the potential underestimation of exposure using inhalation data only.</w:t>
      </w:r>
    </w:p>
    <w:p w14:paraId="46147A0C" w14:textId="71A2D869" w:rsidR="000B5D92" w:rsidRDefault="000B5D92" w:rsidP="00ED47FC">
      <w:pPr>
        <w:pStyle w:val="Corpsdetexte"/>
        <w:spacing w:after="120" w:line="276" w:lineRule="auto"/>
        <w:jc w:val="both"/>
        <w:rPr>
          <w:rFonts w:ascii="Verdana" w:hAnsi="Verdana"/>
          <w:sz w:val="20"/>
          <w:szCs w:val="20"/>
          <w:lang w:val="en-US" w:eastAsia="en-GB"/>
        </w:rPr>
      </w:pPr>
    </w:p>
    <w:p w14:paraId="0F552524" w14:textId="46DD3049" w:rsidR="000B5D92" w:rsidRPr="000B5D92" w:rsidRDefault="000B5D92" w:rsidP="00ED47FC">
      <w:pPr>
        <w:pStyle w:val="Corpsdetexte"/>
        <w:spacing w:after="120" w:line="276" w:lineRule="auto"/>
        <w:jc w:val="both"/>
        <w:rPr>
          <w:rFonts w:ascii="Verdana" w:hAnsi="Verdana"/>
          <w:b/>
          <w:sz w:val="20"/>
          <w:szCs w:val="20"/>
          <w:lang w:val="en-US" w:eastAsia="en-GB"/>
        </w:rPr>
      </w:pPr>
      <w:r w:rsidRPr="002D0738">
        <w:rPr>
          <w:rFonts w:ascii="Verdana" w:hAnsi="Verdana"/>
          <w:b/>
          <w:sz w:val="20"/>
          <w:szCs w:val="20"/>
          <w:lang w:eastAsia="en-GB"/>
        </w:rPr>
        <w:t xml:space="preserve">Overall, in view of the uncertainties identified on exposure assessment, FR MSCA </w:t>
      </w:r>
      <w:r w:rsidR="00CA40C9">
        <w:rPr>
          <w:rFonts w:ascii="Verdana" w:hAnsi="Verdana"/>
          <w:b/>
          <w:sz w:val="20"/>
          <w:szCs w:val="20"/>
          <w:lang w:eastAsia="en-GB"/>
        </w:rPr>
        <w:t>would welcome any</w:t>
      </w:r>
      <w:r w:rsidRPr="002D0738">
        <w:rPr>
          <w:rFonts w:ascii="Verdana" w:hAnsi="Verdana"/>
          <w:b/>
          <w:sz w:val="20"/>
          <w:szCs w:val="20"/>
          <w:lang w:eastAsia="en-GB"/>
        </w:rPr>
        <w:t xml:space="preserve"> information</w:t>
      </w:r>
      <w:r w:rsidR="00CA40C9">
        <w:rPr>
          <w:rFonts w:ascii="Verdana" w:hAnsi="Verdana"/>
          <w:b/>
          <w:sz w:val="20"/>
          <w:szCs w:val="20"/>
          <w:lang w:eastAsia="en-GB"/>
        </w:rPr>
        <w:t xml:space="preserve"> or comments</w:t>
      </w:r>
      <w:r w:rsidRPr="002D0738">
        <w:rPr>
          <w:rFonts w:ascii="Verdana" w:hAnsi="Verdana"/>
          <w:b/>
          <w:sz w:val="20"/>
          <w:szCs w:val="20"/>
          <w:lang w:eastAsia="en-GB"/>
        </w:rPr>
        <w:t xml:space="preserve"> provided during the consultation on this document to complete exposure assessment, in particular potential exposure of professional workers during the use as laboratory chemical, where OC and RMMs may be difficult to implement.</w:t>
      </w:r>
    </w:p>
    <w:p w14:paraId="13E0D646" w14:textId="1772F72E" w:rsidR="004B2301" w:rsidRDefault="004B2301" w:rsidP="004B2301">
      <w:pPr>
        <w:pStyle w:val="Titre2"/>
        <w:tabs>
          <w:tab w:val="clear" w:pos="1928"/>
          <w:tab w:val="num" w:pos="1503"/>
        </w:tabs>
        <w:ind w:left="1077"/>
        <w:rPr>
          <w:color w:val="auto"/>
        </w:rPr>
      </w:pPr>
      <w:bookmarkStart w:id="15" w:name="_Toc117776285"/>
      <w:r>
        <w:rPr>
          <w:color w:val="auto"/>
        </w:rPr>
        <w:t>Hazard information (including classification)</w:t>
      </w:r>
      <w:bookmarkEnd w:id="15"/>
    </w:p>
    <w:p w14:paraId="30815F7A" w14:textId="7832BCD2" w:rsidR="004B2301" w:rsidRPr="00882C90" w:rsidRDefault="00351F82" w:rsidP="004E2300">
      <w:pPr>
        <w:pStyle w:val="Corpsdetexte"/>
        <w:jc w:val="both"/>
        <w:rPr>
          <w:rFonts w:ascii="Verdana" w:hAnsi="Verdana"/>
          <w:sz w:val="20"/>
          <w:szCs w:val="20"/>
          <w:lang w:val="en-US" w:eastAsia="en-GB"/>
        </w:rPr>
      </w:pPr>
      <w:r>
        <w:rPr>
          <w:rFonts w:ascii="Verdana" w:hAnsi="Verdana"/>
          <w:sz w:val="20"/>
          <w:szCs w:val="20"/>
          <w:lang w:val="en-US" w:eastAsia="en-GB"/>
        </w:rPr>
        <w:t>Carbon disulfide</w:t>
      </w:r>
      <w:r w:rsidR="00882C90" w:rsidRPr="00882C90">
        <w:rPr>
          <w:rFonts w:ascii="Verdana" w:hAnsi="Verdana"/>
          <w:sz w:val="20"/>
          <w:szCs w:val="20"/>
          <w:lang w:val="en-US" w:eastAsia="en-GB"/>
        </w:rPr>
        <w:t xml:space="preserve"> toxicological profile is available in ANSES conclusion report on substance evaluation published in ECHA disseminated website (ANSES, 2022).</w:t>
      </w:r>
    </w:p>
    <w:p w14:paraId="204F34FB" w14:textId="00B3619C" w:rsidR="004B2301" w:rsidRDefault="00882C90" w:rsidP="004E2300">
      <w:pPr>
        <w:pStyle w:val="Corpsdetexte"/>
        <w:jc w:val="both"/>
        <w:rPr>
          <w:rFonts w:ascii="Verdana" w:hAnsi="Verdana"/>
          <w:sz w:val="20"/>
          <w:szCs w:val="20"/>
          <w:lang w:val="en-US" w:eastAsia="en-GB"/>
        </w:rPr>
      </w:pPr>
      <w:r w:rsidRPr="00882C90">
        <w:rPr>
          <w:rFonts w:ascii="Verdana" w:hAnsi="Verdana"/>
          <w:sz w:val="20"/>
          <w:szCs w:val="20"/>
          <w:lang w:val="en-US" w:eastAsia="en-GB"/>
        </w:rPr>
        <w:t xml:space="preserve">Information on classification and labelling of the substance </w:t>
      </w:r>
      <w:r>
        <w:rPr>
          <w:rFonts w:ascii="Verdana" w:hAnsi="Verdana"/>
          <w:sz w:val="20"/>
          <w:szCs w:val="20"/>
          <w:lang w:val="en-US" w:eastAsia="en-GB"/>
        </w:rPr>
        <w:t>is a</w:t>
      </w:r>
      <w:r w:rsidRPr="00882C90">
        <w:rPr>
          <w:rFonts w:ascii="Verdana" w:hAnsi="Verdana"/>
          <w:sz w:val="20"/>
          <w:szCs w:val="20"/>
          <w:lang w:val="en-US" w:eastAsia="en-GB"/>
        </w:rPr>
        <w:t>vailable in Annex 1.</w:t>
      </w:r>
    </w:p>
    <w:p w14:paraId="30C5C082" w14:textId="4EDC6919" w:rsidR="00D72D3D" w:rsidRPr="00B211EE" w:rsidRDefault="00D72D3D" w:rsidP="00D72D3D">
      <w:pPr>
        <w:spacing w:after="0"/>
        <w:jc w:val="both"/>
        <w:rPr>
          <w:rFonts w:ascii="Verdana" w:hAnsi="Verdana"/>
          <w:b/>
          <w:sz w:val="20"/>
          <w:szCs w:val="20"/>
        </w:rPr>
      </w:pPr>
      <w:r w:rsidRPr="00B211EE">
        <w:rPr>
          <w:rFonts w:ascii="Verdana" w:hAnsi="Verdana"/>
          <w:b/>
          <w:sz w:val="20"/>
          <w:szCs w:val="20"/>
        </w:rPr>
        <w:lastRenderedPageBreak/>
        <w:t xml:space="preserve">From </w:t>
      </w:r>
      <w:r>
        <w:rPr>
          <w:rFonts w:ascii="Verdana" w:hAnsi="Verdana"/>
          <w:b/>
          <w:sz w:val="20"/>
          <w:szCs w:val="20"/>
        </w:rPr>
        <w:t>IOELV to DNEL</w:t>
      </w:r>
    </w:p>
    <w:p w14:paraId="2D77034F" w14:textId="262AEF4F" w:rsidR="00D72D3D" w:rsidRPr="00433E73" w:rsidRDefault="00D72D3D" w:rsidP="00D72D3D">
      <w:pPr>
        <w:spacing w:after="0"/>
        <w:jc w:val="both"/>
        <w:rPr>
          <w:rFonts w:ascii="Verdana" w:hAnsi="Verdana"/>
          <w:sz w:val="20"/>
          <w:szCs w:val="20"/>
        </w:rPr>
      </w:pPr>
      <w:r w:rsidRPr="00433E73">
        <w:rPr>
          <w:rFonts w:ascii="Verdana" w:hAnsi="Verdana"/>
          <w:sz w:val="20"/>
          <w:szCs w:val="20"/>
        </w:rPr>
        <w:t>ECHA guidance document R8 noted that when an EU IOEL</w:t>
      </w:r>
      <w:r>
        <w:rPr>
          <w:rFonts w:ascii="Verdana" w:hAnsi="Verdana"/>
          <w:sz w:val="20"/>
          <w:szCs w:val="20"/>
        </w:rPr>
        <w:t>V</w:t>
      </w:r>
      <w:r w:rsidRPr="00433E73">
        <w:rPr>
          <w:rFonts w:ascii="Verdana" w:hAnsi="Verdana"/>
          <w:sz w:val="20"/>
          <w:szCs w:val="20"/>
        </w:rPr>
        <w:t xml:space="preserve"> exists, the registrant may, under certain conditions, use the IOEL in place of developing a DNEL. This was the approach used by the </w:t>
      </w:r>
      <w:r w:rsidR="00A53819">
        <w:rPr>
          <w:rFonts w:ascii="Verdana" w:hAnsi="Verdana"/>
          <w:sz w:val="20"/>
          <w:szCs w:val="20"/>
        </w:rPr>
        <w:t xml:space="preserve">lead </w:t>
      </w:r>
      <w:r w:rsidRPr="00433E73">
        <w:rPr>
          <w:rFonts w:ascii="Verdana" w:hAnsi="Verdana"/>
          <w:sz w:val="20"/>
          <w:szCs w:val="20"/>
        </w:rPr>
        <w:t>regis</w:t>
      </w:r>
      <w:r>
        <w:rPr>
          <w:rFonts w:ascii="Verdana" w:hAnsi="Verdana"/>
          <w:sz w:val="20"/>
          <w:szCs w:val="20"/>
        </w:rPr>
        <w:t>trant of</w:t>
      </w:r>
      <w:r w:rsidRPr="00433E73">
        <w:rPr>
          <w:rFonts w:ascii="Verdana" w:hAnsi="Verdana"/>
          <w:sz w:val="20"/>
          <w:szCs w:val="20"/>
        </w:rPr>
        <w:t xml:space="preserve"> carbon disulfide.</w:t>
      </w:r>
    </w:p>
    <w:p w14:paraId="491036F6" w14:textId="77777777" w:rsidR="00D72D3D" w:rsidRDefault="00D72D3D" w:rsidP="00D72D3D">
      <w:pPr>
        <w:spacing w:after="0"/>
        <w:jc w:val="both"/>
        <w:rPr>
          <w:rFonts w:ascii="Verdana" w:hAnsi="Verdana"/>
          <w:b/>
          <w:sz w:val="20"/>
          <w:szCs w:val="20"/>
        </w:rPr>
      </w:pPr>
    </w:p>
    <w:p w14:paraId="40EB77D4" w14:textId="7EB6E230" w:rsidR="00D72D3D" w:rsidRPr="00B211EE" w:rsidRDefault="00D72D3D" w:rsidP="00D72D3D">
      <w:pPr>
        <w:spacing w:after="0"/>
        <w:jc w:val="both"/>
        <w:rPr>
          <w:rFonts w:ascii="Verdana" w:hAnsi="Verdana"/>
          <w:b/>
          <w:sz w:val="20"/>
          <w:szCs w:val="20"/>
        </w:rPr>
      </w:pPr>
      <w:r w:rsidRPr="00B211EE">
        <w:rPr>
          <w:rFonts w:ascii="Verdana" w:hAnsi="Verdana"/>
          <w:b/>
          <w:sz w:val="20"/>
          <w:szCs w:val="20"/>
        </w:rPr>
        <w:t>SCOEL IOEL</w:t>
      </w:r>
      <w:r>
        <w:rPr>
          <w:rFonts w:ascii="Verdana" w:hAnsi="Verdana"/>
          <w:b/>
          <w:sz w:val="20"/>
          <w:szCs w:val="20"/>
        </w:rPr>
        <w:t>V</w:t>
      </w:r>
      <w:r w:rsidRPr="00B211EE">
        <w:rPr>
          <w:rFonts w:ascii="Verdana" w:hAnsi="Verdana"/>
          <w:b/>
          <w:sz w:val="20"/>
          <w:szCs w:val="20"/>
        </w:rPr>
        <w:t xml:space="preserve"> recommendation</w:t>
      </w:r>
    </w:p>
    <w:p w14:paraId="2460D1D7" w14:textId="27A58BE8" w:rsidR="00D72D3D" w:rsidRDefault="00D72D3D" w:rsidP="00D72D3D">
      <w:pPr>
        <w:spacing w:after="0"/>
        <w:jc w:val="both"/>
        <w:rPr>
          <w:rFonts w:ascii="Verdana" w:hAnsi="Verdana"/>
          <w:sz w:val="20"/>
          <w:szCs w:val="20"/>
        </w:rPr>
      </w:pPr>
      <w:r w:rsidRPr="00CC0D3C">
        <w:rPr>
          <w:rFonts w:ascii="Verdana" w:hAnsi="Verdana"/>
          <w:sz w:val="20"/>
          <w:szCs w:val="20"/>
        </w:rPr>
        <w:t>Disc</w:t>
      </w:r>
      <w:r>
        <w:rPr>
          <w:rFonts w:ascii="Verdana" w:hAnsi="Verdana"/>
          <w:sz w:val="20"/>
          <w:szCs w:val="20"/>
        </w:rPr>
        <w:t>ussions regarding an IOELV for carbon disulfide</w:t>
      </w:r>
      <w:r w:rsidRPr="00CC0D3C">
        <w:rPr>
          <w:rFonts w:ascii="Verdana" w:hAnsi="Verdana"/>
          <w:sz w:val="20"/>
          <w:szCs w:val="20"/>
        </w:rPr>
        <w:t xml:space="preserve"> were conducted by </w:t>
      </w:r>
      <w:r w:rsidR="00A53819">
        <w:rPr>
          <w:rFonts w:ascii="Verdana" w:hAnsi="Verdana"/>
          <w:sz w:val="20"/>
          <w:szCs w:val="20"/>
        </w:rPr>
        <w:t xml:space="preserve">the </w:t>
      </w:r>
      <w:r w:rsidRPr="00CC0D3C">
        <w:rPr>
          <w:rFonts w:ascii="Verdana" w:hAnsi="Verdana"/>
          <w:sz w:val="20"/>
          <w:szCs w:val="20"/>
        </w:rPr>
        <w:t xml:space="preserve">SCOEL </w:t>
      </w:r>
      <w:r>
        <w:rPr>
          <w:rFonts w:ascii="Verdana" w:hAnsi="Verdana"/>
          <w:sz w:val="20"/>
          <w:szCs w:val="20"/>
        </w:rPr>
        <w:t>(</w:t>
      </w:r>
      <w:r w:rsidRPr="00C016AD">
        <w:rPr>
          <w:rFonts w:ascii="Verdana" w:hAnsi="Verdana"/>
          <w:sz w:val="20"/>
          <w:szCs w:val="20"/>
        </w:rPr>
        <w:t>Scientific Committee on Occupational Exposure Limits</w:t>
      </w:r>
      <w:r>
        <w:rPr>
          <w:rFonts w:ascii="Verdana" w:hAnsi="Verdana"/>
          <w:sz w:val="20"/>
          <w:szCs w:val="20"/>
        </w:rPr>
        <w:t>)</w:t>
      </w:r>
      <w:r w:rsidRPr="00C016AD">
        <w:rPr>
          <w:rFonts w:ascii="Verdana" w:hAnsi="Verdana"/>
          <w:sz w:val="20"/>
          <w:szCs w:val="20"/>
        </w:rPr>
        <w:t xml:space="preserve"> </w:t>
      </w:r>
      <w:r w:rsidRPr="00066957">
        <w:rPr>
          <w:rFonts w:ascii="Verdana" w:hAnsi="Verdana"/>
          <w:sz w:val="20"/>
          <w:szCs w:val="20"/>
        </w:rPr>
        <w:t xml:space="preserve">in 2008, </w:t>
      </w:r>
      <w:r w:rsidR="00A53819">
        <w:rPr>
          <w:rFonts w:ascii="Verdana" w:hAnsi="Verdana"/>
          <w:sz w:val="20"/>
          <w:szCs w:val="20"/>
        </w:rPr>
        <w:t xml:space="preserve">the </w:t>
      </w:r>
      <w:r w:rsidRPr="00066957">
        <w:rPr>
          <w:rFonts w:ascii="Verdana" w:hAnsi="Verdana"/>
          <w:sz w:val="20"/>
          <w:szCs w:val="20"/>
        </w:rPr>
        <w:t>SCOEL recommended an 8-hr TWA OEL of 5 ppm or 15 mg/m</w:t>
      </w:r>
      <w:r w:rsidRPr="005974F1">
        <w:rPr>
          <w:rFonts w:ascii="Verdana" w:hAnsi="Verdana"/>
          <w:sz w:val="20"/>
          <w:szCs w:val="20"/>
          <w:vertAlign w:val="superscript"/>
        </w:rPr>
        <w:t>3</w:t>
      </w:r>
      <w:r w:rsidRPr="00066957">
        <w:rPr>
          <w:rFonts w:ascii="Verdana" w:hAnsi="Verdana"/>
          <w:sz w:val="20"/>
          <w:szCs w:val="20"/>
        </w:rPr>
        <w:t>. In addition, based on the determination of the metabolite thiazolidine-2-thione-4-carboxylic acid (TTCA) in urine, a biological limit value of 1.5 mg TTCA/g creatinine was proposed by</w:t>
      </w:r>
      <w:r w:rsidR="00EA6326">
        <w:rPr>
          <w:rFonts w:ascii="Verdana" w:hAnsi="Verdana"/>
          <w:sz w:val="20"/>
          <w:szCs w:val="20"/>
        </w:rPr>
        <w:t xml:space="preserve"> the</w:t>
      </w:r>
      <w:r w:rsidRPr="00066957">
        <w:rPr>
          <w:rFonts w:ascii="Verdana" w:hAnsi="Verdana"/>
          <w:sz w:val="20"/>
          <w:szCs w:val="20"/>
        </w:rPr>
        <w:t xml:space="preserve"> SCOEL. </w:t>
      </w:r>
    </w:p>
    <w:p w14:paraId="315EE612" w14:textId="77777777" w:rsidR="00D72D3D" w:rsidRPr="005652FF" w:rsidRDefault="00D72D3D" w:rsidP="00D72D3D">
      <w:pPr>
        <w:spacing w:line="276" w:lineRule="auto"/>
        <w:jc w:val="both"/>
        <w:rPr>
          <w:rFonts w:ascii="Verdana" w:hAnsi="Verdana" w:cstheme="minorHAnsi"/>
          <w:bCs/>
          <w:sz w:val="20"/>
          <w:lang w:val="en-US"/>
        </w:rPr>
      </w:pPr>
      <w:r>
        <w:rPr>
          <w:rFonts w:ascii="Verdana" w:hAnsi="Verdana" w:cstheme="minorHAnsi"/>
          <w:bCs/>
          <w:sz w:val="20"/>
          <w:lang w:val="en-US"/>
        </w:rPr>
        <w:t>Carbon disulfide IOELV wa</w:t>
      </w:r>
      <w:r w:rsidRPr="005652FF">
        <w:rPr>
          <w:rFonts w:ascii="Verdana" w:hAnsi="Verdana" w:cstheme="minorHAnsi"/>
          <w:bCs/>
          <w:sz w:val="20"/>
          <w:lang w:val="en-US"/>
        </w:rPr>
        <w:t xml:space="preserve">s based on the effects on the nervous and the cardiovascular systems (SCOEL, 2008). </w:t>
      </w:r>
    </w:p>
    <w:p w14:paraId="20AD0686" w14:textId="77777777" w:rsidR="00D72D3D" w:rsidRPr="005652FF" w:rsidRDefault="00D72D3D" w:rsidP="00D72D3D">
      <w:pPr>
        <w:spacing w:line="276" w:lineRule="auto"/>
        <w:jc w:val="both"/>
        <w:rPr>
          <w:rFonts w:ascii="Verdana" w:hAnsi="Verdana" w:cstheme="minorHAnsi"/>
          <w:bCs/>
          <w:sz w:val="20"/>
          <w:lang w:val="en-US"/>
        </w:rPr>
      </w:pPr>
      <w:r w:rsidRPr="005652FF">
        <w:rPr>
          <w:rFonts w:ascii="Verdana" w:hAnsi="Verdana" w:cstheme="minorHAnsi"/>
          <w:bCs/>
          <w:sz w:val="20"/>
          <w:lang w:val="en-US"/>
        </w:rPr>
        <w:t xml:space="preserve">In 2011, the Health Council of the Netherlands (HCNL) published a report on carbon disulfide based on the conclusion of SCOEL and including a supplementary literature search up to January 2010 (HCNL, 2011). </w:t>
      </w:r>
    </w:p>
    <w:p w14:paraId="28E00F2F" w14:textId="3CDBDAEE" w:rsidR="00D72D3D" w:rsidRPr="005652FF" w:rsidRDefault="00D72D3D" w:rsidP="00D72D3D">
      <w:pPr>
        <w:autoSpaceDE w:val="0"/>
        <w:autoSpaceDN w:val="0"/>
        <w:adjustRightInd w:val="0"/>
        <w:spacing w:after="0" w:line="276" w:lineRule="auto"/>
        <w:jc w:val="both"/>
        <w:rPr>
          <w:rFonts w:ascii="Verdana" w:hAnsi="Verdana" w:cstheme="minorHAnsi"/>
          <w:bCs/>
          <w:sz w:val="20"/>
          <w:lang w:val="en-US"/>
        </w:rPr>
      </w:pPr>
      <w:r w:rsidRPr="005652FF">
        <w:rPr>
          <w:rFonts w:ascii="Verdana" w:hAnsi="Verdana" w:cstheme="minorHAnsi"/>
          <w:bCs/>
          <w:sz w:val="20"/>
          <w:lang w:val="en-US"/>
        </w:rPr>
        <w:t xml:space="preserve">Both Committees (SCOEL and HCNL) concluded that the available human studies clearly showed that carbon disulfide affects both the cardiovascular and the nervous systems. </w:t>
      </w:r>
      <w:r w:rsidR="00A53819">
        <w:rPr>
          <w:rFonts w:ascii="Verdana" w:hAnsi="Verdana" w:cstheme="minorHAnsi"/>
          <w:bCs/>
          <w:sz w:val="20"/>
          <w:lang w:val="en-US"/>
        </w:rPr>
        <w:t xml:space="preserve">The </w:t>
      </w:r>
      <w:r w:rsidRPr="005652FF">
        <w:rPr>
          <w:rFonts w:ascii="Verdana" w:hAnsi="Verdana" w:cstheme="minorHAnsi"/>
          <w:bCs/>
          <w:sz w:val="20"/>
          <w:lang w:val="en-US"/>
        </w:rPr>
        <w:t>SCOEL considered that the earliest non clinical subtle changes on these systems were observed between 3 and 10 ppm in the human epidemiological studies, with the mo</w:t>
      </w:r>
      <w:r w:rsidR="00A53819">
        <w:rPr>
          <w:rFonts w:ascii="Verdana" w:hAnsi="Verdana" w:cstheme="minorHAnsi"/>
          <w:bCs/>
          <w:sz w:val="20"/>
          <w:lang w:val="en-US"/>
        </w:rPr>
        <w:t>st</w:t>
      </w:r>
      <w:r w:rsidRPr="005652FF">
        <w:rPr>
          <w:rFonts w:ascii="Verdana" w:hAnsi="Verdana" w:cstheme="minorHAnsi"/>
          <w:bCs/>
          <w:sz w:val="20"/>
          <w:lang w:val="en-US"/>
        </w:rPr>
        <w:t xml:space="preserve"> reliable human studies relating to the upper end of this range. </w:t>
      </w:r>
      <w:r w:rsidR="00A53819">
        <w:rPr>
          <w:rFonts w:ascii="Verdana" w:hAnsi="Verdana" w:cstheme="minorHAnsi"/>
          <w:bCs/>
          <w:sz w:val="20"/>
          <w:lang w:val="en-US"/>
        </w:rPr>
        <w:t xml:space="preserve">The </w:t>
      </w:r>
      <w:r w:rsidRPr="005652FF">
        <w:rPr>
          <w:rFonts w:ascii="Verdana" w:hAnsi="Verdana" w:cstheme="minorHAnsi"/>
          <w:bCs/>
          <w:sz w:val="20"/>
          <w:lang w:val="en-US"/>
        </w:rPr>
        <w:t>SCOEL considered a point of departure for the critical health effects at a presumed threshold of 10 ppm (30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and applied an uncertainty factor of 2 based on the severity of the effect and considering the extensive human database leading to a 8h-TWA of 5 ppm (15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xml:space="preserve">). </w:t>
      </w:r>
    </w:p>
    <w:p w14:paraId="36B34302" w14:textId="05A0D9D6" w:rsidR="00D72D3D" w:rsidRPr="005652FF" w:rsidRDefault="00D72D3D" w:rsidP="00D72D3D">
      <w:pPr>
        <w:autoSpaceDE w:val="0"/>
        <w:autoSpaceDN w:val="0"/>
        <w:adjustRightInd w:val="0"/>
        <w:spacing w:after="0" w:line="276" w:lineRule="auto"/>
        <w:jc w:val="both"/>
        <w:rPr>
          <w:rFonts w:ascii="Verdana" w:hAnsi="Verdana" w:cstheme="minorHAnsi"/>
          <w:bCs/>
          <w:sz w:val="20"/>
          <w:lang w:val="en-US"/>
        </w:rPr>
      </w:pPr>
      <w:r w:rsidRPr="005652FF">
        <w:rPr>
          <w:rFonts w:ascii="Verdana" w:hAnsi="Verdana" w:cstheme="minorHAnsi"/>
          <w:bCs/>
          <w:sz w:val="20"/>
          <w:lang w:val="en-US"/>
        </w:rPr>
        <w:t>The HCNL concluded that 15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xml:space="preserve"> (5 ppm) is a LOAEC for cardiovascular effects based on the induction of minor cardiac ischemic findings in human, observed in Takebayashi </w:t>
      </w:r>
      <w:r w:rsidR="0008751D" w:rsidRPr="0008751D">
        <w:rPr>
          <w:rFonts w:ascii="Verdana" w:hAnsi="Verdana" w:cstheme="minorHAnsi"/>
          <w:bCs/>
          <w:i/>
          <w:sz w:val="20"/>
          <w:lang w:val="en-US"/>
        </w:rPr>
        <w:t>et al.</w:t>
      </w:r>
      <w:r w:rsidRPr="005652FF">
        <w:rPr>
          <w:rFonts w:ascii="Verdana" w:hAnsi="Verdana" w:cstheme="minorHAnsi"/>
          <w:bCs/>
          <w:i/>
          <w:sz w:val="20"/>
          <w:lang w:val="en-US"/>
        </w:rPr>
        <w:t>,</w:t>
      </w:r>
      <w:r w:rsidRPr="005652FF">
        <w:rPr>
          <w:rFonts w:ascii="Verdana" w:hAnsi="Verdana" w:cstheme="minorHAnsi"/>
          <w:bCs/>
          <w:sz w:val="20"/>
          <w:lang w:val="en-US"/>
        </w:rPr>
        <w:t xml:space="preserve"> 2004 study. The Committee recommended a value of 5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xml:space="preserve"> (2 ppm) as a health-based occupational exposure limit applying a factor of 3 to the LOAEC of 15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xml:space="preserve"> (5 ppm). Furthermore, the HCNL also took the study published by Godderis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(2006) into account, in spite of its weaknesses in the determination of average exposure levels and data analysis, as supporting the lower value (neurological findings starting to appear at 3 ppm), while SCOEL did not consider this study as a key study.</w:t>
      </w:r>
    </w:p>
    <w:p w14:paraId="161E81C4" w14:textId="77777777" w:rsidR="00D72D3D" w:rsidRPr="005652FF" w:rsidRDefault="00D72D3D" w:rsidP="00D72D3D">
      <w:pPr>
        <w:spacing w:after="0" w:line="276" w:lineRule="auto"/>
        <w:jc w:val="both"/>
        <w:rPr>
          <w:rFonts w:ascii="Verdana" w:hAnsi="Verdana" w:cstheme="minorHAnsi"/>
          <w:bCs/>
          <w:sz w:val="20"/>
          <w:lang w:val="en-US"/>
        </w:rPr>
      </w:pPr>
    </w:p>
    <w:p w14:paraId="2B64EE1B" w14:textId="596AB33A" w:rsidR="00D72D3D" w:rsidRPr="005652FF" w:rsidRDefault="00D72D3D" w:rsidP="00D72D3D">
      <w:pPr>
        <w:spacing w:after="120" w:line="276" w:lineRule="auto"/>
        <w:jc w:val="both"/>
        <w:rPr>
          <w:rFonts w:ascii="Verdana" w:hAnsi="Verdana"/>
          <w:sz w:val="20"/>
          <w:lang w:val="en-US"/>
        </w:rPr>
      </w:pPr>
      <w:r w:rsidRPr="005652FF">
        <w:rPr>
          <w:rFonts w:ascii="Verdana" w:hAnsi="Verdana"/>
          <w:sz w:val="20"/>
          <w:lang w:val="en-US"/>
        </w:rPr>
        <w:t xml:space="preserve">Carbon disulfide was included in the Community rolling action plan (CoRAP) for evaluation in 2013 </w:t>
      </w:r>
      <w:r w:rsidR="00A53819">
        <w:rPr>
          <w:rFonts w:ascii="Verdana" w:hAnsi="Verdana"/>
          <w:sz w:val="20"/>
          <w:lang w:val="en-US"/>
        </w:rPr>
        <w:t xml:space="preserve">by France </w:t>
      </w:r>
      <w:r w:rsidRPr="005652FF">
        <w:rPr>
          <w:rFonts w:ascii="Verdana" w:hAnsi="Verdana"/>
          <w:sz w:val="20"/>
          <w:lang w:val="en-US"/>
        </w:rPr>
        <w:t>according to REAC</w:t>
      </w:r>
      <w:r w:rsidR="009C227F">
        <w:rPr>
          <w:rFonts w:ascii="Verdana" w:hAnsi="Verdana"/>
          <w:sz w:val="20"/>
          <w:lang w:val="en-US"/>
        </w:rPr>
        <w:t>h</w:t>
      </w:r>
      <w:r w:rsidRPr="005652FF">
        <w:rPr>
          <w:rFonts w:ascii="Verdana" w:hAnsi="Verdana"/>
          <w:sz w:val="20"/>
          <w:lang w:val="en-US"/>
        </w:rPr>
        <w:t xml:space="preserve"> regulation. Based on the evaluation of the available data, it was concluded that there was a need to request further information to clarify the concerns related to Endocrine Disruption, reproductive and neurodevelopmental toxicity potential. The decision to request an Extended One-Generation Reproductive Toxicity Study (EOGRTS) was agreed by the ECHA’s Member state Committee in October 2015. The EOGRTS was submitted in December 2019.</w:t>
      </w:r>
    </w:p>
    <w:p w14:paraId="5A0F5A99" w14:textId="198E5260" w:rsidR="00D72D3D" w:rsidRPr="005652FF" w:rsidRDefault="00D72D3D" w:rsidP="00D72D3D">
      <w:pPr>
        <w:spacing w:after="120" w:line="276" w:lineRule="auto"/>
        <w:jc w:val="both"/>
        <w:rPr>
          <w:rFonts w:ascii="Verdana" w:hAnsi="Verdana"/>
          <w:sz w:val="20"/>
          <w:lang w:val="en-US"/>
        </w:rPr>
      </w:pPr>
      <w:r w:rsidRPr="005652FF">
        <w:rPr>
          <w:rFonts w:ascii="Verdana" w:hAnsi="Verdana" w:cstheme="minorHAnsi"/>
          <w:bCs/>
          <w:sz w:val="20"/>
          <w:lang w:val="en-US"/>
        </w:rPr>
        <w:t>In 2022, ANSES published a substance evaluation conclusion and evaluation report on carbon disulfide as required by REAC</w:t>
      </w:r>
      <w:r w:rsidR="009C227F">
        <w:rPr>
          <w:rFonts w:ascii="Verdana" w:hAnsi="Verdana" w:cstheme="minorHAnsi"/>
          <w:bCs/>
          <w:sz w:val="20"/>
          <w:lang w:val="en-US"/>
        </w:rPr>
        <w:t>h</w:t>
      </w:r>
      <w:r w:rsidRPr="005652FF">
        <w:rPr>
          <w:rFonts w:ascii="Verdana" w:hAnsi="Verdana" w:cstheme="minorHAnsi"/>
          <w:bCs/>
          <w:sz w:val="20"/>
          <w:lang w:val="en-US"/>
        </w:rPr>
        <w:t xml:space="preserve"> Art. 48. The report was prepared based on the updated REACh registration dossier from December 2019, including the new EOGRTS. In addition, a literature review from 2013 to 2019 was performed in the online database Medline. It was concluded that the revision of the current OEL could </w:t>
      </w:r>
      <w:r w:rsidRPr="005652FF">
        <w:rPr>
          <w:rFonts w:ascii="Verdana" w:hAnsi="Verdana" w:cstheme="minorHAnsi"/>
          <w:bCs/>
          <w:sz w:val="20"/>
          <w:lang w:val="en-US"/>
        </w:rPr>
        <w:lastRenderedPageBreak/>
        <w:t xml:space="preserve">be necessary. In order to assess if the revision of the indicative OEL of 5 ppm is warranted, the studies </w:t>
      </w:r>
      <w:r w:rsidR="00A53819">
        <w:rPr>
          <w:rFonts w:ascii="Verdana" w:hAnsi="Verdana" w:cstheme="minorHAnsi"/>
          <w:bCs/>
          <w:sz w:val="20"/>
          <w:lang w:val="en-US"/>
        </w:rPr>
        <w:t xml:space="preserve">carried out </w:t>
      </w:r>
      <w:r w:rsidRPr="005652FF">
        <w:rPr>
          <w:rFonts w:ascii="Verdana" w:hAnsi="Verdana" w:cstheme="minorHAnsi"/>
          <w:bCs/>
          <w:sz w:val="20"/>
          <w:lang w:val="en-US"/>
        </w:rPr>
        <w:t xml:space="preserve">by Takebayashi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(2003 and 2004), new relevant epidemiological studies available since the published report of SCOEL and HCNL (Yoshioka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2017; Schramm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2016) and the new EOGRTS requested during the </w:t>
      </w:r>
      <w:r w:rsidR="00EA6326">
        <w:rPr>
          <w:rFonts w:ascii="Verdana" w:hAnsi="Verdana" w:cstheme="minorHAnsi"/>
          <w:bCs/>
          <w:sz w:val="20"/>
          <w:lang w:val="en-US"/>
        </w:rPr>
        <w:t>Substance E</w:t>
      </w:r>
      <w:r w:rsidRPr="005652FF">
        <w:rPr>
          <w:rFonts w:ascii="Verdana" w:hAnsi="Verdana" w:cstheme="minorHAnsi"/>
          <w:bCs/>
          <w:sz w:val="20"/>
          <w:lang w:val="en-US"/>
        </w:rPr>
        <w:t xml:space="preserve">valuation were assessed. Overall, four observational studies </w:t>
      </w:r>
      <w:r w:rsidR="00FF6349">
        <w:rPr>
          <w:rFonts w:ascii="Verdana" w:hAnsi="Verdana" w:cstheme="minorHAnsi"/>
          <w:bCs/>
          <w:sz w:val="20"/>
          <w:lang w:val="en-US"/>
        </w:rPr>
        <w:t xml:space="preserve">(detailed in Annex 4) </w:t>
      </w:r>
      <w:r w:rsidRPr="005652FF">
        <w:rPr>
          <w:rFonts w:ascii="Verdana" w:hAnsi="Verdana" w:cstheme="minorHAnsi"/>
          <w:bCs/>
          <w:sz w:val="20"/>
          <w:lang w:val="en-US"/>
        </w:rPr>
        <w:t xml:space="preserve">and one experimental animal study were considered as potential </w:t>
      </w:r>
      <w:r w:rsidR="00EA6326">
        <w:rPr>
          <w:rFonts w:ascii="Verdana" w:hAnsi="Verdana" w:cstheme="minorHAnsi"/>
          <w:bCs/>
          <w:sz w:val="20"/>
          <w:lang w:val="en-US"/>
        </w:rPr>
        <w:t>point of departure</w:t>
      </w:r>
      <w:r w:rsidR="00EA6326" w:rsidRPr="005652FF">
        <w:rPr>
          <w:rFonts w:ascii="Verdana" w:hAnsi="Verdana" w:cstheme="minorHAnsi"/>
          <w:bCs/>
          <w:sz w:val="20"/>
          <w:lang w:val="en-US"/>
        </w:rPr>
        <w:t xml:space="preserve"> </w:t>
      </w:r>
      <w:r w:rsidRPr="005652FF">
        <w:rPr>
          <w:rFonts w:ascii="Verdana" w:hAnsi="Verdana" w:cstheme="minorHAnsi"/>
          <w:bCs/>
          <w:sz w:val="20"/>
          <w:lang w:val="en-US"/>
        </w:rPr>
        <w:t>for OEL derivation.</w:t>
      </w:r>
    </w:p>
    <w:p w14:paraId="1A1382CA" w14:textId="583D70A9" w:rsidR="00D72D3D" w:rsidRPr="005652FF" w:rsidRDefault="00D72D3D" w:rsidP="00D72D3D">
      <w:pPr>
        <w:spacing w:after="0" w:line="276" w:lineRule="auto"/>
        <w:jc w:val="both"/>
        <w:rPr>
          <w:rFonts w:ascii="Verdana" w:hAnsi="Verdana" w:cstheme="minorHAnsi"/>
          <w:bCs/>
          <w:sz w:val="20"/>
          <w:lang w:val="en-US"/>
        </w:rPr>
      </w:pPr>
      <w:r w:rsidRPr="005652FF">
        <w:rPr>
          <w:rFonts w:ascii="Verdana" w:hAnsi="Verdana" w:cstheme="minorHAnsi"/>
          <w:bCs/>
          <w:sz w:val="20"/>
          <w:lang w:val="en-US"/>
        </w:rPr>
        <w:t xml:space="preserve">- Regarding the effects on the thyroid hormones, in a follow-up cohort study in Japanese rayon workers, Takebayashi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observed a significant decrease in thyroxine (T</w:t>
      </w:r>
      <w:r w:rsidRPr="005652FF">
        <w:rPr>
          <w:rFonts w:ascii="Verdana" w:hAnsi="Verdana" w:cstheme="minorHAnsi"/>
          <w:bCs/>
          <w:sz w:val="20"/>
          <w:vertAlign w:val="subscript"/>
          <w:lang w:val="en-US"/>
        </w:rPr>
        <w:t>4</w:t>
      </w:r>
      <w:r w:rsidRPr="005652FF">
        <w:rPr>
          <w:rFonts w:ascii="Verdana" w:hAnsi="Verdana" w:cstheme="minorHAnsi"/>
          <w:bCs/>
          <w:sz w:val="20"/>
          <w:lang w:val="en-US"/>
        </w:rPr>
        <w:t xml:space="preserve">) level in the blood of the group of workers exposed to carbon disulfide compared to the referent worker group (Takebayashi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2003). However, though the effect on thyroxine level may </w:t>
      </w:r>
      <w:r w:rsidR="00A53819">
        <w:rPr>
          <w:rFonts w:ascii="Verdana" w:hAnsi="Verdana" w:cstheme="minorHAnsi"/>
          <w:bCs/>
          <w:sz w:val="20"/>
          <w:lang w:val="en-US"/>
        </w:rPr>
        <w:t xml:space="preserve">be </w:t>
      </w:r>
      <w:r w:rsidRPr="005652FF">
        <w:rPr>
          <w:rFonts w:ascii="Verdana" w:hAnsi="Verdana" w:cstheme="minorHAnsi"/>
          <w:bCs/>
          <w:sz w:val="20"/>
          <w:lang w:val="en-US"/>
        </w:rPr>
        <w:t xml:space="preserve">considered biologically relevant, it was of small magnitude in the study (8.34 </w:t>
      </w:r>
      <w:r w:rsidR="00767C7E">
        <w:rPr>
          <w:rFonts w:ascii="Verdana" w:hAnsi="Verdana" w:cstheme="minorHAnsi"/>
          <w:bCs/>
          <w:sz w:val="20"/>
          <w:lang w:val="en-US"/>
        </w:rPr>
        <w:t xml:space="preserve">µg/dl </w:t>
      </w:r>
      <w:r w:rsidRPr="005652FF">
        <w:rPr>
          <w:rFonts w:ascii="Verdana" w:hAnsi="Verdana" w:cstheme="minorHAnsi"/>
          <w:bCs/>
          <w:sz w:val="20"/>
          <w:lang w:val="en-US"/>
        </w:rPr>
        <w:t>± 1.53 in CS</w:t>
      </w:r>
      <w:r w:rsidRPr="005652FF">
        <w:rPr>
          <w:rFonts w:ascii="Verdana" w:hAnsi="Verdana" w:cstheme="minorHAnsi"/>
          <w:bCs/>
          <w:sz w:val="20"/>
          <w:vertAlign w:val="subscript"/>
          <w:lang w:val="en-US"/>
        </w:rPr>
        <w:t>2</w:t>
      </w:r>
      <w:r w:rsidRPr="005652FF">
        <w:rPr>
          <w:rFonts w:ascii="Verdana" w:hAnsi="Verdana" w:cstheme="minorHAnsi"/>
          <w:bCs/>
          <w:sz w:val="20"/>
          <w:lang w:val="en-US"/>
        </w:rPr>
        <w:t xml:space="preserve"> workers vs 8.61 </w:t>
      </w:r>
      <w:r w:rsidR="00767C7E">
        <w:rPr>
          <w:rFonts w:ascii="Verdana" w:hAnsi="Verdana" w:cstheme="minorHAnsi"/>
          <w:bCs/>
          <w:sz w:val="20"/>
          <w:lang w:val="en-US"/>
        </w:rPr>
        <w:t xml:space="preserve">µg/dl </w:t>
      </w:r>
      <w:r w:rsidRPr="005652FF">
        <w:rPr>
          <w:rFonts w:ascii="Verdana" w:hAnsi="Verdana" w:cstheme="minorHAnsi"/>
          <w:bCs/>
          <w:sz w:val="20"/>
          <w:lang w:val="en-US"/>
        </w:rPr>
        <w:t xml:space="preserve">± 1.54 in referent workers, p=0.04), no relation was observed by job types or 6-year TTCA levels. Therefore, the results of the study </w:t>
      </w:r>
      <w:r w:rsidR="00EA6326">
        <w:rPr>
          <w:rFonts w:ascii="Verdana" w:hAnsi="Verdana" w:cstheme="minorHAnsi"/>
          <w:bCs/>
          <w:sz w:val="20"/>
          <w:lang w:val="en-US"/>
        </w:rPr>
        <w:t>are</w:t>
      </w:r>
      <w:r w:rsidR="00EA6326" w:rsidRPr="005652FF">
        <w:rPr>
          <w:rFonts w:ascii="Verdana" w:hAnsi="Verdana" w:cstheme="minorHAnsi"/>
          <w:bCs/>
          <w:sz w:val="20"/>
          <w:lang w:val="en-US"/>
        </w:rPr>
        <w:t xml:space="preserve"> </w:t>
      </w:r>
      <w:r w:rsidRPr="005652FF">
        <w:rPr>
          <w:rFonts w:ascii="Verdana" w:hAnsi="Verdana" w:cstheme="minorHAnsi"/>
          <w:bCs/>
          <w:sz w:val="20"/>
          <w:lang w:val="en-US"/>
        </w:rPr>
        <w:t>judged irrelevant for revising the IOELV.</w:t>
      </w:r>
    </w:p>
    <w:p w14:paraId="798D45BD" w14:textId="77777777" w:rsidR="00D72D3D" w:rsidRPr="005652FF" w:rsidRDefault="00D72D3D" w:rsidP="00D72D3D">
      <w:pPr>
        <w:spacing w:after="0" w:line="276" w:lineRule="auto"/>
        <w:jc w:val="both"/>
        <w:rPr>
          <w:rFonts w:ascii="Verdana" w:hAnsi="Verdana" w:cstheme="minorHAnsi"/>
          <w:bCs/>
          <w:sz w:val="20"/>
          <w:lang w:val="en-US"/>
        </w:rPr>
      </w:pPr>
    </w:p>
    <w:p w14:paraId="3BB95301" w14:textId="0A8128E8" w:rsidR="00D72D3D" w:rsidRPr="005652FF" w:rsidRDefault="00D72D3D" w:rsidP="00D72D3D">
      <w:pPr>
        <w:spacing w:after="0" w:line="276" w:lineRule="auto"/>
        <w:jc w:val="both"/>
        <w:rPr>
          <w:rFonts w:ascii="Verdana" w:hAnsi="Verdana" w:cstheme="minorHAnsi"/>
          <w:bCs/>
          <w:sz w:val="22"/>
          <w:lang w:val="en-US"/>
        </w:rPr>
      </w:pPr>
      <w:r w:rsidRPr="005652FF">
        <w:rPr>
          <w:rFonts w:ascii="Verdana" w:hAnsi="Verdana" w:cstheme="minorHAnsi"/>
          <w:bCs/>
          <w:sz w:val="20"/>
          <w:lang w:val="en-US"/>
        </w:rPr>
        <w:t xml:space="preserve">- With regards to cardiovascular toxicity, the minor cardiovascular findings (ECG waveform anomalies noted using Minnesota code) observed in the same follow-up cohort study in Japanese rayon workers (Takebayashi </w:t>
      </w:r>
      <w:r w:rsidR="0008751D" w:rsidRPr="0008751D">
        <w:rPr>
          <w:rFonts w:ascii="Verdana" w:hAnsi="Verdana" w:cstheme="minorHAnsi"/>
          <w:bCs/>
          <w:i/>
          <w:sz w:val="20"/>
          <w:lang w:val="en-US"/>
        </w:rPr>
        <w:t>et al.</w:t>
      </w:r>
      <w:r w:rsidRPr="005652FF">
        <w:rPr>
          <w:rFonts w:ascii="Verdana" w:hAnsi="Verdana" w:cstheme="minorHAnsi"/>
          <w:bCs/>
          <w:i/>
          <w:sz w:val="20"/>
          <w:lang w:val="en-US"/>
        </w:rPr>
        <w:t>,</w:t>
      </w:r>
      <w:r w:rsidRPr="005652FF">
        <w:rPr>
          <w:rFonts w:ascii="Verdana" w:hAnsi="Verdana" w:cstheme="minorHAnsi"/>
          <w:bCs/>
          <w:sz w:val="20"/>
          <w:lang w:val="en-US"/>
        </w:rPr>
        <w:t xml:space="preserve"> 2004) are considered potentially relevant but are not considered sufficiently critical to revise the current IOELV in the absence of confirmed clinical alteration at 5 ppm when rigorous “symptomatic” ECG criteria of ischemia were applied. Similarly, the findings reported in Schramm </w:t>
      </w:r>
      <w:r w:rsidR="0008751D" w:rsidRPr="0008751D">
        <w:rPr>
          <w:rFonts w:ascii="Verdana" w:hAnsi="Verdana" w:cstheme="minorHAnsi"/>
          <w:bCs/>
          <w:i/>
          <w:sz w:val="20"/>
          <w:lang w:val="en-US"/>
        </w:rPr>
        <w:t>et al.</w:t>
      </w:r>
      <w:r w:rsidRPr="005652FF">
        <w:rPr>
          <w:rFonts w:ascii="Verdana" w:hAnsi="Verdana" w:cstheme="minorHAnsi"/>
          <w:bCs/>
          <w:sz w:val="20"/>
          <w:lang w:val="en-US"/>
        </w:rPr>
        <w:t xml:space="preserve"> in a transversal study in German rayon worker exposed to carbon disulfide on the increase in intima media thickness (marker of atherosclerosis) were in </w:t>
      </w:r>
      <w:r w:rsidR="008024BB">
        <w:rPr>
          <w:rFonts w:ascii="Verdana" w:hAnsi="Verdana" w:cstheme="minorHAnsi"/>
          <w:bCs/>
          <w:sz w:val="20"/>
          <w:lang w:val="en-US"/>
        </w:rPr>
        <w:t>normal biological range</w:t>
      </w:r>
      <w:r w:rsidRPr="005652FF">
        <w:rPr>
          <w:rFonts w:ascii="Verdana" w:hAnsi="Verdana" w:cstheme="minorHAnsi"/>
          <w:bCs/>
          <w:sz w:val="20"/>
          <w:lang w:val="en-US"/>
        </w:rPr>
        <w:t xml:space="preserve">, without sign of atherosclerosis (Schramm </w:t>
      </w:r>
      <w:r w:rsidR="0008751D" w:rsidRPr="0008751D">
        <w:rPr>
          <w:rFonts w:ascii="Verdana" w:hAnsi="Verdana" w:cstheme="minorHAnsi"/>
          <w:bCs/>
          <w:i/>
          <w:sz w:val="20"/>
          <w:lang w:val="en-US"/>
        </w:rPr>
        <w:t>et al.</w:t>
      </w:r>
      <w:r w:rsidRPr="005652FF">
        <w:rPr>
          <w:rFonts w:ascii="Verdana" w:hAnsi="Verdana" w:cstheme="minorHAnsi"/>
          <w:bCs/>
          <w:i/>
          <w:sz w:val="20"/>
          <w:lang w:val="en-US"/>
        </w:rPr>
        <w:t>,</w:t>
      </w:r>
      <w:r w:rsidRPr="005652FF">
        <w:rPr>
          <w:rFonts w:ascii="Verdana" w:hAnsi="Verdana" w:cstheme="minorHAnsi"/>
          <w:bCs/>
          <w:sz w:val="20"/>
          <w:lang w:val="en-US"/>
        </w:rPr>
        <w:t xml:space="preserve"> 2016). In addition, major limitations were identified in this study (e.g. potential bias) and the effect on intima thickness was not confirmed in other </w:t>
      </w:r>
      <w:r w:rsidRPr="004E2300">
        <w:rPr>
          <w:rFonts w:ascii="Verdana" w:hAnsi="Verdana" w:cstheme="minorHAnsi"/>
          <w:bCs/>
          <w:sz w:val="20"/>
          <w:lang w:val="en-US"/>
        </w:rPr>
        <w:t xml:space="preserve">epidemiological studies. Therefore, the results of this study </w:t>
      </w:r>
      <w:r w:rsidR="00EA6326">
        <w:rPr>
          <w:rFonts w:ascii="Verdana" w:hAnsi="Verdana" w:cstheme="minorHAnsi"/>
          <w:bCs/>
          <w:sz w:val="20"/>
          <w:lang w:val="en-US"/>
        </w:rPr>
        <w:t>are</w:t>
      </w:r>
      <w:r w:rsidR="00EA6326" w:rsidRPr="004E2300">
        <w:rPr>
          <w:rFonts w:ascii="Verdana" w:hAnsi="Verdana" w:cstheme="minorHAnsi"/>
          <w:bCs/>
          <w:sz w:val="20"/>
          <w:lang w:val="en-US"/>
        </w:rPr>
        <w:t xml:space="preserve"> </w:t>
      </w:r>
      <w:r w:rsidRPr="004E2300">
        <w:rPr>
          <w:rFonts w:ascii="Verdana" w:hAnsi="Verdana" w:cstheme="minorHAnsi"/>
          <w:bCs/>
          <w:sz w:val="20"/>
          <w:lang w:val="en-US"/>
        </w:rPr>
        <w:t>irrelevant</w:t>
      </w:r>
      <w:r w:rsidR="00676833">
        <w:rPr>
          <w:rFonts w:ascii="Verdana" w:hAnsi="Verdana" w:cstheme="minorHAnsi"/>
          <w:bCs/>
          <w:sz w:val="20"/>
          <w:lang w:val="en-US"/>
        </w:rPr>
        <w:t xml:space="preserve"> </w:t>
      </w:r>
      <w:r w:rsidR="00504831">
        <w:rPr>
          <w:rFonts w:ascii="Verdana" w:hAnsi="Verdana" w:cstheme="minorHAnsi"/>
          <w:bCs/>
          <w:sz w:val="20"/>
          <w:lang w:val="en-US"/>
        </w:rPr>
        <w:t>for revising</w:t>
      </w:r>
      <w:r w:rsidRPr="004E2300">
        <w:rPr>
          <w:rFonts w:ascii="Verdana" w:hAnsi="Verdana" w:cstheme="minorHAnsi"/>
          <w:bCs/>
          <w:sz w:val="20"/>
          <w:lang w:val="en-US"/>
        </w:rPr>
        <w:t xml:space="preserve"> the current IOELV.</w:t>
      </w:r>
      <w:r w:rsidRPr="005652FF">
        <w:rPr>
          <w:rFonts w:ascii="Verdana" w:hAnsi="Verdana" w:cstheme="minorHAnsi"/>
          <w:bCs/>
          <w:sz w:val="22"/>
          <w:lang w:val="en-US"/>
        </w:rPr>
        <w:t xml:space="preserve"> </w:t>
      </w:r>
    </w:p>
    <w:p w14:paraId="4FB22434" w14:textId="77777777" w:rsidR="00D72D3D" w:rsidRPr="005652FF" w:rsidRDefault="00D72D3D" w:rsidP="00D72D3D">
      <w:pPr>
        <w:spacing w:after="0" w:line="276" w:lineRule="auto"/>
        <w:jc w:val="both"/>
        <w:rPr>
          <w:rFonts w:ascii="Verdana" w:hAnsi="Verdana" w:cstheme="minorHAnsi"/>
          <w:bCs/>
          <w:sz w:val="22"/>
          <w:lang w:val="en-US"/>
        </w:rPr>
      </w:pPr>
    </w:p>
    <w:p w14:paraId="0023CCBD" w14:textId="16E60EC6" w:rsidR="00D72D3D" w:rsidRPr="005652FF" w:rsidRDefault="00D72D3D" w:rsidP="00D72D3D">
      <w:pPr>
        <w:pStyle w:val="Corpsdetexte"/>
        <w:spacing w:after="0" w:line="276" w:lineRule="auto"/>
        <w:jc w:val="both"/>
        <w:rPr>
          <w:rFonts w:ascii="Verdana" w:eastAsiaTheme="minorHAnsi" w:hAnsi="Verdana" w:cstheme="minorHAnsi"/>
          <w:bCs/>
          <w:sz w:val="20"/>
          <w:szCs w:val="22"/>
          <w:lang w:val="en-US"/>
        </w:rPr>
      </w:pPr>
      <w:r w:rsidRPr="005652FF">
        <w:rPr>
          <w:rFonts w:ascii="Verdana" w:eastAsiaTheme="minorHAnsi" w:hAnsi="Verdana" w:cstheme="minorHAnsi"/>
          <w:bCs/>
          <w:sz w:val="20"/>
          <w:szCs w:val="22"/>
          <w:lang w:val="en-US"/>
        </w:rPr>
        <w:t xml:space="preserve">- With regards to the effects on the nervous system, </w:t>
      </w:r>
      <w:bookmarkStart w:id="16" w:name="_Hlk80689103"/>
      <w:r w:rsidRPr="005652FF">
        <w:rPr>
          <w:rFonts w:ascii="Verdana" w:eastAsiaTheme="minorHAnsi" w:hAnsi="Verdana" w:cstheme="minorHAnsi"/>
          <w:bCs/>
          <w:sz w:val="20"/>
          <w:szCs w:val="22"/>
          <w:lang w:val="en-US"/>
        </w:rPr>
        <w:t xml:space="preserve">Yoshioka </w:t>
      </w:r>
      <w:r w:rsidR="0008751D" w:rsidRPr="0008751D">
        <w:rPr>
          <w:rFonts w:ascii="Verdana" w:eastAsiaTheme="minorHAnsi" w:hAnsi="Verdana" w:cstheme="minorHAnsi"/>
          <w:bCs/>
          <w:i/>
          <w:sz w:val="20"/>
          <w:szCs w:val="22"/>
          <w:lang w:val="en-US"/>
        </w:rPr>
        <w:t>et al.</w:t>
      </w:r>
      <w:r w:rsidRPr="005652FF">
        <w:rPr>
          <w:rFonts w:ascii="Verdana" w:eastAsiaTheme="minorHAnsi" w:hAnsi="Verdana" w:cstheme="minorHAnsi"/>
          <w:bCs/>
          <w:sz w:val="20"/>
          <w:szCs w:val="22"/>
          <w:lang w:val="en-US"/>
        </w:rPr>
        <w:t xml:space="preserve"> </w:t>
      </w:r>
      <w:bookmarkEnd w:id="16"/>
      <w:r w:rsidRPr="005652FF">
        <w:rPr>
          <w:rFonts w:ascii="Verdana" w:eastAsiaTheme="minorHAnsi" w:hAnsi="Verdana" w:cstheme="minorHAnsi"/>
          <w:bCs/>
          <w:sz w:val="20"/>
          <w:szCs w:val="22"/>
          <w:lang w:val="en-US"/>
        </w:rPr>
        <w:t xml:space="preserve">published the results of the 6-year prospective Japanese cohort study (same cohort as in Takebayashi </w:t>
      </w:r>
      <w:r w:rsidR="0008751D" w:rsidRPr="0008751D">
        <w:rPr>
          <w:rFonts w:ascii="Verdana" w:eastAsiaTheme="minorHAnsi" w:hAnsi="Verdana" w:cstheme="minorHAnsi"/>
          <w:bCs/>
          <w:i/>
          <w:sz w:val="20"/>
          <w:szCs w:val="22"/>
          <w:lang w:val="en-US"/>
        </w:rPr>
        <w:t>et al.</w:t>
      </w:r>
      <w:r w:rsidRPr="005652FF">
        <w:rPr>
          <w:rFonts w:ascii="Verdana" w:eastAsiaTheme="minorHAnsi" w:hAnsi="Verdana" w:cstheme="minorHAnsi"/>
          <w:bCs/>
          <w:sz w:val="20"/>
          <w:szCs w:val="22"/>
          <w:lang w:val="en-US"/>
        </w:rPr>
        <w:t>) on the effect</w:t>
      </w:r>
      <w:r w:rsidR="00B37D21">
        <w:rPr>
          <w:rFonts w:ascii="Verdana" w:eastAsiaTheme="minorHAnsi" w:hAnsi="Verdana" w:cstheme="minorHAnsi"/>
          <w:bCs/>
          <w:sz w:val="20"/>
          <w:szCs w:val="22"/>
          <w:lang w:val="en-US"/>
        </w:rPr>
        <w:t>s</w:t>
      </w:r>
      <w:r w:rsidRPr="005652FF">
        <w:rPr>
          <w:rFonts w:ascii="Verdana" w:eastAsiaTheme="minorHAnsi" w:hAnsi="Verdana" w:cstheme="minorHAnsi"/>
          <w:bCs/>
          <w:sz w:val="20"/>
          <w:szCs w:val="22"/>
          <w:lang w:val="en-US"/>
        </w:rPr>
        <w:t xml:space="preserve"> of carbon disulfide on the nervous system</w:t>
      </w:r>
      <w:r w:rsidR="0041257E">
        <w:rPr>
          <w:rFonts w:ascii="Verdana" w:eastAsiaTheme="minorHAnsi" w:hAnsi="Verdana" w:cstheme="minorHAnsi"/>
          <w:bCs/>
          <w:sz w:val="20"/>
          <w:szCs w:val="22"/>
          <w:lang w:val="en-US"/>
        </w:rPr>
        <w:t xml:space="preserve"> </w:t>
      </w:r>
      <w:r w:rsidR="0041257E" w:rsidRPr="005652FF">
        <w:rPr>
          <w:rFonts w:ascii="Verdana" w:eastAsiaTheme="minorHAnsi" w:hAnsi="Verdana" w:cstheme="minorHAnsi"/>
          <w:bCs/>
          <w:sz w:val="20"/>
          <w:szCs w:val="22"/>
          <w:lang w:val="en-US"/>
        </w:rPr>
        <w:t xml:space="preserve">(Yoshioka </w:t>
      </w:r>
      <w:r w:rsidR="0041257E" w:rsidRPr="0008751D">
        <w:rPr>
          <w:rFonts w:ascii="Verdana" w:eastAsiaTheme="minorHAnsi" w:hAnsi="Verdana" w:cstheme="minorHAnsi"/>
          <w:bCs/>
          <w:i/>
          <w:sz w:val="20"/>
          <w:szCs w:val="22"/>
          <w:lang w:val="en-US"/>
        </w:rPr>
        <w:t>et al.</w:t>
      </w:r>
      <w:r w:rsidR="0041257E">
        <w:rPr>
          <w:rFonts w:ascii="Verdana" w:eastAsiaTheme="minorHAnsi" w:hAnsi="Verdana" w:cstheme="minorHAnsi"/>
          <w:bCs/>
          <w:i/>
          <w:sz w:val="20"/>
          <w:szCs w:val="22"/>
          <w:lang w:val="en-US"/>
        </w:rPr>
        <w:t>,</w:t>
      </w:r>
      <w:r w:rsidR="0041257E" w:rsidRPr="005652FF">
        <w:rPr>
          <w:rFonts w:ascii="Verdana" w:eastAsiaTheme="minorHAnsi" w:hAnsi="Verdana" w:cstheme="minorHAnsi"/>
          <w:bCs/>
          <w:sz w:val="20"/>
          <w:szCs w:val="22"/>
          <w:lang w:val="en-US"/>
        </w:rPr>
        <w:t xml:space="preserve"> 2017)</w:t>
      </w:r>
      <w:r w:rsidRPr="005652FF">
        <w:rPr>
          <w:rFonts w:ascii="Verdana" w:eastAsiaTheme="minorHAnsi" w:hAnsi="Verdana" w:cstheme="minorHAnsi"/>
          <w:bCs/>
          <w:sz w:val="20"/>
          <w:szCs w:val="22"/>
          <w:lang w:val="en-US"/>
        </w:rPr>
        <w:t>. At baseline, motor nerve conduction (MCV) and sensory nerve conduction velocity (SCV) were not different between the exposed and the unexposed workers. At follow-up, MCV was not affected around a mean level of 6 ppm. Nevertheless, SCV was statistically significantly reduced in exposed workers compared to unexposed workers or workers previously exposed to carbon disulfide but no more exposed at follow-up. The SCV reduction effect was still observed after adjustment for potential confounding factors (</w:t>
      </w:r>
      <w:r w:rsidRPr="005652FF">
        <w:rPr>
          <w:rFonts w:ascii="Verdana" w:eastAsiaTheme="minorHAnsi" w:hAnsi="Verdana" w:cstheme="minorHAnsi"/>
          <w:bCs/>
          <w:i/>
          <w:sz w:val="20"/>
          <w:szCs w:val="22"/>
          <w:lang w:val="en-US"/>
        </w:rPr>
        <w:t>e.g.</w:t>
      </w:r>
      <w:r w:rsidRPr="005652FF">
        <w:rPr>
          <w:rFonts w:ascii="Verdana" w:eastAsiaTheme="minorHAnsi" w:hAnsi="Verdana" w:cstheme="minorHAnsi"/>
          <w:bCs/>
          <w:sz w:val="20"/>
          <w:szCs w:val="22"/>
          <w:lang w:val="en-US"/>
        </w:rPr>
        <w:t xml:space="preserve"> aging) in exposed workers compared to non-exposed workers. The neurological system is a critical target of carbon disulfide-induce</w:t>
      </w:r>
      <w:r w:rsidR="00B37D21">
        <w:rPr>
          <w:rFonts w:ascii="Verdana" w:eastAsiaTheme="minorHAnsi" w:hAnsi="Verdana" w:cstheme="minorHAnsi"/>
          <w:bCs/>
          <w:sz w:val="20"/>
          <w:szCs w:val="22"/>
          <w:lang w:val="en-US"/>
        </w:rPr>
        <w:t>d</w:t>
      </w:r>
      <w:r w:rsidRPr="005652FF">
        <w:rPr>
          <w:rFonts w:ascii="Verdana" w:eastAsiaTheme="minorHAnsi" w:hAnsi="Verdana" w:cstheme="minorHAnsi"/>
          <w:bCs/>
          <w:sz w:val="20"/>
          <w:szCs w:val="22"/>
          <w:lang w:val="en-US"/>
        </w:rPr>
        <w:t xml:space="preserve"> toxicity, but the SCV findings were of low magnitude and it was noted by the authors that the effect may be reversible at 4 ppm. Therefore, these earliest subtle neurological findings </w:t>
      </w:r>
      <w:r w:rsidR="00EA6326">
        <w:rPr>
          <w:rFonts w:ascii="Verdana" w:eastAsiaTheme="minorHAnsi" w:hAnsi="Verdana" w:cstheme="minorHAnsi"/>
          <w:bCs/>
          <w:sz w:val="20"/>
          <w:szCs w:val="22"/>
          <w:lang w:val="en-US"/>
        </w:rPr>
        <w:t>are</w:t>
      </w:r>
      <w:r w:rsidR="00EA6326" w:rsidRPr="005652FF">
        <w:rPr>
          <w:rFonts w:ascii="Verdana" w:eastAsiaTheme="minorHAnsi" w:hAnsi="Verdana" w:cstheme="minorHAnsi"/>
          <w:bCs/>
          <w:sz w:val="20"/>
          <w:szCs w:val="22"/>
          <w:lang w:val="en-US"/>
        </w:rPr>
        <w:t xml:space="preserve"> </w:t>
      </w:r>
      <w:r w:rsidRPr="005652FF">
        <w:rPr>
          <w:rFonts w:ascii="Verdana" w:eastAsiaTheme="minorHAnsi" w:hAnsi="Verdana" w:cstheme="minorHAnsi"/>
          <w:bCs/>
          <w:sz w:val="20"/>
          <w:szCs w:val="22"/>
          <w:lang w:val="en-US"/>
        </w:rPr>
        <w:t>also not considered sufficient to revise the current IOELV on this basis.</w:t>
      </w:r>
    </w:p>
    <w:p w14:paraId="78722D13" w14:textId="77777777" w:rsidR="00D72D3D" w:rsidRPr="005652FF" w:rsidRDefault="00D72D3D" w:rsidP="00D72D3D">
      <w:pPr>
        <w:spacing w:after="0" w:line="276" w:lineRule="auto"/>
        <w:jc w:val="both"/>
        <w:rPr>
          <w:rFonts w:ascii="Verdana" w:hAnsi="Verdana" w:cstheme="minorHAnsi"/>
          <w:bCs/>
          <w:sz w:val="22"/>
          <w:lang w:val="en-US"/>
        </w:rPr>
      </w:pPr>
    </w:p>
    <w:p w14:paraId="4F381782" w14:textId="577AD8D0" w:rsidR="00D72D3D" w:rsidRPr="005652FF" w:rsidRDefault="00D72D3D" w:rsidP="00D72D3D">
      <w:pPr>
        <w:pStyle w:val="MDPI35textbeforelist"/>
        <w:spacing w:line="276" w:lineRule="auto"/>
        <w:ind w:left="0" w:firstLine="0"/>
        <w:rPr>
          <w:rFonts w:ascii="Verdana" w:eastAsiaTheme="minorHAnsi" w:hAnsi="Verdana" w:cstheme="minorHAnsi"/>
          <w:bCs/>
          <w:snapToGrid/>
          <w:color w:val="auto"/>
          <w:sz w:val="18"/>
          <w:lang w:eastAsia="en-US" w:bidi="ar-SA"/>
        </w:rPr>
      </w:pPr>
      <w:r w:rsidRPr="005652FF">
        <w:rPr>
          <w:rFonts w:ascii="Verdana" w:eastAsiaTheme="minorHAnsi" w:hAnsi="Verdana" w:cstheme="minorHAnsi"/>
          <w:bCs/>
          <w:snapToGrid/>
          <w:color w:val="auto"/>
          <w:lang w:eastAsia="en-US" w:bidi="ar-SA"/>
        </w:rPr>
        <w:t>- Regarding reproductive effect</w:t>
      </w:r>
      <w:r w:rsidR="00326C81">
        <w:rPr>
          <w:rFonts w:ascii="Verdana" w:eastAsiaTheme="minorHAnsi" w:hAnsi="Verdana" w:cstheme="minorHAnsi"/>
          <w:bCs/>
          <w:snapToGrid/>
          <w:color w:val="auto"/>
          <w:lang w:eastAsia="en-US" w:bidi="ar-SA"/>
        </w:rPr>
        <w:t>s</w:t>
      </w:r>
      <w:r w:rsidRPr="005652FF">
        <w:rPr>
          <w:rFonts w:ascii="Verdana" w:eastAsiaTheme="minorHAnsi" w:hAnsi="Verdana" w:cstheme="minorHAnsi"/>
          <w:bCs/>
          <w:snapToGrid/>
          <w:color w:val="auto"/>
          <w:lang w:eastAsia="en-US" w:bidi="ar-SA"/>
        </w:rPr>
        <w:t xml:space="preserve">: in a recent </w:t>
      </w:r>
      <w:r w:rsidR="00431E9B">
        <w:rPr>
          <w:rFonts w:ascii="Verdana" w:eastAsiaTheme="minorHAnsi" w:hAnsi="Verdana" w:cstheme="minorHAnsi"/>
          <w:bCs/>
          <w:snapToGrid/>
          <w:color w:val="auto"/>
          <w:lang w:eastAsia="en-US" w:bidi="ar-SA"/>
        </w:rPr>
        <w:t>EOGRTS</w:t>
      </w:r>
      <w:r w:rsidRPr="005652FF">
        <w:rPr>
          <w:rFonts w:ascii="Verdana" w:eastAsiaTheme="minorHAnsi" w:hAnsi="Verdana" w:cstheme="minorHAnsi"/>
          <w:bCs/>
          <w:snapToGrid/>
          <w:color w:val="auto"/>
          <w:lang w:eastAsia="en-US" w:bidi="ar-SA"/>
        </w:rPr>
        <w:t xml:space="preserve"> (Unpublished report, 2019), similar to OECD </w:t>
      </w:r>
      <w:r w:rsidR="00431E9B">
        <w:rPr>
          <w:rFonts w:ascii="Verdana" w:eastAsiaTheme="minorHAnsi" w:hAnsi="Verdana" w:cstheme="minorHAnsi"/>
          <w:bCs/>
          <w:snapToGrid/>
          <w:color w:val="auto"/>
          <w:lang w:eastAsia="en-US" w:bidi="ar-SA"/>
        </w:rPr>
        <w:t>TG</w:t>
      </w:r>
      <w:r w:rsidRPr="005652FF">
        <w:rPr>
          <w:rFonts w:ascii="Verdana" w:eastAsiaTheme="minorHAnsi" w:hAnsi="Verdana" w:cstheme="minorHAnsi"/>
          <w:bCs/>
          <w:snapToGrid/>
          <w:color w:val="auto"/>
          <w:lang w:eastAsia="en-US" w:bidi="ar-SA"/>
        </w:rPr>
        <w:t xml:space="preserve"> 443, rats were exposed by gavage to 0, 1.2, 12 or 120 mg/kg </w:t>
      </w:r>
      <w:r w:rsidRPr="005652FF">
        <w:rPr>
          <w:rFonts w:ascii="Verdana" w:eastAsiaTheme="minorHAnsi" w:hAnsi="Verdana" w:cstheme="minorHAnsi"/>
          <w:bCs/>
          <w:snapToGrid/>
          <w:color w:val="auto"/>
          <w:lang w:eastAsia="en-US" w:bidi="ar-SA"/>
        </w:rPr>
        <w:lastRenderedPageBreak/>
        <w:t xml:space="preserve">bw/d </w:t>
      </w:r>
      <w:r>
        <w:rPr>
          <w:rFonts w:ascii="Verdana" w:eastAsiaTheme="minorHAnsi" w:hAnsi="Verdana" w:cstheme="minorHAnsi"/>
          <w:bCs/>
          <w:snapToGrid/>
          <w:color w:val="auto"/>
          <w:lang w:eastAsia="en-US" w:bidi="ar-SA"/>
        </w:rPr>
        <w:t>carbon disulfide</w:t>
      </w:r>
      <w:r w:rsidRPr="005652FF">
        <w:rPr>
          <w:rFonts w:ascii="Verdana" w:eastAsiaTheme="minorHAnsi" w:hAnsi="Verdana" w:cstheme="minorHAnsi"/>
          <w:bCs/>
          <w:snapToGrid/>
          <w:color w:val="auto"/>
          <w:lang w:eastAsia="en-US" w:bidi="ar-SA"/>
        </w:rPr>
        <w:t>.</w:t>
      </w:r>
      <w:r w:rsidR="008A33D5">
        <w:rPr>
          <w:rFonts w:ascii="Verdana" w:eastAsiaTheme="minorHAnsi" w:hAnsi="Verdana" w:cstheme="minorHAnsi"/>
          <w:bCs/>
          <w:snapToGrid/>
          <w:color w:val="auto"/>
          <w:lang w:eastAsia="en-US" w:bidi="ar-SA"/>
        </w:rPr>
        <w:t xml:space="preserve"> The study </w:t>
      </w:r>
      <w:r w:rsidR="008A33D5" w:rsidRPr="00AC4DA6">
        <w:rPr>
          <w:rFonts w:ascii="Verdana" w:eastAsiaTheme="minorHAnsi" w:hAnsi="Verdana" w:cstheme="minorHAnsi"/>
          <w:bCs/>
          <w:snapToGrid/>
          <w:color w:val="auto"/>
          <w:lang w:eastAsia="en-US" w:bidi="ar-SA"/>
        </w:rPr>
        <w:t xml:space="preserve">is detailed in </w:t>
      </w:r>
      <w:r w:rsidR="007A66EF">
        <w:rPr>
          <w:rFonts w:ascii="Verdana" w:eastAsiaTheme="minorHAnsi" w:hAnsi="Verdana" w:cstheme="minorHAnsi"/>
          <w:bCs/>
          <w:snapToGrid/>
          <w:color w:val="auto"/>
          <w:lang w:eastAsia="en-US" w:bidi="ar-SA"/>
        </w:rPr>
        <w:t xml:space="preserve">the </w:t>
      </w:r>
      <w:r w:rsidR="008A33D5" w:rsidRPr="00AC4DA6">
        <w:rPr>
          <w:rFonts w:ascii="Verdana" w:eastAsiaTheme="minorHAnsi" w:hAnsi="Verdana" w:cstheme="minorHAnsi"/>
          <w:bCs/>
          <w:snapToGrid/>
          <w:color w:val="auto"/>
          <w:lang w:eastAsia="en-US" w:bidi="ar-SA"/>
        </w:rPr>
        <w:t>ANSES</w:t>
      </w:r>
      <w:r w:rsidR="008A33D5" w:rsidRPr="00156903">
        <w:rPr>
          <w:rFonts w:ascii="Verdana" w:eastAsiaTheme="minorHAnsi" w:hAnsi="Verdana" w:cstheme="minorHAnsi"/>
          <w:bCs/>
          <w:snapToGrid/>
          <w:color w:val="auto"/>
          <w:lang w:eastAsia="en-US" w:bidi="ar-SA"/>
        </w:rPr>
        <w:t xml:space="preserve"> </w:t>
      </w:r>
      <w:r w:rsidR="008A33D5" w:rsidRPr="004C16DE">
        <w:rPr>
          <w:rFonts w:ascii="Verdana" w:eastAsiaTheme="minorHAnsi" w:hAnsi="Verdana" w:cstheme="minorHAnsi"/>
          <w:bCs/>
          <w:snapToGrid/>
          <w:color w:val="auto"/>
          <w:lang w:eastAsia="en-US" w:bidi="ar-SA"/>
        </w:rPr>
        <w:t>conclusion report (ANSES, 2022</w:t>
      </w:r>
      <w:r w:rsidR="00CE0A6C">
        <w:rPr>
          <w:rFonts w:ascii="Verdana" w:eastAsiaTheme="minorHAnsi" w:hAnsi="Verdana" w:cstheme="minorHAnsi"/>
          <w:bCs/>
          <w:snapToGrid/>
          <w:color w:val="auto"/>
          <w:lang w:eastAsia="en-US" w:bidi="ar-SA"/>
        </w:rPr>
        <w:t xml:space="preserve">, </w:t>
      </w:r>
      <w:r w:rsidR="00CE0A6C" w:rsidRPr="00AC4DA6">
        <w:rPr>
          <w:rFonts w:ascii="Verdana" w:eastAsiaTheme="minorHAnsi" w:hAnsi="Verdana" w:cstheme="minorHAnsi"/>
          <w:bCs/>
          <w:snapToGrid/>
          <w:color w:val="auto"/>
          <w:lang w:eastAsia="en-US" w:bidi="ar-SA"/>
        </w:rPr>
        <w:t xml:space="preserve">table </w:t>
      </w:r>
      <w:r w:rsidR="00696396" w:rsidRPr="00AC4DA6">
        <w:rPr>
          <w:rFonts w:ascii="Verdana" w:eastAsiaTheme="minorHAnsi" w:hAnsi="Verdana" w:cstheme="minorHAnsi"/>
          <w:bCs/>
          <w:snapToGrid/>
          <w:color w:val="auto"/>
          <w:lang w:eastAsia="en-US" w:bidi="ar-SA"/>
        </w:rPr>
        <w:t>15</w:t>
      </w:r>
      <w:r w:rsidR="008A33D5" w:rsidRPr="00156903">
        <w:rPr>
          <w:rFonts w:ascii="Verdana" w:eastAsiaTheme="minorHAnsi" w:hAnsi="Verdana" w:cstheme="minorHAnsi"/>
          <w:bCs/>
          <w:snapToGrid/>
          <w:color w:val="auto"/>
          <w:lang w:eastAsia="en-US" w:bidi="ar-SA"/>
        </w:rPr>
        <w:t>)</w:t>
      </w:r>
      <w:r w:rsidR="008A33D5" w:rsidRPr="004C16DE">
        <w:rPr>
          <w:rFonts w:ascii="Verdana" w:eastAsiaTheme="minorHAnsi" w:hAnsi="Verdana" w:cstheme="minorHAnsi"/>
          <w:bCs/>
          <w:snapToGrid/>
          <w:color w:val="auto"/>
          <w:lang w:eastAsia="en-US" w:bidi="ar-SA"/>
        </w:rPr>
        <w:t xml:space="preserve"> available in ECHA website.</w:t>
      </w:r>
      <w:r w:rsidRPr="004C16DE">
        <w:rPr>
          <w:rFonts w:ascii="Verdana" w:eastAsiaTheme="minorHAnsi" w:hAnsi="Verdana" w:cstheme="minorHAnsi"/>
          <w:bCs/>
          <w:snapToGrid/>
          <w:color w:val="auto"/>
          <w:lang w:eastAsia="en-US" w:bidi="ar-SA"/>
        </w:rPr>
        <w:t xml:space="preserve"> </w:t>
      </w:r>
      <w:r w:rsidR="003E3E74" w:rsidRPr="002D0738">
        <w:rPr>
          <w:rFonts w:ascii="Verdana" w:eastAsiaTheme="minorHAnsi" w:hAnsi="Verdana" w:cstheme="minorHAnsi"/>
          <w:bCs/>
          <w:snapToGrid/>
          <w:color w:val="auto"/>
          <w:lang w:eastAsia="en-US" w:bidi="ar-SA"/>
        </w:rPr>
        <w:t xml:space="preserve">The study was requested during SeV with the aim to </w:t>
      </w:r>
      <w:r w:rsidR="008C5740">
        <w:rPr>
          <w:rFonts w:ascii="Verdana" w:eastAsiaTheme="minorHAnsi" w:hAnsi="Verdana" w:cstheme="minorHAnsi"/>
          <w:bCs/>
          <w:snapToGrid/>
          <w:color w:val="auto"/>
          <w:lang w:eastAsia="en-US" w:bidi="ar-SA"/>
        </w:rPr>
        <w:t>further investigate</w:t>
      </w:r>
      <w:r w:rsidR="003E3E74" w:rsidRPr="002D0738">
        <w:rPr>
          <w:rFonts w:ascii="Verdana" w:eastAsiaTheme="minorHAnsi" w:hAnsi="Verdana" w:cstheme="minorHAnsi"/>
          <w:bCs/>
          <w:snapToGrid/>
          <w:color w:val="auto"/>
          <w:lang w:eastAsia="en-US" w:bidi="ar-SA"/>
        </w:rPr>
        <w:t xml:space="preserve"> potential ED properties of carbon disulfide</w:t>
      </w:r>
      <w:r w:rsidR="00491033" w:rsidRPr="00AC4DA6">
        <w:rPr>
          <w:rFonts w:ascii="Verdana" w:eastAsiaTheme="minorHAnsi" w:hAnsi="Verdana" w:cstheme="minorHAnsi"/>
          <w:bCs/>
          <w:snapToGrid/>
          <w:color w:val="auto"/>
          <w:lang w:eastAsia="en-US" w:bidi="ar-SA"/>
        </w:rPr>
        <w:t xml:space="preserve"> and the occurrence</w:t>
      </w:r>
      <w:r w:rsidR="00491033" w:rsidRPr="00156903">
        <w:rPr>
          <w:rFonts w:ascii="Verdana" w:eastAsiaTheme="minorHAnsi" w:hAnsi="Verdana" w:cstheme="minorHAnsi"/>
          <w:bCs/>
          <w:snapToGrid/>
          <w:color w:val="auto"/>
          <w:lang w:eastAsia="en-US" w:bidi="ar-SA"/>
        </w:rPr>
        <w:t xml:space="preserve"> of reproductive effect </w:t>
      </w:r>
      <w:r w:rsidR="00491033" w:rsidRPr="004C16DE">
        <w:rPr>
          <w:rFonts w:ascii="Verdana" w:eastAsiaTheme="minorHAnsi" w:hAnsi="Verdana" w:cstheme="minorHAnsi"/>
          <w:bCs/>
          <w:snapToGrid/>
          <w:color w:val="auto"/>
          <w:lang w:eastAsia="en-US" w:bidi="ar-SA"/>
        </w:rPr>
        <w:t>that would not be covered by the current</w:t>
      </w:r>
      <w:r w:rsidR="00491033">
        <w:rPr>
          <w:rFonts w:ascii="Verdana" w:eastAsiaTheme="minorHAnsi" w:hAnsi="Verdana" w:cstheme="minorHAnsi"/>
          <w:bCs/>
          <w:snapToGrid/>
          <w:color w:val="auto"/>
          <w:lang w:eastAsia="en-US" w:bidi="ar-SA"/>
        </w:rPr>
        <w:t xml:space="preserve"> IOELV</w:t>
      </w:r>
      <w:r w:rsidR="003E3E74">
        <w:rPr>
          <w:rFonts w:ascii="Verdana" w:eastAsiaTheme="minorHAnsi" w:hAnsi="Verdana" w:cstheme="minorHAnsi"/>
          <w:bCs/>
          <w:snapToGrid/>
          <w:color w:val="auto"/>
          <w:lang w:eastAsia="en-US" w:bidi="ar-SA"/>
        </w:rPr>
        <w:t>.</w:t>
      </w:r>
      <w:r w:rsidR="001D1253">
        <w:rPr>
          <w:rFonts w:ascii="Verdana" w:eastAsiaTheme="minorHAnsi" w:hAnsi="Verdana" w:cstheme="minorHAnsi"/>
          <w:bCs/>
          <w:snapToGrid/>
          <w:color w:val="auto"/>
          <w:lang w:eastAsia="en-US" w:bidi="ar-SA"/>
        </w:rPr>
        <w:t xml:space="preserve"> In this study,</w:t>
      </w:r>
      <w:r w:rsidRPr="005652FF">
        <w:rPr>
          <w:rFonts w:ascii="Verdana" w:eastAsiaTheme="minorHAnsi" w:hAnsi="Verdana" w:cstheme="minorHAnsi"/>
          <w:bCs/>
          <w:snapToGrid/>
          <w:color w:val="auto"/>
          <w:lang w:eastAsia="en-US" w:bidi="ar-SA"/>
        </w:rPr>
        <w:t xml:space="preserve"> </w:t>
      </w:r>
      <w:r w:rsidR="001D1253">
        <w:rPr>
          <w:rFonts w:ascii="Verdana" w:eastAsiaTheme="minorHAnsi" w:hAnsi="Verdana" w:cstheme="minorHAnsi"/>
          <w:bCs/>
          <w:snapToGrid/>
          <w:color w:val="auto"/>
          <w:lang w:eastAsia="en-US" w:bidi="ar-SA"/>
        </w:rPr>
        <w:t>a</w:t>
      </w:r>
      <w:r w:rsidRPr="005652FF">
        <w:rPr>
          <w:rFonts w:ascii="Verdana" w:eastAsiaTheme="minorHAnsi" w:hAnsi="Verdana" w:cstheme="minorHAnsi"/>
          <w:bCs/>
          <w:snapToGrid/>
          <w:color w:val="auto"/>
          <w:lang w:eastAsia="en-US" w:bidi="ar-SA"/>
        </w:rPr>
        <w:t xml:space="preserve"> decrease in serum total T4 concentration was noted in F0-generation males and females and in</w:t>
      </w:r>
      <w:r w:rsidR="001D1253">
        <w:rPr>
          <w:rFonts w:ascii="Verdana" w:eastAsiaTheme="minorHAnsi" w:hAnsi="Verdana" w:cstheme="minorHAnsi"/>
          <w:bCs/>
          <w:snapToGrid/>
          <w:color w:val="auto"/>
          <w:lang w:eastAsia="en-US" w:bidi="ar-SA"/>
        </w:rPr>
        <w:t xml:space="preserve"> F1-generation</w:t>
      </w:r>
      <w:r w:rsidRPr="005652FF">
        <w:rPr>
          <w:rFonts w:ascii="Verdana" w:eastAsiaTheme="minorHAnsi" w:hAnsi="Verdana" w:cstheme="minorHAnsi"/>
          <w:bCs/>
          <w:snapToGrid/>
          <w:color w:val="auto"/>
          <w:lang w:eastAsia="en-US" w:bidi="ar-SA"/>
        </w:rPr>
        <w:t xml:space="preserve"> males</w:t>
      </w:r>
      <w:r w:rsidR="008A33D5">
        <w:rPr>
          <w:rFonts w:ascii="Verdana" w:eastAsiaTheme="minorHAnsi" w:hAnsi="Verdana" w:cstheme="minorHAnsi"/>
          <w:bCs/>
          <w:snapToGrid/>
          <w:color w:val="auto"/>
          <w:lang w:eastAsia="en-US" w:bidi="ar-SA"/>
        </w:rPr>
        <w:t xml:space="preserve"> </w:t>
      </w:r>
      <w:r w:rsidRPr="005652FF">
        <w:rPr>
          <w:rFonts w:ascii="Verdana" w:eastAsiaTheme="minorHAnsi" w:hAnsi="Verdana" w:cstheme="minorHAnsi"/>
          <w:bCs/>
          <w:snapToGrid/>
          <w:color w:val="auto"/>
          <w:lang w:eastAsia="en-US" w:bidi="ar-SA"/>
        </w:rPr>
        <w:t xml:space="preserve">at 120 mg/kg bw/day. </w:t>
      </w:r>
      <w:r w:rsidR="008A33D5">
        <w:rPr>
          <w:rFonts w:ascii="Verdana" w:eastAsiaTheme="minorHAnsi" w:hAnsi="Verdana" w:cstheme="minorHAnsi"/>
          <w:bCs/>
          <w:snapToGrid/>
          <w:color w:val="auto"/>
          <w:lang w:eastAsia="en-US" w:bidi="ar-SA"/>
        </w:rPr>
        <w:t>In addition, a</w:t>
      </w:r>
      <w:r w:rsidRPr="005652FF">
        <w:rPr>
          <w:rFonts w:ascii="Verdana" w:eastAsiaTheme="minorHAnsi" w:hAnsi="Verdana" w:cstheme="minorHAnsi"/>
          <w:bCs/>
          <w:snapToGrid/>
          <w:color w:val="auto"/>
          <w:lang w:eastAsia="en-US" w:bidi="ar-SA"/>
        </w:rPr>
        <w:t xml:space="preserve"> significant increase in sperm cells with detached head</w:t>
      </w:r>
      <w:r w:rsidR="005A0044">
        <w:rPr>
          <w:rFonts w:ascii="Verdana" w:eastAsiaTheme="minorHAnsi" w:hAnsi="Verdana" w:cstheme="minorHAnsi"/>
          <w:bCs/>
          <w:snapToGrid/>
          <w:color w:val="auto"/>
          <w:lang w:eastAsia="en-US" w:bidi="ar-SA"/>
        </w:rPr>
        <w:t xml:space="preserve"> and a </w:t>
      </w:r>
      <w:r w:rsidR="005A0044" w:rsidRPr="005652FF">
        <w:rPr>
          <w:rFonts w:ascii="Verdana" w:eastAsiaTheme="minorHAnsi" w:hAnsi="Verdana" w:cstheme="minorHAnsi"/>
          <w:bCs/>
          <w:snapToGrid/>
          <w:color w:val="auto"/>
          <w:lang w:eastAsia="en-US" w:bidi="ar-SA"/>
        </w:rPr>
        <w:t>significant decrease in ovarian primary and primordial follicles w</w:t>
      </w:r>
      <w:r w:rsidR="00E81EA7">
        <w:rPr>
          <w:rFonts w:ascii="Verdana" w:eastAsiaTheme="minorHAnsi" w:hAnsi="Verdana" w:cstheme="minorHAnsi"/>
          <w:bCs/>
          <w:snapToGrid/>
          <w:color w:val="auto"/>
          <w:lang w:eastAsia="en-US" w:bidi="ar-SA"/>
        </w:rPr>
        <w:t>ere</w:t>
      </w:r>
      <w:r w:rsidR="005A0044" w:rsidRPr="005652FF">
        <w:rPr>
          <w:rFonts w:ascii="Verdana" w:eastAsiaTheme="minorHAnsi" w:hAnsi="Verdana" w:cstheme="minorHAnsi"/>
          <w:bCs/>
          <w:snapToGrid/>
          <w:color w:val="auto"/>
          <w:lang w:eastAsia="en-US" w:bidi="ar-SA"/>
        </w:rPr>
        <w:t xml:space="preserve"> observed </w:t>
      </w:r>
      <w:r w:rsidR="005A0044">
        <w:rPr>
          <w:rFonts w:ascii="Verdana" w:eastAsiaTheme="minorHAnsi" w:hAnsi="Verdana" w:cstheme="minorHAnsi"/>
          <w:bCs/>
          <w:snapToGrid/>
          <w:color w:val="auto"/>
          <w:lang w:eastAsia="en-US" w:bidi="ar-SA"/>
        </w:rPr>
        <w:t xml:space="preserve">in </w:t>
      </w:r>
      <w:r w:rsidR="00E81EA7">
        <w:rPr>
          <w:rFonts w:ascii="Verdana" w:eastAsiaTheme="minorHAnsi" w:hAnsi="Verdana" w:cstheme="minorHAnsi"/>
          <w:bCs/>
          <w:snapToGrid/>
          <w:color w:val="auto"/>
          <w:lang w:eastAsia="en-US" w:bidi="ar-SA"/>
        </w:rPr>
        <w:t xml:space="preserve">the </w:t>
      </w:r>
      <w:r w:rsidR="005A0044">
        <w:rPr>
          <w:rFonts w:ascii="Verdana" w:eastAsiaTheme="minorHAnsi" w:hAnsi="Verdana" w:cstheme="minorHAnsi"/>
          <w:bCs/>
          <w:snapToGrid/>
          <w:color w:val="auto"/>
          <w:lang w:eastAsia="en-US" w:bidi="ar-SA"/>
        </w:rPr>
        <w:t>F1 generation at the top dose.</w:t>
      </w:r>
      <w:r w:rsidRPr="005652FF">
        <w:rPr>
          <w:rFonts w:ascii="Verdana" w:eastAsiaTheme="minorHAnsi" w:hAnsi="Verdana" w:cstheme="minorHAnsi"/>
          <w:bCs/>
          <w:snapToGrid/>
          <w:color w:val="auto"/>
          <w:lang w:eastAsia="en-US" w:bidi="ar-SA"/>
        </w:rPr>
        <w:t xml:space="preserve"> The NOAEL for these effects was 12 mg/kg bw/d. </w:t>
      </w:r>
      <w:r w:rsidR="00326C81">
        <w:rPr>
          <w:rFonts w:ascii="Verdana" w:eastAsiaTheme="minorHAnsi" w:hAnsi="Verdana" w:cstheme="minorHAnsi"/>
          <w:bCs/>
          <w:snapToGrid/>
          <w:color w:val="auto"/>
          <w:lang w:eastAsia="en-US" w:bidi="ar-SA"/>
        </w:rPr>
        <w:t>With r</w:t>
      </w:r>
      <w:r w:rsidR="00E81EA7">
        <w:rPr>
          <w:rFonts w:ascii="Verdana" w:eastAsiaTheme="minorHAnsi" w:hAnsi="Verdana" w:cstheme="minorHAnsi"/>
          <w:bCs/>
          <w:snapToGrid/>
          <w:color w:val="auto"/>
          <w:lang w:eastAsia="en-US" w:bidi="ar-SA"/>
        </w:rPr>
        <w:t>egards to other systemic effects</w:t>
      </w:r>
      <w:r w:rsidR="001D1253">
        <w:rPr>
          <w:rFonts w:ascii="Verdana" w:eastAsiaTheme="minorHAnsi" w:hAnsi="Verdana" w:cstheme="minorHAnsi"/>
          <w:bCs/>
          <w:snapToGrid/>
          <w:color w:val="auto"/>
          <w:lang w:eastAsia="en-US" w:bidi="ar-SA"/>
        </w:rPr>
        <w:t>, a</w:t>
      </w:r>
      <w:r w:rsidR="00741A67">
        <w:rPr>
          <w:rFonts w:ascii="Verdana" w:eastAsiaTheme="minorHAnsi" w:hAnsi="Verdana" w:cstheme="minorHAnsi"/>
          <w:bCs/>
          <w:snapToGrid/>
          <w:color w:val="auto"/>
          <w:lang w:eastAsia="en-US" w:bidi="ar-SA"/>
        </w:rPr>
        <w:t>t</w:t>
      </w:r>
      <w:r w:rsidRPr="005652FF">
        <w:rPr>
          <w:rFonts w:ascii="Verdana" w:eastAsiaTheme="minorHAnsi" w:hAnsi="Verdana" w:cstheme="minorHAnsi"/>
          <w:bCs/>
          <w:snapToGrid/>
          <w:color w:val="auto"/>
          <w:lang w:eastAsia="en-US" w:bidi="ar-SA"/>
        </w:rPr>
        <w:t xml:space="preserve"> 120 mg/kg bw/d, a significant decrease in absolute brain weight in </w:t>
      </w:r>
      <w:r w:rsidR="001D1253">
        <w:rPr>
          <w:rFonts w:ascii="Verdana" w:eastAsiaTheme="minorHAnsi" w:hAnsi="Verdana" w:cstheme="minorHAnsi"/>
          <w:bCs/>
          <w:snapToGrid/>
          <w:color w:val="auto"/>
          <w:lang w:eastAsia="en-US" w:bidi="ar-SA"/>
        </w:rPr>
        <w:t>F0 generation males</w:t>
      </w:r>
      <w:r w:rsidRPr="005652FF">
        <w:rPr>
          <w:rFonts w:ascii="Verdana" w:eastAsiaTheme="minorHAnsi" w:hAnsi="Verdana" w:cstheme="minorHAnsi"/>
          <w:bCs/>
          <w:snapToGrid/>
          <w:color w:val="auto"/>
          <w:lang w:eastAsia="en-US" w:bidi="ar-SA"/>
        </w:rPr>
        <w:t xml:space="preserve"> and females and males of the F1 generation</w:t>
      </w:r>
      <w:r w:rsidR="00741A67">
        <w:rPr>
          <w:rFonts w:ascii="Verdana" w:eastAsiaTheme="minorHAnsi" w:hAnsi="Verdana" w:cstheme="minorHAnsi"/>
          <w:bCs/>
          <w:snapToGrid/>
          <w:color w:val="auto"/>
          <w:lang w:eastAsia="en-US" w:bidi="ar-SA"/>
        </w:rPr>
        <w:t xml:space="preserve"> </w:t>
      </w:r>
      <w:r w:rsidR="001D1253">
        <w:rPr>
          <w:rFonts w:ascii="Verdana" w:eastAsiaTheme="minorHAnsi" w:hAnsi="Verdana" w:cstheme="minorHAnsi"/>
          <w:bCs/>
          <w:snapToGrid/>
          <w:color w:val="auto"/>
          <w:lang w:eastAsia="en-US" w:bidi="ar-SA"/>
        </w:rPr>
        <w:t>(</w:t>
      </w:r>
      <w:r w:rsidR="00326C81">
        <w:rPr>
          <w:rFonts w:ascii="Verdana" w:eastAsiaTheme="minorHAnsi" w:hAnsi="Verdana" w:cstheme="minorHAnsi"/>
          <w:bCs/>
          <w:snapToGrid/>
          <w:color w:val="auto"/>
          <w:lang w:eastAsia="en-US" w:bidi="ar-SA"/>
        </w:rPr>
        <w:t>p</w:t>
      </w:r>
      <w:r w:rsidR="001D1253">
        <w:rPr>
          <w:rFonts w:ascii="Verdana" w:eastAsiaTheme="minorHAnsi" w:hAnsi="Verdana" w:cstheme="minorHAnsi"/>
          <w:bCs/>
          <w:snapToGrid/>
          <w:color w:val="auto"/>
          <w:lang w:eastAsia="en-US" w:bidi="ar-SA"/>
        </w:rPr>
        <w:t xml:space="preserve">ostnatal day 22) </w:t>
      </w:r>
      <w:r w:rsidR="00741A67">
        <w:rPr>
          <w:rFonts w:ascii="Verdana" w:eastAsiaTheme="minorHAnsi" w:hAnsi="Verdana" w:cstheme="minorHAnsi"/>
          <w:bCs/>
          <w:snapToGrid/>
          <w:color w:val="auto"/>
          <w:lang w:eastAsia="en-US" w:bidi="ar-SA"/>
        </w:rPr>
        <w:t xml:space="preserve">and retinal </w:t>
      </w:r>
      <w:r w:rsidR="00867C84">
        <w:rPr>
          <w:rFonts w:ascii="Verdana" w:eastAsiaTheme="minorHAnsi" w:hAnsi="Verdana" w:cstheme="minorHAnsi"/>
          <w:bCs/>
          <w:snapToGrid/>
          <w:color w:val="auto"/>
          <w:lang w:eastAsia="en-US" w:bidi="ar-SA"/>
        </w:rPr>
        <w:t>atrophy</w:t>
      </w:r>
      <w:r w:rsidR="001D1253">
        <w:rPr>
          <w:rFonts w:ascii="Verdana" w:eastAsiaTheme="minorHAnsi" w:hAnsi="Verdana" w:cstheme="minorHAnsi"/>
          <w:bCs/>
          <w:snapToGrid/>
          <w:color w:val="auto"/>
          <w:lang w:eastAsia="en-US" w:bidi="ar-SA"/>
        </w:rPr>
        <w:t xml:space="preserve"> also noted in F0 and F1-generations adult animals</w:t>
      </w:r>
      <w:r w:rsidR="00E81EA7">
        <w:rPr>
          <w:rFonts w:ascii="Verdana" w:eastAsiaTheme="minorHAnsi" w:hAnsi="Verdana" w:cstheme="minorHAnsi"/>
          <w:bCs/>
          <w:snapToGrid/>
          <w:color w:val="auto"/>
          <w:lang w:eastAsia="en-US" w:bidi="ar-SA"/>
        </w:rPr>
        <w:t xml:space="preserve">. These findings were </w:t>
      </w:r>
      <w:r w:rsidR="00741A67">
        <w:rPr>
          <w:rFonts w:ascii="Verdana" w:eastAsiaTheme="minorHAnsi" w:hAnsi="Verdana" w:cstheme="minorHAnsi"/>
          <w:bCs/>
          <w:snapToGrid/>
          <w:color w:val="auto"/>
          <w:lang w:eastAsia="en-US" w:bidi="ar-SA"/>
        </w:rPr>
        <w:t>considered</w:t>
      </w:r>
      <w:r w:rsidR="00867C84">
        <w:rPr>
          <w:rFonts w:ascii="Verdana" w:eastAsiaTheme="minorHAnsi" w:hAnsi="Verdana" w:cstheme="minorHAnsi"/>
          <w:bCs/>
          <w:snapToGrid/>
          <w:color w:val="auto"/>
          <w:lang w:eastAsia="en-US" w:bidi="ar-SA"/>
        </w:rPr>
        <w:t xml:space="preserve"> </w:t>
      </w:r>
      <w:r w:rsidRPr="005652FF">
        <w:rPr>
          <w:rFonts w:ascii="Verdana" w:eastAsiaTheme="minorHAnsi" w:hAnsi="Verdana" w:cstheme="minorHAnsi"/>
          <w:bCs/>
          <w:snapToGrid/>
          <w:color w:val="auto"/>
          <w:lang w:eastAsia="en-US" w:bidi="ar-SA"/>
        </w:rPr>
        <w:t xml:space="preserve">indicative of neurotoxicity. </w:t>
      </w:r>
      <w:r w:rsidR="00867C84" w:rsidRPr="005652FF">
        <w:rPr>
          <w:rFonts w:ascii="Verdana" w:eastAsiaTheme="minorHAnsi" w:hAnsi="Verdana" w:cstheme="minorHAnsi"/>
          <w:bCs/>
          <w:snapToGrid/>
          <w:color w:val="auto"/>
          <w:lang w:eastAsia="en-US" w:bidi="ar-SA"/>
        </w:rPr>
        <w:t xml:space="preserve">The effects observed in the EOGRTS </w:t>
      </w:r>
      <w:r w:rsidR="00326C81">
        <w:rPr>
          <w:rFonts w:ascii="Verdana" w:eastAsiaTheme="minorHAnsi" w:hAnsi="Verdana" w:cstheme="minorHAnsi"/>
          <w:bCs/>
          <w:snapToGrid/>
          <w:color w:val="auto"/>
          <w:lang w:eastAsia="en-US" w:bidi="ar-SA"/>
        </w:rPr>
        <w:t xml:space="preserve">are </w:t>
      </w:r>
      <w:r w:rsidR="00867C84">
        <w:rPr>
          <w:rFonts w:ascii="Verdana" w:eastAsiaTheme="minorHAnsi" w:hAnsi="Verdana" w:cstheme="minorHAnsi"/>
          <w:bCs/>
          <w:snapToGrid/>
          <w:color w:val="auto"/>
          <w:lang w:eastAsia="en-US" w:bidi="ar-SA"/>
        </w:rPr>
        <w:t xml:space="preserve">judged relevant for </w:t>
      </w:r>
      <w:r w:rsidR="00867C84" w:rsidRPr="00241483">
        <w:rPr>
          <w:rFonts w:ascii="Verdana" w:eastAsiaTheme="minorHAnsi" w:hAnsi="Verdana" w:cstheme="minorHAnsi"/>
          <w:bCs/>
          <w:snapToGrid/>
          <w:color w:val="auto"/>
          <w:lang w:eastAsia="en-US" w:bidi="ar-SA"/>
        </w:rPr>
        <w:t>OEL derivation.</w:t>
      </w:r>
      <w:r w:rsidR="00867C84">
        <w:rPr>
          <w:rFonts w:ascii="Verdana" w:eastAsiaTheme="minorHAnsi" w:hAnsi="Verdana" w:cstheme="minorHAnsi"/>
          <w:bCs/>
          <w:snapToGrid/>
          <w:color w:val="auto"/>
          <w:lang w:eastAsia="en-US" w:bidi="ar-SA"/>
        </w:rPr>
        <w:t xml:space="preserve"> </w:t>
      </w:r>
      <w:r w:rsidRPr="005652FF">
        <w:rPr>
          <w:rFonts w:ascii="Verdana" w:eastAsiaTheme="minorHAnsi" w:hAnsi="Verdana" w:cstheme="minorHAnsi"/>
          <w:bCs/>
          <w:snapToGrid/>
          <w:color w:val="auto"/>
          <w:lang w:eastAsia="en-US" w:bidi="ar-SA"/>
        </w:rPr>
        <w:t xml:space="preserve">Indeed, in human, consistent data exist on effects of carbon disulfide on reproductive </w:t>
      </w:r>
      <w:r w:rsidR="00B37D21">
        <w:rPr>
          <w:rFonts w:ascii="Verdana" w:eastAsiaTheme="minorHAnsi" w:hAnsi="Verdana" w:cstheme="minorHAnsi"/>
          <w:bCs/>
          <w:snapToGrid/>
          <w:color w:val="auto"/>
          <w:lang w:eastAsia="en-US" w:bidi="ar-SA"/>
        </w:rPr>
        <w:t>system</w:t>
      </w:r>
      <w:r w:rsidR="00B37D21" w:rsidRPr="005652FF">
        <w:rPr>
          <w:rFonts w:ascii="Verdana" w:eastAsiaTheme="minorHAnsi" w:hAnsi="Verdana" w:cstheme="minorHAnsi"/>
          <w:bCs/>
          <w:snapToGrid/>
          <w:color w:val="auto"/>
          <w:lang w:eastAsia="en-US" w:bidi="ar-SA"/>
        </w:rPr>
        <w:t xml:space="preserve"> </w:t>
      </w:r>
      <w:r w:rsidRPr="005652FF">
        <w:rPr>
          <w:rFonts w:ascii="Verdana" w:eastAsiaTheme="minorHAnsi" w:hAnsi="Verdana" w:cstheme="minorHAnsi"/>
          <w:bCs/>
          <w:snapToGrid/>
          <w:color w:val="auto"/>
          <w:lang w:eastAsia="en-US" w:bidi="ar-SA"/>
        </w:rPr>
        <w:t xml:space="preserve">(e.g. sperm, libido or estrous cycle disturbance) but characterization of dose-response in the available human studies on reproductive toxicity was not possible (ANSES, 2022). </w:t>
      </w:r>
      <w:r w:rsidR="00867C84">
        <w:rPr>
          <w:rFonts w:ascii="Verdana" w:eastAsiaTheme="minorHAnsi" w:hAnsi="Verdana" w:cstheme="minorHAnsi"/>
          <w:bCs/>
          <w:snapToGrid/>
          <w:color w:val="auto"/>
          <w:lang w:eastAsia="en-US" w:bidi="ar-SA"/>
        </w:rPr>
        <w:t xml:space="preserve">Regards to ED properties, </w:t>
      </w:r>
      <w:r w:rsidR="00867C84" w:rsidRPr="002D0738">
        <w:rPr>
          <w:rFonts w:ascii="Verdana" w:eastAsiaTheme="minorHAnsi" w:hAnsi="Verdana" w:cstheme="minorHAnsi"/>
          <w:bCs/>
          <w:snapToGrid/>
          <w:color w:val="auto"/>
          <w:lang w:eastAsia="en-US" w:bidi="ar-SA"/>
        </w:rPr>
        <w:t xml:space="preserve">it was considered plausible that the effects were secondary to </w:t>
      </w:r>
      <w:r w:rsidR="00867C84" w:rsidRPr="00867C84">
        <w:rPr>
          <w:rFonts w:ascii="Verdana" w:eastAsiaTheme="minorHAnsi" w:hAnsi="Verdana" w:cstheme="minorHAnsi"/>
          <w:bCs/>
          <w:snapToGrid/>
          <w:color w:val="auto"/>
          <w:lang w:eastAsia="en-US" w:bidi="ar-SA"/>
        </w:rPr>
        <w:t>other non-</w:t>
      </w:r>
      <w:r w:rsidR="00867C84" w:rsidRPr="002D0738">
        <w:rPr>
          <w:rFonts w:ascii="Verdana" w:eastAsiaTheme="minorHAnsi" w:hAnsi="Verdana" w:cstheme="minorHAnsi"/>
          <w:bCs/>
          <w:snapToGrid/>
          <w:color w:val="auto"/>
          <w:lang w:eastAsia="en-US" w:bidi="ar-SA"/>
        </w:rPr>
        <w:t xml:space="preserve">endocrine mediated systemic toxicity. So, the EU ED criteria </w:t>
      </w:r>
      <w:r w:rsidR="00326C81">
        <w:rPr>
          <w:rFonts w:ascii="Verdana" w:eastAsiaTheme="minorHAnsi" w:hAnsi="Verdana" w:cstheme="minorHAnsi"/>
          <w:bCs/>
          <w:snapToGrid/>
          <w:color w:val="auto"/>
          <w:lang w:eastAsia="en-US" w:bidi="ar-SA"/>
        </w:rPr>
        <w:t>are</w:t>
      </w:r>
      <w:r w:rsidR="00326C81" w:rsidRPr="002D0738">
        <w:rPr>
          <w:rFonts w:ascii="Verdana" w:eastAsiaTheme="minorHAnsi" w:hAnsi="Verdana" w:cstheme="minorHAnsi"/>
          <w:bCs/>
          <w:snapToGrid/>
          <w:color w:val="auto"/>
          <w:lang w:eastAsia="en-US" w:bidi="ar-SA"/>
        </w:rPr>
        <w:t xml:space="preserve"> </w:t>
      </w:r>
      <w:r w:rsidR="00867C84" w:rsidRPr="002D0738">
        <w:rPr>
          <w:rFonts w:ascii="Verdana" w:eastAsiaTheme="minorHAnsi" w:hAnsi="Verdana" w:cstheme="minorHAnsi"/>
          <w:bCs/>
          <w:snapToGrid/>
          <w:color w:val="auto"/>
          <w:lang w:eastAsia="en-US" w:bidi="ar-SA"/>
        </w:rPr>
        <w:t>not considered met.</w:t>
      </w:r>
    </w:p>
    <w:p w14:paraId="35EAA3C7" w14:textId="77777777" w:rsidR="00D72D3D" w:rsidRPr="005652FF" w:rsidRDefault="00D72D3D" w:rsidP="00D72D3D">
      <w:pPr>
        <w:spacing w:after="0" w:line="276" w:lineRule="auto"/>
        <w:jc w:val="both"/>
        <w:rPr>
          <w:rFonts w:ascii="Verdana" w:hAnsi="Verdana" w:cstheme="minorHAnsi"/>
          <w:bCs/>
          <w:sz w:val="20"/>
          <w:lang w:val="en-US"/>
        </w:rPr>
      </w:pPr>
    </w:p>
    <w:p w14:paraId="0599E310" w14:textId="77777777" w:rsidR="00D72D3D" w:rsidRPr="005652FF" w:rsidRDefault="00D72D3D" w:rsidP="00D72D3D">
      <w:pPr>
        <w:spacing w:after="0" w:line="276" w:lineRule="auto"/>
        <w:jc w:val="both"/>
        <w:rPr>
          <w:rFonts w:ascii="Verdana" w:hAnsi="Verdana" w:cstheme="minorHAnsi"/>
          <w:b/>
          <w:sz w:val="20"/>
          <w:lang w:val="nl-BE"/>
        </w:rPr>
      </w:pPr>
      <w:r w:rsidRPr="005652FF">
        <w:rPr>
          <w:rFonts w:ascii="Verdana" w:hAnsi="Verdana" w:cstheme="minorHAnsi"/>
          <w:b/>
          <w:sz w:val="20"/>
          <w:lang w:val="nl-BE"/>
        </w:rPr>
        <w:t xml:space="preserve">8h-TWA OEL derivation </w:t>
      </w:r>
    </w:p>
    <w:p w14:paraId="7BA88126" w14:textId="7E7653B3" w:rsidR="00D72D3D" w:rsidRPr="005652FF" w:rsidRDefault="00D72D3D" w:rsidP="00D72D3D">
      <w:pPr>
        <w:spacing w:after="0" w:line="276" w:lineRule="auto"/>
        <w:jc w:val="both"/>
        <w:rPr>
          <w:rFonts w:ascii="Verdana" w:hAnsi="Verdana" w:cstheme="minorHAnsi"/>
          <w:bCs/>
          <w:sz w:val="20"/>
          <w:lang w:val="en-US"/>
        </w:rPr>
      </w:pPr>
      <w:r w:rsidRPr="005652FF">
        <w:rPr>
          <w:rFonts w:ascii="Verdana" w:hAnsi="Verdana" w:cstheme="minorHAnsi"/>
          <w:sz w:val="20"/>
          <w:lang w:val="nl-BE"/>
        </w:rPr>
        <w:t xml:space="preserve">Considering reproductive toxicity as a critical effect of carbon disulfide, the recent EOGRTS in rats can be considered as a key study for reproductive toxicity. Based on the decreased ovarian primary and primordial follicles and the </w:t>
      </w:r>
      <w:r w:rsidRPr="005652FF">
        <w:rPr>
          <w:rFonts w:ascii="Verdana" w:hAnsi="Verdana" w:cstheme="minorHAnsi"/>
          <w:bCs/>
          <w:sz w:val="20"/>
          <w:lang w:val="en-US"/>
        </w:rPr>
        <w:t>significant increase in sperm cells with detached head in the F1-generation, a LOAEL of 120 mg/kg</w:t>
      </w:r>
      <w:r w:rsidR="00B37D21">
        <w:rPr>
          <w:rFonts w:ascii="Verdana" w:hAnsi="Verdana" w:cstheme="minorHAnsi"/>
          <w:bCs/>
          <w:sz w:val="20"/>
          <w:lang w:val="en-US"/>
        </w:rPr>
        <w:t xml:space="preserve"> bw/d</w:t>
      </w:r>
      <w:r w:rsidRPr="005652FF">
        <w:rPr>
          <w:rFonts w:ascii="Verdana" w:hAnsi="Verdana" w:cstheme="minorHAnsi"/>
          <w:bCs/>
          <w:sz w:val="20"/>
          <w:lang w:val="en-US"/>
        </w:rPr>
        <w:t xml:space="preserve"> can be </w:t>
      </w:r>
      <w:r w:rsidR="00504831">
        <w:rPr>
          <w:rFonts w:ascii="Verdana" w:hAnsi="Verdana" w:cstheme="minorHAnsi"/>
          <w:bCs/>
          <w:sz w:val="20"/>
          <w:lang w:val="en-US"/>
        </w:rPr>
        <w:t>identified</w:t>
      </w:r>
      <w:r w:rsidR="00326C81">
        <w:rPr>
          <w:rFonts w:ascii="Verdana" w:hAnsi="Verdana" w:cstheme="minorHAnsi"/>
          <w:bCs/>
          <w:sz w:val="20"/>
          <w:lang w:val="en-US"/>
        </w:rPr>
        <w:t>.</w:t>
      </w:r>
      <w:r w:rsidRPr="005652FF">
        <w:rPr>
          <w:rFonts w:ascii="Verdana" w:hAnsi="Verdana" w:cstheme="minorHAnsi"/>
          <w:bCs/>
          <w:sz w:val="20"/>
          <w:lang w:val="en-US"/>
        </w:rPr>
        <w:t xml:space="preserve"> The NOAEL in the study is 12 mg/kg</w:t>
      </w:r>
      <w:r w:rsidR="00B37D21">
        <w:rPr>
          <w:rFonts w:ascii="Verdana" w:hAnsi="Verdana" w:cstheme="minorHAnsi"/>
          <w:bCs/>
          <w:sz w:val="20"/>
          <w:lang w:val="en-US"/>
        </w:rPr>
        <w:t xml:space="preserve"> bw/d</w:t>
      </w:r>
      <w:r w:rsidRPr="005652FF">
        <w:rPr>
          <w:rFonts w:ascii="Verdana" w:hAnsi="Verdana" w:cstheme="minorHAnsi"/>
          <w:bCs/>
          <w:sz w:val="20"/>
          <w:lang w:val="en-US"/>
        </w:rPr>
        <w:t>. Based on the comparative toxicokinetic study</w:t>
      </w:r>
      <w:r w:rsidR="008A33D5">
        <w:rPr>
          <w:rFonts w:ascii="Verdana" w:hAnsi="Verdana" w:cstheme="minorHAnsi"/>
          <w:bCs/>
          <w:sz w:val="20"/>
          <w:lang w:val="en-US"/>
        </w:rPr>
        <w:t xml:space="preserve"> </w:t>
      </w:r>
      <w:r w:rsidR="008A33D5" w:rsidRPr="008A33D5">
        <w:rPr>
          <w:rFonts w:ascii="Verdana" w:hAnsi="Verdana" w:cstheme="minorHAnsi"/>
          <w:bCs/>
          <w:sz w:val="20"/>
          <w:lang w:val="en-US"/>
        </w:rPr>
        <w:t>(Unpublished report, 2019b)</w:t>
      </w:r>
      <w:r w:rsidRPr="005652FF">
        <w:rPr>
          <w:rFonts w:ascii="Verdana" w:hAnsi="Verdana" w:cstheme="minorHAnsi"/>
          <w:bCs/>
          <w:sz w:val="20"/>
          <w:lang w:val="en-US"/>
        </w:rPr>
        <w:t>, the LOAEL is considered to be equivalent to about 300 ppm (948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and the NOAEL equivalent to 30 ppm (94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 xml:space="preserve">). </w:t>
      </w:r>
    </w:p>
    <w:p w14:paraId="0A6F92AF" w14:textId="77777777" w:rsidR="00D72D3D" w:rsidRPr="005652FF" w:rsidRDefault="00D72D3D" w:rsidP="00D72D3D">
      <w:pPr>
        <w:spacing w:after="0" w:line="276" w:lineRule="auto"/>
        <w:jc w:val="both"/>
        <w:rPr>
          <w:rFonts w:ascii="Verdana" w:hAnsi="Verdana" w:cstheme="minorHAnsi"/>
          <w:bCs/>
          <w:sz w:val="20"/>
          <w:lang w:val="en-US"/>
        </w:rPr>
      </w:pPr>
      <w:r w:rsidRPr="005652FF">
        <w:rPr>
          <w:rFonts w:ascii="Verdana" w:hAnsi="Verdana" w:cstheme="minorHAnsi"/>
          <w:bCs/>
          <w:sz w:val="20"/>
          <w:lang w:val="en-US"/>
        </w:rPr>
        <w:t>According to ECHA guidance document R8, the NOAEC of 30 ppm is converted from rat to human (x 6.7 m</w:t>
      </w:r>
      <w:r w:rsidRPr="005652FF">
        <w:rPr>
          <w:rFonts w:ascii="Verdana" w:hAnsi="Verdana" w:cstheme="minorHAnsi"/>
          <w:bCs/>
          <w:sz w:val="20"/>
          <w:vertAlign w:val="superscript"/>
          <w:lang w:val="en-US"/>
        </w:rPr>
        <w:t>3</w:t>
      </w:r>
      <w:r w:rsidRPr="005652FF">
        <w:rPr>
          <w:rFonts w:ascii="Verdana" w:hAnsi="Verdana" w:cstheme="minorHAnsi"/>
          <w:bCs/>
          <w:sz w:val="20"/>
          <w:lang w:val="en-US"/>
        </w:rPr>
        <w:t>/10 m</w:t>
      </w:r>
      <w:r w:rsidRPr="005652FF">
        <w:rPr>
          <w:rFonts w:ascii="Verdana" w:hAnsi="Verdana" w:cstheme="minorHAnsi"/>
          <w:bCs/>
          <w:sz w:val="20"/>
          <w:vertAlign w:val="superscript"/>
          <w:lang w:val="en-US"/>
        </w:rPr>
        <w:t>3</w:t>
      </w:r>
      <w:r w:rsidRPr="005652FF">
        <w:rPr>
          <w:rFonts w:ascii="Verdana" w:hAnsi="Verdana" w:cstheme="minorHAnsi"/>
          <w:bCs/>
          <w:sz w:val="20"/>
          <w:lang w:val="en-US"/>
        </w:rPr>
        <w:t>) into 20 ppm (63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w:t>
      </w:r>
    </w:p>
    <w:p w14:paraId="755AEB0F" w14:textId="77777777" w:rsidR="00D72D3D" w:rsidRPr="005652FF" w:rsidRDefault="00D72D3D" w:rsidP="00D72D3D">
      <w:pPr>
        <w:spacing w:after="0" w:line="276" w:lineRule="auto"/>
        <w:jc w:val="both"/>
        <w:rPr>
          <w:rFonts w:ascii="Verdana" w:hAnsi="Verdana" w:cstheme="minorHAnsi"/>
          <w:bCs/>
          <w:sz w:val="20"/>
          <w:lang w:val="en-US"/>
        </w:rPr>
      </w:pPr>
      <w:r w:rsidRPr="005652FF">
        <w:rPr>
          <w:rFonts w:ascii="Verdana" w:hAnsi="Verdana" w:cstheme="minorHAnsi"/>
          <w:bCs/>
          <w:sz w:val="20"/>
          <w:lang w:val="en-US"/>
        </w:rPr>
        <w:t>Using default assessment factors recommended in the ECHA guidance document chapter R8 (ECHA, 2019), a global assessment factor of 25 could be applied (2.5 for interspecies differences, 5 for intraspecies differences, 2 for exposure duration), resulting in an OEL of 0.8 ppm (2.5 mg/m</w:t>
      </w:r>
      <w:r w:rsidRPr="005652FF">
        <w:rPr>
          <w:rFonts w:ascii="Verdana" w:hAnsi="Verdana" w:cstheme="minorHAnsi"/>
          <w:bCs/>
          <w:sz w:val="20"/>
          <w:vertAlign w:val="superscript"/>
          <w:lang w:val="en-US"/>
        </w:rPr>
        <w:t>3</w:t>
      </w:r>
      <w:r w:rsidRPr="005652FF">
        <w:rPr>
          <w:rFonts w:ascii="Verdana" w:hAnsi="Verdana" w:cstheme="minorHAnsi"/>
          <w:bCs/>
          <w:sz w:val="20"/>
          <w:lang w:val="en-US"/>
        </w:rPr>
        <w:t>).</w:t>
      </w:r>
    </w:p>
    <w:p w14:paraId="3BF89416" w14:textId="77777777" w:rsidR="00D72D3D" w:rsidRPr="005652FF" w:rsidRDefault="00D72D3D" w:rsidP="00D72D3D">
      <w:pPr>
        <w:tabs>
          <w:tab w:val="left" w:pos="1005"/>
        </w:tabs>
        <w:spacing w:after="0" w:line="276" w:lineRule="auto"/>
        <w:jc w:val="both"/>
        <w:rPr>
          <w:rFonts w:ascii="Verdana" w:hAnsi="Verdana" w:cstheme="minorHAnsi"/>
          <w:bCs/>
          <w:sz w:val="20"/>
          <w:lang w:val="en-US"/>
        </w:rPr>
      </w:pPr>
      <w:r w:rsidRPr="005652FF">
        <w:rPr>
          <w:rFonts w:ascii="Verdana" w:hAnsi="Verdana" w:cstheme="minorHAnsi"/>
          <w:bCs/>
          <w:sz w:val="20"/>
          <w:lang w:val="en-US"/>
        </w:rPr>
        <w:tab/>
      </w:r>
    </w:p>
    <w:p w14:paraId="4A55F0B9" w14:textId="1EB52686" w:rsidR="00D72D3D" w:rsidRPr="005652FF" w:rsidRDefault="00D72D3D" w:rsidP="00D72D3D">
      <w:pPr>
        <w:spacing w:after="0" w:line="276" w:lineRule="auto"/>
        <w:jc w:val="both"/>
        <w:rPr>
          <w:rFonts w:ascii="Verdana" w:hAnsi="Verdana" w:cstheme="minorHAnsi"/>
          <w:bCs/>
          <w:sz w:val="20"/>
          <w:lang w:val="en-US"/>
        </w:rPr>
      </w:pPr>
      <w:r w:rsidRPr="005652FF">
        <w:rPr>
          <w:rFonts w:ascii="Verdana" w:hAnsi="Verdana" w:cstheme="minorHAnsi"/>
          <w:bCs/>
          <w:sz w:val="20"/>
          <w:lang w:val="en-US"/>
        </w:rPr>
        <w:t>There are major uncertainties on the derivation of this OEL on the basis of the EOGRTS:</w:t>
      </w:r>
    </w:p>
    <w:p w14:paraId="5E00D627" w14:textId="37C146D2" w:rsidR="00D72D3D" w:rsidRPr="005652FF" w:rsidRDefault="00D72D3D" w:rsidP="00326C81">
      <w:pPr>
        <w:spacing w:after="0" w:line="276" w:lineRule="auto"/>
        <w:ind w:left="284"/>
        <w:jc w:val="both"/>
        <w:rPr>
          <w:rFonts w:ascii="Verdana" w:hAnsi="Verdana" w:cstheme="minorHAnsi"/>
          <w:bCs/>
          <w:sz w:val="20"/>
          <w:lang w:val="en-US"/>
        </w:rPr>
      </w:pPr>
      <w:r w:rsidRPr="005652FF">
        <w:rPr>
          <w:rFonts w:ascii="Verdana" w:hAnsi="Verdana" w:cstheme="minorHAnsi"/>
          <w:bCs/>
          <w:sz w:val="20"/>
          <w:lang w:val="en-US"/>
        </w:rPr>
        <w:t>- the absence of a clear pattern on the effects observed: absence of effect on other sperm parameters (e.g. morph</w:t>
      </w:r>
      <w:r w:rsidR="00113B73">
        <w:rPr>
          <w:rFonts w:ascii="Verdana" w:hAnsi="Verdana" w:cstheme="minorHAnsi"/>
          <w:bCs/>
          <w:sz w:val="20"/>
          <w:lang w:val="en-US"/>
        </w:rPr>
        <w:t>ology), on fertility</w:t>
      </w:r>
      <w:r w:rsidR="00D15484">
        <w:rPr>
          <w:rFonts w:ascii="Verdana" w:hAnsi="Verdana" w:cstheme="minorHAnsi"/>
          <w:bCs/>
          <w:sz w:val="20"/>
          <w:lang w:val="en-US"/>
        </w:rPr>
        <w:t xml:space="preserve"> or implantations,</w:t>
      </w:r>
    </w:p>
    <w:p w14:paraId="6124740D" w14:textId="278CF1DD" w:rsidR="00D72D3D" w:rsidRPr="005652FF" w:rsidRDefault="00D72D3D" w:rsidP="00326C81">
      <w:pPr>
        <w:spacing w:after="0" w:line="276" w:lineRule="auto"/>
        <w:ind w:left="284"/>
        <w:jc w:val="both"/>
        <w:rPr>
          <w:rFonts w:ascii="Verdana" w:hAnsi="Verdana" w:cstheme="minorHAnsi"/>
          <w:bCs/>
          <w:sz w:val="20"/>
          <w:lang w:val="en-US"/>
        </w:rPr>
      </w:pPr>
      <w:r w:rsidRPr="005652FF">
        <w:rPr>
          <w:rFonts w:ascii="Verdana" w:hAnsi="Verdana" w:cstheme="minorHAnsi"/>
          <w:bCs/>
          <w:sz w:val="20"/>
          <w:lang w:val="en-US"/>
        </w:rPr>
        <w:t>- an absence of a dose-response relationship in the observed effects that may be due to the inappropriate dose-range spacing,</w:t>
      </w:r>
    </w:p>
    <w:p w14:paraId="4E85076A" w14:textId="77777777" w:rsidR="00D72D3D" w:rsidRPr="005652FF" w:rsidRDefault="00D72D3D" w:rsidP="00326C81">
      <w:pPr>
        <w:spacing w:after="0" w:line="276" w:lineRule="auto"/>
        <w:ind w:left="284"/>
        <w:jc w:val="both"/>
        <w:rPr>
          <w:rFonts w:ascii="Verdana" w:hAnsi="Verdana" w:cstheme="minorHAnsi"/>
          <w:bCs/>
          <w:sz w:val="20"/>
          <w:lang w:val="en-US"/>
        </w:rPr>
      </w:pPr>
      <w:r w:rsidRPr="005652FF">
        <w:rPr>
          <w:rFonts w:ascii="Verdana" w:hAnsi="Verdana" w:cstheme="minorHAnsi"/>
          <w:bCs/>
          <w:sz w:val="20"/>
          <w:lang w:val="en-US"/>
        </w:rPr>
        <w:t>- the extrapolation from dose levels by oral route to inhalation route (e.g. the use of a toxicokinetic study performed with a unique dose, in male only, to extrapolate the exposure dose from oral to inhalation route).</w:t>
      </w:r>
    </w:p>
    <w:p w14:paraId="607A4E8A" w14:textId="77777777" w:rsidR="00D72D3D" w:rsidRPr="005652FF" w:rsidRDefault="00D72D3D" w:rsidP="00D72D3D">
      <w:pPr>
        <w:spacing w:after="0" w:line="276" w:lineRule="auto"/>
        <w:jc w:val="both"/>
        <w:rPr>
          <w:rFonts w:ascii="Verdana" w:hAnsi="Verdana" w:cstheme="minorHAnsi"/>
          <w:bCs/>
          <w:sz w:val="20"/>
          <w:lang w:val="en-US"/>
        </w:rPr>
      </w:pPr>
    </w:p>
    <w:p w14:paraId="4F23E697" w14:textId="52205573" w:rsidR="00D72D3D" w:rsidRPr="002D0738" w:rsidRDefault="00326C81" w:rsidP="00D72D3D">
      <w:pPr>
        <w:spacing w:after="0" w:line="276" w:lineRule="auto"/>
        <w:jc w:val="both"/>
        <w:rPr>
          <w:rFonts w:ascii="Verdana" w:hAnsi="Verdana" w:cstheme="minorHAnsi"/>
          <w:bCs/>
          <w:sz w:val="20"/>
          <w:lang w:val="en-US"/>
        </w:rPr>
      </w:pPr>
      <w:r>
        <w:rPr>
          <w:rFonts w:ascii="Verdana" w:hAnsi="Verdana" w:cstheme="minorHAnsi"/>
          <w:bCs/>
          <w:sz w:val="20"/>
          <w:lang w:val="en-US"/>
        </w:rPr>
        <w:t>Based on these elements</w:t>
      </w:r>
      <w:r w:rsidR="006F4AE0" w:rsidRPr="002D0738">
        <w:rPr>
          <w:rFonts w:ascii="Verdana" w:hAnsi="Verdana" w:cstheme="minorHAnsi"/>
          <w:bCs/>
          <w:sz w:val="20"/>
          <w:lang w:val="en-US"/>
        </w:rPr>
        <w:t>,</w:t>
      </w:r>
      <w:r w:rsidR="00DC2D5B" w:rsidRPr="002D0738">
        <w:rPr>
          <w:rFonts w:ascii="Verdana" w:hAnsi="Verdana" w:cstheme="minorHAnsi"/>
          <w:bCs/>
          <w:sz w:val="20"/>
          <w:lang w:val="en-US"/>
        </w:rPr>
        <w:t xml:space="preserve"> </w:t>
      </w:r>
      <w:r w:rsidR="00D72D3D" w:rsidRPr="002D0738">
        <w:rPr>
          <w:rFonts w:ascii="Verdana" w:hAnsi="Verdana" w:cstheme="minorHAnsi"/>
          <w:bCs/>
          <w:sz w:val="20"/>
          <w:lang w:val="en-US"/>
        </w:rPr>
        <w:t>the dose-response relationship</w:t>
      </w:r>
      <w:r w:rsidR="006F4AE0" w:rsidRPr="002D0738">
        <w:rPr>
          <w:rFonts w:ascii="Verdana" w:hAnsi="Verdana" w:cstheme="minorHAnsi"/>
          <w:bCs/>
          <w:sz w:val="20"/>
          <w:lang w:val="en-US"/>
        </w:rPr>
        <w:t xml:space="preserve"> and the OEL</w:t>
      </w:r>
      <w:r w:rsidR="006847B5" w:rsidRPr="002D0738">
        <w:rPr>
          <w:rFonts w:ascii="Verdana" w:hAnsi="Verdana" w:cstheme="minorHAnsi"/>
          <w:bCs/>
          <w:sz w:val="20"/>
          <w:lang w:val="en-US"/>
        </w:rPr>
        <w:t xml:space="preserve"> derived </w:t>
      </w:r>
      <w:r w:rsidR="00DC20BC" w:rsidRPr="002D0738">
        <w:rPr>
          <w:rFonts w:ascii="Verdana" w:hAnsi="Verdana" w:cstheme="minorHAnsi"/>
          <w:bCs/>
          <w:sz w:val="20"/>
          <w:lang w:val="en-US"/>
        </w:rPr>
        <w:t>from</w:t>
      </w:r>
      <w:r w:rsidR="006847B5" w:rsidRPr="002D0738">
        <w:rPr>
          <w:rFonts w:ascii="Verdana" w:hAnsi="Verdana" w:cstheme="minorHAnsi"/>
          <w:bCs/>
          <w:sz w:val="20"/>
          <w:lang w:val="en-US"/>
        </w:rPr>
        <w:t xml:space="preserve"> this study</w:t>
      </w:r>
      <w:r w:rsidR="00D72D3D" w:rsidRPr="002D0738">
        <w:rPr>
          <w:rFonts w:ascii="Verdana" w:hAnsi="Verdana" w:cstheme="minorHAnsi"/>
          <w:bCs/>
          <w:sz w:val="20"/>
          <w:lang w:val="en-US"/>
        </w:rPr>
        <w:t xml:space="preserve"> </w:t>
      </w:r>
      <w:r w:rsidR="00DC20BC" w:rsidRPr="002D0738">
        <w:rPr>
          <w:rFonts w:ascii="Verdana" w:hAnsi="Verdana" w:cstheme="minorHAnsi"/>
          <w:bCs/>
          <w:sz w:val="20"/>
          <w:lang w:val="en-US"/>
        </w:rPr>
        <w:t>are</w:t>
      </w:r>
      <w:r w:rsidR="00D72D3D" w:rsidRPr="002D0738">
        <w:rPr>
          <w:rFonts w:ascii="Verdana" w:hAnsi="Verdana" w:cstheme="minorHAnsi"/>
          <w:bCs/>
          <w:sz w:val="20"/>
          <w:lang w:val="en-US"/>
        </w:rPr>
        <w:t xml:space="preserve"> uncertain.</w:t>
      </w:r>
      <w:r w:rsidR="00B37D21" w:rsidRPr="002D0738">
        <w:rPr>
          <w:rFonts w:ascii="Verdana" w:hAnsi="Verdana" w:cstheme="minorHAnsi"/>
          <w:bCs/>
          <w:sz w:val="20"/>
          <w:lang w:val="en-US"/>
        </w:rPr>
        <w:t xml:space="preserve"> </w:t>
      </w:r>
      <w:r w:rsidR="006F4AE0" w:rsidRPr="002D0738">
        <w:rPr>
          <w:rFonts w:ascii="Verdana" w:hAnsi="Verdana" w:cstheme="minorHAnsi"/>
          <w:bCs/>
          <w:sz w:val="20"/>
          <w:lang w:val="en-US"/>
        </w:rPr>
        <w:t xml:space="preserve">In addition, </w:t>
      </w:r>
      <w:r w:rsidR="00DC20BC" w:rsidRPr="002D0738">
        <w:rPr>
          <w:rFonts w:ascii="Verdana" w:hAnsi="Verdana" w:cstheme="minorHAnsi"/>
          <w:bCs/>
          <w:sz w:val="20"/>
          <w:lang w:val="en-US"/>
        </w:rPr>
        <w:t>because a</w:t>
      </w:r>
      <w:r w:rsidR="006F4AE0" w:rsidRPr="002D0738">
        <w:rPr>
          <w:rFonts w:ascii="Verdana" w:hAnsi="Verdana" w:cstheme="minorHAnsi"/>
          <w:bCs/>
          <w:sz w:val="20"/>
          <w:lang w:val="en-US"/>
        </w:rPr>
        <w:t xml:space="preserve"> large amount of human data are </w:t>
      </w:r>
      <w:r w:rsidR="006F4AE0" w:rsidRPr="002D0738">
        <w:rPr>
          <w:rFonts w:ascii="Verdana" w:hAnsi="Verdana" w:cstheme="minorHAnsi"/>
          <w:bCs/>
          <w:sz w:val="20"/>
          <w:lang w:val="en-US"/>
        </w:rPr>
        <w:lastRenderedPageBreak/>
        <w:t xml:space="preserve">available, the derivation of the OEL based on human data is </w:t>
      </w:r>
      <w:r w:rsidR="007F6680" w:rsidRPr="002D0738">
        <w:rPr>
          <w:rFonts w:ascii="Verdana" w:hAnsi="Verdana" w:cstheme="minorHAnsi"/>
          <w:bCs/>
          <w:sz w:val="20"/>
          <w:lang w:val="en-US"/>
        </w:rPr>
        <w:t xml:space="preserve">considered </w:t>
      </w:r>
      <w:r w:rsidR="006F4AE0" w:rsidRPr="002D0738">
        <w:rPr>
          <w:rFonts w:ascii="Verdana" w:hAnsi="Verdana" w:cstheme="minorHAnsi"/>
          <w:bCs/>
          <w:sz w:val="20"/>
          <w:lang w:val="en-US"/>
        </w:rPr>
        <w:t>more appropriate than based on animal data</w:t>
      </w:r>
      <w:r w:rsidR="00DC20BC" w:rsidRPr="002D0738">
        <w:rPr>
          <w:rFonts w:ascii="Verdana" w:hAnsi="Verdana" w:cstheme="minorHAnsi"/>
          <w:bCs/>
          <w:sz w:val="20"/>
          <w:lang w:val="en-US"/>
        </w:rPr>
        <w:t xml:space="preserve">, </w:t>
      </w:r>
      <w:r w:rsidR="002239CE">
        <w:rPr>
          <w:rFonts w:ascii="Verdana" w:hAnsi="Verdana" w:cstheme="minorHAnsi"/>
          <w:bCs/>
          <w:sz w:val="20"/>
          <w:lang w:val="en-US"/>
        </w:rPr>
        <w:t>being therefore</w:t>
      </w:r>
      <w:r w:rsidR="00D03C99" w:rsidRPr="002D0738">
        <w:rPr>
          <w:rFonts w:ascii="Verdana" w:hAnsi="Verdana" w:cstheme="minorHAnsi"/>
          <w:bCs/>
          <w:sz w:val="20"/>
          <w:lang w:val="en-US"/>
        </w:rPr>
        <w:t xml:space="preserve"> less influenced by potential</w:t>
      </w:r>
      <w:r w:rsidR="00DC20BC" w:rsidRPr="002D0738">
        <w:rPr>
          <w:rFonts w:ascii="Verdana" w:hAnsi="Verdana" w:cstheme="minorHAnsi"/>
          <w:bCs/>
          <w:sz w:val="20"/>
          <w:lang w:val="en-US"/>
        </w:rPr>
        <w:t xml:space="preserve"> differenc</w:t>
      </w:r>
      <w:r w:rsidR="00D03C99" w:rsidRPr="002D0738">
        <w:rPr>
          <w:rFonts w:ascii="Verdana" w:hAnsi="Verdana" w:cstheme="minorHAnsi"/>
          <w:bCs/>
          <w:sz w:val="20"/>
          <w:lang w:val="en-US"/>
        </w:rPr>
        <w:t>es</w:t>
      </w:r>
      <w:r w:rsidR="00DC20BC" w:rsidRPr="002D0738">
        <w:rPr>
          <w:rFonts w:ascii="Verdana" w:hAnsi="Verdana" w:cstheme="minorHAnsi"/>
          <w:bCs/>
          <w:sz w:val="20"/>
          <w:lang w:val="en-US"/>
        </w:rPr>
        <w:t xml:space="preserve"> between species</w:t>
      </w:r>
      <w:r w:rsidR="007F6680" w:rsidRPr="002D0738">
        <w:rPr>
          <w:rFonts w:ascii="Verdana" w:hAnsi="Verdana" w:cstheme="minorHAnsi"/>
          <w:bCs/>
          <w:sz w:val="20"/>
          <w:lang w:val="en-US"/>
        </w:rPr>
        <w:t>.</w:t>
      </w:r>
    </w:p>
    <w:p w14:paraId="3A90F3A7" w14:textId="77777777" w:rsidR="00E7497C" w:rsidRPr="002D0738" w:rsidRDefault="00E7497C" w:rsidP="00D72D3D">
      <w:pPr>
        <w:spacing w:after="0" w:line="276" w:lineRule="auto"/>
        <w:jc w:val="both"/>
        <w:rPr>
          <w:rFonts w:ascii="Verdana" w:hAnsi="Verdana" w:cstheme="minorHAnsi"/>
          <w:bCs/>
          <w:sz w:val="20"/>
          <w:lang w:val="en-US"/>
        </w:rPr>
      </w:pPr>
    </w:p>
    <w:p w14:paraId="4312216B" w14:textId="43249C5F" w:rsidR="00C62F53" w:rsidRPr="002D0738" w:rsidRDefault="00E7497C" w:rsidP="00D72D3D">
      <w:pPr>
        <w:spacing w:after="0" w:line="276" w:lineRule="auto"/>
        <w:jc w:val="both"/>
        <w:rPr>
          <w:rFonts w:ascii="Verdana" w:hAnsi="Verdana" w:cstheme="minorHAnsi"/>
          <w:bCs/>
          <w:sz w:val="20"/>
          <w:lang w:val="en-US"/>
        </w:rPr>
      </w:pPr>
      <w:r w:rsidRPr="002D0738">
        <w:rPr>
          <w:rFonts w:ascii="Verdana" w:hAnsi="Verdana" w:cstheme="minorHAnsi"/>
          <w:bCs/>
          <w:sz w:val="20"/>
          <w:lang w:val="en-US"/>
        </w:rPr>
        <w:t>Therefore</w:t>
      </w:r>
      <w:r w:rsidR="00D72D3D" w:rsidRPr="002D0738">
        <w:rPr>
          <w:rFonts w:ascii="Verdana" w:hAnsi="Verdana" w:cstheme="minorHAnsi"/>
          <w:bCs/>
          <w:sz w:val="20"/>
          <w:lang w:val="en-US"/>
        </w:rPr>
        <w:t>,</w:t>
      </w:r>
      <w:r w:rsidRPr="002D0738">
        <w:rPr>
          <w:rFonts w:ascii="Verdana" w:hAnsi="Verdana" w:cstheme="minorHAnsi"/>
          <w:bCs/>
          <w:sz w:val="20"/>
          <w:lang w:val="en-US"/>
        </w:rPr>
        <w:t xml:space="preserve"> new data published since 2011, either in the scientific literature or within the registration dossier do not warrant</w:t>
      </w:r>
      <w:r w:rsidR="00D72D3D" w:rsidRPr="002D0738">
        <w:rPr>
          <w:rFonts w:ascii="Verdana" w:hAnsi="Verdana" w:cstheme="minorHAnsi"/>
          <w:bCs/>
          <w:sz w:val="20"/>
          <w:lang w:val="en-US"/>
        </w:rPr>
        <w:t xml:space="preserve"> to revise the current OEL</w:t>
      </w:r>
      <w:r w:rsidR="00D03C99" w:rsidRPr="002D0738">
        <w:rPr>
          <w:rFonts w:ascii="Verdana" w:hAnsi="Verdana" w:cstheme="minorHAnsi"/>
          <w:bCs/>
          <w:sz w:val="20"/>
          <w:lang w:val="en-US"/>
        </w:rPr>
        <w:t xml:space="preserve"> due to the uncertainties on the derivation of OEL based on the EOGRTS and also acknowledging the revised OEL based on the EOGRTS study would be in the same range as the current OEL</w:t>
      </w:r>
      <w:r w:rsidR="00D72D3D" w:rsidRPr="002D0738">
        <w:rPr>
          <w:rFonts w:ascii="Verdana" w:hAnsi="Verdana" w:cstheme="minorHAnsi"/>
          <w:bCs/>
          <w:sz w:val="20"/>
          <w:lang w:val="en-US"/>
        </w:rPr>
        <w:t>.</w:t>
      </w:r>
      <w:r w:rsidRPr="002D0738">
        <w:rPr>
          <w:rFonts w:ascii="Verdana" w:hAnsi="Verdana" w:cstheme="minorHAnsi"/>
          <w:bCs/>
          <w:sz w:val="20"/>
          <w:lang w:val="en-US"/>
        </w:rPr>
        <w:t xml:space="preserve"> </w:t>
      </w:r>
    </w:p>
    <w:p w14:paraId="02CE20C9" w14:textId="77777777" w:rsidR="00D72D3D" w:rsidRPr="002D0738" w:rsidRDefault="00D72D3D" w:rsidP="00D72D3D">
      <w:pPr>
        <w:spacing w:after="0" w:line="276" w:lineRule="auto"/>
        <w:jc w:val="both"/>
        <w:rPr>
          <w:rFonts w:ascii="Verdana" w:hAnsi="Verdana" w:cstheme="minorHAnsi"/>
          <w:bCs/>
          <w:sz w:val="20"/>
          <w:lang w:val="en-US"/>
        </w:rPr>
      </w:pPr>
    </w:p>
    <w:p w14:paraId="38CC757E" w14:textId="2B0E4130" w:rsidR="00D72D3D" w:rsidRDefault="006744D9" w:rsidP="00F1478B">
      <w:pPr>
        <w:spacing w:after="0" w:line="276" w:lineRule="auto"/>
        <w:jc w:val="both"/>
        <w:rPr>
          <w:rFonts w:ascii="Verdana" w:hAnsi="Verdana" w:cstheme="minorHAnsi"/>
          <w:bCs/>
          <w:sz w:val="20"/>
          <w:lang w:val="en-US"/>
        </w:rPr>
      </w:pPr>
      <w:r w:rsidRPr="002D0738">
        <w:rPr>
          <w:rFonts w:ascii="Verdana" w:hAnsi="Verdana" w:cstheme="minorHAnsi"/>
          <w:bCs/>
          <w:sz w:val="20"/>
          <w:lang w:val="en-US"/>
        </w:rPr>
        <w:t xml:space="preserve">However, the differences between the starting point and the uncertainty factors proposed by SCOEL and HCNL require discussion. </w:t>
      </w:r>
      <w:r w:rsidR="00D72D3D" w:rsidRPr="002D0738">
        <w:rPr>
          <w:rFonts w:ascii="Verdana" w:hAnsi="Verdana" w:cstheme="minorHAnsi"/>
          <w:bCs/>
          <w:sz w:val="20"/>
          <w:lang w:val="en-US"/>
        </w:rPr>
        <w:t xml:space="preserve">Considering the IOELV </w:t>
      </w:r>
      <w:r w:rsidR="00B87243" w:rsidRPr="002D0738">
        <w:rPr>
          <w:rFonts w:ascii="Verdana" w:hAnsi="Verdana" w:cstheme="minorHAnsi"/>
          <w:bCs/>
          <w:sz w:val="20"/>
          <w:lang w:val="en-US"/>
        </w:rPr>
        <w:t xml:space="preserve">derived </w:t>
      </w:r>
      <w:r w:rsidR="00D72D3D" w:rsidRPr="002D0738">
        <w:rPr>
          <w:rFonts w:ascii="Verdana" w:hAnsi="Verdana" w:cstheme="minorHAnsi"/>
          <w:bCs/>
          <w:sz w:val="20"/>
          <w:lang w:val="en-US"/>
        </w:rPr>
        <w:t xml:space="preserve">by SCOEL, no major issue has been noted by </w:t>
      </w:r>
      <w:r w:rsidR="00EF083B">
        <w:rPr>
          <w:rFonts w:ascii="Verdana" w:hAnsi="Verdana" w:cstheme="minorHAnsi"/>
          <w:bCs/>
          <w:sz w:val="20"/>
          <w:lang w:val="en-US"/>
        </w:rPr>
        <w:t>FR-MSCA</w:t>
      </w:r>
      <w:r w:rsidR="00D72D3D" w:rsidRPr="002D0738">
        <w:rPr>
          <w:rFonts w:ascii="Verdana" w:hAnsi="Verdana" w:cstheme="minorHAnsi"/>
          <w:bCs/>
          <w:sz w:val="20"/>
          <w:lang w:val="en-US"/>
        </w:rPr>
        <w:t>. The uncertainty factor of 2 for the severity of the effect is considered relevant. Due to the large amount of human data on workers, an uncertainty factor of 1 for intraspecies differences seems also appropriate.</w:t>
      </w:r>
      <w:r w:rsidR="00C62F53" w:rsidRPr="002D0738">
        <w:rPr>
          <w:rFonts w:ascii="Verdana" w:hAnsi="Verdana" w:cstheme="minorHAnsi"/>
          <w:bCs/>
          <w:sz w:val="20"/>
          <w:lang w:val="en-US"/>
        </w:rPr>
        <w:t xml:space="preserve"> </w:t>
      </w:r>
      <w:r w:rsidRPr="002D0738">
        <w:rPr>
          <w:rFonts w:ascii="Verdana" w:hAnsi="Verdana" w:cstheme="minorHAnsi"/>
          <w:bCs/>
          <w:sz w:val="20"/>
          <w:lang w:val="en-US"/>
        </w:rPr>
        <w:t>Considering the approach used by HCNL, no major issue was also noted in the methodology and uncertainty factor. Regards to the point of departure, FR-MSCA agree</w:t>
      </w:r>
      <w:r w:rsidR="00326C81">
        <w:rPr>
          <w:rFonts w:ascii="Verdana" w:hAnsi="Verdana" w:cstheme="minorHAnsi"/>
          <w:bCs/>
          <w:sz w:val="20"/>
          <w:lang w:val="en-US"/>
        </w:rPr>
        <w:t>s</w:t>
      </w:r>
      <w:r w:rsidRPr="002D0738">
        <w:rPr>
          <w:rFonts w:ascii="Verdana" w:hAnsi="Verdana" w:cstheme="minorHAnsi"/>
          <w:bCs/>
          <w:sz w:val="20"/>
          <w:lang w:val="en-US"/>
        </w:rPr>
        <w:t xml:space="preserve"> with SCOEL that the effect</w:t>
      </w:r>
      <w:r w:rsidR="00326C81">
        <w:rPr>
          <w:rFonts w:ascii="Verdana" w:hAnsi="Verdana" w:cstheme="minorHAnsi"/>
          <w:bCs/>
          <w:sz w:val="20"/>
          <w:lang w:val="en-US"/>
        </w:rPr>
        <w:t>s</w:t>
      </w:r>
      <w:r w:rsidRPr="002D0738">
        <w:rPr>
          <w:rFonts w:ascii="Verdana" w:hAnsi="Verdana" w:cstheme="minorHAnsi"/>
          <w:bCs/>
          <w:sz w:val="20"/>
          <w:lang w:val="en-US"/>
        </w:rPr>
        <w:t xml:space="preserve"> observed in Takebayashi </w:t>
      </w:r>
      <w:r w:rsidRPr="00673013">
        <w:rPr>
          <w:rFonts w:ascii="Verdana" w:hAnsi="Verdana" w:cstheme="minorHAnsi"/>
          <w:bCs/>
          <w:i/>
          <w:sz w:val="20"/>
          <w:lang w:val="en-US"/>
        </w:rPr>
        <w:t>et al</w:t>
      </w:r>
      <w:r w:rsidRPr="002D0738">
        <w:rPr>
          <w:rFonts w:ascii="Verdana" w:hAnsi="Verdana" w:cstheme="minorHAnsi"/>
          <w:bCs/>
          <w:sz w:val="20"/>
          <w:lang w:val="en-US"/>
        </w:rPr>
        <w:t>., 2004 are subtle changes with doub</w:t>
      </w:r>
      <w:r w:rsidR="00C91A8D">
        <w:rPr>
          <w:rFonts w:ascii="Verdana" w:hAnsi="Verdana" w:cstheme="minorHAnsi"/>
          <w:bCs/>
          <w:sz w:val="20"/>
          <w:lang w:val="en-US"/>
        </w:rPr>
        <w:t>t</w:t>
      </w:r>
      <w:r w:rsidRPr="002D0738">
        <w:rPr>
          <w:rFonts w:ascii="Verdana" w:hAnsi="Verdana" w:cstheme="minorHAnsi"/>
          <w:bCs/>
          <w:sz w:val="20"/>
          <w:lang w:val="en-US"/>
        </w:rPr>
        <w:t>ful biological significance.</w:t>
      </w:r>
      <w:r>
        <w:rPr>
          <w:rFonts w:ascii="Verdana" w:hAnsi="Verdana" w:cstheme="minorHAnsi"/>
          <w:bCs/>
          <w:sz w:val="20"/>
          <w:lang w:val="en-US"/>
        </w:rPr>
        <w:t xml:space="preserve">  </w:t>
      </w:r>
    </w:p>
    <w:p w14:paraId="3CA8C373" w14:textId="77777777" w:rsidR="00C62F53" w:rsidRPr="005652FF" w:rsidRDefault="00C62F53" w:rsidP="00F1478B">
      <w:pPr>
        <w:spacing w:after="0" w:line="276" w:lineRule="auto"/>
        <w:jc w:val="both"/>
        <w:rPr>
          <w:rFonts w:ascii="Verdana" w:hAnsi="Verdana" w:cstheme="minorHAnsi"/>
          <w:bCs/>
          <w:sz w:val="20"/>
          <w:lang w:val="en-US"/>
        </w:rPr>
      </w:pPr>
    </w:p>
    <w:p w14:paraId="16C43EA4" w14:textId="62AA622D" w:rsidR="00D72D3D" w:rsidRPr="00673013" w:rsidRDefault="00D72D3D" w:rsidP="00D72D3D">
      <w:pPr>
        <w:spacing w:line="276" w:lineRule="auto"/>
        <w:jc w:val="both"/>
        <w:rPr>
          <w:rFonts w:cstheme="minorHAnsi"/>
          <w:b/>
          <w:bCs/>
        </w:rPr>
      </w:pPr>
      <w:r w:rsidRPr="00D72D3D">
        <w:rPr>
          <w:rFonts w:ascii="Verdana" w:hAnsi="Verdana" w:cstheme="minorHAnsi"/>
          <w:b/>
          <w:bCs/>
          <w:sz w:val="20"/>
          <w:lang w:val="en-US"/>
        </w:rPr>
        <w:t>In conclusion, the DNEL by inhalation for long-term systemic exposure used by the lead registrant, based on the European IOEL of carbon disulfide of 5 ppm (15 mg/m</w:t>
      </w:r>
      <w:r w:rsidRPr="00D72D3D">
        <w:rPr>
          <w:rFonts w:ascii="Verdana" w:hAnsi="Verdana" w:cstheme="minorHAnsi"/>
          <w:b/>
          <w:bCs/>
          <w:sz w:val="20"/>
          <w:vertAlign w:val="superscript"/>
          <w:lang w:val="en-US"/>
        </w:rPr>
        <w:t>3</w:t>
      </w:r>
      <w:r w:rsidRPr="00D72D3D">
        <w:rPr>
          <w:rFonts w:ascii="Verdana" w:hAnsi="Verdana" w:cstheme="minorHAnsi"/>
          <w:b/>
          <w:bCs/>
          <w:sz w:val="20"/>
          <w:lang w:val="en-US"/>
        </w:rPr>
        <w:t>) can be considered appropriate</w:t>
      </w:r>
      <w:r w:rsidRPr="00F1478B">
        <w:rPr>
          <w:rFonts w:ascii="Verdana" w:hAnsi="Verdana" w:cstheme="minorHAnsi"/>
          <w:b/>
          <w:bCs/>
          <w:sz w:val="20"/>
          <w:lang w:val="en-US"/>
        </w:rPr>
        <w:t>.</w:t>
      </w:r>
      <w:r w:rsidR="006744D9" w:rsidRPr="00F1478B">
        <w:rPr>
          <w:rFonts w:ascii="Verdana" w:hAnsi="Verdana" w:cstheme="minorHAnsi"/>
          <w:b/>
          <w:bCs/>
          <w:sz w:val="20"/>
          <w:lang w:val="en-US"/>
        </w:rPr>
        <w:t xml:space="preserve"> </w:t>
      </w:r>
      <w:r w:rsidR="00326C81">
        <w:rPr>
          <w:rFonts w:ascii="Verdana" w:hAnsi="Verdana" w:cstheme="minorHAnsi"/>
          <w:b/>
          <w:bCs/>
          <w:sz w:val="20"/>
          <w:lang w:val="en-US"/>
        </w:rPr>
        <w:t xml:space="preserve">The new data are not judged sufficiently convincing to revise this IOEL. </w:t>
      </w:r>
      <w:r w:rsidR="008E5BAB">
        <w:rPr>
          <w:rFonts w:ascii="Verdana" w:hAnsi="Verdana" w:cstheme="minorHAnsi"/>
          <w:b/>
          <w:bCs/>
          <w:sz w:val="20"/>
          <w:lang w:val="en-US"/>
        </w:rPr>
        <w:t xml:space="preserve">In the framework of the public consultation, </w:t>
      </w:r>
      <w:r w:rsidR="006744D9" w:rsidRPr="00F1478B">
        <w:rPr>
          <w:rFonts w:ascii="Verdana" w:hAnsi="Verdana" w:cstheme="minorHAnsi"/>
          <w:b/>
          <w:bCs/>
          <w:sz w:val="20"/>
          <w:lang w:val="en-US"/>
        </w:rPr>
        <w:t xml:space="preserve">FR-MSCA would welcome comments on </w:t>
      </w:r>
      <w:r w:rsidR="00326C81">
        <w:rPr>
          <w:rFonts w:ascii="Verdana" w:hAnsi="Verdana" w:cstheme="minorHAnsi"/>
          <w:b/>
          <w:bCs/>
          <w:sz w:val="20"/>
          <w:lang w:val="en-US"/>
        </w:rPr>
        <w:t>the conclusion that no action is needed on the current IOEL</w:t>
      </w:r>
      <w:r w:rsidR="006744D9" w:rsidRPr="00F1478B">
        <w:rPr>
          <w:rFonts w:ascii="Verdana" w:hAnsi="Verdana" w:cstheme="minorHAnsi"/>
          <w:b/>
          <w:bCs/>
          <w:sz w:val="20"/>
          <w:lang w:val="en-US"/>
        </w:rPr>
        <w:t>.</w:t>
      </w:r>
    </w:p>
    <w:p w14:paraId="13546EA8" w14:textId="2CB0AF40" w:rsidR="004103D2" w:rsidRPr="00181B4B" w:rsidRDefault="004103D2" w:rsidP="00181B4B">
      <w:pPr>
        <w:pStyle w:val="Titre2"/>
        <w:tabs>
          <w:tab w:val="clear" w:pos="1928"/>
          <w:tab w:val="num" w:pos="1503"/>
        </w:tabs>
        <w:ind w:left="1077"/>
        <w:rPr>
          <w:color w:val="auto"/>
        </w:rPr>
      </w:pPr>
      <w:bookmarkStart w:id="17" w:name="_Toc117776286"/>
      <w:r w:rsidRPr="00181B4B">
        <w:rPr>
          <w:color w:val="auto"/>
        </w:rPr>
        <w:t>Risk characterisation</w:t>
      </w:r>
      <w:bookmarkEnd w:id="17"/>
    </w:p>
    <w:p w14:paraId="1E8CDC56" w14:textId="408B5B6C" w:rsidR="004105E0" w:rsidRDefault="003B085A" w:rsidP="004D5374">
      <w:pPr>
        <w:spacing w:after="0"/>
        <w:jc w:val="both"/>
        <w:rPr>
          <w:rFonts w:ascii="Verdana" w:hAnsi="Verdana"/>
          <w:sz w:val="20"/>
          <w:szCs w:val="20"/>
          <w:lang w:val="en-US" w:eastAsia="en-GB"/>
        </w:rPr>
      </w:pPr>
      <w:r>
        <w:rPr>
          <w:rFonts w:ascii="Verdana" w:hAnsi="Verdana"/>
          <w:sz w:val="20"/>
          <w:szCs w:val="20"/>
          <w:lang w:val="en-US" w:eastAsia="en-GB"/>
        </w:rPr>
        <w:t>The risk characterization was performed using the exposure estimates by ECETOC TRA in the lead registration dossier (CSR</w:t>
      </w:r>
      <w:r w:rsidR="00326C81">
        <w:rPr>
          <w:rFonts w:ascii="Verdana" w:hAnsi="Verdana"/>
          <w:sz w:val="20"/>
          <w:szCs w:val="20"/>
          <w:lang w:val="en-US" w:eastAsia="en-GB"/>
        </w:rPr>
        <w:t>, 2019</w:t>
      </w:r>
      <w:r>
        <w:rPr>
          <w:rFonts w:ascii="Verdana" w:hAnsi="Verdana"/>
          <w:sz w:val="20"/>
          <w:szCs w:val="20"/>
          <w:lang w:val="en-US" w:eastAsia="en-GB"/>
        </w:rPr>
        <w:t>)</w:t>
      </w:r>
      <w:r w:rsidR="00C62F53">
        <w:rPr>
          <w:rFonts w:ascii="Verdana" w:hAnsi="Verdana"/>
          <w:sz w:val="20"/>
          <w:szCs w:val="20"/>
          <w:lang w:val="en-US" w:eastAsia="en-GB"/>
        </w:rPr>
        <w:t xml:space="preserve"> keeping in mind its related uncertainties</w:t>
      </w:r>
      <w:r>
        <w:rPr>
          <w:rFonts w:ascii="Verdana" w:hAnsi="Verdana"/>
          <w:sz w:val="20"/>
          <w:szCs w:val="20"/>
          <w:lang w:val="en-US" w:eastAsia="en-GB"/>
        </w:rPr>
        <w:t xml:space="preserve"> and </w:t>
      </w:r>
      <w:r w:rsidR="004105E0">
        <w:rPr>
          <w:rFonts w:ascii="Verdana" w:hAnsi="Verdana"/>
          <w:sz w:val="20"/>
          <w:szCs w:val="20"/>
          <w:lang w:val="en-US" w:eastAsia="en-GB"/>
        </w:rPr>
        <w:t>the long-term DNEL</w:t>
      </w:r>
      <w:r w:rsidR="005970D6">
        <w:rPr>
          <w:rFonts w:ascii="Verdana" w:hAnsi="Verdana"/>
          <w:sz w:val="20"/>
          <w:szCs w:val="20"/>
          <w:lang w:val="en-US" w:eastAsia="en-GB"/>
        </w:rPr>
        <w:t xml:space="preserve"> for systemic effect by inhalation of 5 ppm (15 mg/m</w:t>
      </w:r>
      <w:r w:rsidR="005970D6" w:rsidRPr="005970D6">
        <w:rPr>
          <w:rFonts w:ascii="Verdana" w:hAnsi="Verdana"/>
          <w:sz w:val="20"/>
          <w:szCs w:val="20"/>
          <w:vertAlign w:val="superscript"/>
          <w:lang w:val="en-US" w:eastAsia="en-GB"/>
        </w:rPr>
        <w:t>3</w:t>
      </w:r>
      <w:r>
        <w:rPr>
          <w:rFonts w:ascii="Verdana" w:hAnsi="Verdana"/>
          <w:sz w:val="20"/>
          <w:szCs w:val="20"/>
          <w:lang w:val="en-US" w:eastAsia="en-GB"/>
        </w:rPr>
        <w:t>).</w:t>
      </w:r>
      <w:r w:rsidR="004105E0">
        <w:rPr>
          <w:rFonts w:ascii="Verdana" w:hAnsi="Verdana"/>
          <w:sz w:val="20"/>
          <w:szCs w:val="20"/>
          <w:lang w:val="en-US" w:eastAsia="en-GB"/>
        </w:rPr>
        <w:t xml:space="preserve"> </w:t>
      </w:r>
      <w:r>
        <w:rPr>
          <w:rFonts w:ascii="Verdana" w:hAnsi="Verdana"/>
          <w:sz w:val="20"/>
          <w:szCs w:val="20"/>
          <w:lang w:val="en-US" w:eastAsia="en-GB"/>
        </w:rPr>
        <w:t>T</w:t>
      </w:r>
      <w:r w:rsidR="00A304D7">
        <w:rPr>
          <w:rFonts w:ascii="Verdana" w:hAnsi="Verdana"/>
          <w:sz w:val="20"/>
          <w:szCs w:val="20"/>
          <w:lang w:val="en-US" w:eastAsia="en-GB"/>
        </w:rPr>
        <w:t xml:space="preserve">he </w:t>
      </w:r>
      <w:r w:rsidR="00326C81">
        <w:rPr>
          <w:rFonts w:ascii="Verdana" w:hAnsi="Verdana"/>
          <w:sz w:val="20"/>
          <w:szCs w:val="20"/>
          <w:lang w:val="en-US" w:eastAsia="en-GB"/>
        </w:rPr>
        <w:t>r</w:t>
      </w:r>
      <w:r w:rsidR="00A304D7">
        <w:rPr>
          <w:rFonts w:ascii="Verdana" w:hAnsi="Verdana"/>
          <w:sz w:val="20"/>
          <w:szCs w:val="20"/>
          <w:lang w:val="en-US" w:eastAsia="en-GB"/>
        </w:rPr>
        <w:t xml:space="preserve">isk characterisation </w:t>
      </w:r>
      <w:r>
        <w:rPr>
          <w:rFonts w:ascii="Verdana" w:hAnsi="Verdana"/>
          <w:sz w:val="20"/>
          <w:szCs w:val="20"/>
          <w:lang w:val="en-US" w:eastAsia="en-GB"/>
        </w:rPr>
        <w:t>ratio (RCRs) were only calculated for inhalation.</w:t>
      </w:r>
    </w:p>
    <w:p w14:paraId="521395C8" w14:textId="5AB21AF0" w:rsidR="00A304D7" w:rsidRDefault="00A304D7" w:rsidP="004D5374">
      <w:pPr>
        <w:spacing w:after="0"/>
        <w:jc w:val="both"/>
        <w:rPr>
          <w:rFonts w:ascii="Verdana" w:hAnsi="Verdana"/>
          <w:sz w:val="20"/>
          <w:szCs w:val="20"/>
          <w:lang w:val="en-US" w:eastAsia="en-GB"/>
        </w:rPr>
      </w:pPr>
    </w:p>
    <w:p w14:paraId="6FAEA29D" w14:textId="5BBCF46C" w:rsidR="003B085A" w:rsidRDefault="003B085A" w:rsidP="00467D3A">
      <w:pPr>
        <w:pStyle w:val="Corpsdetexte"/>
        <w:spacing w:after="120"/>
        <w:jc w:val="both"/>
        <w:rPr>
          <w:rFonts w:ascii="Verdana" w:hAnsi="Verdana"/>
          <w:sz w:val="20"/>
          <w:szCs w:val="20"/>
          <w:lang w:val="en-US" w:eastAsia="en-GB"/>
        </w:rPr>
      </w:pPr>
      <w:r w:rsidRPr="00467D3A">
        <w:rPr>
          <w:rFonts w:ascii="Verdana" w:hAnsi="Verdana"/>
          <w:sz w:val="20"/>
          <w:szCs w:val="20"/>
          <w:lang w:val="en-US" w:eastAsia="en-GB"/>
        </w:rPr>
        <w:t xml:space="preserve">Based on modelling data, </w:t>
      </w:r>
      <w:r>
        <w:rPr>
          <w:rFonts w:ascii="Verdana" w:hAnsi="Verdana"/>
          <w:sz w:val="20"/>
          <w:szCs w:val="20"/>
          <w:lang w:val="en-US" w:eastAsia="en-GB"/>
        </w:rPr>
        <w:t xml:space="preserve">although RCR were closed to 1, </w:t>
      </w:r>
      <w:r w:rsidRPr="00467D3A">
        <w:rPr>
          <w:rFonts w:ascii="Verdana" w:hAnsi="Verdana"/>
          <w:sz w:val="20"/>
          <w:szCs w:val="20"/>
          <w:lang w:val="en-US" w:eastAsia="en-GB"/>
        </w:rPr>
        <w:t>all the RCR were below 1</w:t>
      </w:r>
      <w:r>
        <w:rPr>
          <w:rFonts w:ascii="Verdana" w:hAnsi="Verdana"/>
          <w:sz w:val="20"/>
          <w:szCs w:val="20"/>
          <w:lang w:val="en-US" w:eastAsia="en-GB"/>
        </w:rPr>
        <w:t xml:space="preserve"> (range: 0.01 to 4.2 ppm)</w:t>
      </w:r>
      <w:r w:rsidR="000B5654">
        <w:rPr>
          <w:rFonts w:ascii="Verdana" w:hAnsi="Verdana"/>
          <w:sz w:val="20"/>
          <w:szCs w:val="20"/>
          <w:lang w:val="en-US" w:eastAsia="en-GB"/>
        </w:rPr>
        <w:t xml:space="preserve"> in the CSR</w:t>
      </w:r>
      <w:r w:rsidR="002C2F8F">
        <w:rPr>
          <w:rFonts w:ascii="Verdana" w:hAnsi="Verdana"/>
          <w:sz w:val="20"/>
          <w:szCs w:val="20"/>
          <w:lang w:val="en-US" w:eastAsia="en-GB"/>
        </w:rPr>
        <w:t xml:space="preserve"> of the</w:t>
      </w:r>
      <w:r w:rsidR="002C2F8F" w:rsidRPr="002C2F8F">
        <w:rPr>
          <w:rFonts w:ascii="Verdana" w:hAnsi="Verdana"/>
          <w:sz w:val="20"/>
          <w:szCs w:val="20"/>
          <w:lang w:val="en-US" w:eastAsia="en-GB"/>
        </w:rPr>
        <w:t xml:space="preserve"> </w:t>
      </w:r>
      <w:r w:rsidR="002C2F8F">
        <w:rPr>
          <w:rFonts w:ascii="Verdana" w:hAnsi="Verdana"/>
          <w:sz w:val="20"/>
          <w:szCs w:val="20"/>
          <w:lang w:val="en-US" w:eastAsia="en-GB"/>
        </w:rPr>
        <w:t>lead registrant</w:t>
      </w:r>
      <w:r w:rsidR="00326C81">
        <w:rPr>
          <w:rFonts w:ascii="Verdana" w:hAnsi="Verdana"/>
          <w:sz w:val="20"/>
          <w:szCs w:val="20"/>
          <w:lang w:val="en-US" w:eastAsia="en-GB"/>
        </w:rPr>
        <w:t>s</w:t>
      </w:r>
      <w:r w:rsidRPr="00467D3A">
        <w:rPr>
          <w:rFonts w:ascii="Verdana" w:hAnsi="Verdana"/>
          <w:sz w:val="20"/>
          <w:szCs w:val="20"/>
          <w:lang w:val="en-US" w:eastAsia="en-GB"/>
        </w:rPr>
        <w:t>.</w:t>
      </w:r>
      <w:r w:rsidR="000B5654">
        <w:rPr>
          <w:rFonts w:ascii="Verdana" w:hAnsi="Verdana"/>
          <w:sz w:val="20"/>
          <w:szCs w:val="20"/>
          <w:lang w:val="en-US" w:eastAsia="en-GB"/>
        </w:rPr>
        <w:t xml:space="preserve"> In addition, </w:t>
      </w:r>
      <w:r w:rsidR="00FA0229">
        <w:rPr>
          <w:rFonts w:ascii="Verdana" w:hAnsi="Verdana"/>
          <w:sz w:val="20"/>
          <w:szCs w:val="20"/>
          <w:lang w:val="en-US" w:eastAsia="en-GB"/>
        </w:rPr>
        <w:t>the highest RCR was obtained</w:t>
      </w:r>
      <w:r w:rsidR="00FA0229" w:rsidRPr="00FA0229">
        <w:rPr>
          <w:rFonts w:ascii="Verdana" w:hAnsi="Verdana"/>
          <w:sz w:val="20"/>
          <w:szCs w:val="20"/>
          <w:lang w:val="en-US" w:eastAsia="en-GB"/>
        </w:rPr>
        <w:t xml:space="preserve"> </w:t>
      </w:r>
      <w:r w:rsidR="00FA0229">
        <w:rPr>
          <w:rFonts w:ascii="Verdana" w:hAnsi="Verdana"/>
          <w:sz w:val="20"/>
          <w:szCs w:val="20"/>
          <w:lang w:val="en-US" w:eastAsia="en-GB"/>
        </w:rPr>
        <w:t>for the use as a laboratory reagent by professional workers, calculated to be equal to</w:t>
      </w:r>
      <w:r w:rsidR="00326C81">
        <w:rPr>
          <w:rFonts w:ascii="Verdana" w:hAnsi="Verdana"/>
          <w:sz w:val="20"/>
          <w:szCs w:val="20"/>
          <w:lang w:val="en-US" w:eastAsia="en-GB"/>
        </w:rPr>
        <w:t xml:space="preserve"> </w:t>
      </w:r>
      <w:r w:rsidR="000B5654">
        <w:rPr>
          <w:rFonts w:ascii="Verdana" w:hAnsi="Verdana"/>
          <w:sz w:val="20"/>
          <w:szCs w:val="20"/>
          <w:lang w:val="en-US" w:eastAsia="en-GB"/>
        </w:rPr>
        <w:t>1.</w:t>
      </w:r>
      <w:r w:rsidRPr="00467D3A">
        <w:rPr>
          <w:rFonts w:ascii="Verdana" w:hAnsi="Verdana"/>
          <w:sz w:val="20"/>
          <w:szCs w:val="20"/>
          <w:lang w:val="en-US" w:eastAsia="en-GB"/>
        </w:rPr>
        <w:t xml:space="preserve"> </w:t>
      </w:r>
    </w:p>
    <w:p w14:paraId="4BC13E91" w14:textId="1F87381D" w:rsidR="005A6002" w:rsidRDefault="000B5654" w:rsidP="005A6002">
      <w:pPr>
        <w:pStyle w:val="Corpsdetexte"/>
        <w:spacing w:after="120"/>
        <w:jc w:val="both"/>
        <w:rPr>
          <w:rFonts w:ascii="Verdana" w:hAnsi="Verdana"/>
          <w:sz w:val="20"/>
          <w:szCs w:val="20"/>
          <w:lang w:eastAsia="en-GB"/>
        </w:rPr>
      </w:pPr>
      <w:r>
        <w:rPr>
          <w:rFonts w:ascii="Verdana" w:hAnsi="Verdana"/>
          <w:sz w:val="20"/>
          <w:szCs w:val="20"/>
          <w:lang w:eastAsia="en-GB"/>
        </w:rPr>
        <w:t xml:space="preserve">Overall, </w:t>
      </w:r>
      <w:r w:rsidR="008D12BB">
        <w:rPr>
          <w:rFonts w:ascii="Verdana" w:hAnsi="Verdana"/>
          <w:sz w:val="20"/>
          <w:szCs w:val="20"/>
          <w:lang w:eastAsia="en-GB"/>
        </w:rPr>
        <w:t xml:space="preserve">RCR </w:t>
      </w:r>
      <w:r w:rsidR="00D14360">
        <w:rPr>
          <w:rFonts w:ascii="Verdana" w:hAnsi="Verdana"/>
          <w:sz w:val="20"/>
          <w:szCs w:val="20"/>
          <w:lang w:eastAsia="en-GB"/>
        </w:rPr>
        <w:t>&gt; 0.5</w:t>
      </w:r>
      <w:r w:rsidR="008D12BB">
        <w:rPr>
          <w:rFonts w:ascii="Verdana" w:hAnsi="Verdana"/>
          <w:sz w:val="20"/>
          <w:szCs w:val="20"/>
          <w:lang w:eastAsia="en-GB"/>
        </w:rPr>
        <w:t xml:space="preserve"> were noted for </w:t>
      </w:r>
      <w:r w:rsidR="00D14360">
        <w:rPr>
          <w:rFonts w:ascii="Verdana" w:hAnsi="Verdana"/>
          <w:sz w:val="20"/>
          <w:szCs w:val="20"/>
          <w:lang w:eastAsia="en-GB"/>
        </w:rPr>
        <w:t>PROC 4 “</w:t>
      </w:r>
      <w:r w:rsidR="00D14360" w:rsidRPr="00C64B9B">
        <w:rPr>
          <w:rFonts w:ascii="Verdana" w:hAnsi="Verdana"/>
          <w:sz w:val="20"/>
          <w:szCs w:val="20"/>
          <w:lang w:eastAsia="en-GB"/>
        </w:rPr>
        <w:t>Use in batch and other process (synthesis) where opportunity for exposure arises”</w:t>
      </w:r>
      <w:r>
        <w:rPr>
          <w:rFonts w:ascii="Verdana" w:hAnsi="Verdana"/>
          <w:sz w:val="20"/>
          <w:szCs w:val="20"/>
          <w:lang w:eastAsia="en-GB"/>
        </w:rPr>
        <w:t xml:space="preserve"> and </w:t>
      </w:r>
      <w:r w:rsidR="00DE432A" w:rsidRPr="00C64B9B">
        <w:rPr>
          <w:rFonts w:ascii="Verdana" w:hAnsi="Verdana"/>
          <w:sz w:val="20"/>
          <w:szCs w:val="20"/>
          <w:lang w:eastAsia="en-GB"/>
        </w:rPr>
        <w:t>PROC 15 for the professional use as a laboratory reagent</w:t>
      </w:r>
      <w:r w:rsidR="005970D6">
        <w:rPr>
          <w:rFonts w:ascii="Verdana" w:hAnsi="Verdana"/>
          <w:sz w:val="20"/>
          <w:szCs w:val="20"/>
          <w:lang w:eastAsia="en-GB"/>
        </w:rPr>
        <w:t xml:space="preserve">. </w:t>
      </w:r>
      <w:r w:rsidR="005970D6" w:rsidRPr="004E2300">
        <w:rPr>
          <w:rFonts w:ascii="Verdana" w:hAnsi="Verdana"/>
          <w:b/>
          <w:sz w:val="20"/>
          <w:szCs w:val="20"/>
          <w:lang w:eastAsia="en-GB"/>
        </w:rPr>
        <w:t>Considering the underestimation of potential dermal exposure and of the modelling data, risk canno</w:t>
      </w:r>
      <w:r w:rsidR="00D14360" w:rsidRPr="004E2300">
        <w:rPr>
          <w:rFonts w:ascii="Verdana" w:hAnsi="Verdana"/>
          <w:b/>
          <w:sz w:val="20"/>
          <w:szCs w:val="20"/>
          <w:lang w:eastAsia="en-GB"/>
        </w:rPr>
        <w:t>t be</w:t>
      </w:r>
      <w:r w:rsidRPr="004E2300">
        <w:rPr>
          <w:rFonts w:ascii="Verdana" w:hAnsi="Verdana"/>
          <w:b/>
          <w:sz w:val="20"/>
          <w:szCs w:val="20"/>
          <w:lang w:eastAsia="en-GB"/>
        </w:rPr>
        <w:t xml:space="preserve"> excluded during these processe</w:t>
      </w:r>
      <w:r w:rsidR="00D14360" w:rsidRPr="004E2300">
        <w:rPr>
          <w:rFonts w:ascii="Verdana" w:hAnsi="Verdana"/>
          <w:b/>
          <w:sz w:val="20"/>
          <w:szCs w:val="20"/>
          <w:lang w:eastAsia="en-GB"/>
        </w:rPr>
        <w:t>s</w:t>
      </w:r>
      <w:r w:rsidR="00D14360">
        <w:rPr>
          <w:rFonts w:ascii="Verdana" w:hAnsi="Verdana"/>
          <w:sz w:val="20"/>
          <w:szCs w:val="20"/>
          <w:lang w:eastAsia="en-GB"/>
        </w:rPr>
        <w:t>.</w:t>
      </w:r>
      <w:r w:rsidR="005A6002" w:rsidRPr="005A6002">
        <w:rPr>
          <w:rFonts w:ascii="Verdana" w:hAnsi="Verdana"/>
          <w:sz w:val="20"/>
          <w:szCs w:val="20"/>
          <w:lang w:eastAsia="en-GB"/>
        </w:rPr>
        <w:t xml:space="preserve"> </w:t>
      </w:r>
      <w:r w:rsidR="008E5BAB" w:rsidRPr="00673013">
        <w:rPr>
          <w:rFonts w:ascii="Verdana" w:hAnsi="Verdana" w:cstheme="minorHAnsi"/>
          <w:b/>
          <w:bCs/>
          <w:sz w:val="20"/>
          <w:lang w:val="en-US"/>
        </w:rPr>
        <w:t>In the framework of the public consultation,</w:t>
      </w:r>
      <w:r w:rsidR="008E5BAB">
        <w:rPr>
          <w:rFonts w:ascii="Verdana" w:hAnsi="Verdana"/>
          <w:sz w:val="20"/>
          <w:szCs w:val="20"/>
          <w:lang w:eastAsia="en-GB"/>
        </w:rPr>
        <w:t xml:space="preserve"> </w:t>
      </w:r>
      <w:r w:rsidR="008E5BAB" w:rsidRPr="008E5BAB">
        <w:rPr>
          <w:rFonts w:ascii="Verdana" w:hAnsi="Verdana" w:cstheme="minorHAnsi"/>
          <w:b/>
          <w:bCs/>
          <w:sz w:val="20"/>
          <w:lang w:val="en-US"/>
        </w:rPr>
        <w:t xml:space="preserve">FR-MSCA </w:t>
      </w:r>
      <w:r w:rsidR="00CA40C9">
        <w:rPr>
          <w:rFonts w:ascii="Verdana" w:hAnsi="Verdana" w:cstheme="minorHAnsi"/>
          <w:b/>
          <w:bCs/>
          <w:sz w:val="20"/>
          <w:lang w:val="en-US"/>
        </w:rPr>
        <w:t>would welcome</w:t>
      </w:r>
      <w:r w:rsidR="008E5BAB">
        <w:rPr>
          <w:rFonts w:ascii="Verdana" w:hAnsi="Verdana" w:cstheme="minorHAnsi"/>
          <w:b/>
          <w:bCs/>
          <w:sz w:val="20"/>
          <w:lang w:val="en-US"/>
        </w:rPr>
        <w:t xml:space="preserve"> further </w:t>
      </w:r>
      <w:r w:rsidR="008E5BAB" w:rsidRPr="008E5BAB">
        <w:rPr>
          <w:rFonts w:ascii="Verdana" w:hAnsi="Verdana" w:cstheme="minorHAnsi"/>
          <w:b/>
          <w:bCs/>
          <w:sz w:val="20"/>
          <w:lang w:val="en-US"/>
        </w:rPr>
        <w:t>exposure data</w:t>
      </w:r>
      <w:r w:rsidR="008E5BAB" w:rsidRPr="00673013">
        <w:rPr>
          <w:rFonts w:ascii="Verdana" w:hAnsi="Verdana"/>
          <w:b/>
          <w:sz w:val="20"/>
          <w:szCs w:val="20"/>
          <w:lang w:eastAsia="en-GB"/>
        </w:rPr>
        <w:t>, such as b</w:t>
      </w:r>
      <w:r w:rsidR="005A6002" w:rsidRPr="00673013">
        <w:rPr>
          <w:rFonts w:ascii="Verdana" w:hAnsi="Verdana"/>
          <w:b/>
          <w:sz w:val="20"/>
          <w:szCs w:val="20"/>
          <w:lang w:eastAsia="en-GB"/>
        </w:rPr>
        <w:t>iomonitoring data and air measurement data</w:t>
      </w:r>
      <w:r w:rsidR="008E5BAB">
        <w:rPr>
          <w:rFonts w:ascii="Verdana" w:hAnsi="Verdana"/>
          <w:b/>
          <w:sz w:val="20"/>
          <w:szCs w:val="20"/>
          <w:lang w:eastAsia="en-GB"/>
        </w:rPr>
        <w:t>,</w:t>
      </w:r>
      <w:r w:rsidR="005A6002" w:rsidRPr="00673013">
        <w:rPr>
          <w:rFonts w:ascii="Verdana" w:hAnsi="Verdana"/>
          <w:b/>
          <w:sz w:val="20"/>
          <w:szCs w:val="20"/>
          <w:lang w:eastAsia="en-GB"/>
        </w:rPr>
        <w:t xml:space="preserve"> </w:t>
      </w:r>
      <w:r w:rsidR="008E5BAB">
        <w:rPr>
          <w:rFonts w:ascii="Verdana" w:hAnsi="Verdana"/>
          <w:b/>
          <w:sz w:val="20"/>
          <w:szCs w:val="20"/>
          <w:lang w:eastAsia="en-GB"/>
        </w:rPr>
        <w:t xml:space="preserve">are available </w:t>
      </w:r>
      <w:r w:rsidR="005A6002" w:rsidRPr="00673013">
        <w:rPr>
          <w:rFonts w:ascii="Verdana" w:hAnsi="Verdana"/>
          <w:b/>
          <w:sz w:val="20"/>
          <w:szCs w:val="20"/>
          <w:lang w:eastAsia="en-GB"/>
        </w:rPr>
        <w:t>to confirm the potential risk identified.</w:t>
      </w:r>
      <w:r w:rsidR="008E5BAB" w:rsidRPr="008E5BAB">
        <w:rPr>
          <w:rFonts w:ascii="Verdana" w:hAnsi="Verdana" w:cstheme="minorHAnsi"/>
          <w:b/>
          <w:bCs/>
          <w:sz w:val="20"/>
          <w:lang w:val="en-US"/>
        </w:rPr>
        <w:t xml:space="preserve"> </w:t>
      </w:r>
    </w:p>
    <w:p w14:paraId="1BFA7772" w14:textId="77777777" w:rsidR="005A6002" w:rsidRDefault="005A6002" w:rsidP="00467D3A">
      <w:pPr>
        <w:pStyle w:val="Corpsdetexte"/>
        <w:spacing w:after="120"/>
        <w:jc w:val="both"/>
        <w:rPr>
          <w:rFonts w:ascii="Verdana" w:hAnsi="Verdana"/>
          <w:sz w:val="20"/>
          <w:szCs w:val="20"/>
          <w:lang w:eastAsia="en-GB"/>
        </w:rPr>
      </w:pPr>
    </w:p>
    <w:p w14:paraId="56E3D771" w14:textId="2AE21F20" w:rsidR="008D12BB" w:rsidRDefault="008D12BB" w:rsidP="00617EE5">
      <w:pPr>
        <w:pStyle w:val="Lgende"/>
        <w:rPr>
          <w:szCs w:val="20"/>
        </w:rPr>
      </w:pPr>
      <w:r>
        <w:lastRenderedPageBreak/>
        <w:t xml:space="preserve">Table </w:t>
      </w:r>
      <w:r w:rsidR="005970D6">
        <w:fldChar w:fldCharType="begin"/>
      </w:r>
      <w:r w:rsidR="005970D6">
        <w:instrText xml:space="preserve"> SEQ Table \* ARABIC </w:instrText>
      </w:r>
      <w:r w:rsidR="005970D6">
        <w:fldChar w:fldCharType="separate"/>
      </w:r>
      <w:r w:rsidR="0014770F">
        <w:rPr>
          <w:noProof/>
        </w:rPr>
        <w:t>8</w:t>
      </w:r>
      <w:r w:rsidR="005970D6">
        <w:rPr>
          <w:noProof/>
        </w:rPr>
        <w:fldChar w:fldCharType="end"/>
      </w:r>
      <w:r w:rsidR="008408CE">
        <w:rPr>
          <w:noProof/>
        </w:rPr>
        <w:t xml:space="preserve"> </w:t>
      </w:r>
      <w:r w:rsidR="008408CE">
        <w:rPr>
          <w:noProof/>
        </w:rPr>
        <w:tab/>
        <w:t>Risk characterisation (</w:t>
      </w:r>
      <w:r w:rsidR="00A839FD">
        <w:rPr>
          <w:noProof/>
        </w:rPr>
        <w:t>E</w:t>
      </w:r>
      <w:r w:rsidR="008408CE">
        <w:rPr>
          <w:noProof/>
        </w:rPr>
        <w:t>xposure scenario</w:t>
      </w:r>
      <w:r w:rsidR="00A839FD">
        <w:rPr>
          <w:noProof/>
        </w:rPr>
        <w:t xml:space="preserve"> with RCR &gt; 0.5</w:t>
      </w:r>
      <w:r w:rsidR="008408CE">
        <w:rPr>
          <w:noProof/>
        </w:rPr>
        <w:t>)</w:t>
      </w:r>
    </w:p>
    <w:tbl>
      <w:tblPr>
        <w:tblW w:w="5024" w:type="pct"/>
        <w:tblLayout w:type="fixed"/>
        <w:tblCellMar>
          <w:left w:w="0" w:type="dxa"/>
          <w:right w:w="0" w:type="dxa"/>
        </w:tblCellMar>
        <w:tblLook w:val="0000" w:firstRow="0" w:lastRow="0" w:firstColumn="0" w:lastColumn="0" w:noHBand="0" w:noVBand="0"/>
      </w:tblPr>
      <w:tblGrid>
        <w:gridCol w:w="2122"/>
        <w:gridCol w:w="1416"/>
        <w:gridCol w:w="1702"/>
        <w:gridCol w:w="3102"/>
      </w:tblGrid>
      <w:tr w:rsidR="004D5D44" w:rsidRPr="008D12BB" w14:paraId="089F67D1" w14:textId="77777777" w:rsidTr="004D5D44">
        <w:trPr>
          <w:cantSplit/>
          <w:trHeight w:val="22"/>
          <w:tblHeader/>
        </w:trPr>
        <w:tc>
          <w:tcPr>
            <w:tcW w:w="1272" w:type="pct"/>
            <w:tcBorders>
              <w:top w:val="single" w:sz="4" w:space="0" w:color="auto"/>
              <w:left w:val="single" w:sz="4" w:space="0" w:color="auto"/>
              <w:right w:val="single" w:sz="4" w:space="0" w:color="auto"/>
            </w:tcBorders>
            <w:shd w:val="clear" w:color="auto" w:fill="D9D9D9"/>
          </w:tcPr>
          <w:p w14:paraId="0064E184" w14:textId="77777777" w:rsidR="004D5D44" w:rsidRPr="008D12BB" w:rsidRDefault="004D5D44" w:rsidP="003C0787">
            <w:pPr>
              <w:spacing w:after="0"/>
              <w:jc w:val="both"/>
              <w:rPr>
                <w:rFonts w:ascii="Verdana" w:hAnsi="Verdana"/>
                <w:b/>
                <w:color w:val="000000"/>
                <w:sz w:val="18"/>
                <w:szCs w:val="18"/>
              </w:rPr>
            </w:pPr>
            <w:r w:rsidRPr="008D12BB">
              <w:rPr>
                <w:rFonts w:ascii="Verdana" w:hAnsi="Verdana"/>
                <w:b/>
                <w:color w:val="000000"/>
                <w:sz w:val="18"/>
                <w:szCs w:val="18"/>
              </w:rPr>
              <w:t>Identified use</w:t>
            </w:r>
          </w:p>
        </w:tc>
        <w:tc>
          <w:tcPr>
            <w:tcW w:w="849" w:type="pct"/>
            <w:tcBorders>
              <w:top w:val="single" w:sz="4" w:space="0" w:color="000000"/>
              <w:left w:val="single" w:sz="4" w:space="0" w:color="auto"/>
              <w:right w:val="single" w:sz="4" w:space="0" w:color="000000"/>
            </w:tcBorders>
            <w:shd w:val="clear" w:color="auto" w:fill="D9D9D9"/>
            <w:tcMar>
              <w:top w:w="40" w:type="dxa"/>
              <w:left w:w="40" w:type="dxa"/>
              <w:bottom w:w="40" w:type="dxa"/>
              <w:right w:w="40" w:type="dxa"/>
            </w:tcMar>
          </w:tcPr>
          <w:p w14:paraId="392C25EC" w14:textId="77777777" w:rsidR="004D5D44" w:rsidRPr="008D12BB" w:rsidRDefault="004D5D44" w:rsidP="003C0787">
            <w:pPr>
              <w:spacing w:after="0"/>
              <w:jc w:val="both"/>
              <w:rPr>
                <w:rFonts w:ascii="Verdana" w:hAnsi="Verdana"/>
                <w:sz w:val="18"/>
                <w:szCs w:val="18"/>
              </w:rPr>
            </w:pPr>
            <w:r w:rsidRPr="008D12BB">
              <w:rPr>
                <w:rFonts w:ascii="Verdana" w:hAnsi="Verdana"/>
                <w:b/>
                <w:color w:val="000000"/>
                <w:sz w:val="18"/>
                <w:szCs w:val="18"/>
              </w:rPr>
              <w:t>Process Category</w:t>
            </w:r>
            <w:r w:rsidRPr="008D12BB">
              <w:rPr>
                <w:rFonts w:ascii="Verdana" w:hAnsi="Verdana"/>
                <w:b/>
                <w:color w:val="000000"/>
                <w:sz w:val="18"/>
                <w:szCs w:val="18"/>
              </w:rPr>
              <w:br/>
              <w:t>(PROC)</w:t>
            </w:r>
          </w:p>
        </w:tc>
        <w:tc>
          <w:tcPr>
            <w:tcW w:w="1020" w:type="pct"/>
            <w:tcBorders>
              <w:top w:val="single" w:sz="4" w:space="0" w:color="000000"/>
              <w:left w:val="nil"/>
              <w:bottom w:val="single" w:sz="4" w:space="0" w:color="000000"/>
              <w:right w:val="single" w:sz="4" w:space="0" w:color="auto"/>
            </w:tcBorders>
            <w:shd w:val="clear" w:color="auto" w:fill="D9D9D9"/>
          </w:tcPr>
          <w:p w14:paraId="6DB7A593" w14:textId="77777777" w:rsidR="004D5D44" w:rsidRPr="008D12BB" w:rsidRDefault="004D5D44" w:rsidP="003C0787">
            <w:pPr>
              <w:spacing w:after="0"/>
              <w:jc w:val="both"/>
              <w:rPr>
                <w:rFonts w:ascii="Verdana" w:hAnsi="Verdana"/>
                <w:b/>
                <w:color w:val="000000"/>
                <w:sz w:val="18"/>
                <w:szCs w:val="18"/>
              </w:rPr>
            </w:pPr>
            <w:r w:rsidRPr="008D12BB">
              <w:rPr>
                <w:rFonts w:ascii="Verdana" w:hAnsi="Verdana"/>
                <w:b/>
                <w:color w:val="000000"/>
                <w:sz w:val="18"/>
                <w:szCs w:val="18"/>
              </w:rPr>
              <w:t>RCR</w:t>
            </w:r>
          </w:p>
          <w:p w14:paraId="3957F4A2" w14:textId="0725EDA4" w:rsidR="004D5D44" w:rsidRPr="008D12BB" w:rsidRDefault="004D5D44" w:rsidP="003C0787">
            <w:pPr>
              <w:spacing w:after="0"/>
              <w:jc w:val="both"/>
              <w:rPr>
                <w:rFonts w:ascii="Verdana" w:hAnsi="Verdana"/>
                <w:color w:val="000000"/>
                <w:sz w:val="18"/>
                <w:szCs w:val="18"/>
              </w:rPr>
            </w:pPr>
            <w:r w:rsidRPr="008D12BB">
              <w:rPr>
                <w:rFonts w:ascii="Verdana" w:hAnsi="Verdana"/>
                <w:color w:val="000000"/>
                <w:sz w:val="18"/>
                <w:szCs w:val="18"/>
              </w:rPr>
              <w:t>(DNEL</w:t>
            </w:r>
            <w:r w:rsidRPr="008D12BB">
              <w:rPr>
                <w:rFonts w:ascii="Verdana" w:hAnsi="Verdana"/>
                <w:color w:val="000000"/>
                <w:sz w:val="18"/>
                <w:szCs w:val="18"/>
                <w:vertAlign w:val="subscript"/>
              </w:rPr>
              <w:t>inhal</w:t>
            </w:r>
            <w:r>
              <w:rPr>
                <w:rFonts w:ascii="Verdana" w:hAnsi="Verdana"/>
                <w:color w:val="000000"/>
                <w:sz w:val="18"/>
                <w:szCs w:val="18"/>
              </w:rPr>
              <w:t>=5</w:t>
            </w:r>
            <w:r w:rsidRPr="008D12BB">
              <w:rPr>
                <w:rFonts w:ascii="Verdana" w:hAnsi="Verdana"/>
                <w:color w:val="000000"/>
                <w:sz w:val="18"/>
                <w:szCs w:val="18"/>
              </w:rPr>
              <w:t xml:space="preserve"> ppm)</w:t>
            </w:r>
          </w:p>
        </w:tc>
        <w:tc>
          <w:tcPr>
            <w:tcW w:w="1859" w:type="pct"/>
            <w:tcBorders>
              <w:top w:val="single" w:sz="4" w:space="0" w:color="auto"/>
              <w:left w:val="single" w:sz="4" w:space="0" w:color="auto"/>
              <w:bottom w:val="single" w:sz="4" w:space="0" w:color="auto"/>
              <w:right w:val="single" w:sz="4" w:space="0" w:color="auto"/>
            </w:tcBorders>
            <w:shd w:val="clear" w:color="auto" w:fill="D9D9D9"/>
          </w:tcPr>
          <w:p w14:paraId="7E50CAFB" w14:textId="77777777" w:rsidR="004D5D44" w:rsidRPr="008D12BB" w:rsidRDefault="004D5D44" w:rsidP="003C0787">
            <w:pPr>
              <w:spacing w:after="0"/>
              <w:jc w:val="both"/>
              <w:rPr>
                <w:rFonts w:ascii="Verdana" w:hAnsi="Verdana"/>
                <w:b/>
                <w:color w:val="000000"/>
                <w:sz w:val="18"/>
                <w:szCs w:val="18"/>
              </w:rPr>
            </w:pPr>
            <w:r w:rsidRPr="008D12BB">
              <w:rPr>
                <w:rFonts w:ascii="Verdana" w:hAnsi="Verdana"/>
                <w:b/>
                <w:color w:val="000000"/>
                <w:sz w:val="18"/>
                <w:szCs w:val="18"/>
              </w:rPr>
              <w:t>RMM</w:t>
            </w:r>
          </w:p>
        </w:tc>
      </w:tr>
      <w:tr w:rsidR="004D5D44" w:rsidRPr="008D12BB" w14:paraId="4268A218" w14:textId="77777777" w:rsidTr="004D5D44">
        <w:trPr>
          <w:cantSplit/>
          <w:trHeight w:val="1323"/>
        </w:trPr>
        <w:tc>
          <w:tcPr>
            <w:tcW w:w="1272" w:type="pct"/>
            <w:tcBorders>
              <w:top w:val="single" w:sz="4" w:space="0" w:color="auto"/>
              <w:left w:val="single" w:sz="4" w:space="0" w:color="auto"/>
              <w:right w:val="single" w:sz="4" w:space="0" w:color="auto"/>
            </w:tcBorders>
          </w:tcPr>
          <w:p w14:paraId="665E6BE7" w14:textId="77777777" w:rsidR="004D5D44" w:rsidRPr="008D12BB" w:rsidRDefault="004D5D44" w:rsidP="003C0787">
            <w:pPr>
              <w:pStyle w:val="Corpsdetexte"/>
              <w:spacing w:after="0"/>
              <w:jc w:val="both"/>
              <w:rPr>
                <w:rFonts w:ascii="Verdana" w:hAnsi="Verdana"/>
                <w:sz w:val="18"/>
                <w:szCs w:val="18"/>
              </w:rPr>
            </w:pPr>
            <w:r w:rsidRPr="008D12BB">
              <w:rPr>
                <w:rFonts w:ascii="Verdana" w:hAnsi="Verdana"/>
                <w:sz w:val="18"/>
                <w:szCs w:val="18"/>
              </w:rPr>
              <w:t xml:space="preserve">Manufacturing of </w:t>
            </w:r>
            <w:r w:rsidRPr="008D12BB">
              <w:rPr>
                <w:rFonts w:ascii="Verdana" w:hAnsi="Verdana"/>
                <w:bCs/>
                <w:sz w:val="18"/>
                <w:szCs w:val="18"/>
                <w:lang w:val="en-US" w:eastAsia="fr-FR"/>
              </w:rPr>
              <w:t>regenerated</w:t>
            </w:r>
            <w:r w:rsidRPr="008D12BB">
              <w:rPr>
                <w:rFonts w:ascii="Verdana" w:hAnsi="Verdana"/>
                <w:sz w:val="18"/>
                <w:szCs w:val="18"/>
              </w:rPr>
              <w:t xml:space="preserve"> cellulose</w:t>
            </w:r>
          </w:p>
        </w:tc>
        <w:tc>
          <w:tcPr>
            <w:tcW w:w="849" w:type="pct"/>
            <w:tcBorders>
              <w:top w:val="single" w:sz="4" w:space="0" w:color="auto"/>
              <w:left w:val="single" w:sz="4" w:space="0" w:color="auto"/>
              <w:right w:val="single" w:sz="4" w:space="0" w:color="000000"/>
            </w:tcBorders>
            <w:tcMar>
              <w:top w:w="40" w:type="dxa"/>
              <w:left w:w="40" w:type="dxa"/>
              <w:bottom w:w="40" w:type="dxa"/>
              <w:right w:w="40" w:type="dxa"/>
            </w:tcMar>
          </w:tcPr>
          <w:p w14:paraId="4F5E78D9" w14:textId="77777777" w:rsidR="004D5D44" w:rsidRPr="008D12BB" w:rsidRDefault="004D5D44" w:rsidP="003C0787">
            <w:pPr>
              <w:spacing w:after="0"/>
              <w:jc w:val="both"/>
              <w:rPr>
                <w:rFonts w:ascii="Verdana" w:hAnsi="Verdana"/>
                <w:sz w:val="18"/>
                <w:szCs w:val="18"/>
              </w:rPr>
            </w:pPr>
            <w:r w:rsidRPr="008D12BB">
              <w:rPr>
                <w:rFonts w:ascii="Verdana" w:hAnsi="Verdana"/>
                <w:b/>
                <w:sz w:val="18"/>
                <w:szCs w:val="18"/>
              </w:rPr>
              <w:t>PROC 4</w:t>
            </w:r>
            <w:r w:rsidRPr="008D12BB">
              <w:rPr>
                <w:rFonts w:ascii="Verdana" w:hAnsi="Verdana"/>
                <w:sz w:val="18"/>
                <w:szCs w:val="18"/>
              </w:rPr>
              <w:t xml:space="preserve"> (indoor, process temp. ≤ 40°C, 8h/d)</w:t>
            </w:r>
          </w:p>
        </w:tc>
        <w:tc>
          <w:tcPr>
            <w:tcW w:w="1020" w:type="pct"/>
            <w:tcBorders>
              <w:top w:val="single" w:sz="4" w:space="0" w:color="000000"/>
              <w:left w:val="single" w:sz="4" w:space="0" w:color="000000"/>
              <w:right w:val="single" w:sz="4" w:space="0" w:color="000000"/>
            </w:tcBorders>
            <w:shd w:val="clear" w:color="auto" w:fill="auto"/>
          </w:tcPr>
          <w:p w14:paraId="764F074D" w14:textId="6C86966D" w:rsidR="004D5D44" w:rsidRPr="008D12BB" w:rsidRDefault="004D5D44" w:rsidP="003C0787">
            <w:pPr>
              <w:spacing w:after="0"/>
              <w:jc w:val="both"/>
              <w:rPr>
                <w:rFonts w:ascii="Verdana" w:hAnsi="Verdana"/>
                <w:b/>
                <w:color w:val="000000"/>
                <w:sz w:val="18"/>
                <w:szCs w:val="18"/>
              </w:rPr>
            </w:pPr>
            <w:r>
              <w:rPr>
                <w:rFonts w:ascii="Verdana" w:hAnsi="Verdana"/>
                <w:b/>
                <w:color w:val="000000"/>
                <w:sz w:val="18"/>
                <w:szCs w:val="18"/>
              </w:rPr>
              <w:t>RCR =0.602</w:t>
            </w:r>
          </w:p>
          <w:p w14:paraId="50D81972" w14:textId="77777777" w:rsidR="004D5D44" w:rsidRPr="008D12BB" w:rsidRDefault="004D5D44" w:rsidP="003C0787">
            <w:pPr>
              <w:spacing w:after="0"/>
              <w:jc w:val="both"/>
              <w:rPr>
                <w:rFonts w:ascii="Verdana" w:hAnsi="Verdana"/>
                <w:color w:val="000000"/>
                <w:sz w:val="18"/>
                <w:szCs w:val="18"/>
              </w:rPr>
            </w:pPr>
            <w:r w:rsidRPr="008D12BB">
              <w:rPr>
                <w:rFonts w:ascii="Verdana" w:hAnsi="Verdana"/>
                <w:b/>
                <w:color w:val="000000"/>
                <w:sz w:val="18"/>
                <w:szCs w:val="18"/>
              </w:rPr>
              <w:t>(TRA</w:t>
            </w:r>
            <w:r w:rsidRPr="008D12BB">
              <w:rPr>
                <w:rFonts w:ascii="Verdana" w:hAnsi="Verdana"/>
                <w:color w:val="000000"/>
                <w:sz w:val="18"/>
                <w:szCs w:val="18"/>
              </w:rPr>
              <w:t>)</w:t>
            </w:r>
          </w:p>
        </w:tc>
        <w:tc>
          <w:tcPr>
            <w:tcW w:w="1859" w:type="pct"/>
            <w:tcBorders>
              <w:top w:val="single" w:sz="4" w:space="0" w:color="auto"/>
              <w:left w:val="single" w:sz="4" w:space="0" w:color="000000"/>
              <w:right w:val="single" w:sz="4" w:space="0" w:color="000000"/>
            </w:tcBorders>
          </w:tcPr>
          <w:p w14:paraId="0D5509A7" w14:textId="3B43D812" w:rsidR="004D5D44" w:rsidRPr="008D12BB" w:rsidRDefault="004D5D44" w:rsidP="003C0787">
            <w:pPr>
              <w:spacing w:after="0"/>
              <w:jc w:val="both"/>
              <w:rPr>
                <w:rFonts w:ascii="Verdana" w:hAnsi="Verdana"/>
                <w:sz w:val="18"/>
                <w:szCs w:val="18"/>
              </w:rPr>
            </w:pPr>
            <w:r>
              <w:rPr>
                <w:rFonts w:ascii="Verdana" w:hAnsi="Verdana"/>
                <w:sz w:val="18"/>
                <w:szCs w:val="18"/>
              </w:rPr>
              <w:t xml:space="preserve">- </w:t>
            </w:r>
            <w:r w:rsidRPr="008D12BB">
              <w:rPr>
                <w:rFonts w:ascii="Verdana" w:hAnsi="Verdana"/>
                <w:sz w:val="18"/>
                <w:szCs w:val="18"/>
              </w:rPr>
              <w:t>Enhanced general ventilation (70% effectiveness)</w:t>
            </w:r>
          </w:p>
          <w:p w14:paraId="0705A90A" w14:textId="4FDE21F1" w:rsidR="004D5D44" w:rsidRPr="008D12BB" w:rsidRDefault="004D5D44" w:rsidP="003C0787">
            <w:pPr>
              <w:spacing w:after="0"/>
              <w:jc w:val="both"/>
              <w:rPr>
                <w:rFonts w:ascii="Verdana" w:hAnsi="Verdana"/>
                <w:sz w:val="18"/>
                <w:szCs w:val="18"/>
              </w:rPr>
            </w:pPr>
            <w:r>
              <w:rPr>
                <w:rFonts w:ascii="Verdana" w:hAnsi="Verdana"/>
                <w:sz w:val="18"/>
                <w:szCs w:val="18"/>
              </w:rPr>
              <w:t xml:space="preserve">- </w:t>
            </w:r>
            <w:r w:rsidRPr="008D12BB">
              <w:rPr>
                <w:rFonts w:ascii="Verdana" w:hAnsi="Verdana"/>
                <w:sz w:val="18"/>
                <w:szCs w:val="18"/>
              </w:rPr>
              <w:t>LEV, 90% effectiveness</w:t>
            </w:r>
          </w:p>
          <w:p w14:paraId="554F8155" w14:textId="7877159C" w:rsidR="004D5D44" w:rsidRPr="008D12BB" w:rsidRDefault="004D5D44" w:rsidP="003C0787">
            <w:pPr>
              <w:spacing w:after="0"/>
              <w:jc w:val="both"/>
              <w:rPr>
                <w:rFonts w:ascii="Verdana" w:hAnsi="Verdana"/>
                <w:sz w:val="18"/>
                <w:szCs w:val="18"/>
              </w:rPr>
            </w:pPr>
            <w:r>
              <w:rPr>
                <w:rFonts w:ascii="Verdana" w:hAnsi="Verdana"/>
                <w:sz w:val="18"/>
                <w:szCs w:val="18"/>
              </w:rPr>
              <w:t xml:space="preserve">- </w:t>
            </w:r>
            <w:r w:rsidRPr="008D12BB">
              <w:rPr>
                <w:rFonts w:ascii="Verdana" w:hAnsi="Verdana"/>
                <w:sz w:val="18"/>
                <w:szCs w:val="18"/>
              </w:rPr>
              <w:t>Dermal protection 95% effectiveness</w:t>
            </w:r>
          </w:p>
        </w:tc>
      </w:tr>
      <w:tr w:rsidR="004D5D44" w:rsidRPr="008D12BB" w14:paraId="49730FC5" w14:textId="77777777" w:rsidTr="004D5D44">
        <w:trPr>
          <w:cantSplit/>
          <w:trHeight w:val="1409"/>
        </w:trPr>
        <w:tc>
          <w:tcPr>
            <w:tcW w:w="1272" w:type="pct"/>
            <w:tcBorders>
              <w:top w:val="single" w:sz="4" w:space="0" w:color="auto"/>
              <w:left w:val="single" w:sz="4" w:space="0" w:color="auto"/>
              <w:bottom w:val="single" w:sz="4" w:space="0" w:color="auto"/>
              <w:right w:val="single" w:sz="4" w:space="0" w:color="auto"/>
            </w:tcBorders>
          </w:tcPr>
          <w:p w14:paraId="41677C91" w14:textId="77777777" w:rsidR="004D5D44" w:rsidRPr="005970D6" w:rsidRDefault="004D5D44" w:rsidP="005970D6">
            <w:pPr>
              <w:spacing w:after="0"/>
              <w:jc w:val="both"/>
              <w:rPr>
                <w:rFonts w:ascii="Verdana" w:hAnsi="Verdana"/>
                <w:color w:val="000000"/>
                <w:sz w:val="18"/>
                <w:szCs w:val="18"/>
              </w:rPr>
            </w:pPr>
            <w:r w:rsidRPr="005970D6">
              <w:rPr>
                <w:rFonts w:ascii="Verdana" w:hAnsi="Verdana"/>
                <w:color w:val="000000"/>
                <w:sz w:val="18"/>
                <w:szCs w:val="18"/>
              </w:rPr>
              <w:t>Use at industrial sites - Industrial use as</w:t>
            </w:r>
          </w:p>
          <w:p w14:paraId="3A229C9F" w14:textId="77777777" w:rsidR="004D5D44" w:rsidRPr="005970D6" w:rsidRDefault="004D5D44" w:rsidP="005970D6">
            <w:pPr>
              <w:spacing w:after="0"/>
              <w:jc w:val="both"/>
              <w:rPr>
                <w:rFonts w:ascii="Verdana" w:hAnsi="Verdana"/>
                <w:color w:val="000000"/>
                <w:sz w:val="18"/>
                <w:szCs w:val="18"/>
              </w:rPr>
            </w:pPr>
            <w:r w:rsidRPr="005970D6">
              <w:rPr>
                <w:rFonts w:ascii="Verdana" w:hAnsi="Verdana"/>
                <w:color w:val="000000"/>
                <w:sz w:val="18"/>
                <w:szCs w:val="18"/>
              </w:rPr>
              <w:t>an intermediate, use in the manufacture of plant protection</w:t>
            </w:r>
          </w:p>
          <w:p w14:paraId="1ABF0B4E" w14:textId="5CDF4059" w:rsidR="004D5D44" w:rsidRPr="008D12BB" w:rsidRDefault="004D5D44" w:rsidP="005970D6">
            <w:pPr>
              <w:spacing w:after="0"/>
              <w:jc w:val="both"/>
              <w:rPr>
                <w:rFonts w:ascii="Verdana" w:hAnsi="Verdana"/>
                <w:sz w:val="18"/>
                <w:szCs w:val="18"/>
              </w:rPr>
            </w:pPr>
            <w:r w:rsidRPr="005970D6">
              <w:rPr>
                <w:rFonts w:ascii="Verdana" w:hAnsi="Verdana"/>
                <w:color w:val="000000"/>
                <w:sz w:val="18"/>
                <w:szCs w:val="18"/>
              </w:rPr>
              <w:t>products and biocides</w:t>
            </w:r>
          </w:p>
        </w:tc>
        <w:tc>
          <w:tcPr>
            <w:tcW w:w="84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51CF93" w14:textId="77777777" w:rsidR="004D5D44" w:rsidRPr="008D12BB" w:rsidRDefault="004D5D44" w:rsidP="003C0787">
            <w:pPr>
              <w:spacing w:after="0"/>
              <w:jc w:val="both"/>
              <w:rPr>
                <w:rFonts w:ascii="Verdana" w:hAnsi="Verdana"/>
                <w:b/>
                <w:sz w:val="18"/>
                <w:szCs w:val="18"/>
              </w:rPr>
            </w:pPr>
            <w:r w:rsidRPr="008D12BB">
              <w:rPr>
                <w:rFonts w:ascii="Verdana" w:hAnsi="Verdana"/>
                <w:b/>
                <w:sz w:val="18"/>
                <w:szCs w:val="18"/>
              </w:rPr>
              <w:t xml:space="preserve">PROC 4 </w:t>
            </w:r>
          </w:p>
          <w:p w14:paraId="2E215D0B" w14:textId="1D950495" w:rsidR="004D5D44" w:rsidRPr="008D12BB" w:rsidRDefault="004D5D44" w:rsidP="003C0787">
            <w:pPr>
              <w:spacing w:after="0"/>
              <w:jc w:val="both"/>
              <w:rPr>
                <w:rFonts w:ascii="Verdana" w:hAnsi="Verdana"/>
                <w:sz w:val="18"/>
                <w:szCs w:val="18"/>
              </w:rPr>
            </w:pPr>
            <w:r w:rsidRPr="008D12BB">
              <w:rPr>
                <w:rFonts w:ascii="Verdana" w:hAnsi="Verdana"/>
                <w:sz w:val="18"/>
                <w:szCs w:val="18"/>
              </w:rPr>
              <w:t xml:space="preserve">(indoor, temperature process  ≤ 40°C 4h/d) </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7995BB26" w14:textId="4228A9F4" w:rsidR="004D5D44" w:rsidRPr="008D12BB" w:rsidRDefault="004D5D44" w:rsidP="003C0787">
            <w:pPr>
              <w:spacing w:after="0"/>
              <w:jc w:val="both"/>
              <w:rPr>
                <w:rFonts w:ascii="Verdana" w:hAnsi="Verdana"/>
                <w:b/>
                <w:color w:val="000000"/>
                <w:sz w:val="18"/>
                <w:szCs w:val="18"/>
              </w:rPr>
            </w:pPr>
            <w:r>
              <w:rPr>
                <w:rFonts w:ascii="Verdana" w:hAnsi="Verdana"/>
                <w:b/>
                <w:color w:val="000000"/>
                <w:sz w:val="18"/>
                <w:szCs w:val="18"/>
              </w:rPr>
              <w:t>RCR = 0.843</w:t>
            </w:r>
          </w:p>
          <w:p w14:paraId="50FB4131" w14:textId="003990AD" w:rsidR="004D5D44" w:rsidRPr="008D12BB" w:rsidRDefault="004D5D44" w:rsidP="003C0787">
            <w:pPr>
              <w:spacing w:after="0"/>
              <w:jc w:val="both"/>
              <w:rPr>
                <w:rFonts w:ascii="Verdana" w:hAnsi="Verdana"/>
                <w:color w:val="000000"/>
                <w:sz w:val="18"/>
                <w:szCs w:val="18"/>
              </w:rPr>
            </w:pPr>
            <w:r w:rsidRPr="008D12BB">
              <w:rPr>
                <w:rFonts w:ascii="Verdana" w:hAnsi="Verdana"/>
                <w:color w:val="000000"/>
                <w:sz w:val="18"/>
                <w:szCs w:val="18"/>
              </w:rPr>
              <w:t>(TRA)</w:t>
            </w:r>
          </w:p>
        </w:tc>
        <w:tc>
          <w:tcPr>
            <w:tcW w:w="1859" w:type="pct"/>
            <w:tcBorders>
              <w:top w:val="single" w:sz="4" w:space="0" w:color="auto"/>
              <w:left w:val="single" w:sz="4" w:space="0" w:color="auto"/>
              <w:bottom w:val="single" w:sz="4" w:space="0" w:color="auto"/>
              <w:right w:val="single" w:sz="4" w:space="0" w:color="auto"/>
            </w:tcBorders>
          </w:tcPr>
          <w:p w14:paraId="6F5DEF64" w14:textId="47305E04" w:rsidR="004D5D44" w:rsidRDefault="004D5D44" w:rsidP="003C0787">
            <w:pPr>
              <w:spacing w:after="0"/>
              <w:jc w:val="both"/>
              <w:rPr>
                <w:rFonts w:ascii="Verdana" w:hAnsi="Verdana"/>
                <w:color w:val="000000"/>
                <w:sz w:val="18"/>
                <w:szCs w:val="18"/>
              </w:rPr>
            </w:pPr>
            <w:r>
              <w:rPr>
                <w:rFonts w:ascii="Verdana" w:hAnsi="Verdana"/>
                <w:color w:val="000000"/>
                <w:sz w:val="18"/>
                <w:szCs w:val="18"/>
              </w:rPr>
              <w:t>- General ventilation (</w:t>
            </w:r>
            <w:r w:rsidRPr="008D12BB">
              <w:rPr>
                <w:rFonts w:ascii="Verdana" w:hAnsi="Verdana"/>
                <w:color w:val="000000"/>
                <w:sz w:val="18"/>
                <w:szCs w:val="18"/>
              </w:rPr>
              <w:t xml:space="preserve"> 30% effectiveness</w:t>
            </w:r>
            <w:r>
              <w:rPr>
                <w:rFonts w:ascii="Verdana" w:hAnsi="Verdana"/>
                <w:color w:val="000000"/>
                <w:sz w:val="18"/>
                <w:szCs w:val="18"/>
              </w:rPr>
              <w:t>)</w:t>
            </w:r>
          </w:p>
          <w:p w14:paraId="01B5B65C" w14:textId="1D6DB6F0" w:rsidR="004D5D44" w:rsidRDefault="004D5D44" w:rsidP="003C0787">
            <w:pPr>
              <w:spacing w:after="0"/>
              <w:jc w:val="both"/>
              <w:rPr>
                <w:rFonts w:ascii="Verdana" w:hAnsi="Verdana"/>
                <w:color w:val="000000"/>
                <w:sz w:val="18"/>
                <w:szCs w:val="18"/>
              </w:rPr>
            </w:pPr>
            <w:r>
              <w:rPr>
                <w:rFonts w:ascii="Verdana" w:hAnsi="Verdana"/>
                <w:color w:val="000000"/>
                <w:sz w:val="18"/>
                <w:szCs w:val="18"/>
              </w:rPr>
              <w:t>- LEV</w:t>
            </w:r>
            <w:r w:rsidRPr="008D12BB">
              <w:rPr>
                <w:rFonts w:ascii="Verdana" w:hAnsi="Verdana"/>
                <w:color w:val="000000"/>
                <w:sz w:val="18"/>
                <w:szCs w:val="18"/>
              </w:rPr>
              <w:t xml:space="preserve"> </w:t>
            </w:r>
            <w:r>
              <w:rPr>
                <w:rFonts w:ascii="Verdana" w:hAnsi="Verdana"/>
                <w:color w:val="000000"/>
                <w:sz w:val="18"/>
                <w:szCs w:val="18"/>
              </w:rPr>
              <w:t>(</w:t>
            </w:r>
            <w:r w:rsidRPr="008D12BB">
              <w:rPr>
                <w:rFonts w:ascii="Verdana" w:hAnsi="Verdana"/>
                <w:color w:val="000000"/>
                <w:sz w:val="18"/>
                <w:szCs w:val="18"/>
              </w:rPr>
              <w:t>90% effectiveness</w:t>
            </w:r>
            <w:r>
              <w:rPr>
                <w:rFonts w:ascii="Verdana" w:hAnsi="Verdana"/>
                <w:color w:val="000000"/>
                <w:sz w:val="18"/>
                <w:szCs w:val="18"/>
              </w:rPr>
              <w:t>)</w:t>
            </w:r>
          </w:p>
          <w:p w14:paraId="05828A0E" w14:textId="77CA041E" w:rsidR="004D5D44" w:rsidRPr="008D12BB" w:rsidRDefault="004D5D44" w:rsidP="003C0787">
            <w:pPr>
              <w:spacing w:after="0"/>
              <w:jc w:val="both"/>
              <w:rPr>
                <w:rFonts w:ascii="Verdana" w:hAnsi="Verdana"/>
                <w:color w:val="000000"/>
                <w:sz w:val="18"/>
                <w:szCs w:val="18"/>
              </w:rPr>
            </w:pPr>
            <w:r>
              <w:rPr>
                <w:rFonts w:ascii="Verdana" w:hAnsi="Verdana"/>
                <w:sz w:val="18"/>
                <w:szCs w:val="18"/>
              </w:rPr>
              <w:t xml:space="preserve">- </w:t>
            </w:r>
            <w:r w:rsidRPr="008D12BB">
              <w:rPr>
                <w:rFonts w:ascii="Verdana" w:hAnsi="Verdana"/>
                <w:sz w:val="18"/>
                <w:szCs w:val="18"/>
              </w:rPr>
              <w:t>Dermal protection</w:t>
            </w:r>
            <w:r w:rsidRPr="008D12BB">
              <w:rPr>
                <w:rFonts w:ascii="Verdana" w:hAnsi="Verdana"/>
                <w:color w:val="000000"/>
                <w:sz w:val="18"/>
                <w:szCs w:val="18"/>
              </w:rPr>
              <w:t xml:space="preserve">, </w:t>
            </w:r>
            <w:r>
              <w:rPr>
                <w:rFonts w:ascii="Verdana" w:hAnsi="Verdana"/>
                <w:color w:val="000000"/>
                <w:sz w:val="18"/>
                <w:szCs w:val="18"/>
              </w:rPr>
              <w:t>(</w:t>
            </w:r>
            <w:r w:rsidRPr="008D12BB">
              <w:rPr>
                <w:rFonts w:ascii="Verdana" w:hAnsi="Verdana"/>
                <w:color w:val="000000"/>
                <w:sz w:val="18"/>
                <w:szCs w:val="18"/>
              </w:rPr>
              <w:t>95% effectiveness</w:t>
            </w:r>
            <w:r>
              <w:rPr>
                <w:rFonts w:ascii="Verdana" w:hAnsi="Verdana"/>
                <w:color w:val="000000"/>
                <w:sz w:val="18"/>
                <w:szCs w:val="18"/>
              </w:rPr>
              <w:t>)</w:t>
            </w:r>
          </w:p>
        </w:tc>
      </w:tr>
      <w:tr w:rsidR="004D5D44" w:rsidRPr="008D12BB" w14:paraId="2E694F05" w14:textId="77777777" w:rsidTr="004D5D44">
        <w:trPr>
          <w:cantSplit/>
          <w:trHeight w:val="369"/>
        </w:trPr>
        <w:tc>
          <w:tcPr>
            <w:tcW w:w="1272" w:type="pct"/>
            <w:tcBorders>
              <w:top w:val="single" w:sz="4" w:space="0" w:color="auto"/>
              <w:left w:val="single" w:sz="4" w:space="0" w:color="auto"/>
              <w:bottom w:val="single" w:sz="4" w:space="0" w:color="auto"/>
              <w:right w:val="single" w:sz="4" w:space="0" w:color="auto"/>
            </w:tcBorders>
          </w:tcPr>
          <w:p w14:paraId="19C03E54" w14:textId="1D7C3935" w:rsidR="004D5D44" w:rsidRPr="005970D6" w:rsidRDefault="004D5D44" w:rsidP="005970D6">
            <w:pPr>
              <w:spacing w:after="0"/>
              <w:jc w:val="both"/>
              <w:rPr>
                <w:rFonts w:ascii="Verdana" w:hAnsi="Verdana"/>
                <w:color w:val="000000"/>
                <w:sz w:val="18"/>
                <w:szCs w:val="18"/>
              </w:rPr>
            </w:pPr>
            <w:r>
              <w:rPr>
                <w:rFonts w:ascii="Verdana" w:hAnsi="Verdana"/>
                <w:color w:val="000000"/>
                <w:sz w:val="18"/>
                <w:szCs w:val="18"/>
              </w:rPr>
              <w:t>Professional use of laboratory chemical</w:t>
            </w:r>
          </w:p>
        </w:tc>
        <w:tc>
          <w:tcPr>
            <w:tcW w:w="84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23CA85" w14:textId="76AC9578" w:rsidR="004D5D44" w:rsidRPr="008D12BB" w:rsidRDefault="004D5D44" w:rsidP="003C0787">
            <w:pPr>
              <w:spacing w:after="0"/>
              <w:jc w:val="both"/>
              <w:rPr>
                <w:rFonts w:ascii="Verdana" w:hAnsi="Verdana"/>
                <w:b/>
                <w:sz w:val="18"/>
                <w:szCs w:val="18"/>
              </w:rPr>
            </w:pPr>
            <w:r>
              <w:rPr>
                <w:rFonts w:ascii="Verdana" w:hAnsi="Verdana"/>
                <w:b/>
                <w:sz w:val="18"/>
                <w:szCs w:val="18"/>
              </w:rPr>
              <w:t>PROC 15</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1B1D3E63" w14:textId="38798C72" w:rsidR="004D5D44" w:rsidRDefault="004D5D44" w:rsidP="003C0787">
            <w:pPr>
              <w:spacing w:after="0"/>
              <w:jc w:val="both"/>
              <w:rPr>
                <w:rFonts w:ascii="Verdana" w:hAnsi="Verdana"/>
                <w:b/>
                <w:color w:val="000000"/>
                <w:sz w:val="18"/>
                <w:szCs w:val="18"/>
              </w:rPr>
            </w:pPr>
            <w:r>
              <w:rPr>
                <w:rFonts w:ascii="Verdana" w:hAnsi="Verdana"/>
                <w:b/>
                <w:color w:val="000000"/>
                <w:sz w:val="18"/>
                <w:szCs w:val="18"/>
              </w:rPr>
              <w:t>RCR=1</w:t>
            </w:r>
          </w:p>
        </w:tc>
        <w:tc>
          <w:tcPr>
            <w:tcW w:w="1859" w:type="pct"/>
            <w:tcBorders>
              <w:top w:val="single" w:sz="4" w:space="0" w:color="auto"/>
              <w:left w:val="single" w:sz="4" w:space="0" w:color="auto"/>
              <w:bottom w:val="single" w:sz="4" w:space="0" w:color="auto"/>
              <w:right w:val="single" w:sz="4" w:space="0" w:color="auto"/>
            </w:tcBorders>
          </w:tcPr>
          <w:p w14:paraId="4BEF2F5C" w14:textId="7AF830AD" w:rsidR="004D5D44" w:rsidRDefault="004D5D44" w:rsidP="003C0787">
            <w:pPr>
              <w:spacing w:after="0"/>
              <w:jc w:val="both"/>
              <w:rPr>
                <w:rFonts w:ascii="Verdana" w:hAnsi="Verdana"/>
                <w:color w:val="000000"/>
                <w:sz w:val="18"/>
                <w:szCs w:val="18"/>
              </w:rPr>
            </w:pPr>
            <w:r>
              <w:rPr>
                <w:rFonts w:ascii="Verdana" w:hAnsi="Verdana"/>
                <w:color w:val="000000"/>
                <w:sz w:val="18"/>
                <w:szCs w:val="18"/>
              </w:rPr>
              <w:t>Ventilation (90.5% efficiency)</w:t>
            </w:r>
          </w:p>
        </w:tc>
      </w:tr>
    </w:tbl>
    <w:p w14:paraId="54891D9E" w14:textId="77777777" w:rsidR="005A6002" w:rsidRDefault="005A6002" w:rsidP="005A6002">
      <w:pPr>
        <w:pStyle w:val="Corpsdetexte"/>
        <w:spacing w:after="120"/>
        <w:jc w:val="both"/>
        <w:rPr>
          <w:rFonts w:ascii="Verdana" w:hAnsi="Verdana"/>
          <w:sz w:val="20"/>
          <w:szCs w:val="20"/>
          <w:lang w:eastAsia="en-GB"/>
        </w:rPr>
      </w:pPr>
    </w:p>
    <w:p w14:paraId="5F22F7D3" w14:textId="68CB790B" w:rsidR="005A6002" w:rsidRDefault="005A6002" w:rsidP="00ED47FC">
      <w:pPr>
        <w:pStyle w:val="Corpsdetexte"/>
        <w:spacing w:after="120" w:line="276" w:lineRule="auto"/>
        <w:jc w:val="both"/>
        <w:rPr>
          <w:rFonts w:ascii="Verdana" w:hAnsi="Verdana"/>
          <w:sz w:val="20"/>
          <w:szCs w:val="20"/>
          <w:lang w:eastAsia="en-GB"/>
        </w:rPr>
      </w:pPr>
      <w:r>
        <w:rPr>
          <w:rFonts w:ascii="Verdana" w:hAnsi="Verdana"/>
          <w:sz w:val="20"/>
          <w:szCs w:val="20"/>
          <w:lang w:eastAsia="en-GB"/>
        </w:rPr>
        <w:t>Additional occupational conditions (OCs) and risk management measures (RMMs) may be implemented at industrial site</w:t>
      </w:r>
      <w:r w:rsidR="00C91A8D">
        <w:rPr>
          <w:rFonts w:ascii="Verdana" w:hAnsi="Verdana"/>
          <w:sz w:val="20"/>
          <w:szCs w:val="20"/>
          <w:lang w:eastAsia="en-GB"/>
        </w:rPr>
        <w:t>s</w:t>
      </w:r>
      <w:r>
        <w:rPr>
          <w:rFonts w:ascii="Verdana" w:hAnsi="Verdana"/>
          <w:sz w:val="20"/>
          <w:szCs w:val="20"/>
          <w:lang w:eastAsia="en-GB"/>
        </w:rPr>
        <w:t>. However, additional OC and RMM may be difficult to implement by professional workers</w:t>
      </w:r>
      <w:r w:rsidR="00504831">
        <w:rPr>
          <w:rFonts w:ascii="Verdana" w:hAnsi="Verdana"/>
          <w:sz w:val="20"/>
          <w:szCs w:val="20"/>
          <w:lang w:eastAsia="en-GB"/>
        </w:rPr>
        <w:t xml:space="preserve"> outside industrial installation</w:t>
      </w:r>
      <w:r>
        <w:rPr>
          <w:rFonts w:ascii="Verdana" w:hAnsi="Verdana"/>
          <w:sz w:val="20"/>
          <w:szCs w:val="20"/>
          <w:lang w:eastAsia="en-GB"/>
        </w:rPr>
        <w:t>.</w:t>
      </w:r>
    </w:p>
    <w:p w14:paraId="3092A835" w14:textId="35AF54E9" w:rsidR="003D14B7" w:rsidRPr="00181B4B" w:rsidRDefault="003D14B7" w:rsidP="00181B4B">
      <w:pPr>
        <w:pStyle w:val="Titre2"/>
      </w:pPr>
      <w:bookmarkStart w:id="18" w:name="_Toc117776287"/>
      <w:r w:rsidRPr="00181B4B">
        <w:rPr>
          <w:color w:val="auto"/>
        </w:rPr>
        <w:t>Information on alternatives</w:t>
      </w:r>
      <w:bookmarkEnd w:id="18"/>
    </w:p>
    <w:p w14:paraId="5A3161BA" w14:textId="0D79D943" w:rsidR="00005510" w:rsidRPr="00673013" w:rsidRDefault="00506760" w:rsidP="00467D3A">
      <w:pPr>
        <w:pStyle w:val="Corpsdetexte"/>
        <w:spacing w:after="120"/>
        <w:jc w:val="both"/>
        <w:rPr>
          <w:rFonts w:ascii="Verdana" w:hAnsi="Verdana"/>
          <w:b/>
          <w:sz w:val="20"/>
          <w:szCs w:val="20"/>
          <w:lang w:eastAsia="en-GB"/>
        </w:rPr>
      </w:pPr>
      <w:r w:rsidRPr="00506760">
        <w:rPr>
          <w:rFonts w:ascii="Verdana" w:hAnsi="Verdana"/>
          <w:sz w:val="20"/>
          <w:szCs w:val="20"/>
          <w:lang w:eastAsia="en-GB"/>
        </w:rPr>
        <w:t xml:space="preserve">Information on alternatives are not </w:t>
      </w:r>
      <w:r w:rsidR="008E5BAB">
        <w:rPr>
          <w:rFonts w:ascii="Verdana" w:hAnsi="Verdana"/>
          <w:sz w:val="20"/>
          <w:szCs w:val="20"/>
          <w:lang w:eastAsia="en-GB"/>
        </w:rPr>
        <w:t>found</w:t>
      </w:r>
      <w:r w:rsidRPr="00506760">
        <w:rPr>
          <w:rFonts w:ascii="Verdana" w:hAnsi="Verdana"/>
          <w:sz w:val="20"/>
          <w:szCs w:val="20"/>
          <w:lang w:eastAsia="en-GB"/>
        </w:rPr>
        <w:t>.</w:t>
      </w:r>
      <w:r w:rsidR="009F2CA8">
        <w:rPr>
          <w:rFonts w:ascii="Verdana" w:hAnsi="Verdana"/>
          <w:sz w:val="20"/>
          <w:szCs w:val="20"/>
          <w:lang w:eastAsia="en-GB"/>
        </w:rPr>
        <w:t xml:space="preserve"> </w:t>
      </w:r>
      <w:r w:rsidR="008E5BAB" w:rsidRPr="00673013">
        <w:rPr>
          <w:rFonts w:ascii="Verdana" w:hAnsi="Verdana"/>
          <w:b/>
          <w:sz w:val="20"/>
          <w:szCs w:val="20"/>
          <w:lang w:eastAsia="en-GB"/>
        </w:rPr>
        <w:t xml:space="preserve">In the framework of the public consultation, </w:t>
      </w:r>
      <w:r w:rsidR="009F2CA8" w:rsidRPr="00673013">
        <w:rPr>
          <w:rFonts w:ascii="Verdana" w:hAnsi="Verdana"/>
          <w:b/>
          <w:sz w:val="20"/>
          <w:szCs w:val="20"/>
          <w:lang w:eastAsia="en-GB"/>
        </w:rPr>
        <w:t xml:space="preserve">FR MSCA </w:t>
      </w:r>
      <w:r w:rsidR="008E5BAB" w:rsidRPr="008E5BAB">
        <w:rPr>
          <w:rFonts w:ascii="Verdana" w:hAnsi="Verdana"/>
          <w:b/>
          <w:sz w:val="20"/>
          <w:szCs w:val="20"/>
          <w:lang w:eastAsia="en-GB"/>
        </w:rPr>
        <w:t>asks if</w:t>
      </w:r>
      <w:r w:rsidR="008E5BAB" w:rsidRPr="00673013">
        <w:rPr>
          <w:rFonts w:ascii="Verdana" w:hAnsi="Verdana"/>
          <w:b/>
          <w:sz w:val="20"/>
          <w:szCs w:val="20"/>
          <w:lang w:eastAsia="en-GB"/>
        </w:rPr>
        <w:t xml:space="preserve"> data</w:t>
      </w:r>
      <w:r w:rsidR="009F2CA8" w:rsidRPr="00673013">
        <w:rPr>
          <w:rFonts w:ascii="Verdana" w:hAnsi="Verdana"/>
          <w:b/>
          <w:sz w:val="20"/>
          <w:szCs w:val="20"/>
          <w:lang w:eastAsia="en-GB"/>
        </w:rPr>
        <w:t xml:space="preserve"> </w:t>
      </w:r>
      <w:r w:rsidR="008E5BAB" w:rsidRPr="008E5BAB">
        <w:rPr>
          <w:rFonts w:ascii="Verdana" w:hAnsi="Verdana"/>
          <w:b/>
          <w:sz w:val="20"/>
          <w:szCs w:val="20"/>
          <w:lang w:eastAsia="en-GB"/>
        </w:rPr>
        <w:t xml:space="preserve">exists </w:t>
      </w:r>
      <w:r w:rsidR="008E5BAB" w:rsidRPr="00673013">
        <w:rPr>
          <w:rFonts w:ascii="Verdana" w:hAnsi="Verdana"/>
          <w:b/>
          <w:sz w:val="20"/>
          <w:szCs w:val="20"/>
          <w:lang w:eastAsia="en-GB"/>
        </w:rPr>
        <w:t>on this point</w:t>
      </w:r>
      <w:r w:rsidR="009F2CA8" w:rsidRPr="00673013">
        <w:rPr>
          <w:rFonts w:ascii="Verdana" w:hAnsi="Verdana"/>
          <w:b/>
          <w:sz w:val="20"/>
          <w:szCs w:val="20"/>
          <w:lang w:eastAsia="en-GB"/>
        </w:rPr>
        <w:t>, in particular if a restriction of certain uses is necessary.</w:t>
      </w:r>
    </w:p>
    <w:p w14:paraId="5F2091E9" w14:textId="39F1461A" w:rsidR="00AB5222" w:rsidRPr="00467D3A" w:rsidRDefault="00AB5222" w:rsidP="00405E0F">
      <w:pPr>
        <w:spacing w:after="120"/>
        <w:jc w:val="both"/>
        <w:rPr>
          <w:rFonts w:ascii="Verdana" w:hAnsi="Verdana"/>
          <w:sz w:val="20"/>
          <w:szCs w:val="20"/>
          <w:lang w:eastAsia="en-GB"/>
        </w:rPr>
      </w:pPr>
    </w:p>
    <w:p w14:paraId="65DEB1F0" w14:textId="29DD424D" w:rsidR="0089332A" w:rsidRPr="0080333A" w:rsidRDefault="0089332A" w:rsidP="0089332A">
      <w:pPr>
        <w:pStyle w:val="Titre1"/>
      </w:pPr>
      <w:bookmarkStart w:id="19" w:name="_Toc117776288"/>
      <w:r w:rsidRPr="0080333A">
        <w:t xml:space="preserve">Justification for </w:t>
      </w:r>
      <w:r w:rsidRPr="000D11E9">
        <w:t xml:space="preserve">the </w:t>
      </w:r>
      <w:r w:rsidR="00257F65" w:rsidRPr="000D11E9">
        <w:t xml:space="preserve">(no) </w:t>
      </w:r>
      <w:r w:rsidRPr="000D11E9">
        <w:t>need</w:t>
      </w:r>
      <w:r w:rsidRPr="0080333A">
        <w:t xml:space="preserve"> for regulatory risk management action at EU level</w:t>
      </w:r>
      <w:bookmarkEnd w:id="19"/>
    </w:p>
    <w:p w14:paraId="1690ACAF" w14:textId="3BA8E8EB" w:rsidR="007320C1" w:rsidRDefault="00355E7A" w:rsidP="00ED47FC">
      <w:pPr>
        <w:pStyle w:val="Corpsdetexte"/>
        <w:spacing w:line="276" w:lineRule="auto"/>
        <w:jc w:val="both"/>
        <w:rPr>
          <w:rFonts w:ascii="Verdana" w:hAnsi="Verdana"/>
          <w:sz w:val="20"/>
          <w:szCs w:val="20"/>
        </w:rPr>
      </w:pPr>
      <w:r>
        <w:rPr>
          <w:rFonts w:ascii="Verdana" w:hAnsi="Verdana"/>
          <w:sz w:val="20"/>
          <w:szCs w:val="20"/>
        </w:rPr>
        <w:t xml:space="preserve">Carbon </w:t>
      </w:r>
      <w:r w:rsidR="00482EE8">
        <w:rPr>
          <w:rFonts w:ascii="Verdana" w:hAnsi="Verdana"/>
          <w:sz w:val="20"/>
          <w:szCs w:val="20"/>
        </w:rPr>
        <w:t>disulfide</w:t>
      </w:r>
      <w:r>
        <w:rPr>
          <w:rFonts w:ascii="Verdana" w:hAnsi="Verdana"/>
          <w:sz w:val="20"/>
          <w:szCs w:val="20"/>
        </w:rPr>
        <w:t xml:space="preserve"> is a high tonnage a</w:t>
      </w:r>
      <w:r w:rsidR="00E32C4A">
        <w:rPr>
          <w:rFonts w:ascii="Verdana" w:hAnsi="Verdana"/>
          <w:sz w:val="20"/>
          <w:szCs w:val="20"/>
        </w:rPr>
        <w:t>nd wide-dis</w:t>
      </w:r>
      <w:r w:rsidR="000B5654">
        <w:rPr>
          <w:rFonts w:ascii="Verdana" w:hAnsi="Verdana"/>
          <w:sz w:val="20"/>
          <w:szCs w:val="20"/>
        </w:rPr>
        <w:t>persive compound</w:t>
      </w:r>
      <w:r>
        <w:rPr>
          <w:rFonts w:ascii="Verdana" w:hAnsi="Verdana"/>
          <w:sz w:val="20"/>
          <w:szCs w:val="20"/>
        </w:rPr>
        <w:t xml:space="preserve"> where risks need to be managed. </w:t>
      </w:r>
      <w:r w:rsidR="00CB45A3" w:rsidRPr="00CB45A3">
        <w:rPr>
          <w:rFonts w:ascii="Verdana" w:hAnsi="Verdana"/>
          <w:sz w:val="20"/>
          <w:szCs w:val="20"/>
        </w:rPr>
        <w:t>The follo</w:t>
      </w:r>
      <w:r w:rsidR="00CB45A3">
        <w:rPr>
          <w:rFonts w:ascii="Verdana" w:hAnsi="Verdana"/>
          <w:sz w:val="20"/>
          <w:szCs w:val="20"/>
        </w:rPr>
        <w:t>wing legislative instruments have the direct or indirect potential to reduce worker exposure concern (neurotoxicity, cardiotoxicity</w:t>
      </w:r>
      <w:r w:rsidR="00F8169A">
        <w:rPr>
          <w:rFonts w:ascii="Verdana" w:hAnsi="Verdana"/>
          <w:sz w:val="20"/>
          <w:szCs w:val="20"/>
        </w:rPr>
        <w:t>, reproductive toxicity</w:t>
      </w:r>
      <w:r w:rsidR="00CB45A3">
        <w:rPr>
          <w:rFonts w:ascii="Verdana" w:hAnsi="Verdana"/>
          <w:sz w:val="20"/>
          <w:szCs w:val="20"/>
        </w:rPr>
        <w:t>) and are discussed below.</w:t>
      </w:r>
    </w:p>
    <w:p w14:paraId="1A6CDBC2" w14:textId="77777777" w:rsidR="00211297" w:rsidRDefault="00211297" w:rsidP="00ED47FC">
      <w:pPr>
        <w:pStyle w:val="Corpsdetexte"/>
        <w:numPr>
          <w:ilvl w:val="0"/>
          <w:numId w:val="12"/>
        </w:numPr>
        <w:spacing w:after="0" w:line="276" w:lineRule="auto"/>
        <w:jc w:val="both"/>
        <w:rPr>
          <w:rFonts w:ascii="Verdana" w:hAnsi="Verdana"/>
          <w:sz w:val="20"/>
        </w:rPr>
      </w:pPr>
      <w:r w:rsidRPr="00557FE3">
        <w:rPr>
          <w:rFonts w:ascii="Verdana" w:hAnsi="Verdana"/>
          <w:sz w:val="20"/>
        </w:rPr>
        <w:t xml:space="preserve">CLP </w:t>
      </w:r>
      <w:r>
        <w:rPr>
          <w:rFonts w:ascii="Verdana" w:hAnsi="Verdana"/>
          <w:sz w:val="20"/>
        </w:rPr>
        <w:t>(EC/1272/2008)</w:t>
      </w:r>
    </w:p>
    <w:p w14:paraId="15C66F77" w14:textId="3FD0EB50" w:rsidR="00CB45A3" w:rsidRPr="00557FE3" w:rsidRDefault="00CB45A3" w:rsidP="00ED47FC">
      <w:pPr>
        <w:pStyle w:val="Corpsdetexte"/>
        <w:numPr>
          <w:ilvl w:val="0"/>
          <w:numId w:val="12"/>
        </w:numPr>
        <w:spacing w:after="0" w:line="276" w:lineRule="auto"/>
        <w:jc w:val="both"/>
        <w:rPr>
          <w:rFonts w:ascii="Verdana" w:hAnsi="Verdana"/>
          <w:sz w:val="20"/>
        </w:rPr>
      </w:pPr>
      <w:r w:rsidRPr="00557FE3">
        <w:rPr>
          <w:rFonts w:ascii="Verdana" w:hAnsi="Verdana"/>
          <w:sz w:val="20"/>
        </w:rPr>
        <w:t>REAC</w:t>
      </w:r>
      <w:r w:rsidR="009C227F">
        <w:rPr>
          <w:rFonts w:ascii="Verdana" w:hAnsi="Verdana"/>
          <w:sz w:val="20"/>
        </w:rPr>
        <w:t>h</w:t>
      </w:r>
      <w:r>
        <w:rPr>
          <w:rFonts w:ascii="Verdana" w:hAnsi="Verdana"/>
          <w:sz w:val="20"/>
        </w:rPr>
        <w:t xml:space="preserve"> (EC/1907/2006)</w:t>
      </w:r>
      <w:r w:rsidRPr="00557FE3">
        <w:rPr>
          <w:rFonts w:ascii="Verdana" w:hAnsi="Verdana"/>
          <w:sz w:val="20"/>
        </w:rPr>
        <w:t xml:space="preserve"> </w:t>
      </w:r>
    </w:p>
    <w:p w14:paraId="78AEF434" w14:textId="77777777" w:rsidR="00CB45A3" w:rsidRPr="00557FE3" w:rsidRDefault="00CB45A3" w:rsidP="00ED47FC">
      <w:pPr>
        <w:pStyle w:val="Corpsdetexte"/>
        <w:numPr>
          <w:ilvl w:val="1"/>
          <w:numId w:val="12"/>
        </w:numPr>
        <w:spacing w:after="0" w:line="276" w:lineRule="auto"/>
        <w:jc w:val="both"/>
        <w:rPr>
          <w:rFonts w:ascii="Verdana" w:hAnsi="Verdana"/>
          <w:sz w:val="20"/>
        </w:rPr>
      </w:pPr>
      <w:r w:rsidRPr="00557FE3">
        <w:rPr>
          <w:rFonts w:ascii="Verdana" w:hAnsi="Verdana"/>
          <w:sz w:val="20"/>
        </w:rPr>
        <w:t>Evaluation</w:t>
      </w:r>
    </w:p>
    <w:p w14:paraId="6ADB7622" w14:textId="77777777" w:rsidR="00CB45A3" w:rsidRPr="00557FE3" w:rsidRDefault="00CB45A3" w:rsidP="00ED47FC">
      <w:pPr>
        <w:pStyle w:val="Corpsdetexte"/>
        <w:numPr>
          <w:ilvl w:val="1"/>
          <w:numId w:val="12"/>
        </w:numPr>
        <w:spacing w:after="0" w:line="276" w:lineRule="auto"/>
        <w:jc w:val="both"/>
        <w:rPr>
          <w:rFonts w:ascii="Verdana" w:hAnsi="Verdana"/>
          <w:sz w:val="20"/>
        </w:rPr>
      </w:pPr>
      <w:r w:rsidRPr="00557FE3">
        <w:rPr>
          <w:rFonts w:ascii="Verdana" w:hAnsi="Verdana"/>
          <w:sz w:val="20"/>
        </w:rPr>
        <w:t>Authorisation</w:t>
      </w:r>
    </w:p>
    <w:p w14:paraId="004FF150" w14:textId="77777777" w:rsidR="00CB45A3" w:rsidRPr="003C2572" w:rsidRDefault="00CB45A3" w:rsidP="00ED47FC">
      <w:pPr>
        <w:pStyle w:val="Corpsdetexte"/>
        <w:numPr>
          <w:ilvl w:val="1"/>
          <w:numId w:val="12"/>
        </w:numPr>
        <w:spacing w:after="0" w:line="276" w:lineRule="auto"/>
        <w:jc w:val="both"/>
        <w:rPr>
          <w:rFonts w:ascii="Verdana" w:hAnsi="Verdana"/>
          <w:sz w:val="20"/>
        </w:rPr>
      </w:pPr>
      <w:r w:rsidRPr="00557FE3">
        <w:rPr>
          <w:rFonts w:ascii="Verdana" w:hAnsi="Verdana"/>
          <w:sz w:val="20"/>
        </w:rPr>
        <w:t>Restriction</w:t>
      </w:r>
    </w:p>
    <w:p w14:paraId="36CE8670" w14:textId="77777777" w:rsidR="00CB45A3" w:rsidRPr="00557FE3" w:rsidRDefault="00CB45A3" w:rsidP="00ED47FC">
      <w:pPr>
        <w:pStyle w:val="Corpsdetexte"/>
        <w:numPr>
          <w:ilvl w:val="0"/>
          <w:numId w:val="12"/>
        </w:numPr>
        <w:spacing w:after="0" w:line="276" w:lineRule="auto"/>
        <w:jc w:val="both"/>
        <w:rPr>
          <w:rFonts w:ascii="Verdana" w:hAnsi="Verdana"/>
          <w:sz w:val="20"/>
        </w:rPr>
      </w:pPr>
      <w:r>
        <w:rPr>
          <w:rFonts w:ascii="Verdana" w:hAnsi="Verdana"/>
          <w:sz w:val="20"/>
        </w:rPr>
        <w:t>Other Regulations</w:t>
      </w:r>
    </w:p>
    <w:p w14:paraId="3D4F8E57" w14:textId="7254D15B" w:rsidR="00CB45A3" w:rsidRDefault="00CB45A3" w:rsidP="00ED47FC">
      <w:pPr>
        <w:pStyle w:val="Paragraphedeliste"/>
        <w:numPr>
          <w:ilvl w:val="1"/>
          <w:numId w:val="12"/>
        </w:numPr>
        <w:spacing w:line="276" w:lineRule="auto"/>
        <w:jc w:val="both"/>
        <w:rPr>
          <w:rFonts w:ascii="Verdana" w:hAnsi="Verdana"/>
          <w:sz w:val="20"/>
          <w:szCs w:val="20"/>
          <w:lang w:val="fr-FR"/>
        </w:rPr>
      </w:pPr>
      <w:r>
        <w:rPr>
          <w:rFonts w:ascii="Verdana" w:hAnsi="Verdana"/>
          <w:sz w:val="20"/>
          <w:szCs w:val="20"/>
          <w:lang w:val="fr-FR"/>
        </w:rPr>
        <w:t xml:space="preserve">CAD </w:t>
      </w:r>
      <w:r w:rsidR="00DE7978">
        <w:rPr>
          <w:rFonts w:ascii="Verdana" w:hAnsi="Verdana"/>
          <w:sz w:val="20"/>
          <w:szCs w:val="20"/>
          <w:lang w:val="fr-FR"/>
        </w:rPr>
        <w:t>(</w:t>
      </w:r>
      <w:r w:rsidR="00211297">
        <w:rPr>
          <w:rFonts w:ascii="Verdana" w:hAnsi="Verdana"/>
          <w:sz w:val="20"/>
          <w:szCs w:val="20"/>
          <w:lang w:val="fr-FR"/>
        </w:rPr>
        <w:t>EC/98/24</w:t>
      </w:r>
      <w:r w:rsidR="00DE7978">
        <w:rPr>
          <w:rFonts w:ascii="Verdana" w:hAnsi="Verdana"/>
          <w:sz w:val="20"/>
          <w:szCs w:val="20"/>
          <w:lang w:val="fr-FR"/>
        </w:rPr>
        <w:t>)</w:t>
      </w:r>
    </w:p>
    <w:p w14:paraId="17548ACC" w14:textId="03A6C166" w:rsidR="00FD58AE" w:rsidRPr="004A03E1" w:rsidRDefault="008C6D58" w:rsidP="00ED47FC">
      <w:pPr>
        <w:pStyle w:val="Titre3"/>
        <w:numPr>
          <w:ilvl w:val="0"/>
          <w:numId w:val="0"/>
        </w:numPr>
        <w:spacing w:line="276" w:lineRule="auto"/>
      </w:pPr>
      <w:bookmarkStart w:id="20" w:name="_Toc117776289"/>
      <w:r>
        <w:t xml:space="preserve">2.1 </w:t>
      </w:r>
      <w:r w:rsidR="00305EE7">
        <w:t>CLP regulation</w:t>
      </w:r>
      <w:bookmarkEnd w:id="20"/>
    </w:p>
    <w:p w14:paraId="7B423D4A" w14:textId="4CE029FD" w:rsidR="00BA130E" w:rsidRDefault="00497774" w:rsidP="00ED47FC">
      <w:pPr>
        <w:spacing w:after="120" w:line="276" w:lineRule="auto"/>
        <w:jc w:val="both"/>
        <w:rPr>
          <w:rFonts w:ascii="Verdana" w:hAnsi="Verdana"/>
          <w:sz w:val="20"/>
          <w:szCs w:val="20"/>
          <w:lang w:eastAsia="en-GB"/>
        </w:rPr>
      </w:pPr>
      <w:r>
        <w:rPr>
          <w:rFonts w:ascii="Verdana" w:hAnsi="Verdana"/>
          <w:sz w:val="20"/>
          <w:szCs w:val="20"/>
          <w:lang w:eastAsia="en-GB"/>
        </w:rPr>
        <w:t>In the SEv conclusion</w:t>
      </w:r>
      <w:r w:rsidR="002C2F8F">
        <w:rPr>
          <w:rFonts w:ascii="Verdana" w:hAnsi="Verdana"/>
          <w:sz w:val="20"/>
          <w:szCs w:val="20"/>
          <w:lang w:eastAsia="en-GB"/>
        </w:rPr>
        <w:t xml:space="preserve"> (ANSES, 2022)</w:t>
      </w:r>
      <w:r>
        <w:rPr>
          <w:rFonts w:ascii="Verdana" w:hAnsi="Verdana"/>
          <w:sz w:val="20"/>
          <w:szCs w:val="20"/>
          <w:lang w:eastAsia="en-GB"/>
        </w:rPr>
        <w:t xml:space="preserve">, it was pointed out that the effects observed in the EOGRTS and the prenatal developmental toxicity study in rabbit were not available at the </w:t>
      </w:r>
      <w:r w:rsidR="00C025AA">
        <w:rPr>
          <w:rFonts w:ascii="Verdana" w:hAnsi="Verdana"/>
          <w:sz w:val="20"/>
          <w:szCs w:val="20"/>
          <w:lang w:eastAsia="en-GB"/>
        </w:rPr>
        <w:t>time of the discussion on</w:t>
      </w:r>
      <w:r>
        <w:rPr>
          <w:rFonts w:ascii="Verdana" w:hAnsi="Verdana"/>
          <w:sz w:val="20"/>
          <w:szCs w:val="20"/>
          <w:lang w:eastAsia="en-GB"/>
        </w:rPr>
        <w:t xml:space="preserve"> the harmonised classification. So</w:t>
      </w:r>
      <w:r w:rsidR="00BA130E">
        <w:rPr>
          <w:rFonts w:ascii="Verdana" w:hAnsi="Verdana"/>
          <w:sz w:val="20"/>
          <w:szCs w:val="20"/>
          <w:lang w:eastAsia="en-GB"/>
        </w:rPr>
        <w:t>,</w:t>
      </w:r>
      <w:r>
        <w:rPr>
          <w:rFonts w:ascii="Verdana" w:hAnsi="Verdana"/>
          <w:sz w:val="20"/>
          <w:szCs w:val="20"/>
          <w:lang w:eastAsia="en-GB"/>
        </w:rPr>
        <w:t xml:space="preserve"> there </w:t>
      </w:r>
      <w:r>
        <w:rPr>
          <w:rFonts w:ascii="Verdana" w:hAnsi="Verdana"/>
          <w:sz w:val="20"/>
          <w:szCs w:val="20"/>
          <w:lang w:eastAsia="en-GB"/>
        </w:rPr>
        <w:lastRenderedPageBreak/>
        <w:t xml:space="preserve">is a need to </w:t>
      </w:r>
      <w:r w:rsidR="008D2163">
        <w:rPr>
          <w:rFonts w:ascii="Verdana" w:hAnsi="Verdana"/>
          <w:sz w:val="20"/>
          <w:szCs w:val="20"/>
          <w:lang w:eastAsia="en-GB"/>
        </w:rPr>
        <w:t>discuss</w:t>
      </w:r>
      <w:r w:rsidR="00CC1B36">
        <w:rPr>
          <w:rFonts w:ascii="Verdana" w:hAnsi="Verdana"/>
          <w:sz w:val="20"/>
          <w:szCs w:val="20"/>
          <w:lang w:eastAsia="en-GB"/>
        </w:rPr>
        <w:t xml:space="preserve"> whether these additional data could</w:t>
      </w:r>
      <w:r>
        <w:rPr>
          <w:rFonts w:ascii="Verdana" w:hAnsi="Verdana"/>
          <w:sz w:val="20"/>
          <w:szCs w:val="20"/>
          <w:lang w:eastAsia="en-GB"/>
        </w:rPr>
        <w:t xml:space="preserve"> </w:t>
      </w:r>
      <w:r w:rsidR="00BA130E">
        <w:rPr>
          <w:rFonts w:ascii="Verdana" w:hAnsi="Verdana"/>
          <w:sz w:val="20"/>
          <w:szCs w:val="20"/>
          <w:lang w:eastAsia="en-GB"/>
        </w:rPr>
        <w:t xml:space="preserve">challenge </w:t>
      </w:r>
      <w:r>
        <w:rPr>
          <w:rFonts w:ascii="Verdana" w:hAnsi="Verdana"/>
          <w:sz w:val="20"/>
          <w:szCs w:val="20"/>
          <w:lang w:eastAsia="en-GB"/>
        </w:rPr>
        <w:t xml:space="preserve">the </w:t>
      </w:r>
      <w:r w:rsidR="00BA130E">
        <w:rPr>
          <w:rFonts w:ascii="Verdana" w:hAnsi="Verdana"/>
          <w:sz w:val="20"/>
          <w:szCs w:val="20"/>
          <w:lang w:eastAsia="en-GB"/>
        </w:rPr>
        <w:t xml:space="preserve">current </w:t>
      </w:r>
      <w:r>
        <w:rPr>
          <w:rFonts w:ascii="Verdana" w:hAnsi="Verdana"/>
          <w:sz w:val="20"/>
          <w:szCs w:val="20"/>
          <w:lang w:eastAsia="en-GB"/>
        </w:rPr>
        <w:t xml:space="preserve">classification </w:t>
      </w:r>
      <w:r w:rsidR="00BA130E">
        <w:rPr>
          <w:rFonts w:ascii="Verdana" w:hAnsi="Verdana"/>
          <w:sz w:val="20"/>
          <w:szCs w:val="20"/>
          <w:lang w:eastAsia="en-GB"/>
        </w:rPr>
        <w:t>for reproductive toxicity</w:t>
      </w:r>
      <w:r>
        <w:rPr>
          <w:rFonts w:ascii="Verdana" w:hAnsi="Verdana"/>
          <w:sz w:val="20"/>
          <w:szCs w:val="20"/>
          <w:lang w:eastAsia="en-GB"/>
        </w:rPr>
        <w:t xml:space="preserve">. </w:t>
      </w:r>
      <w:r w:rsidR="00BA130E">
        <w:rPr>
          <w:rFonts w:ascii="Verdana" w:hAnsi="Verdana"/>
          <w:sz w:val="20"/>
          <w:szCs w:val="20"/>
          <w:lang w:eastAsia="en-GB"/>
        </w:rPr>
        <w:t>In the</w:t>
      </w:r>
      <w:r w:rsidR="00FD58AE" w:rsidRPr="00992931">
        <w:rPr>
          <w:rFonts w:ascii="Verdana" w:hAnsi="Verdana"/>
          <w:sz w:val="20"/>
          <w:szCs w:val="20"/>
          <w:lang w:eastAsia="en-GB"/>
        </w:rPr>
        <w:t xml:space="preserve"> EOGRTS (U</w:t>
      </w:r>
      <w:r w:rsidR="00BA130E">
        <w:rPr>
          <w:rFonts w:ascii="Verdana" w:hAnsi="Verdana"/>
          <w:sz w:val="20"/>
          <w:szCs w:val="20"/>
          <w:lang w:eastAsia="en-GB"/>
        </w:rPr>
        <w:t>npublished report, 2019), a statistically significant</w:t>
      </w:r>
      <w:r w:rsidR="00FD58AE" w:rsidRPr="00992931">
        <w:rPr>
          <w:rFonts w:ascii="Verdana" w:hAnsi="Verdana"/>
          <w:sz w:val="20"/>
          <w:szCs w:val="20"/>
          <w:lang w:eastAsia="en-GB"/>
        </w:rPr>
        <w:t xml:space="preserve"> decrease in ovarian primary and primordial follicles (considered a marker of fe</w:t>
      </w:r>
      <w:r w:rsidR="005816F8">
        <w:rPr>
          <w:rFonts w:ascii="Verdana" w:hAnsi="Verdana"/>
          <w:sz w:val="20"/>
          <w:szCs w:val="20"/>
          <w:lang w:eastAsia="en-GB"/>
        </w:rPr>
        <w:t>male reproductive toxicity) compared to control was observed</w:t>
      </w:r>
      <w:r w:rsidR="00FD58AE" w:rsidRPr="00992931">
        <w:rPr>
          <w:rFonts w:ascii="Verdana" w:hAnsi="Verdana"/>
          <w:sz w:val="20"/>
          <w:szCs w:val="20"/>
          <w:lang w:eastAsia="en-GB"/>
        </w:rPr>
        <w:t xml:space="preserve"> in </w:t>
      </w:r>
      <w:r w:rsidR="00BA130E">
        <w:rPr>
          <w:rFonts w:ascii="Verdana" w:hAnsi="Verdana"/>
          <w:sz w:val="20"/>
          <w:szCs w:val="20"/>
          <w:lang w:eastAsia="en-GB"/>
        </w:rPr>
        <w:t xml:space="preserve">the first generation. No effects were observed in the fertility parameters. A slight </w:t>
      </w:r>
      <w:r w:rsidR="001F75DE" w:rsidRPr="00992931">
        <w:rPr>
          <w:rFonts w:ascii="Verdana" w:hAnsi="Verdana"/>
          <w:sz w:val="20"/>
          <w:szCs w:val="20"/>
          <w:lang w:eastAsia="en-GB"/>
        </w:rPr>
        <w:t xml:space="preserve">decrease in </w:t>
      </w:r>
      <w:r w:rsidR="00BA130E">
        <w:rPr>
          <w:rFonts w:ascii="Verdana" w:hAnsi="Verdana"/>
          <w:sz w:val="20"/>
          <w:szCs w:val="20"/>
          <w:lang w:eastAsia="en-GB"/>
        </w:rPr>
        <w:t xml:space="preserve">post-implantation losses and </w:t>
      </w:r>
      <w:r w:rsidR="00FD58AE" w:rsidRPr="00992931">
        <w:rPr>
          <w:rFonts w:ascii="Verdana" w:hAnsi="Verdana"/>
          <w:sz w:val="20"/>
          <w:szCs w:val="20"/>
          <w:lang w:eastAsia="en-GB"/>
        </w:rPr>
        <w:t>t</w:t>
      </w:r>
      <w:r w:rsidR="00365918" w:rsidRPr="00992931">
        <w:rPr>
          <w:rFonts w:ascii="Verdana" w:hAnsi="Verdana"/>
          <w:sz w:val="20"/>
          <w:szCs w:val="20"/>
          <w:lang w:eastAsia="en-GB"/>
        </w:rPr>
        <w:t>otal number of implants</w:t>
      </w:r>
      <w:r w:rsidR="00BA130E">
        <w:rPr>
          <w:rFonts w:ascii="Verdana" w:hAnsi="Verdana"/>
          <w:sz w:val="20"/>
          <w:szCs w:val="20"/>
          <w:lang w:eastAsia="en-GB"/>
        </w:rPr>
        <w:t xml:space="preserve"> was</w:t>
      </w:r>
      <w:r w:rsidR="005816F8">
        <w:rPr>
          <w:rFonts w:ascii="Verdana" w:hAnsi="Verdana"/>
          <w:sz w:val="20"/>
          <w:szCs w:val="20"/>
          <w:lang w:eastAsia="en-GB"/>
        </w:rPr>
        <w:t xml:space="preserve"> also noted, </w:t>
      </w:r>
      <w:r w:rsidR="00BA130E">
        <w:rPr>
          <w:rFonts w:ascii="Verdana" w:hAnsi="Verdana"/>
          <w:sz w:val="20"/>
          <w:szCs w:val="20"/>
          <w:lang w:eastAsia="en-GB"/>
        </w:rPr>
        <w:t>suppor</w:t>
      </w:r>
      <w:r w:rsidR="002568E8">
        <w:rPr>
          <w:rFonts w:ascii="Verdana" w:hAnsi="Verdana"/>
          <w:sz w:val="20"/>
          <w:szCs w:val="20"/>
          <w:lang w:eastAsia="en-GB"/>
        </w:rPr>
        <w:t>t</w:t>
      </w:r>
      <w:r w:rsidR="005816F8">
        <w:rPr>
          <w:rFonts w:ascii="Verdana" w:hAnsi="Verdana"/>
          <w:sz w:val="20"/>
          <w:szCs w:val="20"/>
          <w:lang w:eastAsia="en-GB"/>
        </w:rPr>
        <w:t>ing</w:t>
      </w:r>
      <w:r w:rsidR="00BA130E">
        <w:rPr>
          <w:rFonts w:ascii="Verdana" w:hAnsi="Verdana"/>
          <w:sz w:val="20"/>
          <w:szCs w:val="20"/>
          <w:lang w:eastAsia="en-GB"/>
        </w:rPr>
        <w:t xml:space="preserve"> an </w:t>
      </w:r>
      <w:r w:rsidR="005816F8">
        <w:rPr>
          <w:rFonts w:ascii="Verdana" w:hAnsi="Verdana"/>
          <w:sz w:val="20"/>
          <w:szCs w:val="20"/>
          <w:lang w:eastAsia="en-GB"/>
        </w:rPr>
        <w:t>effect on fertility. However,</w:t>
      </w:r>
      <w:r w:rsidR="00BA130E">
        <w:rPr>
          <w:rFonts w:ascii="Verdana" w:hAnsi="Verdana"/>
          <w:sz w:val="20"/>
          <w:szCs w:val="20"/>
          <w:lang w:eastAsia="en-GB"/>
        </w:rPr>
        <w:t xml:space="preserve"> the</w:t>
      </w:r>
      <w:r w:rsidR="005816F8">
        <w:rPr>
          <w:rFonts w:ascii="Verdana" w:hAnsi="Verdana"/>
          <w:sz w:val="20"/>
          <w:szCs w:val="20"/>
          <w:lang w:eastAsia="en-GB"/>
        </w:rPr>
        <w:t xml:space="preserve"> slight decrease was</w:t>
      </w:r>
      <w:r w:rsidR="00BA130E">
        <w:rPr>
          <w:rFonts w:ascii="Verdana" w:hAnsi="Verdana"/>
          <w:sz w:val="20"/>
          <w:szCs w:val="20"/>
          <w:lang w:eastAsia="en-GB"/>
        </w:rPr>
        <w:t xml:space="preserve"> not statistically significant. Therefore</w:t>
      </w:r>
      <w:r w:rsidR="00365918" w:rsidRPr="00992931">
        <w:rPr>
          <w:rFonts w:ascii="Verdana" w:hAnsi="Verdana"/>
          <w:sz w:val="20"/>
          <w:szCs w:val="20"/>
          <w:lang w:eastAsia="en-GB"/>
        </w:rPr>
        <w:t>,</w:t>
      </w:r>
      <w:r w:rsidR="00BA130E">
        <w:rPr>
          <w:rFonts w:ascii="Verdana" w:hAnsi="Verdana"/>
          <w:sz w:val="20"/>
          <w:szCs w:val="20"/>
          <w:lang w:eastAsia="en-GB"/>
        </w:rPr>
        <w:t xml:space="preserve"> the</w:t>
      </w:r>
      <w:r w:rsidR="00365918" w:rsidRPr="00992931">
        <w:rPr>
          <w:rFonts w:ascii="Verdana" w:hAnsi="Verdana"/>
          <w:sz w:val="20"/>
          <w:szCs w:val="20"/>
          <w:lang w:eastAsia="en-GB"/>
        </w:rPr>
        <w:t xml:space="preserve"> </w:t>
      </w:r>
      <w:r w:rsidR="001F75DE" w:rsidRPr="00992931">
        <w:rPr>
          <w:rFonts w:ascii="Verdana" w:hAnsi="Verdana"/>
          <w:sz w:val="20"/>
          <w:szCs w:val="20"/>
          <w:lang w:eastAsia="en-GB"/>
        </w:rPr>
        <w:t xml:space="preserve">effects </w:t>
      </w:r>
      <w:r w:rsidR="00BA130E">
        <w:rPr>
          <w:rFonts w:ascii="Verdana" w:hAnsi="Verdana"/>
          <w:sz w:val="20"/>
          <w:szCs w:val="20"/>
          <w:lang w:eastAsia="en-GB"/>
        </w:rPr>
        <w:t xml:space="preserve">are not considered sufficient to upgrade the </w:t>
      </w:r>
      <w:r w:rsidR="002C2F8F">
        <w:rPr>
          <w:rFonts w:ascii="Verdana" w:hAnsi="Verdana"/>
          <w:sz w:val="20"/>
          <w:szCs w:val="20"/>
          <w:lang w:eastAsia="en-GB"/>
        </w:rPr>
        <w:t xml:space="preserve">current </w:t>
      </w:r>
      <w:r w:rsidR="00BA130E">
        <w:rPr>
          <w:rFonts w:ascii="Verdana" w:hAnsi="Verdana"/>
          <w:sz w:val="20"/>
          <w:szCs w:val="20"/>
          <w:lang w:eastAsia="en-GB"/>
        </w:rPr>
        <w:t xml:space="preserve">classification from category 2 to category 1B. In addition, </w:t>
      </w:r>
      <w:r w:rsidR="001F75DE" w:rsidRPr="00992931">
        <w:rPr>
          <w:rFonts w:ascii="Verdana" w:hAnsi="Verdana"/>
          <w:sz w:val="20"/>
          <w:szCs w:val="20"/>
          <w:lang w:eastAsia="en-GB"/>
        </w:rPr>
        <w:t xml:space="preserve">some </w:t>
      </w:r>
      <w:r w:rsidR="00365918" w:rsidRPr="00992931">
        <w:rPr>
          <w:rFonts w:ascii="Verdana" w:hAnsi="Verdana"/>
          <w:sz w:val="20"/>
          <w:szCs w:val="20"/>
          <w:lang w:eastAsia="en-GB"/>
        </w:rPr>
        <w:t>sperm</w:t>
      </w:r>
      <w:r w:rsidR="001F75DE" w:rsidRPr="00992931">
        <w:rPr>
          <w:rFonts w:ascii="Verdana" w:hAnsi="Verdana"/>
          <w:sz w:val="20"/>
          <w:szCs w:val="20"/>
          <w:lang w:eastAsia="en-GB"/>
        </w:rPr>
        <w:t xml:space="preserve"> parameters </w:t>
      </w:r>
      <w:r w:rsidR="00BA130E">
        <w:rPr>
          <w:rFonts w:ascii="Verdana" w:hAnsi="Verdana"/>
          <w:sz w:val="20"/>
          <w:szCs w:val="20"/>
          <w:lang w:eastAsia="en-GB"/>
        </w:rPr>
        <w:t>were change</w:t>
      </w:r>
      <w:r w:rsidR="002C2F8F">
        <w:rPr>
          <w:rFonts w:ascii="Verdana" w:hAnsi="Verdana"/>
          <w:sz w:val="20"/>
          <w:szCs w:val="20"/>
          <w:lang w:eastAsia="en-GB"/>
        </w:rPr>
        <w:t>d</w:t>
      </w:r>
      <w:r w:rsidR="00BA130E">
        <w:rPr>
          <w:rFonts w:ascii="Verdana" w:hAnsi="Verdana"/>
          <w:sz w:val="20"/>
          <w:szCs w:val="20"/>
          <w:lang w:eastAsia="en-GB"/>
        </w:rPr>
        <w:t xml:space="preserve"> at the top dose in the F1-gen</w:t>
      </w:r>
      <w:r w:rsidR="002C2F8F">
        <w:rPr>
          <w:rFonts w:ascii="Verdana" w:hAnsi="Verdana"/>
          <w:sz w:val="20"/>
          <w:szCs w:val="20"/>
          <w:lang w:eastAsia="en-GB"/>
        </w:rPr>
        <w:t>e</w:t>
      </w:r>
      <w:r w:rsidR="00BA130E">
        <w:rPr>
          <w:rFonts w:ascii="Verdana" w:hAnsi="Verdana"/>
          <w:sz w:val="20"/>
          <w:szCs w:val="20"/>
          <w:lang w:eastAsia="en-GB"/>
        </w:rPr>
        <w:t>ration. However, in the absence of a cl</w:t>
      </w:r>
      <w:r w:rsidR="001F75DE" w:rsidRPr="00992931">
        <w:rPr>
          <w:rFonts w:ascii="Verdana" w:hAnsi="Verdana"/>
          <w:sz w:val="20"/>
          <w:szCs w:val="20"/>
          <w:lang w:eastAsia="en-GB"/>
        </w:rPr>
        <w:t>ear pattern</w:t>
      </w:r>
      <w:r w:rsidR="00BA130E">
        <w:rPr>
          <w:rFonts w:ascii="Verdana" w:hAnsi="Verdana"/>
          <w:sz w:val="20"/>
          <w:szCs w:val="20"/>
          <w:lang w:eastAsia="en-GB"/>
        </w:rPr>
        <w:t>, these effects are also not considered sufficient to upgrade the classification from category 2 to category 1B.</w:t>
      </w:r>
    </w:p>
    <w:p w14:paraId="376F64CF" w14:textId="50DF6A72" w:rsidR="00FD58AE" w:rsidRPr="00992931" w:rsidRDefault="00FD58AE"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With regards to developmental toxicity</w:t>
      </w:r>
      <w:r w:rsidR="00AC4891">
        <w:rPr>
          <w:rFonts w:ascii="Verdana" w:hAnsi="Verdana"/>
          <w:sz w:val="20"/>
          <w:szCs w:val="20"/>
          <w:lang w:eastAsia="en-GB"/>
        </w:rPr>
        <w:t xml:space="preserve">, a </w:t>
      </w:r>
      <w:r w:rsidRPr="00992931">
        <w:rPr>
          <w:rFonts w:ascii="Verdana" w:hAnsi="Verdana"/>
          <w:sz w:val="20"/>
          <w:szCs w:val="20"/>
          <w:lang w:eastAsia="en-GB"/>
        </w:rPr>
        <w:t xml:space="preserve">rabbit </w:t>
      </w:r>
      <w:r w:rsidR="00AC4891">
        <w:rPr>
          <w:rFonts w:ascii="Verdana" w:hAnsi="Verdana"/>
          <w:sz w:val="20"/>
          <w:szCs w:val="20"/>
          <w:lang w:eastAsia="en-GB"/>
        </w:rPr>
        <w:t>prenatal developmental toxicity study was</w:t>
      </w:r>
      <w:r w:rsidRPr="00992931">
        <w:rPr>
          <w:rFonts w:ascii="Verdana" w:hAnsi="Verdana"/>
          <w:sz w:val="20"/>
          <w:szCs w:val="20"/>
          <w:lang w:eastAsia="en-GB"/>
        </w:rPr>
        <w:t xml:space="preserve"> not taken into account</w:t>
      </w:r>
      <w:r w:rsidR="00AC4891">
        <w:rPr>
          <w:rFonts w:ascii="Verdana" w:hAnsi="Verdana"/>
          <w:sz w:val="20"/>
          <w:szCs w:val="20"/>
          <w:lang w:eastAsia="en-GB"/>
        </w:rPr>
        <w:t xml:space="preserve"> during initial TC C&amp;L </w:t>
      </w:r>
      <w:r w:rsidR="00AC4891" w:rsidRPr="00396E86">
        <w:rPr>
          <w:rFonts w:eastAsiaTheme="minorEastAsia"/>
          <w:color w:val="000000"/>
          <w:lang w:eastAsia="fr-FR"/>
        </w:rPr>
        <w:t>(</w:t>
      </w:r>
      <w:r w:rsidR="00AC4891" w:rsidRPr="00AC4891">
        <w:rPr>
          <w:rFonts w:ascii="Verdana" w:hAnsi="Verdana"/>
          <w:sz w:val="20"/>
          <w:szCs w:val="20"/>
          <w:lang w:eastAsia="en-GB"/>
        </w:rPr>
        <w:t>Unpublished report, 1991)</w:t>
      </w:r>
      <w:r w:rsidR="00AC4891">
        <w:rPr>
          <w:rFonts w:ascii="Verdana" w:hAnsi="Verdana"/>
          <w:sz w:val="20"/>
          <w:szCs w:val="20"/>
          <w:lang w:eastAsia="en-GB"/>
        </w:rPr>
        <w:t xml:space="preserve">. </w:t>
      </w:r>
      <w:r w:rsidR="007C0A41">
        <w:rPr>
          <w:rFonts w:ascii="Verdana" w:hAnsi="Verdana"/>
          <w:sz w:val="20"/>
          <w:szCs w:val="20"/>
          <w:lang w:eastAsia="en-GB"/>
        </w:rPr>
        <w:t>The study is summarised in</w:t>
      </w:r>
      <w:r w:rsidR="00365918" w:rsidRPr="00992931">
        <w:rPr>
          <w:rFonts w:ascii="Verdana" w:hAnsi="Verdana"/>
          <w:sz w:val="20"/>
          <w:szCs w:val="20"/>
          <w:lang w:eastAsia="en-GB"/>
        </w:rPr>
        <w:t xml:space="preserve"> </w:t>
      </w:r>
      <w:r w:rsidR="00AC4891">
        <w:rPr>
          <w:rFonts w:ascii="Verdana" w:hAnsi="Verdana"/>
          <w:sz w:val="20"/>
          <w:szCs w:val="20"/>
          <w:lang w:eastAsia="en-GB"/>
        </w:rPr>
        <w:t>annex 4</w:t>
      </w:r>
      <w:r w:rsidR="007C0A41">
        <w:rPr>
          <w:rFonts w:ascii="Verdana" w:hAnsi="Verdana"/>
          <w:sz w:val="20"/>
          <w:szCs w:val="20"/>
          <w:lang w:eastAsia="en-GB"/>
        </w:rPr>
        <w:t>. Th</w:t>
      </w:r>
      <w:r w:rsidR="00262A8D">
        <w:rPr>
          <w:rFonts w:ascii="Verdana" w:hAnsi="Verdana"/>
          <w:sz w:val="20"/>
          <w:szCs w:val="20"/>
          <w:lang w:eastAsia="en-GB"/>
        </w:rPr>
        <w:t xml:space="preserve">e </w:t>
      </w:r>
      <w:r w:rsidR="007C0A41">
        <w:rPr>
          <w:rFonts w:ascii="Verdana" w:hAnsi="Verdana"/>
          <w:sz w:val="20"/>
          <w:szCs w:val="20"/>
          <w:lang w:eastAsia="en-GB"/>
        </w:rPr>
        <w:t xml:space="preserve">increase in the number of malformations and post-implantation losses was </w:t>
      </w:r>
      <w:r w:rsidR="008318C2">
        <w:rPr>
          <w:rFonts w:ascii="Verdana" w:hAnsi="Verdana"/>
          <w:sz w:val="20"/>
          <w:szCs w:val="20"/>
          <w:lang w:eastAsia="en-GB"/>
        </w:rPr>
        <w:t xml:space="preserve">significant only at the top dose level where overt maternal toxicity was observed (1200 ppm). The increase in hydrocephaly was of particular concern </w:t>
      </w:r>
      <w:r w:rsidR="003005DD">
        <w:rPr>
          <w:rFonts w:ascii="Verdana" w:hAnsi="Verdana"/>
          <w:sz w:val="20"/>
          <w:szCs w:val="20"/>
          <w:lang w:eastAsia="en-GB"/>
        </w:rPr>
        <w:t>with 2 cases in 2 litters at this</w:t>
      </w:r>
      <w:r w:rsidR="008318C2">
        <w:rPr>
          <w:rFonts w:ascii="Verdana" w:hAnsi="Verdana"/>
          <w:sz w:val="20"/>
          <w:szCs w:val="20"/>
          <w:lang w:eastAsia="en-GB"/>
        </w:rPr>
        <w:t xml:space="preserve"> top dose. In the absence of significant maternal toxicity (≤ 600 ppm), only 1 case of hydrocephaly at 100 ppm an</w:t>
      </w:r>
      <w:r w:rsidR="003005DD">
        <w:rPr>
          <w:rFonts w:ascii="Verdana" w:hAnsi="Verdana"/>
          <w:sz w:val="20"/>
          <w:szCs w:val="20"/>
          <w:lang w:eastAsia="en-GB"/>
        </w:rPr>
        <w:t>d at 600 ppm were noted (</w:t>
      </w:r>
      <w:r w:rsidR="008318C2">
        <w:rPr>
          <w:rFonts w:ascii="Verdana" w:hAnsi="Verdana"/>
          <w:sz w:val="20"/>
          <w:szCs w:val="20"/>
          <w:lang w:eastAsia="en-GB"/>
        </w:rPr>
        <w:t xml:space="preserve">not </w:t>
      </w:r>
      <w:r w:rsidR="003005DD">
        <w:rPr>
          <w:rFonts w:ascii="Verdana" w:hAnsi="Verdana"/>
          <w:sz w:val="20"/>
          <w:szCs w:val="20"/>
          <w:lang w:eastAsia="en-GB"/>
        </w:rPr>
        <w:t xml:space="preserve">observed </w:t>
      </w:r>
      <w:r w:rsidR="008318C2">
        <w:rPr>
          <w:rFonts w:ascii="Verdana" w:hAnsi="Verdana"/>
          <w:sz w:val="20"/>
          <w:szCs w:val="20"/>
          <w:lang w:eastAsia="en-GB"/>
        </w:rPr>
        <w:t xml:space="preserve">in control, at 60 or at 300 ppm). The low incidence </w:t>
      </w:r>
      <w:r w:rsidR="003005DD">
        <w:rPr>
          <w:rFonts w:ascii="Verdana" w:hAnsi="Verdana"/>
          <w:sz w:val="20"/>
          <w:szCs w:val="20"/>
          <w:lang w:eastAsia="en-GB"/>
        </w:rPr>
        <w:t>(one case in one litter)</w:t>
      </w:r>
      <w:r w:rsidR="008318C2">
        <w:rPr>
          <w:rFonts w:ascii="Verdana" w:hAnsi="Verdana"/>
          <w:sz w:val="20"/>
          <w:szCs w:val="20"/>
          <w:lang w:eastAsia="en-GB"/>
        </w:rPr>
        <w:t xml:space="preserve"> lead</w:t>
      </w:r>
      <w:r w:rsidR="003005DD">
        <w:rPr>
          <w:rFonts w:ascii="Verdana" w:hAnsi="Verdana"/>
          <w:sz w:val="20"/>
          <w:szCs w:val="20"/>
          <w:lang w:eastAsia="en-GB"/>
        </w:rPr>
        <w:t>s</w:t>
      </w:r>
      <w:r w:rsidR="008318C2">
        <w:rPr>
          <w:rFonts w:ascii="Verdana" w:hAnsi="Verdana"/>
          <w:sz w:val="20"/>
          <w:szCs w:val="20"/>
          <w:lang w:eastAsia="en-GB"/>
        </w:rPr>
        <w:t xml:space="preserve"> to some uncertainties on the treatment-relation</w:t>
      </w:r>
      <w:r w:rsidR="004C4099">
        <w:rPr>
          <w:rFonts w:ascii="Verdana" w:hAnsi="Verdana"/>
          <w:sz w:val="20"/>
          <w:szCs w:val="20"/>
          <w:lang w:eastAsia="en-GB"/>
        </w:rPr>
        <w:t>ship</w:t>
      </w:r>
      <w:r w:rsidR="008318C2">
        <w:rPr>
          <w:rFonts w:ascii="Verdana" w:hAnsi="Verdana"/>
          <w:sz w:val="20"/>
          <w:szCs w:val="20"/>
          <w:lang w:eastAsia="en-GB"/>
        </w:rPr>
        <w:t xml:space="preserve"> of the effect at dose levels below 1200 ppm. The significant incre</w:t>
      </w:r>
      <w:r w:rsidR="003005DD">
        <w:rPr>
          <w:rFonts w:ascii="Verdana" w:hAnsi="Verdana"/>
          <w:sz w:val="20"/>
          <w:szCs w:val="20"/>
          <w:lang w:eastAsia="en-GB"/>
        </w:rPr>
        <w:t>ase in post-implantation losses</w:t>
      </w:r>
      <w:r w:rsidR="00C769C0">
        <w:rPr>
          <w:rFonts w:ascii="Verdana" w:hAnsi="Verdana"/>
          <w:sz w:val="20"/>
          <w:szCs w:val="20"/>
          <w:lang w:eastAsia="en-GB"/>
        </w:rPr>
        <w:t xml:space="preserve"> </w:t>
      </w:r>
      <w:r w:rsidR="008318C2">
        <w:rPr>
          <w:rFonts w:ascii="Verdana" w:hAnsi="Verdana"/>
          <w:sz w:val="20"/>
          <w:szCs w:val="20"/>
          <w:lang w:eastAsia="en-GB"/>
        </w:rPr>
        <w:t>was of small magnitude</w:t>
      </w:r>
      <w:r w:rsidR="00C769C0">
        <w:rPr>
          <w:rFonts w:ascii="Verdana" w:hAnsi="Verdana"/>
          <w:sz w:val="20"/>
          <w:szCs w:val="20"/>
          <w:lang w:eastAsia="en-GB"/>
        </w:rPr>
        <w:t xml:space="preserve"> at 600 ppm</w:t>
      </w:r>
      <w:r w:rsidR="008318C2">
        <w:rPr>
          <w:rFonts w:ascii="Verdana" w:hAnsi="Verdana"/>
          <w:sz w:val="20"/>
          <w:szCs w:val="20"/>
          <w:lang w:eastAsia="en-GB"/>
        </w:rPr>
        <w:t xml:space="preserve"> (0.64± 1.00 at 600 ppm vs 0.3±0.63 in controls and vs 7.0 ± 3.94 at 1200 ppm</w:t>
      </w:r>
      <w:r w:rsidR="004C4099">
        <w:rPr>
          <w:rFonts w:ascii="Verdana" w:hAnsi="Verdana"/>
          <w:sz w:val="20"/>
          <w:szCs w:val="20"/>
          <w:lang w:eastAsia="en-GB"/>
        </w:rPr>
        <w:t>)</w:t>
      </w:r>
      <w:r w:rsidR="00262A8D">
        <w:rPr>
          <w:rFonts w:ascii="Verdana" w:hAnsi="Verdana"/>
          <w:sz w:val="20"/>
          <w:szCs w:val="20"/>
          <w:lang w:eastAsia="en-GB"/>
        </w:rPr>
        <w:t>.</w:t>
      </w:r>
      <w:r w:rsidR="008318C2">
        <w:rPr>
          <w:rFonts w:ascii="Verdana" w:hAnsi="Verdana"/>
          <w:sz w:val="20"/>
          <w:szCs w:val="20"/>
          <w:lang w:eastAsia="en-GB"/>
        </w:rPr>
        <w:t xml:space="preserve"> </w:t>
      </w:r>
      <w:r w:rsidR="00262A8D">
        <w:rPr>
          <w:rFonts w:ascii="Verdana" w:hAnsi="Verdana"/>
          <w:sz w:val="20"/>
          <w:szCs w:val="20"/>
          <w:lang w:eastAsia="en-GB"/>
        </w:rPr>
        <w:t xml:space="preserve">Therefore, </w:t>
      </w:r>
      <w:r w:rsidR="003005DD">
        <w:rPr>
          <w:rFonts w:ascii="Verdana" w:hAnsi="Verdana"/>
          <w:sz w:val="20"/>
          <w:szCs w:val="20"/>
          <w:lang w:eastAsia="en-GB"/>
        </w:rPr>
        <w:t xml:space="preserve">these findings are insufficient to upgrade the classification to </w:t>
      </w:r>
      <w:r w:rsidR="00365918" w:rsidRPr="00992931">
        <w:rPr>
          <w:rFonts w:ascii="Verdana" w:hAnsi="Verdana"/>
          <w:sz w:val="20"/>
          <w:szCs w:val="20"/>
          <w:lang w:eastAsia="en-GB"/>
        </w:rPr>
        <w:t xml:space="preserve">category </w:t>
      </w:r>
      <w:r w:rsidR="003005DD">
        <w:rPr>
          <w:rFonts w:ascii="Verdana" w:hAnsi="Verdana"/>
          <w:sz w:val="20"/>
          <w:szCs w:val="20"/>
          <w:lang w:eastAsia="en-GB"/>
        </w:rPr>
        <w:t>1B</w:t>
      </w:r>
      <w:r w:rsidR="00365918" w:rsidRPr="00992931">
        <w:rPr>
          <w:rFonts w:ascii="Verdana" w:hAnsi="Verdana"/>
          <w:sz w:val="20"/>
          <w:szCs w:val="20"/>
          <w:lang w:eastAsia="en-GB"/>
        </w:rPr>
        <w:t>.</w:t>
      </w:r>
    </w:p>
    <w:p w14:paraId="477B1A03" w14:textId="30E3A6CF" w:rsidR="00FD58AE" w:rsidRPr="00992931" w:rsidRDefault="00FD58AE"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There is no new human data available that would allow to classify the substance in category 1A. </w:t>
      </w:r>
    </w:p>
    <w:p w14:paraId="003BDDC8" w14:textId="7647A5A0" w:rsidR="00C4740C" w:rsidRPr="00992931" w:rsidRDefault="00C4740C" w:rsidP="00ED47FC">
      <w:pPr>
        <w:spacing w:after="0" w:line="276" w:lineRule="auto"/>
        <w:jc w:val="both"/>
        <w:rPr>
          <w:rFonts w:ascii="Verdana" w:hAnsi="Verdana"/>
          <w:sz w:val="20"/>
          <w:szCs w:val="20"/>
          <w:lang w:eastAsia="en-GB"/>
        </w:rPr>
      </w:pPr>
      <w:r w:rsidRPr="00992931">
        <w:rPr>
          <w:rFonts w:ascii="Verdana" w:hAnsi="Verdana"/>
          <w:sz w:val="20"/>
          <w:szCs w:val="20"/>
          <w:lang w:eastAsia="en-GB"/>
        </w:rPr>
        <w:t xml:space="preserve">As proposed by the lead registrant, additional classification of the substance as Acute Tox. 4; H332 </w:t>
      </w:r>
      <w:r w:rsidR="00C769C0">
        <w:rPr>
          <w:rFonts w:ascii="Verdana" w:hAnsi="Verdana"/>
          <w:sz w:val="20"/>
          <w:szCs w:val="20"/>
          <w:lang w:eastAsia="en-GB"/>
        </w:rPr>
        <w:t>is</w:t>
      </w:r>
      <w:r w:rsidRPr="00992931">
        <w:rPr>
          <w:rFonts w:ascii="Verdana" w:hAnsi="Verdana"/>
          <w:sz w:val="20"/>
          <w:szCs w:val="20"/>
          <w:lang w:eastAsia="en-GB"/>
        </w:rPr>
        <w:t xml:space="preserve"> warranted. The specification of the nervous system and the cardiovascular system </w:t>
      </w:r>
      <w:r w:rsidR="00C769C0">
        <w:rPr>
          <w:rFonts w:ascii="Verdana" w:hAnsi="Verdana"/>
          <w:sz w:val="20"/>
          <w:szCs w:val="20"/>
          <w:lang w:eastAsia="en-GB"/>
        </w:rPr>
        <w:t>is also</w:t>
      </w:r>
      <w:r w:rsidRPr="00992931">
        <w:rPr>
          <w:rFonts w:ascii="Verdana" w:hAnsi="Verdana"/>
          <w:sz w:val="20"/>
          <w:szCs w:val="20"/>
          <w:lang w:eastAsia="en-GB"/>
        </w:rPr>
        <w:t xml:space="preserve"> relevant for STOT RE 1 to better commu</w:t>
      </w:r>
      <w:r w:rsidR="00C46BD4">
        <w:rPr>
          <w:rFonts w:ascii="Verdana" w:hAnsi="Verdana"/>
          <w:sz w:val="20"/>
          <w:szCs w:val="20"/>
          <w:lang w:eastAsia="en-GB"/>
        </w:rPr>
        <w:t>nicate on the hazards of the su</w:t>
      </w:r>
      <w:r w:rsidRPr="00992931">
        <w:rPr>
          <w:rFonts w:ascii="Verdana" w:hAnsi="Verdana"/>
          <w:sz w:val="20"/>
          <w:szCs w:val="20"/>
          <w:lang w:eastAsia="en-GB"/>
        </w:rPr>
        <w:t>b</w:t>
      </w:r>
      <w:r w:rsidR="00C46BD4">
        <w:rPr>
          <w:rFonts w:ascii="Verdana" w:hAnsi="Verdana"/>
          <w:sz w:val="20"/>
          <w:szCs w:val="20"/>
          <w:lang w:eastAsia="en-GB"/>
        </w:rPr>
        <w:t>s</w:t>
      </w:r>
      <w:r w:rsidRPr="00992931">
        <w:rPr>
          <w:rFonts w:ascii="Verdana" w:hAnsi="Verdana"/>
          <w:sz w:val="20"/>
          <w:szCs w:val="20"/>
          <w:lang w:eastAsia="en-GB"/>
        </w:rPr>
        <w:t>tance.</w:t>
      </w:r>
      <w:r w:rsidR="007130F7" w:rsidRPr="00992931">
        <w:rPr>
          <w:rFonts w:ascii="Verdana" w:hAnsi="Verdana"/>
          <w:sz w:val="20"/>
          <w:szCs w:val="20"/>
          <w:lang w:eastAsia="en-GB"/>
        </w:rPr>
        <w:t xml:space="preserve"> Although a few notification propose to classify carbon disulfide as STOT SE, </w:t>
      </w:r>
      <w:r w:rsidR="008318C2">
        <w:rPr>
          <w:rFonts w:ascii="Verdana" w:hAnsi="Verdana"/>
          <w:sz w:val="20"/>
          <w:szCs w:val="20"/>
          <w:lang w:eastAsia="en-GB"/>
        </w:rPr>
        <w:t>H335, Acute Tox. 4 (H302) and A</w:t>
      </w:r>
      <w:r w:rsidR="007130F7" w:rsidRPr="00992931">
        <w:rPr>
          <w:rFonts w:ascii="Verdana" w:hAnsi="Verdana"/>
          <w:sz w:val="20"/>
          <w:szCs w:val="20"/>
          <w:lang w:eastAsia="en-GB"/>
        </w:rPr>
        <w:t>q</w:t>
      </w:r>
      <w:r w:rsidR="008318C2">
        <w:rPr>
          <w:rFonts w:ascii="Verdana" w:hAnsi="Verdana"/>
          <w:sz w:val="20"/>
          <w:szCs w:val="20"/>
          <w:lang w:eastAsia="en-GB"/>
        </w:rPr>
        <w:t>u</w:t>
      </w:r>
      <w:r w:rsidR="007130F7" w:rsidRPr="00992931">
        <w:rPr>
          <w:rFonts w:ascii="Verdana" w:hAnsi="Verdana"/>
          <w:sz w:val="20"/>
          <w:szCs w:val="20"/>
          <w:lang w:eastAsia="en-GB"/>
        </w:rPr>
        <w:t>atic Chronic 3 (H412), these classifications are not considered warranted based on the available data (See conclusion document and report on substance evaluation of carbon disulfide, 2022).</w:t>
      </w:r>
    </w:p>
    <w:p w14:paraId="0DA18174" w14:textId="77777777" w:rsidR="00C4740C" w:rsidRPr="00992931" w:rsidRDefault="00C4740C" w:rsidP="00ED47FC">
      <w:pPr>
        <w:spacing w:after="0" w:line="276" w:lineRule="auto"/>
        <w:jc w:val="both"/>
        <w:rPr>
          <w:rFonts w:ascii="Verdana" w:hAnsi="Verdana"/>
          <w:sz w:val="20"/>
          <w:szCs w:val="20"/>
          <w:lang w:eastAsia="en-GB"/>
        </w:rPr>
      </w:pPr>
    </w:p>
    <w:p w14:paraId="28F71BC6" w14:textId="35A9F0DF" w:rsidR="00C4740C" w:rsidRPr="00F1478B" w:rsidRDefault="007130F7" w:rsidP="00ED47FC">
      <w:pPr>
        <w:spacing w:after="0" w:line="276" w:lineRule="auto"/>
        <w:jc w:val="both"/>
        <w:rPr>
          <w:rFonts w:ascii="Verdana" w:hAnsi="Verdana"/>
          <w:b/>
          <w:sz w:val="20"/>
          <w:szCs w:val="20"/>
          <w:lang w:eastAsia="en-GB"/>
        </w:rPr>
      </w:pPr>
      <w:r w:rsidRPr="00F1478B">
        <w:rPr>
          <w:rFonts w:ascii="Verdana" w:hAnsi="Verdana"/>
          <w:b/>
          <w:sz w:val="20"/>
          <w:szCs w:val="20"/>
          <w:lang w:eastAsia="en-GB"/>
        </w:rPr>
        <w:t>Overall</w:t>
      </w:r>
      <w:r w:rsidR="00C4740C" w:rsidRPr="00F1478B">
        <w:rPr>
          <w:rFonts w:ascii="Verdana" w:hAnsi="Verdana"/>
          <w:b/>
          <w:sz w:val="20"/>
          <w:szCs w:val="20"/>
          <w:lang w:eastAsia="en-GB"/>
        </w:rPr>
        <w:t xml:space="preserve">, an update on the existing harmonised classification is needed. </w:t>
      </w:r>
      <w:r w:rsidR="00C769C0" w:rsidRPr="00F1478B">
        <w:rPr>
          <w:rFonts w:ascii="Verdana" w:hAnsi="Verdana"/>
          <w:b/>
          <w:sz w:val="20"/>
          <w:szCs w:val="20"/>
          <w:lang w:eastAsia="en-GB"/>
        </w:rPr>
        <w:t>A</w:t>
      </w:r>
      <w:r w:rsidR="00C4740C" w:rsidRPr="00F1478B">
        <w:rPr>
          <w:rFonts w:ascii="Verdana" w:hAnsi="Verdana"/>
          <w:b/>
          <w:sz w:val="20"/>
          <w:szCs w:val="20"/>
          <w:lang w:eastAsia="en-GB"/>
        </w:rPr>
        <w:t xml:space="preserve">cute toxicity </w:t>
      </w:r>
      <w:r w:rsidR="00C769C0" w:rsidRPr="00F1478B">
        <w:rPr>
          <w:rFonts w:ascii="Verdana" w:hAnsi="Verdana"/>
          <w:b/>
          <w:sz w:val="20"/>
          <w:szCs w:val="20"/>
          <w:lang w:eastAsia="en-GB"/>
        </w:rPr>
        <w:t xml:space="preserve">by inhalation </w:t>
      </w:r>
      <w:r w:rsidR="00C4740C" w:rsidRPr="00F1478B">
        <w:rPr>
          <w:rFonts w:ascii="Verdana" w:hAnsi="Verdana"/>
          <w:b/>
          <w:sz w:val="20"/>
          <w:szCs w:val="20"/>
          <w:lang w:eastAsia="en-GB"/>
        </w:rPr>
        <w:t>is not a priority endpoint according to Art. 36 of CLP regulation for the need for Harmonised Classification and Labell</w:t>
      </w:r>
      <w:r w:rsidR="00C769C0" w:rsidRPr="00F1478B">
        <w:rPr>
          <w:rFonts w:ascii="Verdana" w:hAnsi="Verdana"/>
          <w:b/>
          <w:sz w:val="20"/>
          <w:szCs w:val="20"/>
          <w:lang w:eastAsia="en-GB"/>
        </w:rPr>
        <w:t>ing but the</w:t>
      </w:r>
      <w:r w:rsidRPr="00F1478B">
        <w:rPr>
          <w:rFonts w:ascii="Verdana" w:hAnsi="Verdana"/>
          <w:b/>
          <w:sz w:val="20"/>
          <w:szCs w:val="20"/>
          <w:lang w:eastAsia="en-GB"/>
        </w:rPr>
        <w:t xml:space="preserve"> </w:t>
      </w:r>
      <w:r w:rsidR="00463F9E" w:rsidRPr="00F1478B">
        <w:rPr>
          <w:rFonts w:ascii="Verdana" w:hAnsi="Verdana"/>
          <w:b/>
          <w:sz w:val="20"/>
          <w:szCs w:val="20"/>
          <w:lang w:eastAsia="en-GB"/>
        </w:rPr>
        <w:t>differences in self-classification may justify that action is needed at community level</w:t>
      </w:r>
      <w:r w:rsidR="009F2CA8" w:rsidRPr="00F1478B">
        <w:rPr>
          <w:rFonts w:ascii="Verdana" w:hAnsi="Verdana"/>
          <w:b/>
          <w:sz w:val="20"/>
          <w:szCs w:val="20"/>
          <w:lang w:eastAsia="en-GB"/>
        </w:rPr>
        <w:t xml:space="preserve"> unless registrants align their self-classifications</w:t>
      </w:r>
      <w:r w:rsidR="00463F9E" w:rsidRPr="00F1478B">
        <w:rPr>
          <w:rFonts w:ascii="Verdana" w:hAnsi="Verdana"/>
          <w:b/>
          <w:sz w:val="20"/>
          <w:szCs w:val="20"/>
          <w:lang w:eastAsia="en-GB"/>
        </w:rPr>
        <w:t xml:space="preserve">. </w:t>
      </w:r>
    </w:p>
    <w:p w14:paraId="55B41AF4" w14:textId="0752B989" w:rsidR="008C6D58" w:rsidRDefault="008C6D58" w:rsidP="00ED47FC">
      <w:pPr>
        <w:pStyle w:val="Titre3"/>
        <w:numPr>
          <w:ilvl w:val="0"/>
          <w:numId w:val="0"/>
        </w:numPr>
        <w:spacing w:line="276" w:lineRule="auto"/>
      </w:pPr>
      <w:bookmarkStart w:id="21" w:name="_Toc117776290"/>
      <w:r w:rsidRPr="008C6D58">
        <w:t>2.</w:t>
      </w:r>
      <w:r w:rsidR="005D3DEB">
        <w:t>2</w:t>
      </w:r>
      <w:r w:rsidRPr="008C6D58">
        <w:t>.</w:t>
      </w:r>
      <w:r>
        <w:t xml:space="preserve"> Substance Evaluation</w:t>
      </w:r>
      <w:bookmarkEnd w:id="21"/>
    </w:p>
    <w:p w14:paraId="2DCCFE0D" w14:textId="77777777" w:rsidR="00495243" w:rsidRDefault="00D01182" w:rsidP="00ED47FC">
      <w:pPr>
        <w:pStyle w:val="Corpsdetexte"/>
        <w:spacing w:line="276" w:lineRule="auto"/>
        <w:jc w:val="both"/>
        <w:rPr>
          <w:rFonts w:ascii="Verdana" w:hAnsi="Verdana"/>
          <w:sz w:val="20"/>
          <w:szCs w:val="20"/>
          <w:lang w:eastAsia="en-GB"/>
        </w:rPr>
      </w:pPr>
      <w:r w:rsidRPr="00D01182">
        <w:rPr>
          <w:rFonts w:ascii="Verdana" w:hAnsi="Verdana"/>
          <w:sz w:val="20"/>
          <w:szCs w:val="20"/>
          <w:lang w:eastAsia="en-GB"/>
        </w:rPr>
        <w:t xml:space="preserve">France started </w:t>
      </w:r>
      <w:r w:rsidR="00A32ADC">
        <w:rPr>
          <w:rFonts w:ascii="Verdana" w:hAnsi="Verdana"/>
          <w:sz w:val="20"/>
          <w:szCs w:val="20"/>
          <w:lang w:eastAsia="en-GB"/>
        </w:rPr>
        <w:t xml:space="preserve">a substance evaluation process in March 2013; it was finalized in April 2022. </w:t>
      </w:r>
    </w:p>
    <w:p w14:paraId="3027275C" w14:textId="77777777" w:rsidR="00495243" w:rsidRDefault="00495243" w:rsidP="00ED47FC">
      <w:pPr>
        <w:pStyle w:val="Corpsdetexte"/>
        <w:spacing w:line="276" w:lineRule="auto"/>
        <w:jc w:val="both"/>
        <w:rPr>
          <w:rFonts w:ascii="Verdana" w:hAnsi="Verdana"/>
          <w:sz w:val="20"/>
          <w:szCs w:val="20"/>
          <w:lang w:eastAsia="en-GB"/>
        </w:rPr>
      </w:pPr>
      <w:r>
        <w:rPr>
          <w:rFonts w:ascii="Verdana" w:hAnsi="Verdana"/>
          <w:sz w:val="20"/>
          <w:szCs w:val="20"/>
          <w:lang w:eastAsia="en-GB"/>
        </w:rPr>
        <w:t>The conclusion of the SEv was that there is a need for follow-up regulatory action at EU level to be discussed in an RMOA.</w:t>
      </w:r>
    </w:p>
    <w:p w14:paraId="53E1A594" w14:textId="68F9A93F" w:rsidR="008C6D58" w:rsidRPr="008C6D58" w:rsidRDefault="008C6D58" w:rsidP="00ED47FC">
      <w:pPr>
        <w:pStyle w:val="Titre3"/>
        <w:numPr>
          <w:ilvl w:val="0"/>
          <w:numId w:val="0"/>
        </w:numPr>
        <w:spacing w:line="276" w:lineRule="auto"/>
      </w:pPr>
      <w:bookmarkStart w:id="22" w:name="_Toc117776291"/>
      <w:r w:rsidRPr="008C6D58">
        <w:lastRenderedPageBreak/>
        <w:t>2.</w:t>
      </w:r>
      <w:r w:rsidR="005D3DEB">
        <w:t>3</w:t>
      </w:r>
      <w:r w:rsidRPr="008C6D58">
        <w:t>. Authorisation</w:t>
      </w:r>
      <w:bookmarkEnd w:id="22"/>
    </w:p>
    <w:p w14:paraId="4837F452" w14:textId="76847DF9" w:rsidR="001D5C63" w:rsidRPr="00532DE1" w:rsidRDefault="001D5C63" w:rsidP="00ED47FC">
      <w:pPr>
        <w:pStyle w:val="Corpsdetexte"/>
        <w:spacing w:line="276" w:lineRule="auto"/>
        <w:jc w:val="both"/>
        <w:rPr>
          <w:rFonts w:ascii="Verdana" w:hAnsi="Verdana" w:cs="Arial"/>
          <w:b/>
          <w:bCs/>
          <w:color w:val="000000"/>
          <w:sz w:val="22"/>
          <w:szCs w:val="22"/>
        </w:rPr>
      </w:pPr>
      <w:r>
        <w:rPr>
          <w:rFonts w:ascii="Verdana" w:hAnsi="Verdana" w:cs="Arial"/>
          <w:b/>
          <w:bCs/>
          <w:color w:val="000000"/>
          <w:sz w:val="22"/>
          <w:szCs w:val="22"/>
        </w:rPr>
        <w:t>Identification as a substance of very high concern, SVHC (first step toward authorisation)</w:t>
      </w:r>
    </w:p>
    <w:p w14:paraId="1E0AA074" w14:textId="0FC4C74C" w:rsidR="000F1D27" w:rsidRDefault="000F1D27" w:rsidP="00ED47FC">
      <w:pPr>
        <w:spacing w:after="120" w:line="276" w:lineRule="auto"/>
        <w:jc w:val="both"/>
        <w:rPr>
          <w:rFonts w:ascii="Verdana" w:hAnsi="Verdana"/>
          <w:sz w:val="20"/>
          <w:szCs w:val="20"/>
          <w:lang w:eastAsia="en-GB"/>
        </w:rPr>
      </w:pPr>
      <w:r>
        <w:rPr>
          <w:rFonts w:ascii="Verdana" w:hAnsi="Verdana"/>
          <w:sz w:val="20"/>
          <w:szCs w:val="20"/>
          <w:lang w:eastAsia="en-GB"/>
        </w:rPr>
        <w:t xml:space="preserve">The </w:t>
      </w:r>
      <w:r w:rsidR="004D03F0">
        <w:rPr>
          <w:rFonts w:ascii="Verdana" w:hAnsi="Verdana"/>
          <w:sz w:val="20"/>
          <w:szCs w:val="20"/>
          <w:lang w:eastAsia="en-GB"/>
        </w:rPr>
        <w:t xml:space="preserve">human health </w:t>
      </w:r>
      <w:r>
        <w:rPr>
          <w:rFonts w:ascii="Verdana" w:hAnsi="Verdana"/>
          <w:sz w:val="20"/>
          <w:szCs w:val="20"/>
          <w:lang w:eastAsia="en-GB"/>
        </w:rPr>
        <w:t>classification of carbon disulfide</w:t>
      </w:r>
      <w:r w:rsidR="00BD7BD5">
        <w:rPr>
          <w:rFonts w:ascii="Verdana" w:hAnsi="Verdana"/>
          <w:sz w:val="20"/>
          <w:szCs w:val="20"/>
          <w:lang w:eastAsia="en-GB"/>
        </w:rPr>
        <w:t xml:space="preserve"> in Annex </w:t>
      </w:r>
      <w:r w:rsidR="00273BD9">
        <w:rPr>
          <w:rFonts w:ascii="Verdana" w:hAnsi="Verdana"/>
          <w:sz w:val="20"/>
          <w:szCs w:val="20"/>
          <w:lang w:eastAsia="en-GB"/>
        </w:rPr>
        <w:t>VI</w:t>
      </w:r>
      <w:r w:rsidR="00BD7BD5">
        <w:rPr>
          <w:rFonts w:ascii="Verdana" w:hAnsi="Verdana"/>
          <w:sz w:val="20"/>
          <w:szCs w:val="20"/>
          <w:lang w:eastAsia="en-GB"/>
        </w:rPr>
        <w:t xml:space="preserve"> of CLP regulation</w:t>
      </w:r>
      <w:r>
        <w:rPr>
          <w:rFonts w:ascii="Verdana" w:hAnsi="Verdana"/>
          <w:sz w:val="20"/>
          <w:szCs w:val="20"/>
          <w:lang w:eastAsia="en-GB"/>
        </w:rPr>
        <w:t xml:space="preserve"> doesn’t provide </w:t>
      </w:r>
      <w:r w:rsidRPr="007F137C">
        <w:rPr>
          <w:rFonts w:ascii="Verdana" w:hAnsi="Verdana"/>
          <w:i/>
          <w:sz w:val="20"/>
          <w:szCs w:val="20"/>
          <w:lang w:eastAsia="en-GB"/>
        </w:rPr>
        <w:t>per se</w:t>
      </w:r>
      <w:r>
        <w:rPr>
          <w:rFonts w:ascii="Verdana" w:hAnsi="Verdana"/>
          <w:sz w:val="20"/>
          <w:szCs w:val="20"/>
          <w:lang w:eastAsia="en-GB"/>
        </w:rPr>
        <w:t xml:space="preserve"> identification as a SVHC and possible inclusion in Annex XIV</w:t>
      </w:r>
      <w:r w:rsidR="004D03F0">
        <w:rPr>
          <w:rFonts w:ascii="Verdana" w:hAnsi="Verdana"/>
          <w:sz w:val="20"/>
          <w:szCs w:val="20"/>
          <w:lang w:eastAsia="en-GB"/>
        </w:rPr>
        <w:t xml:space="preserve"> (not a CMR 1A or 1B)</w:t>
      </w:r>
      <w:r>
        <w:rPr>
          <w:rFonts w:ascii="Verdana" w:hAnsi="Verdana"/>
          <w:sz w:val="20"/>
          <w:szCs w:val="20"/>
          <w:lang w:eastAsia="en-GB"/>
        </w:rPr>
        <w:t>.</w:t>
      </w:r>
    </w:p>
    <w:p w14:paraId="0F1240FE" w14:textId="70E5D3FE" w:rsidR="001D5C63" w:rsidRPr="00992931" w:rsidRDefault="000F1D27" w:rsidP="00ED47FC">
      <w:pPr>
        <w:spacing w:after="120" w:line="276" w:lineRule="auto"/>
        <w:jc w:val="both"/>
        <w:rPr>
          <w:rFonts w:ascii="Verdana" w:hAnsi="Verdana"/>
          <w:sz w:val="20"/>
          <w:szCs w:val="20"/>
          <w:lang w:eastAsia="en-GB"/>
        </w:rPr>
      </w:pPr>
      <w:r>
        <w:rPr>
          <w:rFonts w:ascii="Verdana" w:hAnsi="Verdana"/>
          <w:sz w:val="20"/>
          <w:szCs w:val="20"/>
          <w:lang w:eastAsia="en-GB"/>
        </w:rPr>
        <w:t>However, c</w:t>
      </w:r>
      <w:r w:rsidR="002877EE">
        <w:rPr>
          <w:rFonts w:ascii="Verdana" w:hAnsi="Verdana"/>
          <w:sz w:val="20"/>
          <w:szCs w:val="20"/>
          <w:lang w:eastAsia="en-GB"/>
        </w:rPr>
        <w:t>arbon disulfide</w:t>
      </w:r>
      <w:r w:rsidR="001D5C63" w:rsidRPr="00992931">
        <w:rPr>
          <w:rFonts w:ascii="Verdana" w:hAnsi="Verdana"/>
          <w:sz w:val="20"/>
          <w:szCs w:val="20"/>
          <w:lang w:eastAsia="en-GB"/>
        </w:rPr>
        <w:t xml:space="preserve"> is a known neurotoxicant that can induce damages in the central nervous system (CNS) and peripheral nervous system (PNS) in experimental animals and in humans. </w:t>
      </w:r>
      <w:r w:rsidR="002877EE">
        <w:rPr>
          <w:rFonts w:ascii="Verdana" w:hAnsi="Verdana"/>
          <w:sz w:val="20"/>
          <w:szCs w:val="20"/>
          <w:lang w:eastAsia="en-GB"/>
        </w:rPr>
        <w:t>Carbon disulfide</w:t>
      </w:r>
      <w:r w:rsidR="001D5C63" w:rsidRPr="00992931">
        <w:rPr>
          <w:rFonts w:ascii="Verdana" w:hAnsi="Verdana"/>
          <w:sz w:val="20"/>
          <w:szCs w:val="20"/>
          <w:lang w:eastAsia="en-GB"/>
        </w:rPr>
        <w:t xml:space="preserve"> induce</w:t>
      </w:r>
      <w:r w:rsidR="009A1597">
        <w:rPr>
          <w:rFonts w:ascii="Verdana" w:hAnsi="Verdana"/>
          <w:sz w:val="20"/>
          <w:szCs w:val="20"/>
          <w:lang w:eastAsia="en-GB"/>
        </w:rPr>
        <w:t>s also</w:t>
      </w:r>
      <w:r w:rsidR="001D5C63" w:rsidRPr="00992931">
        <w:rPr>
          <w:rFonts w:ascii="Verdana" w:hAnsi="Verdana"/>
          <w:sz w:val="20"/>
          <w:szCs w:val="20"/>
          <w:lang w:eastAsia="en-GB"/>
        </w:rPr>
        <w:t xml:space="preserve"> toxicity to the cardiovascular system. The substance is classified as STOT RE 1, in high potency class, under the CLP Regulation. </w:t>
      </w:r>
      <w:r w:rsidR="00B44BDE">
        <w:rPr>
          <w:rFonts w:ascii="Verdana" w:hAnsi="Verdana"/>
          <w:sz w:val="20"/>
          <w:szCs w:val="20"/>
          <w:lang w:eastAsia="en-GB"/>
        </w:rPr>
        <w:t>So, i</w:t>
      </w:r>
      <w:r w:rsidR="001D5C63" w:rsidRPr="00992931">
        <w:rPr>
          <w:rFonts w:ascii="Verdana" w:hAnsi="Verdana"/>
          <w:sz w:val="20"/>
          <w:szCs w:val="20"/>
          <w:lang w:eastAsia="en-GB"/>
        </w:rPr>
        <w:t xml:space="preserve">dentification under Article 57(f) based on equivalent level of concern </w:t>
      </w:r>
      <w:r w:rsidR="009A1597">
        <w:rPr>
          <w:rFonts w:ascii="Verdana" w:hAnsi="Verdana"/>
          <w:sz w:val="20"/>
          <w:szCs w:val="20"/>
          <w:lang w:eastAsia="en-GB"/>
        </w:rPr>
        <w:t xml:space="preserve">(EloC) </w:t>
      </w:r>
      <w:r w:rsidR="001D5C63" w:rsidRPr="00992931">
        <w:rPr>
          <w:rFonts w:ascii="Verdana" w:hAnsi="Verdana"/>
          <w:sz w:val="20"/>
          <w:szCs w:val="20"/>
          <w:lang w:eastAsia="en-GB"/>
        </w:rPr>
        <w:t>for STOT RE could be considered.</w:t>
      </w:r>
    </w:p>
    <w:p w14:paraId="25A4BC2A" w14:textId="20260C01"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In case of adequate control, there will be no more risks; </w:t>
      </w:r>
      <w:r w:rsidR="00DA41C9">
        <w:rPr>
          <w:rFonts w:ascii="Verdana" w:hAnsi="Verdana"/>
          <w:sz w:val="20"/>
          <w:szCs w:val="20"/>
          <w:lang w:eastAsia="en-GB"/>
        </w:rPr>
        <w:t>f</w:t>
      </w:r>
      <w:r w:rsidR="007602EF">
        <w:rPr>
          <w:rFonts w:ascii="Verdana" w:hAnsi="Verdana"/>
          <w:sz w:val="20"/>
          <w:szCs w:val="20"/>
          <w:lang w:eastAsia="en-GB"/>
        </w:rPr>
        <w:t>or the substances following the route of Art. 57(f), it should be demonstrated that it shows adverse effects on human health of EloC compare</w:t>
      </w:r>
      <w:r w:rsidR="009A1597">
        <w:rPr>
          <w:rFonts w:ascii="Verdana" w:hAnsi="Verdana"/>
          <w:sz w:val="20"/>
          <w:szCs w:val="20"/>
          <w:lang w:eastAsia="en-GB"/>
        </w:rPr>
        <w:t>d</w:t>
      </w:r>
      <w:r w:rsidR="007602EF">
        <w:rPr>
          <w:rFonts w:ascii="Verdana" w:hAnsi="Verdana"/>
          <w:sz w:val="20"/>
          <w:szCs w:val="20"/>
          <w:lang w:eastAsia="en-GB"/>
        </w:rPr>
        <w:t xml:space="preserve"> to CMR effects. Factors identified as relevant are discussed below.</w:t>
      </w:r>
    </w:p>
    <w:p w14:paraId="15FAAD2E" w14:textId="77777777" w:rsidR="001D5C63" w:rsidRPr="00992931" w:rsidRDefault="001D5C63" w:rsidP="00ED47FC">
      <w:pPr>
        <w:spacing w:after="120" w:line="276" w:lineRule="auto"/>
        <w:jc w:val="both"/>
        <w:rPr>
          <w:rFonts w:ascii="Verdana" w:hAnsi="Verdana"/>
          <w:sz w:val="20"/>
          <w:szCs w:val="20"/>
          <w:u w:val="single"/>
          <w:lang w:eastAsia="en-GB"/>
        </w:rPr>
      </w:pPr>
      <w:r w:rsidRPr="00992931">
        <w:rPr>
          <w:rFonts w:ascii="Verdana" w:hAnsi="Verdana"/>
          <w:sz w:val="20"/>
          <w:szCs w:val="20"/>
          <w:u w:val="single"/>
          <w:lang w:eastAsia="en-GB"/>
        </w:rPr>
        <w:t>Seriousness of health concern</w:t>
      </w:r>
    </w:p>
    <w:p w14:paraId="4CD280FF" w14:textId="567F3DCA"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The severity of health effects due to exposure to </w:t>
      </w:r>
      <w:r w:rsidR="002877EE">
        <w:rPr>
          <w:rFonts w:ascii="Verdana" w:hAnsi="Verdana"/>
          <w:sz w:val="20"/>
          <w:szCs w:val="20"/>
          <w:lang w:eastAsia="en-GB"/>
        </w:rPr>
        <w:t>carbon disulfide</w:t>
      </w:r>
      <w:r w:rsidRPr="00992931">
        <w:rPr>
          <w:rFonts w:ascii="Verdana" w:hAnsi="Verdana"/>
          <w:sz w:val="20"/>
          <w:szCs w:val="20"/>
          <w:lang w:eastAsia="en-GB"/>
        </w:rPr>
        <w:t xml:space="preserve"> on the nervous system range</w:t>
      </w:r>
      <w:r w:rsidR="009A1597">
        <w:rPr>
          <w:rFonts w:ascii="Verdana" w:hAnsi="Verdana"/>
          <w:sz w:val="20"/>
          <w:szCs w:val="20"/>
          <w:lang w:eastAsia="en-GB"/>
        </w:rPr>
        <w:t>s</w:t>
      </w:r>
      <w:r w:rsidRPr="00992931">
        <w:rPr>
          <w:rFonts w:ascii="Verdana" w:hAnsi="Verdana"/>
          <w:sz w:val="20"/>
          <w:szCs w:val="20"/>
          <w:lang w:eastAsia="en-GB"/>
        </w:rPr>
        <w:t xml:space="preserve"> from sub-clinical effects on the peripheral nervous system (reduced sensory and motor nerve velocities) to polyneuropathy with reduction in velocity of both motor and sensory nerves. Eye findings (optic atrophy, retrobullar neuritis) can lead to altered function, mobility and sensitivity in human. Moreover, adverse effects on hearing, such as a reduction in auditory threshold and loss of hearing have also been reported. Neurobehavio</w:t>
      </w:r>
      <w:r w:rsidR="009128E0">
        <w:rPr>
          <w:rFonts w:ascii="Verdana" w:hAnsi="Verdana"/>
          <w:sz w:val="20"/>
          <w:szCs w:val="20"/>
          <w:lang w:eastAsia="en-GB"/>
        </w:rPr>
        <w:t>ral changes have also been not</w:t>
      </w:r>
      <w:r w:rsidRPr="00992931">
        <w:rPr>
          <w:rFonts w:ascii="Verdana" w:hAnsi="Verdana"/>
          <w:sz w:val="20"/>
          <w:szCs w:val="20"/>
          <w:lang w:eastAsia="en-GB"/>
        </w:rPr>
        <w:t xml:space="preserve">ed in some human studies. In experimental animals, nerve conduction velocity changes, changes in neurobehavior, and neuropathology (degeneration and axonal swelling in spinal cord and peripheral neurons, usually accompanied by an increase in neurofilament accumulation due to the formation of cross links) were observed. </w:t>
      </w:r>
    </w:p>
    <w:p w14:paraId="3B201C84" w14:textId="77777777"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The effect on the cardiovascular system is serious as it may lead to death in human. Cardio-vascular toxicity at the workplace may also be serious and of concern. </w:t>
      </w:r>
    </w:p>
    <w:p w14:paraId="42AB94D2" w14:textId="074EC62B"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Overall, serious health concerns (nervous system, cardiovascular system) have been identified </w:t>
      </w:r>
      <w:r w:rsidR="009128E0">
        <w:rPr>
          <w:rFonts w:ascii="Verdana" w:hAnsi="Verdana"/>
          <w:sz w:val="20"/>
          <w:szCs w:val="20"/>
          <w:lang w:eastAsia="en-GB"/>
        </w:rPr>
        <w:t xml:space="preserve">and </w:t>
      </w:r>
      <w:r w:rsidR="00BD5D1D">
        <w:rPr>
          <w:rFonts w:ascii="Verdana" w:hAnsi="Verdana"/>
          <w:sz w:val="20"/>
          <w:szCs w:val="20"/>
          <w:lang w:eastAsia="en-GB"/>
        </w:rPr>
        <w:t>justif</w:t>
      </w:r>
      <w:r w:rsidR="007F5088">
        <w:rPr>
          <w:rFonts w:ascii="Verdana" w:hAnsi="Verdana"/>
          <w:sz w:val="20"/>
          <w:szCs w:val="20"/>
          <w:lang w:eastAsia="en-GB"/>
        </w:rPr>
        <w:t>y</w:t>
      </w:r>
      <w:r w:rsidR="00BD5D1D">
        <w:rPr>
          <w:rFonts w:ascii="Verdana" w:hAnsi="Verdana"/>
          <w:sz w:val="20"/>
          <w:szCs w:val="20"/>
          <w:lang w:eastAsia="en-GB"/>
        </w:rPr>
        <w:t xml:space="preserve"> the current</w:t>
      </w:r>
      <w:r w:rsidR="009128E0">
        <w:rPr>
          <w:rFonts w:ascii="Verdana" w:hAnsi="Verdana"/>
          <w:sz w:val="20"/>
          <w:szCs w:val="20"/>
          <w:lang w:eastAsia="en-GB"/>
        </w:rPr>
        <w:t xml:space="preserve"> classification as STOT RE 1</w:t>
      </w:r>
      <w:r w:rsidRPr="00992931">
        <w:rPr>
          <w:rFonts w:ascii="Verdana" w:hAnsi="Verdana"/>
          <w:sz w:val="20"/>
          <w:szCs w:val="20"/>
          <w:lang w:eastAsia="en-GB"/>
        </w:rPr>
        <w:t>.</w:t>
      </w:r>
    </w:p>
    <w:p w14:paraId="4B79227E" w14:textId="77777777" w:rsidR="001D5C63" w:rsidRPr="00992931" w:rsidRDefault="001D5C63" w:rsidP="00ED47FC">
      <w:pPr>
        <w:spacing w:after="120" w:line="276" w:lineRule="auto"/>
        <w:jc w:val="both"/>
        <w:rPr>
          <w:rFonts w:ascii="Verdana" w:hAnsi="Verdana"/>
          <w:sz w:val="20"/>
          <w:szCs w:val="20"/>
          <w:u w:val="single"/>
          <w:lang w:eastAsia="en-GB"/>
        </w:rPr>
      </w:pPr>
      <w:r w:rsidRPr="00992931">
        <w:rPr>
          <w:rFonts w:ascii="Verdana" w:hAnsi="Verdana"/>
          <w:sz w:val="20"/>
          <w:szCs w:val="20"/>
          <w:u w:val="single"/>
          <w:lang w:eastAsia="en-GB"/>
        </w:rPr>
        <w:t>Irreversibility of health effects</w:t>
      </w:r>
    </w:p>
    <w:p w14:paraId="012D0C53" w14:textId="07B9ED78"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Central nervous system (CNS) </w:t>
      </w:r>
      <w:r w:rsidR="004107C8">
        <w:rPr>
          <w:rFonts w:ascii="Verdana" w:hAnsi="Verdana"/>
          <w:sz w:val="20"/>
          <w:szCs w:val="20"/>
          <w:lang w:eastAsia="en-GB"/>
        </w:rPr>
        <w:t>induced by carbon disulfide are</w:t>
      </w:r>
      <w:r w:rsidRPr="00992931">
        <w:rPr>
          <w:rFonts w:ascii="Verdana" w:hAnsi="Verdana"/>
          <w:sz w:val="20"/>
          <w:szCs w:val="20"/>
          <w:lang w:eastAsia="en-GB"/>
        </w:rPr>
        <w:t xml:space="preserve"> considered to be irreversible. Reversibility of the effects on the PNS may depend on the severity of the effect and exposure levels.</w:t>
      </w:r>
    </w:p>
    <w:p w14:paraId="383E89BF" w14:textId="0319B0D1" w:rsidR="001D5C63"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The irreversible nature of the potential effects on the </w:t>
      </w:r>
      <w:r w:rsidR="004107C8">
        <w:rPr>
          <w:rFonts w:ascii="Verdana" w:hAnsi="Verdana"/>
          <w:sz w:val="20"/>
          <w:szCs w:val="20"/>
          <w:lang w:eastAsia="en-GB"/>
        </w:rPr>
        <w:t xml:space="preserve">central </w:t>
      </w:r>
      <w:r w:rsidRPr="00992931">
        <w:rPr>
          <w:rFonts w:ascii="Verdana" w:hAnsi="Verdana"/>
          <w:sz w:val="20"/>
          <w:szCs w:val="20"/>
          <w:lang w:eastAsia="en-GB"/>
        </w:rPr>
        <w:t>nervous system is of high concern.</w:t>
      </w:r>
    </w:p>
    <w:p w14:paraId="0BA10211" w14:textId="5745A650" w:rsidR="00170301" w:rsidRPr="00992931" w:rsidRDefault="00170301" w:rsidP="00ED47FC">
      <w:pPr>
        <w:spacing w:after="120" w:line="276" w:lineRule="auto"/>
        <w:jc w:val="both"/>
        <w:rPr>
          <w:rFonts w:ascii="Verdana" w:hAnsi="Verdana"/>
          <w:sz w:val="20"/>
          <w:szCs w:val="20"/>
          <w:lang w:eastAsia="en-GB"/>
        </w:rPr>
      </w:pPr>
      <w:r>
        <w:rPr>
          <w:rFonts w:ascii="Verdana" w:hAnsi="Verdana"/>
          <w:sz w:val="20"/>
          <w:szCs w:val="20"/>
          <w:lang w:eastAsia="en-GB"/>
        </w:rPr>
        <w:t>S</w:t>
      </w:r>
      <w:r w:rsidR="00894131">
        <w:rPr>
          <w:rFonts w:ascii="Verdana" w:hAnsi="Verdana"/>
          <w:sz w:val="20"/>
          <w:szCs w:val="20"/>
          <w:lang w:eastAsia="en-GB"/>
        </w:rPr>
        <w:t xml:space="preserve">imilarly, excess mortality from coronary heart disease observed in human in viscose rayon factories is of concern. </w:t>
      </w:r>
    </w:p>
    <w:p w14:paraId="523723B4" w14:textId="77777777" w:rsidR="001D5C63" w:rsidRPr="00992931" w:rsidRDefault="001D5C63" w:rsidP="00ED47FC">
      <w:pPr>
        <w:spacing w:after="120" w:line="276" w:lineRule="auto"/>
        <w:jc w:val="both"/>
        <w:rPr>
          <w:rFonts w:ascii="Verdana" w:hAnsi="Verdana"/>
          <w:sz w:val="20"/>
          <w:szCs w:val="20"/>
          <w:u w:val="single"/>
          <w:lang w:eastAsia="en-GB"/>
        </w:rPr>
      </w:pPr>
      <w:bookmarkStart w:id="23" w:name="_Hlk81311693"/>
      <w:r w:rsidRPr="00992931">
        <w:rPr>
          <w:rFonts w:ascii="Verdana" w:hAnsi="Verdana"/>
          <w:sz w:val="20"/>
          <w:szCs w:val="20"/>
          <w:u w:val="single"/>
          <w:lang w:eastAsia="en-GB"/>
        </w:rPr>
        <w:t>Delay of health effects</w:t>
      </w:r>
    </w:p>
    <w:bookmarkEnd w:id="23"/>
    <w:p w14:paraId="286181FD" w14:textId="5F6B6014" w:rsidR="001D5C63" w:rsidRPr="00992931" w:rsidRDefault="004107C8" w:rsidP="00ED47FC">
      <w:pPr>
        <w:spacing w:after="120" w:line="276" w:lineRule="auto"/>
        <w:jc w:val="both"/>
        <w:rPr>
          <w:rFonts w:ascii="Verdana" w:hAnsi="Verdana"/>
          <w:sz w:val="20"/>
          <w:szCs w:val="20"/>
          <w:lang w:eastAsia="en-GB"/>
        </w:rPr>
      </w:pPr>
      <w:r>
        <w:rPr>
          <w:rFonts w:ascii="Verdana" w:hAnsi="Verdana"/>
          <w:sz w:val="20"/>
          <w:szCs w:val="20"/>
          <w:lang w:eastAsia="en-GB"/>
        </w:rPr>
        <w:lastRenderedPageBreak/>
        <w:t>The onset of nervous system and cardiovascular system</w:t>
      </w:r>
      <w:r w:rsidR="001D5C63" w:rsidRPr="00992931">
        <w:rPr>
          <w:rFonts w:ascii="Verdana" w:hAnsi="Verdana"/>
          <w:sz w:val="20"/>
          <w:szCs w:val="20"/>
          <w:lang w:eastAsia="en-GB"/>
        </w:rPr>
        <w:t xml:space="preserve"> manifestations is insidious and the course is slowly progressive. Studies revealed chronic encephalopathy and microangiopathy in the CNS after prolonged </w:t>
      </w:r>
      <w:r w:rsidR="002877EE">
        <w:rPr>
          <w:rFonts w:ascii="Verdana" w:hAnsi="Verdana"/>
          <w:sz w:val="20"/>
          <w:szCs w:val="20"/>
          <w:lang w:eastAsia="en-GB"/>
        </w:rPr>
        <w:t xml:space="preserve">carbon disulfide </w:t>
      </w:r>
      <w:r w:rsidR="001D5C63" w:rsidRPr="00992931">
        <w:rPr>
          <w:rFonts w:ascii="Verdana" w:hAnsi="Verdana"/>
          <w:sz w:val="20"/>
          <w:szCs w:val="20"/>
          <w:lang w:eastAsia="en-GB"/>
        </w:rPr>
        <w:t>exposure (Sieja, 2018).</w:t>
      </w:r>
    </w:p>
    <w:p w14:paraId="3FC49955" w14:textId="77777777" w:rsidR="001D5C63" w:rsidRPr="00992931" w:rsidRDefault="001D5C63" w:rsidP="00ED47FC">
      <w:pPr>
        <w:spacing w:after="120" w:line="276" w:lineRule="auto"/>
        <w:jc w:val="both"/>
        <w:rPr>
          <w:rFonts w:ascii="Verdana" w:hAnsi="Verdana"/>
          <w:sz w:val="20"/>
          <w:szCs w:val="20"/>
          <w:u w:val="single"/>
          <w:lang w:eastAsia="en-GB"/>
        </w:rPr>
      </w:pPr>
      <w:r w:rsidRPr="00992931">
        <w:rPr>
          <w:rFonts w:ascii="Verdana" w:hAnsi="Verdana"/>
          <w:sz w:val="20"/>
          <w:szCs w:val="20"/>
          <w:u w:val="single"/>
          <w:lang w:eastAsia="en-GB"/>
        </w:rPr>
        <w:t>Quality of life</w:t>
      </w:r>
    </w:p>
    <w:p w14:paraId="0FA434EF" w14:textId="35A282AB" w:rsidR="00B40654"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The manufacture of the substance and the manufacture of regenerative cellulose is known to lead to occupational diseases</w:t>
      </w:r>
      <w:r w:rsidR="007F5088">
        <w:rPr>
          <w:rFonts w:ascii="Verdana" w:hAnsi="Verdana"/>
          <w:sz w:val="20"/>
          <w:szCs w:val="20"/>
          <w:lang w:eastAsia="en-GB"/>
        </w:rPr>
        <w:t xml:space="preserve">. In France, professional sulfocarbonism is covered by the </w:t>
      </w:r>
      <w:r w:rsidR="00E007FE">
        <w:rPr>
          <w:rFonts w:ascii="Verdana" w:hAnsi="Verdana"/>
          <w:sz w:val="20"/>
          <w:szCs w:val="20"/>
          <w:lang w:eastAsia="en-GB"/>
        </w:rPr>
        <w:t>G</w:t>
      </w:r>
      <w:r w:rsidR="00012657">
        <w:rPr>
          <w:rFonts w:ascii="Verdana" w:hAnsi="Verdana"/>
          <w:sz w:val="20"/>
          <w:szCs w:val="20"/>
          <w:lang w:eastAsia="en-GB"/>
        </w:rPr>
        <w:t>eneral regime</w:t>
      </w:r>
      <w:r w:rsidR="00E007FE">
        <w:rPr>
          <w:rFonts w:ascii="Verdana" w:hAnsi="Verdana"/>
          <w:sz w:val="20"/>
          <w:szCs w:val="20"/>
          <w:lang w:eastAsia="en-GB"/>
        </w:rPr>
        <w:t xml:space="preserve"> </w:t>
      </w:r>
      <w:r w:rsidR="00012657">
        <w:rPr>
          <w:rFonts w:ascii="Verdana" w:hAnsi="Verdana"/>
          <w:sz w:val="20"/>
          <w:szCs w:val="20"/>
          <w:lang w:eastAsia="en-GB"/>
        </w:rPr>
        <w:t xml:space="preserve">table </w:t>
      </w:r>
      <w:r w:rsidR="00E007FE">
        <w:rPr>
          <w:rFonts w:ascii="Verdana" w:hAnsi="Verdana"/>
          <w:sz w:val="20"/>
          <w:szCs w:val="20"/>
          <w:lang w:eastAsia="en-GB"/>
        </w:rPr>
        <w:t>22</w:t>
      </w:r>
      <w:r w:rsidR="007F5088">
        <w:rPr>
          <w:rFonts w:ascii="Verdana" w:hAnsi="Verdana"/>
          <w:sz w:val="20"/>
          <w:szCs w:val="20"/>
          <w:lang w:eastAsia="en-GB"/>
        </w:rPr>
        <w:t xml:space="preserve"> (</w:t>
      </w:r>
      <w:r w:rsidRPr="00992931">
        <w:rPr>
          <w:rFonts w:ascii="Verdana" w:hAnsi="Verdana"/>
          <w:sz w:val="20"/>
          <w:szCs w:val="20"/>
          <w:lang w:eastAsia="en-GB"/>
        </w:rPr>
        <w:t xml:space="preserve">French decree, 13 </w:t>
      </w:r>
      <w:r w:rsidR="00B32A51">
        <w:rPr>
          <w:rFonts w:ascii="Verdana" w:hAnsi="Verdana"/>
          <w:sz w:val="20"/>
          <w:szCs w:val="20"/>
          <w:lang w:eastAsia="en-GB"/>
        </w:rPr>
        <w:t>July</w:t>
      </w:r>
      <w:r w:rsidR="00B32A51" w:rsidRPr="00992931">
        <w:rPr>
          <w:rFonts w:ascii="Verdana" w:hAnsi="Verdana"/>
          <w:sz w:val="20"/>
          <w:szCs w:val="20"/>
          <w:lang w:eastAsia="en-GB"/>
        </w:rPr>
        <w:t xml:space="preserve"> </w:t>
      </w:r>
      <w:r w:rsidRPr="00992931">
        <w:rPr>
          <w:rFonts w:ascii="Verdana" w:hAnsi="Verdana"/>
          <w:sz w:val="20"/>
          <w:szCs w:val="20"/>
          <w:lang w:eastAsia="en-GB"/>
        </w:rPr>
        <w:t>1945</w:t>
      </w:r>
      <w:r w:rsidR="00E007FE">
        <w:rPr>
          <w:rFonts w:ascii="Verdana" w:hAnsi="Verdana"/>
          <w:sz w:val="20"/>
          <w:szCs w:val="20"/>
          <w:lang w:eastAsia="en-GB"/>
        </w:rPr>
        <w:t>, updated 13 September 1955</w:t>
      </w:r>
      <w:r w:rsidRPr="00992931">
        <w:rPr>
          <w:rFonts w:ascii="Verdana" w:hAnsi="Verdana"/>
          <w:sz w:val="20"/>
          <w:szCs w:val="20"/>
          <w:lang w:eastAsia="en-GB"/>
        </w:rPr>
        <w:t xml:space="preserve">). </w:t>
      </w:r>
      <w:r w:rsidR="00B40654">
        <w:rPr>
          <w:rFonts w:ascii="Verdana" w:hAnsi="Verdana"/>
          <w:sz w:val="20"/>
          <w:szCs w:val="20"/>
          <w:lang w:eastAsia="en-GB"/>
        </w:rPr>
        <w:t xml:space="preserve">Between 2010 and 2020, there were only 3 dossiers of occupational diseases related to table 22 and resulting to compensation (there is no information on the number of submitted dossiers).  </w:t>
      </w:r>
    </w:p>
    <w:p w14:paraId="743B2439" w14:textId="49C11735" w:rsidR="001D5C63"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A long-term illness can reduce the quality of life for the worker. </w:t>
      </w:r>
    </w:p>
    <w:p w14:paraId="79DDFF44" w14:textId="7D5F6D20" w:rsidR="00E007FE" w:rsidRPr="00AC4DA6" w:rsidRDefault="00E007FE" w:rsidP="00617EE5">
      <w:pPr>
        <w:pStyle w:val="Lgende"/>
      </w:pPr>
      <w:r>
        <w:t xml:space="preserve">Table </w:t>
      </w:r>
      <w:r>
        <w:fldChar w:fldCharType="begin"/>
      </w:r>
      <w:r>
        <w:instrText xml:space="preserve"> SEQ Table \* ARABIC </w:instrText>
      </w:r>
      <w:r>
        <w:fldChar w:fldCharType="separate"/>
      </w:r>
      <w:r w:rsidR="0014770F">
        <w:rPr>
          <w:noProof/>
        </w:rPr>
        <w:t>9</w:t>
      </w:r>
      <w:r>
        <w:fldChar w:fldCharType="end"/>
      </w:r>
      <w:r>
        <w:tab/>
        <w:t>Professional sulfocarbonism (French decree</w:t>
      </w:r>
      <w:r w:rsidR="00B40654">
        <w:t>; table 22</w:t>
      </w:r>
      <w:r>
        <w:t>)</w:t>
      </w:r>
    </w:p>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81"/>
        <w:gridCol w:w="3789"/>
      </w:tblGrid>
      <w:tr w:rsidR="00F1478B" w14:paraId="7756982F" w14:textId="77777777" w:rsidTr="00767A78">
        <w:tc>
          <w:tcPr>
            <w:tcW w:w="3681" w:type="dxa"/>
            <w:tcBorders>
              <w:top w:val="single" w:sz="4" w:space="0" w:color="auto"/>
              <w:bottom w:val="single" w:sz="4" w:space="0" w:color="auto"/>
            </w:tcBorders>
          </w:tcPr>
          <w:p w14:paraId="3C5C22C7" w14:textId="77777777" w:rsidR="00F1478B" w:rsidRPr="007B3564" w:rsidRDefault="00F1478B" w:rsidP="00767A78">
            <w:pPr>
              <w:rPr>
                <w:rFonts w:ascii="Verdana" w:hAnsi="Verdana"/>
                <w:b/>
                <w:sz w:val="20"/>
                <w:szCs w:val="20"/>
              </w:rPr>
            </w:pPr>
            <w:r w:rsidRPr="007B3564">
              <w:rPr>
                <w:rFonts w:ascii="Verdana" w:hAnsi="Verdana"/>
                <w:b/>
                <w:sz w:val="20"/>
                <w:szCs w:val="20"/>
              </w:rPr>
              <w:t>Designation of diseases</w:t>
            </w:r>
          </w:p>
        </w:tc>
        <w:tc>
          <w:tcPr>
            <w:tcW w:w="1881" w:type="dxa"/>
            <w:tcBorders>
              <w:top w:val="single" w:sz="4" w:space="0" w:color="auto"/>
              <w:bottom w:val="single" w:sz="4" w:space="0" w:color="auto"/>
            </w:tcBorders>
          </w:tcPr>
          <w:p w14:paraId="35AEFABE" w14:textId="77777777" w:rsidR="00F1478B" w:rsidRPr="007B3564" w:rsidRDefault="00F1478B" w:rsidP="00767A78">
            <w:pPr>
              <w:rPr>
                <w:rFonts w:ascii="Verdana" w:hAnsi="Verdana"/>
                <w:b/>
                <w:sz w:val="20"/>
                <w:szCs w:val="20"/>
              </w:rPr>
            </w:pPr>
            <w:r w:rsidRPr="007B3564">
              <w:rPr>
                <w:rFonts w:ascii="Verdana" w:hAnsi="Verdana"/>
                <w:b/>
                <w:sz w:val="20"/>
                <w:szCs w:val="20"/>
              </w:rPr>
              <w:t>Time to take care</w:t>
            </w:r>
          </w:p>
        </w:tc>
        <w:tc>
          <w:tcPr>
            <w:tcW w:w="3789" w:type="dxa"/>
            <w:tcBorders>
              <w:top w:val="single" w:sz="4" w:space="0" w:color="auto"/>
              <w:bottom w:val="single" w:sz="4" w:space="0" w:color="auto"/>
            </w:tcBorders>
          </w:tcPr>
          <w:p w14:paraId="14D62BAF" w14:textId="77777777" w:rsidR="00F1478B" w:rsidRPr="007B3564" w:rsidRDefault="00F1478B" w:rsidP="00767A78">
            <w:pPr>
              <w:rPr>
                <w:rFonts w:ascii="Verdana" w:hAnsi="Verdana"/>
                <w:b/>
                <w:sz w:val="20"/>
                <w:szCs w:val="20"/>
              </w:rPr>
            </w:pPr>
            <w:r w:rsidRPr="007B3564">
              <w:rPr>
                <w:rFonts w:ascii="Verdana" w:hAnsi="Verdana"/>
                <w:b/>
                <w:sz w:val="20"/>
                <w:szCs w:val="20"/>
              </w:rPr>
              <w:t>Indicative list of the main jobs likely to cause these diseases</w:t>
            </w:r>
          </w:p>
        </w:tc>
      </w:tr>
      <w:tr w:rsidR="00F1478B" w14:paraId="1A46F15E" w14:textId="77777777" w:rsidTr="00767A78">
        <w:tc>
          <w:tcPr>
            <w:tcW w:w="3681" w:type="dxa"/>
            <w:tcBorders>
              <w:top w:val="single" w:sz="4" w:space="0" w:color="auto"/>
            </w:tcBorders>
          </w:tcPr>
          <w:p w14:paraId="50194B71" w14:textId="77777777" w:rsidR="00F1478B" w:rsidRPr="007B3564" w:rsidRDefault="00F1478B" w:rsidP="00767A78">
            <w:pPr>
              <w:rPr>
                <w:rFonts w:ascii="Verdana" w:hAnsi="Verdana"/>
                <w:sz w:val="20"/>
                <w:szCs w:val="20"/>
              </w:rPr>
            </w:pPr>
            <w:r w:rsidRPr="007B3564">
              <w:rPr>
                <w:rFonts w:ascii="Verdana" w:hAnsi="Verdana"/>
                <w:sz w:val="20"/>
                <w:szCs w:val="20"/>
              </w:rPr>
              <w:t>Acute neuro-digestive syndrome manifested by vomiting, violent gastralgia, diarrhea with delirium and intense headache.</w:t>
            </w:r>
          </w:p>
        </w:tc>
        <w:tc>
          <w:tcPr>
            <w:tcW w:w="1881" w:type="dxa"/>
            <w:vMerge w:val="restart"/>
            <w:tcBorders>
              <w:top w:val="single" w:sz="4" w:space="0" w:color="auto"/>
            </w:tcBorders>
          </w:tcPr>
          <w:p w14:paraId="75701E5E" w14:textId="77777777" w:rsidR="00F1478B" w:rsidRPr="007B3564" w:rsidRDefault="00F1478B" w:rsidP="00767A78">
            <w:pPr>
              <w:rPr>
                <w:rFonts w:ascii="Verdana" w:hAnsi="Verdana"/>
                <w:sz w:val="20"/>
                <w:szCs w:val="20"/>
              </w:rPr>
            </w:pPr>
            <w:r w:rsidRPr="007B3564">
              <w:rPr>
                <w:rFonts w:ascii="Verdana" w:hAnsi="Verdana"/>
                <w:sz w:val="20"/>
                <w:szCs w:val="20"/>
              </w:rPr>
              <w:t>Acute accidents: 30 days</w:t>
            </w:r>
          </w:p>
          <w:p w14:paraId="6949E0B3" w14:textId="77777777" w:rsidR="00F1478B" w:rsidRPr="007B3564" w:rsidRDefault="00F1478B" w:rsidP="00767A78">
            <w:pPr>
              <w:rPr>
                <w:rFonts w:ascii="Verdana" w:hAnsi="Verdana"/>
                <w:sz w:val="20"/>
                <w:szCs w:val="20"/>
              </w:rPr>
            </w:pPr>
          </w:p>
          <w:p w14:paraId="523E2A3D" w14:textId="77777777" w:rsidR="00F1478B" w:rsidRPr="007B3564" w:rsidRDefault="00F1478B" w:rsidP="00767A78">
            <w:pPr>
              <w:rPr>
                <w:rFonts w:ascii="Verdana" w:hAnsi="Verdana"/>
                <w:sz w:val="20"/>
                <w:szCs w:val="20"/>
              </w:rPr>
            </w:pPr>
            <w:r w:rsidRPr="007B3564">
              <w:rPr>
                <w:rFonts w:ascii="Verdana" w:hAnsi="Verdana"/>
                <w:sz w:val="20"/>
                <w:szCs w:val="20"/>
              </w:rPr>
              <w:t xml:space="preserve"> Subacute or chronic intoxications: 1 year</w:t>
            </w:r>
          </w:p>
        </w:tc>
        <w:tc>
          <w:tcPr>
            <w:tcW w:w="3789" w:type="dxa"/>
            <w:vMerge w:val="restart"/>
            <w:tcBorders>
              <w:top w:val="single" w:sz="4" w:space="0" w:color="auto"/>
            </w:tcBorders>
          </w:tcPr>
          <w:p w14:paraId="35E73FA0" w14:textId="77777777" w:rsidR="00F1478B" w:rsidRDefault="00F1478B" w:rsidP="00767A78">
            <w:pPr>
              <w:rPr>
                <w:rFonts w:ascii="Verdana" w:hAnsi="Verdana"/>
                <w:sz w:val="20"/>
                <w:szCs w:val="20"/>
              </w:rPr>
            </w:pPr>
            <w:r w:rsidRPr="007B3564">
              <w:rPr>
                <w:rFonts w:ascii="Verdana" w:hAnsi="Verdana"/>
                <w:sz w:val="20"/>
                <w:szCs w:val="20"/>
              </w:rPr>
              <w:t>Preparation, handling, use of carbon sulfide and pro</w:t>
            </w:r>
            <w:r w:rsidRPr="00AC4DA6">
              <w:rPr>
                <w:rFonts w:ascii="Verdana" w:hAnsi="Verdana"/>
                <w:sz w:val="20"/>
                <w:szCs w:val="20"/>
              </w:rPr>
              <w:t>ducts containing it, including:</w:t>
            </w:r>
          </w:p>
          <w:p w14:paraId="0380B253" w14:textId="77777777" w:rsidR="00F1478B" w:rsidRDefault="00F1478B" w:rsidP="00767A78">
            <w:pPr>
              <w:rPr>
                <w:rFonts w:ascii="Verdana" w:hAnsi="Verdana"/>
                <w:sz w:val="20"/>
                <w:szCs w:val="20"/>
              </w:rPr>
            </w:pPr>
            <w:r>
              <w:rPr>
                <w:rFonts w:ascii="Verdana" w:hAnsi="Verdana"/>
                <w:sz w:val="20"/>
                <w:szCs w:val="20"/>
              </w:rPr>
              <w:t xml:space="preserve">- </w:t>
            </w:r>
            <w:r w:rsidRPr="007B3564">
              <w:rPr>
                <w:rFonts w:ascii="Verdana" w:hAnsi="Verdana"/>
                <w:sz w:val="20"/>
                <w:szCs w:val="20"/>
              </w:rPr>
              <w:t>Manufacture of carb</w:t>
            </w:r>
            <w:r w:rsidRPr="00AC4DA6">
              <w:rPr>
                <w:rFonts w:ascii="Verdana" w:hAnsi="Verdana"/>
                <w:sz w:val="20"/>
                <w:szCs w:val="20"/>
              </w:rPr>
              <w:t>on sulfide and its derivatives;</w:t>
            </w:r>
          </w:p>
          <w:p w14:paraId="7B45BB6B" w14:textId="77777777" w:rsidR="00F1478B" w:rsidRPr="00AC4DA6" w:rsidRDefault="00F1478B" w:rsidP="00767A78">
            <w:pPr>
              <w:rPr>
                <w:rFonts w:ascii="Verdana" w:hAnsi="Verdana"/>
                <w:sz w:val="20"/>
                <w:szCs w:val="20"/>
              </w:rPr>
            </w:pPr>
            <w:r>
              <w:rPr>
                <w:rFonts w:ascii="Verdana" w:hAnsi="Verdana"/>
                <w:sz w:val="20"/>
                <w:szCs w:val="20"/>
              </w:rPr>
              <w:t xml:space="preserve">- </w:t>
            </w:r>
            <w:r w:rsidRPr="007B3564">
              <w:rPr>
                <w:rFonts w:ascii="Verdana" w:hAnsi="Verdana"/>
                <w:sz w:val="20"/>
                <w:szCs w:val="20"/>
              </w:rPr>
              <w:t>Preparation of viscose and all manufacturing processes using the regeneration of cellulose by decomposition of viscose, such as the manufacture of artificia</w:t>
            </w:r>
            <w:r w:rsidRPr="00AC4DA6">
              <w:rPr>
                <w:rFonts w:ascii="Verdana" w:hAnsi="Verdana"/>
                <w:sz w:val="20"/>
                <w:szCs w:val="20"/>
              </w:rPr>
              <w:t xml:space="preserve">l textiles and cellulose films </w:t>
            </w:r>
          </w:p>
          <w:p w14:paraId="3D33EA96" w14:textId="77777777" w:rsidR="00F1478B" w:rsidRDefault="00F1478B" w:rsidP="00767A78">
            <w:pPr>
              <w:rPr>
                <w:rFonts w:ascii="Verdana" w:hAnsi="Verdana"/>
                <w:sz w:val="20"/>
                <w:szCs w:val="20"/>
              </w:rPr>
            </w:pPr>
            <w:r>
              <w:rPr>
                <w:rFonts w:ascii="Verdana" w:hAnsi="Verdana"/>
                <w:sz w:val="20"/>
                <w:szCs w:val="20"/>
              </w:rPr>
              <w:t xml:space="preserve">- </w:t>
            </w:r>
            <w:r w:rsidRPr="007B3564">
              <w:rPr>
                <w:rFonts w:ascii="Verdana" w:hAnsi="Verdana"/>
                <w:sz w:val="20"/>
                <w:szCs w:val="20"/>
              </w:rPr>
              <w:t>Extraction of sulfur, cold vulcanization of rubber by dissolving sulfur or sul</w:t>
            </w:r>
            <w:r w:rsidRPr="00AC4DA6">
              <w:rPr>
                <w:rFonts w:ascii="Verdana" w:hAnsi="Verdana"/>
                <w:sz w:val="20"/>
                <w:szCs w:val="20"/>
              </w:rPr>
              <w:t>fur chloride in carbon sulfide;</w:t>
            </w:r>
          </w:p>
          <w:p w14:paraId="0BBB59EE" w14:textId="77777777" w:rsidR="00F1478B" w:rsidRDefault="00F1478B" w:rsidP="00767A78">
            <w:pPr>
              <w:rPr>
                <w:rFonts w:ascii="Verdana" w:hAnsi="Verdana"/>
                <w:sz w:val="20"/>
                <w:szCs w:val="20"/>
              </w:rPr>
            </w:pPr>
            <w:r>
              <w:rPr>
                <w:rFonts w:ascii="Verdana" w:hAnsi="Verdana"/>
                <w:sz w:val="20"/>
                <w:szCs w:val="20"/>
              </w:rPr>
              <w:t>-</w:t>
            </w:r>
            <w:r w:rsidRPr="007B3564">
              <w:rPr>
                <w:rFonts w:ascii="Verdana" w:hAnsi="Verdana"/>
                <w:sz w:val="20"/>
                <w:szCs w:val="20"/>
              </w:rPr>
              <w:t xml:space="preserve"> Preparation and use of rubber dissolutions in carbon sulfide;</w:t>
            </w:r>
          </w:p>
          <w:p w14:paraId="2D75C658" w14:textId="77777777" w:rsidR="00F1478B" w:rsidRPr="007B3564" w:rsidRDefault="00F1478B" w:rsidP="00767A78">
            <w:pPr>
              <w:rPr>
                <w:rFonts w:ascii="Verdana" w:hAnsi="Verdana"/>
                <w:sz w:val="20"/>
                <w:szCs w:val="20"/>
              </w:rPr>
            </w:pPr>
            <w:r>
              <w:rPr>
                <w:rFonts w:ascii="Verdana" w:hAnsi="Verdana"/>
                <w:sz w:val="20"/>
                <w:szCs w:val="20"/>
              </w:rPr>
              <w:t xml:space="preserve">- </w:t>
            </w:r>
            <w:r w:rsidRPr="007B3564">
              <w:rPr>
                <w:rFonts w:ascii="Verdana" w:hAnsi="Verdana"/>
                <w:sz w:val="20"/>
                <w:szCs w:val="20"/>
              </w:rPr>
              <w:t xml:space="preserve"> Use of carbon sulfide as a dissolver of gutta-percha, resins, waxes, fats, essential oils and other substances.</w:t>
            </w:r>
          </w:p>
        </w:tc>
      </w:tr>
      <w:tr w:rsidR="00F1478B" w14:paraId="31508DF6" w14:textId="77777777" w:rsidTr="00767A78">
        <w:tc>
          <w:tcPr>
            <w:tcW w:w="3681" w:type="dxa"/>
          </w:tcPr>
          <w:p w14:paraId="2EA65CFF" w14:textId="77777777" w:rsidR="00F1478B" w:rsidRPr="007B3564" w:rsidRDefault="00F1478B" w:rsidP="00767A78">
            <w:pPr>
              <w:rPr>
                <w:rFonts w:ascii="Verdana" w:hAnsi="Verdana"/>
                <w:sz w:val="20"/>
                <w:szCs w:val="20"/>
              </w:rPr>
            </w:pPr>
            <w:r w:rsidRPr="007B3564">
              <w:rPr>
                <w:rFonts w:ascii="Verdana" w:hAnsi="Verdana"/>
                <w:sz w:val="20"/>
                <w:szCs w:val="20"/>
              </w:rPr>
              <w:t>Acute psychic disorders with mental confusion, dreamlike delirium.</w:t>
            </w:r>
          </w:p>
        </w:tc>
        <w:tc>
          <w:tcPr>
            <w:tcW w:w="1881" w:type="dxa"/>
            <w:vMerge/>
          </w:tcPr>
          <w:p w14:paraId="3F4A5ECE" w14:textId="77777777" w:rsidR="00F1478B" w:rsidRDefault="00F1478B" w:rsidP="00767A78">
            <w:pPr>
              <w:rPr>
                <w:lang w:val="nl-BE"/>
              </w:rPr>
            </w:pPr>
          </w:p>
        </w:tc>
        <w:tc>
          <w:tcPr>
            <w:tcW w:w="3789" w:type="dxa"/>
            <w:vMerge/>
          </w:tcPr>
          <w:p w14:paraId="2323D935" w14:textId="77777777" w:rsidR="00F1478B" w:rsidRDefault="00F1478B" w:rsidP="00767A78">
            <w:pPr>
              <w:rPr>
                <w:lang w:val="nl-BE"/>
              </w:rPr>
            </w:pPr>
          </w:p>
        </w:tc>
      </w:tr>
      <w:tr w:rsidR="00F1478B" w14:paraId="5E87F2DD" w14:textId="77777777" w:rsidTr="00767A78">
        <w:tc>
          <w:tcPr>
            <w:tcW w:w="3681" w:type="dxa"/>
          </w:tcPr>
          <w:p w14:paraId="7A62E9AF" w14:textId="77777777" w:rsidR="00F1478B" w:rsidRPr="007B3564" w:rsidRDefault="00F1478B" w:rsidP="00767A78">
            <w:pPr>
              <w:rPr>
                <w:rFonts w:ascii="Verdana" w:hAnsi="Verdana"/>
                <w:sz w:val="20"/>
                <w:szCs w:val="20"/>
              </w:rPr>
            </w:pPr>
            <w:r w:rsidRPr="007B3564">
              <w:rPr>
                <w:rFonts w:ascii="Verdana" w:hAnsi="Verdana"/>
                <w:sz w:val="20"/>
                <w:szCs w:val="20"/>
              </w:rPr>
              <w:t>Chronic psychic disorders with depressive states and morbid impulses.</w:t>
            </w:r>
          </w:p>
        </w:tc>
        <w:tc>
          <w:tcPr>
            <w:tcW w:w="1881" w:type="dxa"/>
            <w:vMerge/>
          </w:tcPr>
          <w:p w14:paraId="3FABDE2D" w14:textId="77777777" w:rsidR="00F1478B" w:rsidRDefault="00F1478B" w:rsidP="00767A78">
            <w:pPr>
              <w:rPr>
                <w:lang w:val="nl-BE"/>
              </w:rPr>
            </w:pPr>
          </w:p>
        </w:tc>
        <w:tc>
          <w:tcPr>
            <w:tcW w:w="3789" w:type="dxa"/>
            <w:vMerge/>
          </w:tcPr>
          <w:p w14:paraId="3F774B13" w14:textId="77777777" w:rsidR="00F1478B" w:rsidRDefault="00F1478B" w:rsidP="00767A78">
            <w:pPr>
              <w:rPr>
                <w:lang w:val="nl-BE"/>
              </w:rPr>
            </w:pPr>
          </w:p>
        </w:tc>
      </w:tr>
      <w:tr w:rsidR="00F1478B" w14:paraId="49C0BB6D" w14:textId="77777777" w:rsidTr="00767A78">
        <w:tc>
          <w:tcPr>
            <w:tcW w:w="3681" w:type="dxa"/>
          </w:tcPr>
          <w:p w14:paraId="207CF5C2" w14:textId="77777777" w:rsidR="00F1478B" w:rsidRPr="007B3564" w:rsidRDefault="00F1478B" w:rsidP="00767A78">
            <w:pPr>
              <w:rPr>
                <w:rFonts w:ascii="Verdana" w:hAnsi="Verdana"/>
                <w:sz w:val="20"/>
                <w:szCs w:val="20"/>
              </w:rPr>
            </w:pPr>
            <w:r w:rsidRPr="007B3564">
              <w:rPr>
                <w:rFonts w:ascii="Verdana" w:hAnsi="Verdana"/>
                <w:sz w:val="20"/>
                <w:szCs w:val="20"/>
              </w:rPr>
              <w:t>Polyneuritis and neuritis, of any degree, with disorders of electrical reactions (especially chronaximetric).</w:t>
            </w:r>
          </w:p>
        </w:tc>
        <w:tc>
          <w:tcPr>
            <w:tcW w:w="1881" w:type="dxa"/>
            <w:vMerge/>
          </w:tcPr>
          <w:p w14:paraId="74ECD569" w14:textId="77777777" w:rsidR="00F1478B" w:rsidRDefault="00F1478B" w:rsidP="00767A78">
            <w:pPr>
              <w:rPr>
                <w:lang w:val="nl-BE"/>
              </w:rPr>
            </w:pPr>
          </w:p>
        </w:tc>
        <w:tc>
          <w:tcPr>
            <w:tcW w:w="3789" w:type="dxa"/>
            <w:vMerge/>
          </w:tcPr>
          <w:p w14:paraId="3CC4175A" w14:textId="77777777" w:rsidR="00F1478B" w:rsidRDefault="00F1478B" w:rsidP="00767A78">
            <w:pPr>
              <w:rPr>
                <w:lang w:val="nl-BE"/>
              </w:rPr>
            </w:pPr>
          </w:p>
        </w:tc>
      </w:tr>
      <w:tr w:rsidR="00F1478B" w14:paraId="16A28255" w14:textId="77777777" w:rsidTr="00767A78">
        <w:tc>
          <w:tcPr>
            <w:tcW w:w="3681" w:type="dxa"/>
            <w:tcBorders>
              <w:bottom w:val="single" w:sz="4" w:space="0" w:color="auto"/>
            </w:tcBorders>
          </w:tcPr>
          <w:p w14:paraId="01E31560" w14:textId="77777777" w:rsidR="00F1478B" w:rsidRDefault="00F1478B" w:rsidP="00767A78">
            <w:pPr>
              <w:rPr>
                <w:lang w:val="nl-BE"/>
              </w:rPr>
            </w:pPr>
            <w:r w:rsidRPr="007B3564">
              <w:rPr>
                <w:rFonts w:ascii="Verdana" w:hAnsi="Verdana"/>
                <w:sz w:val="20"/>
                <w:szCs w:val="20"/>
              </w:rPr>
              <w:t>Optic neuritis</w:t>
            </w:r>
          </w:p>
        </w:tc>
        <w:tc>
          <w:tcPr>
            <w:tcW w:w="1881" w:type="dxa"/>
            <w:vMerge/>
            <w:tcBorders>
              <w:bottom w:val="single" w:sz="4" w:space="0" w:color="auto"/>
            </w:tcBorders>
          </w:tcPr>
          <w:p w14:paraId="7FB7B001" w14:textId="77777777" w:rsidR="00F1478B" w:rsidRDefault="00F1478B" w:rsidP="00767A78">
            <w:pPr>
              <w:rPr>
                <w:lang w:val="nl-BE"/>
              </w:rPr>
            </w:pPr>
          </w:p>
        </w:tc>
        <w:tc>
          <w:tcPr>
            <w:tcW w:w="3789" w:type="dxa"/>
            <w:vMerge/>
            <w:tcBorders>
              <w:bottom w:val="single" w:sz="4" w:space="0" w:color="auto"/>
            </w:tcBorders>
          </w:tcPr>
          <w:p w14:paraId="44E8160B" w14:textId="77777777" w:rsidR="00F1478B" w:rsidRDefault="00F1478B" w:rsidP="00767A78">
            <w:pPr>
              <w:rPr>
                <w:lang w:val="nl-BE"/>
              </w:rPr>
            </w:pPr>
          </w:p>
        </w:tc>
      </w:tr>
    </w:tbl>
    <w:p w14:paraId="5E2FEE8D" w14:textId="77777777" w:rsidR="007F5088" w:rsidRDefault="007F5088" w:rsidP="00ED47FC">
      <w:pPr>
        <w:spacing w:after="120" w:line="276" w:lineRule="auto"/>
        <w:jc w:val="both"/>
        <w:rPr>
          <w:rFonts w:ascii="Verdana" w:hAnsi="Verdana"/>
          <w:sz w:val="20"/>
          <w:szCs w:val="20"/>
          <w:u w:val="single"/>
          <w:lang w:eastAsia="en-GB"/>
        </w:rPr>
      </w:pPr>
    </w:p>
    <w:p w14:paraId="1BE99073" w14:textId="68531E3E" w:rsidR="001D5C63" w:rsidRPr="00992931" w:rsidRDefault="001D5C63" w:rsidP="00ED47FC">
      <w:pPr>
        <w:spacing w:after="120" w:line="276" w:lineRule="auto"/>
        <w:jc w:val="both"/>
        <w:rPr>
          <w:rFonts w:ascii="Verdana" w:hAnsi="Verdana"/>
          <w:sz w:val="20"/>
          <w:szCs w:val="20"/>
          <w:u w:val="single"/>
          <w:lang w:eastAsia="en-GB"/>
        </w:rPr>
      </w:pPr>
      <w:r w:rsidRPr="00992931">
        <w:rPr>
          <w:rFonts w:ascii="Verdana" w:hAnsi="Verdana"/>
          <w:sz w:val="20"/>
          <w:szCs w:val="20"/>
          <w:u w:val="single"/>
          <w:lang w:eastAsia="en-GB"/>
        </w:rPr>
        <w:t>Societal concern</w:t>
      </w:r>
    </w:p>
    <w:p w14:paraId="6A575B6D" w14:textId="71E65C69"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Neurotoxic effects </w:t>
      </w:r>
      <w:r w:rsidR="000A34BC" w:rsidRPr="00992931">
        <w:rPr>
          <w:rFonts w:ascii="Verdana" w:hAnsi="Verdana"/>
          <w:sz w:val="20"/>
          <w:szCs w:val="20"/>
          <w:lang w:eastAsia="en-GB"/>
        </w:rPr>
        <w:t xml:space="preserve">and cardiovascular toxicity </w:t>
      </w:r>
      <w:r w:rsidRPr="00992931">
        <w:rPr>
          <w:rFonts w:ascii="Verdana" w:hAnsi="Verdana"/>
          <w:sz w:val="20"/>
          <w:szCs w:val="20"/>
          <w:lang w:eastAsia="en-GB"/>
        </w:rPr>
        <w:t>at the workplace may be serious and of concern.</w:t>
      </w:r>
    </w:p>
    <w:p w14:paraId="345B41A9" w14:textId="675EE54C"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There are no consumer uses registered under REAC</w:t>
      </w:r>
      <w:r w:rsidR="009C227F">
        <w:rPr>
          <w:rFonts w:ascii="Verdana" w:hAnsi="Verdana"/>
          <w:sz w:val="20"/>
          <w:szCs w:val="20"/>
          <w:lang w:eastAsia="en-GB"/>
        </w:rPr>
        <w:t>h</w:t>
      </w:r>
      <w:r w:rsidRPr="00992931">
        <w:rPr>
          <w:rFonts w:ascii="Verdana" w:hAnsi="Verdana"/>
          <w:sz w:val="20"/>
          <w:szCs w:val="20"/>
          <w:lang w:eastAsia="en-GB"/>
        </w:rPr>
        <w:t xml:space="preserve"> for the sub</w:t>
      </w:r>
      <w:r w:rsidR="000A34BC" w:rsidRPr="00992931">
        <w:rPr>
          <w:rFonts w:ascii="Verdana" w:hAnsi="Verdana"/>
          <w:sz w:val="20"/>
          <w:szCs w:val="20"/>
          <w:lang w:eastAsia="en-GB"/>
        </w:rPr>
        <w:t>s</w:t>
      </w:r>
      <w:r w:rsidRPr="00992931">
        <w:rPr>
          <w:rFonts w:ascii="Verdana" w:hAnsi="Verdana"/>
          <w:sz w:val="20"/>
          <w:szCs w:val="20"/>
          <w:lang w:eastAsia="en-GB"/>
        </w:rPr>
        <w:t xml:space="preserve">tance. With regard to viscose and cellophane production, the substance is not bound to the end product and is mainly expected to end up in the atmosphere. </w:t>
      </w:r>
      <w:r w:rsidR="00351F82">
        <w:rPr>
          <w:rFonts w:ascii="Verdana" w:hAnsi="Verdana"/>
          <w:sz w:val="20"/>
          <w:szCs w:val="20"/>
          <w:lang w:eastAsia="en-GB"/>
        </w:rPr>
        <w:t>Carbon disulfide</w:t>
      </w:r>
      <w:r w:rsidRPr="00992931">
        <w:rPr>
          <w:rFonts w:ascii="Verdana" w:hAnsi="Verdana"/>
          <w:sz w:val="20"/>
          <w:szCs w:val="20"/>
          <w:lang w:eastAsia="en-GB"/>
        </w:rPr>
        <w:t xml:space="preserve"> is released from various natural sources from soil and plants. Regional release to the environment were c</w:t>
      </w:r>
      <w:r w:rsidR="00E32C4A">
        <w:rPr>
          <w:rFonts w:ascii="Verdana" w:hAnsi="Verdana"/>
          <w:sz w:val="20"/>
          <w:szCs w:val="20"/>
          <w:lang w:eastAsia="en-GB"/>
        </w:rPr>
        <w:t>a</w:t>
      </w:r>
      <w:r w:rsidRPr="00992931">
        <w:rPr>
          <w:rFonts w:ascii="Verdana" w:hAnsi="Verdana"/>
          <w:sz w:val="20"/>
          <w:szCs w:val="20"/>
          <w:lang w:eastAsia="en-GB"/>
        </w:rPr>
        <w:t xml:space="preserve">lculated to be high in the EU in the air and water compartment </w:t>
      </w:r>
      <w:r w:rsidRPr="00992931">
        <w:rPr>
          <w:rFonts w:ascii="Verdana" w:hAnsi="Verdana"/>
          <w:sz w:val="20"/>
          <w:szCs w:val="20"/>
          <w:lang w:eastAsia="en-GB"/>
        </w:rPr>
        <w:lastRenderedPageBreak/>
        <w:t xml:space="preserve">due to the use on regenerated </w:t>
      </w:r>
      <w:r w:rsidR="00DE0316">
        <w:rPr>
          <w:rFonts w:ascii="Verdana" w:hAnsi="Verdana"/>
          <w:sz w:val="20"/>
          <w:szCs w:val="20"/>
          <w:lang w:eastAsia="en-GB"/>
        </w:rPr>
        <w:t>cellulose</w:t>
      </w:r>
      <w:r w:rsidRPr="00992931">
        <w:rPr>
          <w:rFonts w:ascii="Verdana" w:hAnsi="Verdana"/>
          <w:sz w:val="20"/>
          <w:szCs w:val="20"/>
          <w:lang w:eastAsia="en-GB"/>
        </w:rPr>
        <w:t>. Emission</w:t>
      </w:r>
      <w:r w:rsidR="00B32A51">
        <w:rPr>
          <w:rFonts w:ascii="Verdana" w:hAnsi="Verdana"/>
          <w:sz w:val="20"/>
          <w:szCs w:val="20"/>
          <w:lang w:eastAsia="en-GB"/>
        </w:rPr>
        <w:t>s</w:t>
      </w:r>
      <w:r w:rsidRPr="00992931">
        <w:rPr>
          <w:rFonts w:ascii="Verdana" w:hAnsi="Verdana"/>
          <w:sz w:val="20"/>
          <w:szCs w:val="20"/>
          <w:lang w:eastAsia="en-GB"/>
        </w:rPr>
        <w:t xml:space="preserve"> from other uses </w:t>
      </w:r>
      <w:r w:rsidR="00B32A51">
        <w:rPr>
          <w:rFonts w:ascii="Verdana" w:hAnsi="Verdana"/>
          <w:sz w:val="20"/>
          <w:szCs w:val="20"/>
          <w:lang w:eastAsia="en-GB"/>
        </w:rPr>
        <w:t>are</w:t>
      </w:r>
      <w:r w:rsidR="00B32A51" w:rsidRPr="00992931">
        <w:rPr>
          <w:rFonts w:ascii="Verdana" w:hAnsi="Verdana"/>
          <w:sz w:val="20"/>
          <w:szCs w:val="20"/>
          <w:lang w:eastAsia="en-GB"/>
        </w:rPr>
        <w:t xml:space="preserve"> </w:t>
      </w:r>
      <w:r w:rsidRPr="00992931">
        <w:rPr>
          <w:rFonts w:ascii="Verdana" w:hAnsi="Verdana"/>
          <w:sz w:val="20"/>
          <w:szCs w:val="20"/>
          <w:lang w:eastAsia="en-GB"/>
        </w:rPr>
        <w:t xml:space="preserve">negligible if the RMM, as described in the CSR are in place. Nevertheless, no risk for human via the environment was identified and only regional general population concern could be anticipated. </w:t>
      </w:r>
    </w:p>
    <w:p w14:paraId="2BF2BACD" w14:textId="77777777" w:rsidR="001D5C63" w:rsidRPr="00992931" w:rsidRDefault="001D5C63" w:rsidP="00ED47FC">
      <w:pPr>
        <w:spacing w:after="120" w:line="276" w:lineRule="auto"/>
        <w:jc w:val="both"/>
        <w:rPr>
          <w:rFonts w:ascii="Verdana" w:hAnsi="Verdana"/>
          <w:sz w:val="20"/>
          <w:szCs w:val="20"/>
          <w:u w:val="single"/>
          <w:lang w:eastAsia="en-GB"/>
        </w:rPr>
      </w:pPr>
      <w:r w:rsidRPr="00992931">
        <w:rPr>
          <w:rFonts w:ascii="Verdana" w:hAnsi="Verdana"/>
          <w:sz w:val="20"/>
          <w:szCs w:val="20"/>
          <w:u w:val="single"/>
          <w:lang w:eastAsia="en-GB"/>
        </w:rPr>
        <w:t>Is the derivation of a safe exposure concentration possible?</w:t>
      </w:r>
    </w:p>
    <w:p w14:paraId="19F50C1D" w14:textId="61C57AD0" w:rsidR="001D5C63" w:rsidRPr="00992931" w:rsidRDefault="001D5C63"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 xml:space="preserve">A safe exposure level may be established for </w:t>
      </w:r>
      <w:r w:rsidR="002877EE">
        <w:rPr>
          <w:rFonts w:ascii="Verdana" w:hAnsi="Verdana"/>
          <w:sz w:val="20"/>
          <w:szCs w:val="20"/>
          <w:lang w:eastAsia="en-GB"/>
        </w:rPr>
        <w:t>carbon disulfide</w:t>
      </w:r>
      <w:r w:rsidRPr="00992931">
        <w:rPr>
          <w:rFonts w:ascii="Verdana" w:hAnsi="Verdana"/>
          <w:sz w:val="20"/>
          <w:szCs w:val="20"/>
          <w:lang w:eastAsia="en-GB"/>
        </w:rPr>
        <w:t xml:space="preserve"> neurotoxicity</w:t>
      </w:r>
      <w:r w:rsidR="000A34BC" w:rsidRPr="00992931">
        <w:rPr>
          <w:rFonts w:ascii="Verdana" w:hAnsi="Verdana"/>
          <w:sz w:val="20"/>
          <w:szCs w:val="20"/>
          <w:lang w:eastAsia="en-GB"/>
        </w:rPr>
        <w:t xml:space="preserve"> and cardiovascular toxicity</w:t>
      </w:r>
      <w:r w:rsidR="004107C8">
        <w:rPr>
          <w:rFonts w:ascii="Verdana" w:hAnsi="Verdana"/>
          <w:sz w:val="20"/>
          <w:szCs w:val="20"/>
          <w:lang w:eastAsia="en-GB"/>
        </w:rPr>
        <w:t xml:space="preserve"> (current IOELV)</w:t>
      </w:r>
      <w:r w:rsidRPr="00992931">
        <w:rPr>
          <w:rFonts w:ascii="Verdana" w:hAnsi="Verdana"/>
          <w:sz w:val="20"/>
          <w:szCs w:val="20"/>
          <w:lang w:eastAsia="en-GB"/>
        </w:rPr>
        <w:t xml:space="preserve">. </w:t>
      </w:r>
    </w:p>
    <w:p w14:paraId="694BDC3B" w14:textId="3E8F7D36" w:rsidR="000A34BC" w:rsidRPr="00992931" w:rsidRDefault="000A34BC" w:rsidP="00ED47FC">
      <w:pPr>
        <w:spacing w:after="120" w:line="276" w:lineRule="auto"/>
        <w:jc w:val="both"/>
        <w:rPr>
          <w:rFonts w:ascii="Verdana" w:hAnsi="Verdana"/>
          <w:sz w:val="20"/>
          <w:szCs w:val="20"/>
          <w:lang w:eastAsia="en-GB"/>
        </w:rPr>
      </w:pPr>
      <w:bookmarkStart w:id="24" w:name="_Hlk86914110"/>
      <w:r w:rsidRPr="00992931">
        <w:rPr>
          <w:rFonts w:ascii="Verdana" w:hAnsi="Verdana"/>
          <w:sz w:val="20"/>
          <w:szCs w:val="20"/>
          <w:lang w:eastAsia="en-GB"/>
        </w:rPr>
        <w:t xml:space="preserve">Overall, serious health concern has been identified for </w:t>
      </w:r>
      <w:r w:rsidR="002877EE">
        <w:rPr>
          <w:rFonts w:ascii="Verdana" w:hAnsi="Verdana"/>
          <w:sz w:val="20"/>
          <w:szCs w:val="20"/>
          <w:lang w:eastAsia="en-GB"/>
        </w:rPr>
        <w:t>carbon disulfide</w:t>
      </w:r>
      <w:r w:rsidRPr="00992931">
        <w:rPr>
          <w:rFonts w:ascii="Verdana" w:hAnsi="Verdana"/>
          <w:sz w:val="20"/>
          <w:szCs w:val="20"/>
          <w:lang w:eastAsia="en-GB"/>
        </w:rPr>
        <w:t xml:space="preserve"> which is a highly potent cardiovascular and nervous system toxicant. </w:t>
      </w:r>
      <w:bookmarkStart w:id="25" w:name="_Hlk86913983"/>
      <w:r w:rsidRPr="00992931">
        <w:rPr>
          <w:rFonts w:ascii="Verdana" w:hAnsi="Verdana"/>
          <w:sz w:val="20"/>
          <w:szCs w:val="20"/>
          <w:lang w:eastAsia="en-GB"/>
        </w:rPr>
        <w:t>Identification under Article 57(f) could be considered towards other possible risk management options.</w:t>
      </w:r>
      <w:bookmarkEnd w:id="25"/>
    </w:p>
    <w:bookmarkEnd w:id="24"/>
    <w:p w14:paraId="6B71FAB8" w14:textId="6E8FBFBA" w:rsidR="001D5C63" w:rsidRPr="00992931" w:rsidRDefault="000A34BC" w:rsidP="00ED47FC">
      <w:pPr>
        <w:spacing w:after="120" w:line="276" w:lineRule="auto"/>
        <w:jc w:val="both"/>
        <w:rPr>
          <w:rFonts w:ascii="Verdana" w:hAnsi="Verdana"/>
          <w:sz w:val="20"/>
          <w:szCs w:val="20"/>
          <w:lang w:eastAsia="en-GB"/>
        </w:rPr>
      </w:pPr>
      <w:r w:rsidRPr="00992931">
        <w:rPr>
          <w:rFonts w:ascii="Verdana" w:hAnsi="Verdana"/>
          <w:sz w:val="20"/>
          <w:szCs w:val="20"/>
          <w:lang w:eastAsia="en-GB"/>
        </w:rPr>
        <w:t>The primary aim of authorisation under REAC</w:t>
      </w:r>
      <w:r w:rsidR="009C227F">
        <w:rPr>
          <w:rFonts w:ascii="Verdana" w:hAnsi="Verdana"/>
          <w:sz w:val="20"/>
          <w:szCs w:val="20"/>
          <w:lang w:eastAsia="en-GB"/>
        </w:rPr>
        <w:t>h</w:t>
      </w:r>
      <w:r w:rsidRPr="00992931">
        <w:rPr>
          <w:rFonts w:ascii="Verdana" w:hAnsi="Verdana"/>
          <w:sz w:val="20"/>
          <w:szCs w:val="20"/>
          <w:lang w:eastAsia="en-GB"/>
        </w:rPr>
        <w:t xml:space="preserve"> is to substitute SVHCs and it has proven to be an effective driver for this substitution. However, it is unknown</w:t>
      </w:r>
      <w:r w:rsidR="001D5C63" w:rsidRPr="00992931">
        <w:rPr>
          <w:rFonts w:ascii="Verdana" w:hAnsi="Verdana"/>
          <w:sz w:val="20"/>
          <w:szCs w:val="20"/>
          <w:lang w:eastAsia="en-GB"/>
        </w:rPr>
        <w:t xml:space="preserve"> whether safer technically feasible alternatives are available for all uses</w:t>
      </w:r>
      <w:r w:rsidR="009F2CA8">
        <w:rPr>
          <w:rFonts w:ascii="Verdana" w:hAnsi="Verdana"/>
          <w:sz w:val="20"/>
          <w:szCs w:val="20"/>
          <w:lang w:eastAsia="en-GB"/>
        </w:rPr>
        <w:t xml:space="preserve"> regarding </w:t>
      </w:r>
      <w:r w:rsidR="00AC4DA6">
        <w:rPr>
          <w:rFonts w:ascii="Verdana" w:hAnsi="Verdana"/>
          <w:sz w:val="20"/>
          <w:szCs w:val="20"/>
          <w:lang w:eastAsia="en-GB"/>
        </w:rPr>
        <w:t>carbon disulfide</w:t>
      </w:r>
      <w:r w:rsidRPr="00992931">
        <w:rPr>
          <w:rFonts w:ascii="Verdana" w:hAnsi="Verdana"/>
          <w:sz w:val="20"/>
          <w:szCs w:val="20"/>
          <w:lang w:eastAsia="en-GB"/>
        </w:rPr>
        <w:t>.</w:t>
      </w:r>
    </w:p>
    <w:p w14:paraId="11A207DB" w14:textId="122D10D5" w:rsidR="001D5C63" w:rsidRDefault="001D5C63" w:rsidP="00ED47FC">
      <w:pPr>
        <w:pStyle w:val="Sansinterligne"/>
        <w:spacing w:line="276" w:lineRule="auto"/>
        <w:jc w:val="both"/>
      </w:pPr>
    </w:p>
    <w:p w14:paraId="65EB6F74" w14:textId="6F9A38E4" w:rsidR="008C6D58" w:rsidRDefault="008C6D58" w:rsidP="00ED47FC">
      <w:pPr>
        <w:pStyle w:val="Sansinterligne"/>
        <w:spacing w:line="276" w:lineRule="auto"/>
        <w:jc w:val="both"/>
      </w:pPr>
      <w:r w:rsidRPr="008C6D58">
        <w:rPr>
          <w:rFonts w:ascii="Verdana" w:eastAsia="Times New Roman" w:hAnsi="Verdana" w:cs="Arial"/>
          <w:b/>
          <w:bCs/>
          <w:color w:val="000000"/>
          <w:lang w:val="en-GB" w:eastAsia="en-US"/>
        </w:rPr>
        <w:t>Identification as SVHC/Candidate listing with inclusion in Annex XIV</w:t>
      </w:r>
    </w:p>
    <w:p w14:paraId="0A856716" w14:textId="35CCBDDA" w:rsidR="008C6D58" w:rsidRDefault="008C6D58" w:rsidP="00ED47FC">
      <w:pPr>
        <w:pStyle w:val="Sansinterligne"/>
        <w:spacing w:line="276" w:lineRule="auto"/>
        <w:jc w:val="both"/>
      </w:pPr>
    </w:p>
    <w:p w14:paraId="196A5EC2" w14:textId="24263AB6" w:rsidR="00DE0316" w:rsidRPr="00B0121F" w:rsidRDefault="00DE0316" w:rsidP="00ED47FC">
      <w:pPr>
        <w:spacing w:after="0" w:line="276" w:lineRule="auto"/>
        <w:jc w:val="both"/>
        <w:rPr>
          <w:rFonts w:ascii="Verdana" w:hAnsi="Verdana"/>
          <w:sz w:val="20"/>
          <w:szCs w:val="20"/>
        </w:rPr>
      </w:pPr>
      <w:r w:rsidRPr="00B0121F">
        <w:rPr>
          <w:rFonts w:ascii="Verdana" w:hAnsi="Verdana"/>
          <w:sz w:val="20"/>
          <w:szCs w:val="20"/>
        </w:rPr>
        <w:t>A prerequisite for a substance to be included on the Annex XIV of REAC</w:t>
      </w:r>
      <w:r w:rsidR="009C227F">
        <w:rPr>
          <w:rFonts w:ascii="Verdana" w:hAnsi="Verdana"/>
          <w:sz w:val="20"/>
          <w:szCs w:val="20"/>
        </w:rPr>
        <w:t>h</w:t>
      </w:r>
      <w:r w:rsidRPr="00B0121F">
        <w:rPr>
          <w:rFonts w:ascii="Verdana" w:hAnsi="Verdana"/>
          <w:sz w:val="20"/>
          <w:szCs w:val="20"/>
        </w:rPr>
        <w:t xml:space="preserve"> is to be identified as a SVHC. Once listed on the Annex XIV, its continued use, beyond an agreed sunset date, will only be allowed if an authorisation for a specific use</w:t>
      </w:r>
      <w:r w:rsidR="00156903">
        <w:rPr>
          <w:rFonts w:ascii="Verdana" w:hAnsi="Verdana"/>
          <w:sz w:val="20"/>
          <w:szCs w:val="20"/>
        </w:rPr>
        <w:t>. Application for authorisation</w:t>
      </w:r>
      <w:r w:rsidR="002D0738">
        <w:rPr>
          <w:rFonts w:ascii="Verdana" w:hAnsi="Verdana"/>
          <w:sz w:val="20"/>
          <w:szCs w:val="20"/>
        </w:rPr>
        <w:t xml:space="preserve"> </w:t>
      </w:r>
      <w:r w:rsidR="00156903">
        <w:rPr>
          <w:rFonts w:ascii="Verdana" w:hAnsi="Verdana"/>
          <w:sz w:val="20"/>
          <w:szCs w:val="20"/>
        </w:rPr>
        <w:t xml:space="preserve">are </w:t>
      </w:r>
      <w:r w:rsidRPr="00B0121F">
        <w:rPr>
          <w:rFonts w:ascii="Verdana" w:hAnsi="Verdana"/>
          <w:sz w:val="20"/>
          <w:szCs w:val="20"/>
        </w:rPr>
        <w:t>scrutinized by the ECHA committees</w:t>
      </w:r>
      <w:r w:rsidR="00156903">
        <w:rPr>
          <w:rFonts w:ascii="Verdana" w:hAnsi="Verdana"/>
          <w:sz w:val="20"/>
          <w:szCs w:val="20"/>
        </w:rPr>
        <w:t xml:space="preserve"> RAC and SEAC</w:t>
      </w:r>
      <w:r w:rsidRPr="00B0121F">
        <w:rPr>
          <w:rFonts w:ascii="Verdana" w:hAnsi="Verdana"/>
          <w:sz w:val="20"/>
          <w:szCs w:val="20"/>
        </w:rPr>
        <w:t xml:space="preserve"> and finally granted by the European Commission</w:t>
      </w:r>
      <w:r w:rsidR="00156903">
        <w:rPr>
          <w:rFonts w:ascii="Verdana" w:hAnsi="Verdana"/>
          <w:sz w:val="20"/>
          <w:szCs w:val="20"/>
        </w:rPr>
        <w:t>. Some</w:t>
      </w:r>
      <w:r w:rsidR="002D0738">
        <w:rPr>
          <w:rFonts w:ascii="Verdana" w:hAnsi="Verdana"/>
          <w:sz w:val="20"/>
          <w:szCs w:val="20"/>
        </w:rPr>
        <w:t xml:space="preserve"> of </w:t>
      </w:r>
      <w:r w:rsidRPr="00B0121F">
        <w:rPr>
          <w:rFonts w:ascii="Verdana" w:hAnsi="Verdana"/>
          <w:sz w:val="20"/>
          <w:szCs w:val="20"/>
        </w:rPr>
        <w:t>the use</w:t>
      </w:r>
      <w:r w:rsidR="00B40654">
        <w:rPr>
          <w:rFonts w:ascii="Verdana" w:hAnsi="Verdana"/>
          <w:sz w:val="20"/>
          <w:szCs w:val="20"/>
        </w:rPr>
        <w:t>s</w:t>
      </w:r>
      <w:r w:rsidRPr="00B0121F">
        <w:rPr>
          <w:rFonts w:ascii="Verdana" w:hAnsi="Verdana"/>
          <w:sz w:val="20"/>
          <w:szCs w:val="20"/>
        </w:rPr>
        <w:t xml:space="preserve"> </w:t>
      </w:r>
      <w:r w:rsidR="00156903">
        <w:rPr>
          <w:rFonts w:ascii="Verdana" w:hAnsi="Verdana"/>
          <w:sz w:val="20"/>
          <w:szCs w:val="20"/>
        </w:rPr>
        <w:t>may be</w:t>
      </w:r>
      <w:r w:rsidRPr="00B0121F">
        <w:rPr>
          <w:rFonts w:ascii="Verdana" w:hAnsi="Verdana"/>
          <w:sz w:val="20"/>
          <w:szCs w:val="20"/>
        </w:rPr>
        <w:t xml:space="preserve"> exempted from authorisation requirements.</w:t>
      </w:r>
    </w:p>
    <w:p w14:paraId="20C1FA44" w14:textId="043A6654" w:rsidR="00DE0316" w:rsidRPr="00B0121F" w:rsidRDefault="00DE0316" w:rsidP="00ED47FC">
      <w:pPr>
        <w:spacing w:after="0" w:line="276" w:lineRule="auto"/>
        <w:jc w:val="both"/>
        <w:rPr>
          <w:rFonts w:ascii="Verdana" w:hAnsi="Verdana"/>
          <w:sz w:val="20"/>
          <w:szCs w:val="20"/>
        </w:rPr>
      </w:pPr>
      <w:r w:rsidRPr="00B0121F">
        <w:rPr>
          <w:rFonts w:ascii="Verdana" w:hAnsi="Verdana"/>
          <w:sz w:val="20"/>
          <w:szCs w:val="20"/>
        </w:rPr>
        <w:t xml:space="preserve">The prioritisation for inclusion in Annex XIV from the candidate list </w:t>
      </w:r>
      <w:r w:rsidR="00E905C0">
        <w:rPr>
          <w:rFonts w:ascii="Verdana" w:hAnsi="Verdana"/>
          <w:sz w:val="20"/>
          <w:szCs w:val="20"/>
        </w:rPr>
        <w:t>is</w:t>
      </w:r>
      <w:r w:rsidRPr="00B0121F">
        <w:rPr>
          <w:rFonts w:ascii="Verdana" w:hAnsi="Verdana"/>
          <w:sz w:val="20"/>
          <w:szCs w:val="20"/>
        </w:rPr>
        <w:t xml:space="preserve"> mainly hazard-based (triggered by SVHC identification). Priority is driven by several criteria that are set by Article 58 of REAC</w:t>
      </w:r>
      <w:r w:rsidR="009C227F">
        <w:rPr>
          <w:rFonts w:ascii="Verdana" w:hAnsi="Verdana"/>
          <w:sz w:val="20"/>
          <w:szCs w:val="20"/>
        </w:rPr>
        <w:t>h</w:t>
      </w:r>
      <w:r w:rsidRPr="00B0121F">
        <w:rPr>
          <w:rFonts w:ascii="Verdana" w:hAnsi="Verdana"/>
          <w:sz w:val="20"/>
          <w:szCs w:val="20"/>
        </w:rPr>
        <w:t xml:space="preserve">. </w:t>
      </w:r>
    </w:p>
    <w:p w14:paraId="0A9C2665" w14:textId="705987CB" w:rsidR="00DE0316" w:rsidRDefault="00DE0316" w:rsidP="00ED47FC">
      <w:pPr>
        <w:pStyle w:val="Sansinterligne"/>
        <w:spacing w:line="276" w:lineRule="auto"/>
        <w:jc w:val="both"/>
        <w:rPr>
          <w:lang w:val="en-GB"/>
        </w:rPr>
      </w:pPr>
    </w:p>
    <w:p w14:paraId="259B43B0" w14:textId="13E107B6" w:rsidR="00BD6C98" w:rsidRDefault="00E32C4A" w:rsidP="00ED47FC">
      <w:pPr>
        <w:pStyle w:val="Corpsdetexte"/>
        <w:spacing w:after="0" w:line="276" w:lineRule="auto"/>
        <w:jc w:val="both"/>
        <w:rPr>
          <w:rFonts w:ascii="Verdana" w:hAnsi="Verdana"/>
          <w:sz w:val="20"/>
          <w:lang w:val="en-US"/>
        </w:rPr>
      </w:pPr>
      <w:r>
        <w:rPr>
          <w:rFonts w:ascii="Verdana" w:hAnsi="Verdana"/>
          <w:sz w:val="20"/>
          <w:szCs w:val="20"/>
        </w:rPr>
        <w:t xml:space="preserve">Carbon </w:t>
      </w:r>
      <w:r w:rsidR="00482EE8">
        <w:rPr>
          <w:rFonts w:ascii="Verdana" w:hAnsi="Verdana"/>
          <w:sz w:val="20"/>
          <w:szCs w:val="20"/>
        </w:rPr>
        <w:t>disulfide</w:t>
      </w:r>
      <w:r>
        <w:rPr>
          <w:rFonts w:ascii="Verdana" w:hAnsi="Verdana"/>
          <w:sz w:val="20"/>
          <w:szCs w:val="20"/>
        </w:rPr>
        <w:t xml:space="preserve"> </w:t>
      </w:r>
      <w:r w:rsidRPr="00761406">
        <w:rPr>
          <w:rFonts w:ascii="Verdana" w:hAnsi="Verdana"/>
          <w:sz w:val="20"/>
          <w:szCs w:val="20"/>
        </w:rPr>
        <w:t xml:space="preserve">has been registered </w:t>
      </w:r>
      <w:r>
        <w:rPr>
          <w:rFonts w:ascii="Verdana" w:hAnsi="Verdana"/>
          <w:sz w:val="20"/>
          <w:szCs w:val="20"/>
        </w:rPr>
        <w:t xml:space="preserve">as a full registration dossier (joint submission) </w:t>
      </w:r>
      <w:r w:rsidRPr="00761406">
        <w:rPr>
          <w:rFonts w:ascii="Verdana" w:hAnsi="Verdana"/>
          <w:sz w:val="20"/>
          <w:szCs w:val="20"/>
        </w:rPr>
        <w:t>under REACH accordingly to Article 10 of REAC</w:t>
      </w:r>
      <w:r w:rsidR="009C227F">
        <w:rPr>
          <w:rFonts w:ascii="Verdana" w:hAnsi="Verdana"/>
          <w:sz w:val="20"/>
          <w:szCs w:val="20"/>
        </w:rPr>
        <w:t>h</w:t>
      </w:r>
      <w:r w:rsidRPr="00761406">
        <w:rPr>
          <w:rFonts w:ascii="Verdana" w:hAnsi="Verdana"/>
          <w:sz w:val="20"/>
          <w:szCs w:val="20"/>
        </w:rPr>
        <w:t xml:space="preserve"> Regulation</w:t>
      </w:r>
      <w:r>
        <w:rPr>
          <w:rFonts w:ascii="Verdana" w:hAnsi="Verdana"/>
          <w:sz w:val="20"/>
          <w:szCs w:val="20"/>
        </w:rPr>
        <w:t xml:space="preserve">. Regarding the uses falling </w:t>
      </w:r>
      <w:r w:rsidRPr="00761406">
        <w:rPr>
          <w:rFonts w:ascii="Verdana" w:hAnsi="Verdana"/>
          <w:sz w:val="20"/>
          <w:szCs w:val="20"/>
        </w:rPr>
        <w:t>under the scope of authorisation</w:t>
      </w:r>
      <w:r>
        <w:rPr>
          <w:rFonts w:ascii="Verdana" w:hAnsi="Verdana"/>
          <w:sz w:val="20"/>
          <w:szCs w:val="20"/>
        </w:rPr>
        <w:t xml:space="preserve">, </w:t>
      </w:r>
      <w:r>
        <w:rPr>
          <w:rFonts w:ascii="Verdana" w:hAnsi="Verdana"/>
          <w:sz w:val="20"/>
          <w:szCs w:val="20"/>
          <w:lang w:eastAsia="en-GB"/>
        </w:rPr>
        <w:t>a</w:t>
      </w:r>
      <w:r w:rsidR="00241483">
        <w:rPr>
          <w:rFonts w:ascii="Verdana" w:hAnsi="Verdana"/>
          <w:sz w:val="20"/>
          <w:szCs w:val="20"/>
          <w:lang w:eastAsia="en-GB"/>
        </w:rPr>
        <w:t>uthorisation does not cover</w:t>
      </w:r>
      <w:r>
        <w:rPr>
          <w:rFonts w:ascii="Verdana" w:hAnsi="Verdana"/>
          <w:sz w:val="20"/>
          <w:szCs w:val="20"/>
          <w:lang w:eastAsia="en-GB"/>
        </w:rPr>
        <w:t xml:space="preserve"> </w:t>
      </w:r>
      <w:r w:rsidR="00FF5BC5">
        <w:rPr>
          <w:rFonts w:ascii="Verdana" w:hAnsi="Verdana"/>
          <w:sz w:val="20"/>
          <w:szCs w:val="20"/>
          <w:lang w:eastAsia="en-GB"/>
        </w:rPr>
        <w:t>the following use</w:t>
      </w:r>
      <w:r w:rsidR="009F2CA8">
        <w:rPr>
          <w:rFonts w:ascii="Verdana" w:hAnsi="Verdana"/>
          <w:sz w:val="20"/>
          <w:szCs w:val="20"/>
          <w:lang w:eastAsia="en-GB"/>
        </w:rPr>
        <w:t>s</w:t>
      </w:r>
      <w:r w:rsidR="00FF5BC5">
        <w:rPr>
          <w:rFonts w:ascii="Verdana" w:hAnsi="Verdana"/>
          <w:sz w:val="20"/>
          <w:szCs w:val="20"/>
          <w:lang w:eastAsia="en-GB"/>
        </w:rPr>
        <w:t xml:space="preserve"> of carbon disulfide: </w:t>
      </w:r>
      <w:r>
        <w:rPr>
          <w:rFonts w:ascii="Verdana" w:hAnsi="Verdana"/>
          <w:sz w:val="20"/>
          <w:szCs w:val="20"/>
          <w:lang w:eastAsia="en-GB"/>
        </w:rPr>
        <w:t xml:space="preserve">manufacturing, </w:t>
      </w:r>
      <w:r w:rsidRPr="00992931">
        <w:rPr>
          <w:rFonts w:ascii="Verdana" w:hAnsi="Verdana"/>
          <w:sz w:val="20"/>
          <w:szCs w:val="20"/>
          <w:lang w:eastAsia="en-GB"/>
        </w:rPr>
        <w:t>intermediate uses or research and development</w:t>
      </w:r>
      <w:r>
        <w:rPr>
          <w:rFonts w:ascii="Verdana" w:hAnsi="Verdana"/>
          <w:sz w:val="20"/>
          <w:szCs w:val="20"/>
          <w:lang w:eastAsia="en-GB"/>
        </w:rPr>
        <w:t xml:space="preserve">. If carbon </w:t>
      </w:r>
      <w:r w:rsidR="00482EE8">
        <w:rPr>
          <w:rFonts w:ascii="Verdana" w:hAnsi="Verdana"/>
          <w:sz w:val="20"/>
          <w:szCs w:val="20"/>
          <w:lang w:eastAsia="en-GB"/>
        </w:rPr>
        <w:t>disulfide</w:t>
      </w:r>
      <w:r>
        <w:rPr>
          <w:rFonts w:ascii="Verdana" w:hAnsi="Verdana"/>
          <w:sz w:val="20"/>
          <w:szCs w:val="20"/>
          <w:lang w:eastAsia="en-GB"/>
        </w:rPr>
        <w:t xml:space="preserve"> is </w:t>
      </w:r>
      <w:r w:rsidRPr="00992931">
        <w:rPr>
          <w:rFonts w:ascii="Verdana" w:hAnsi="Verdana"/>
          <w:sz w:val="20"/>
          <w:szCs w:val="20"/>
          <w:lang w:eastAsia="en-GB"/>
        </w:rPr>
        <w:t>placed on A</w:t>
      </w:r>
      <w:r w:rsidR="00D302DB">
        <w:rPr>
          <w:rFonts w:ascii="Verdana" w:hAnsi="Verdana"/>
          <w:sz w:val="20"/>
          <w:szCs w:val="20"/>
          <w:lang w:eastAsia="en-GB"/>
        </w:rPr>
        <w:t xml:space="preserve">nnex XIV, this would probably </w:t>
      </w:r>
      <w:r w:rsidR="002554DB">
        <w:rPr>
          <w:rFonts w:ascii="Verdana" w:hAnsi="Verdana"/>
          <w:sz w:val="20"/>
          <w:szCs w:val="20"/>
          <w:lang w:eastAsia="en-GB"/>
        </w:rPr>
        <w:t>mostly</w:t>
      </w:r>
      <w:r w:rsidR="00D302DB">
        <w:rPr>
          <w:rFonts w:ascii="Verdana" w:hAnsi="Verdana"/>
          <w:sz w:val="20"/>
          <w:szCs w:val="20"/>
          <w:lang w:eastAsia="en-GB"/>
        </w:rPr>
        <w:t xml:space="preserve"> cover the manufacturing of regenerated cellulose and the industrial use</w:t>
      </w:r>
      <w:r w:rsidR="00632B92">
        <w:rPr>
          <w:rFonts w:ascii="Verdana" w:hAnsi="Verdana"/>
          <w:sz w:val="20"/>
          <w:szCs w:val="20"/>
          <w:lang w:eastAsia="en-GB"/>
        </w:rPr>
        <w:t>s</w:t>
      </w:r>
      <w:r w:rsidR="00D302DB">
        <w:rPr>
          <w:rFonts w:ascii="Verdana" w:hAnsi="Verdana"/>
          <w:sz w:val="20"/>
          <w:szCs w:val="20"/>
          <w:lang w:eastAsia="en-GB"/>
        </w:rPr>
        <w:t xml:space="preserve"> </w:t>
      </w:r>
      <w:r w:rsidR="00BD6C98">
        <w:rPr>
          <w:rFonts w:ascii="Verdana" w:hAnsi="Verdana"/>
          <w:sz w:val="20"/>
          <w:szCs w:val="20"/>
          <w:lang w:eastAsia="en-GB"/>
        </w:rPr>
        <w:t>when the substance is not use</w:t>
      </w:r>
      <w:r w:rsidR="003D5974">
        <w:rPr>
          <w:rFonts w:ascii="Verdana" w:hAnsi="Verdana"/>
          <w:sz w:val="20"/>
          <w:szCs w:val="20"/>
          <w:lang w:eastAsia="en-GB"/>
        </w:rPr>
        <w:t>d</w:t>
      </w:r>
      <w:r w:rsidR="00BD6C98">
        <w:rPr>
          <w:rFonts w:ascii="Verdana" w:hAnsi="Verdana"/>
          <w:sz w:val="20"/>
          <w:szCs w:val="20"/>
          <w:lang w:eastAsia="en-GB"/>
        </w:rPr>
        <w:t xml:space="preserve"> as an intermediate</w:t>
      </w:r>
      <w:r w:rsidR="00672957">
        <w:rPr>
          <w:rFonts w:ascii="Verdana" w:hAnsi="Verdana"/>
          <w:sz w:val="20"/>
          <w:szCs w:val="20"/>
          <w:lang w:eastAsia="en-GB"/>
        </w:rPr>
        <w:t>.</w:t>
      </w:r>
      <w:r w:rsidR="00BD6C98">
        <w:rPr>
          <w:rFonts w:ascii="Verdana" w:hAnsi="Verdana"/>
          <w:sz w:val="20"/>
          <w:szCs w:val="20"/>
          <w:lang w:eastAsia="en-GB"/>
        </w:rPr>
        <w:t xml:space="preserve"> </w:t>
      </w:r>
      <w:r w:rsidR="00BD6C98" w:rsidRPr="00B40654">
        <w:rPr>
          <w:rFonts w:ascii="Verdana" w:hAnsi="Verdana"/>
          <w:sz w:val="20"/>
          <w:lang w:val="en-US"/>
        </w:rPr>
        <w:t>Consequently, only the use</w:t>
      </w:r>
      <w:r w:rsidR="003D5974" w:rsidRPr="00B40654">
        <w:rPr>
          <w:rFonts w:ascii="Verdana" w:hAnsi="Verdana"/>
          <w:sz w:val="20"/>
          <w:lang w:val="en-US"/>
        </w:rPr>
        <w:t>s</w:t>
      </w:r>
      <w:r w:rsidR="00BD6C98" w:rsidRPr="00B40654">
        <w:rPr>
          <w:rFonts w:ascii="Verdana" w:hAnsi="Verdana"/>
          <w:sz w:val="20"/>
          <w:lang w:val="en-US"/>
        </w:rPr>
        <w:t xml:space="preserve"> as a solvent and viscose manufacturing could be covered by REAC</w:t>
      </w:r>
      <w:r w:rsidR="009C227F" w:rsidRPr="00B40654">
        <w:rPr>
          <w:rFonts w:ascii="Verdana" w:hAnsi="Verdana"/>
          <w:sz w:val="20"/>
          <w:lang w:val="en-US"/>
        </w:rPr>
        <w:t>h</w:t>
      </w:r>
      <w:r w:rsidR="00BD6C98" w:rsidRPr="00B40654">
        <w:rPr>
          <w:rFonts w:ascii="Verdana" w:hAnsi="Verdana"/>
          <w:sz w:val="20"/>
          <w:lang w:val="en-US"/>
        </w:rPr>
        <w:t xml:space="preserve"> authori</w:t>
      </w:r>
      <w:r w:rsidR="00141082" w:rsidRPr="00B40654">
        <w:rPr>
          <w:rFonts w:ascii="Verdana" w:hAnsi="Verdana"/>
          <w:sz w:val="20"/>
          <w:lang w:val="en-US"/>
        </w:rPr>
        <w:t>s</w:t>
      </w:r>
      <w:r w:rsidR="00BD6C98" w:rsidRPr="00B40654">
        <w:rPr>
          <w:rFonts w:ascii="Verdana" w:hAnsi="Verdana"/>
          <w:sz w:val="20"/>
          <w:lang w:val="en-US"/>
        </w:rPr>
        <w:t>ation.</w:t>
      </w:r>
      <w:r w:rsidR="00BD6C98" w:rsidRPr="00DE0316">
        <w:rPr>
          <w:rFonts w:ascii="Verdana" w:hAnsi="Verdana"/>
          <w:sz w:val="20"/>
          <w:lang w:val="en-US"/>
        </w:rPr>
        <w:t xml:space="preserve"> </w:t>
      </w:r>
    </w:p>
    <w:p w14:paraId="3AF19F1E" w14:textId="77777777" w:rsidR="00B40654" w:rsidRPr="00DE0316" w:rsidRDefault="00B40654" w:rsidP="00ED47FC">
      <w:pPr>
        <w:pStyle w:val="Corpsdetexte"/>
        <w:spacing w:after="0" w:line="276" w:lineRule="auto"/>
        <w:jc w:val="both"/>
        <w:rPr>
          <w:rFonts w:ascii="Verdana" w:hAnsi="Verdana"/>
          <w:sz w:val="20"/>
          <w:lang w:val="en-US"/>
        </w:rPr>
      </w:pPr>
    </w:p>
    <w:p w14:paraId="6A04ECA5" w14:textId="567C5974" w:rsidR="00DE0316" w:rsidRPr="00B0121F" w:rsidRDefault="00BD6C98" w:rsidP="00ED47FC">
      <w:pPr>
        <w:spacing w:after="0" w:line="276" w:lineRule="auto"/>
        <w:jc w:val="both"/>
        <w:rPr>
          <w:rFonts w:ascii="Verdana" w:hAnsi="Verdana"/>
          <w:sz w:val="20"/>
          <w:szCs w:val="20"/>
          <w:lang w:eastAsia="en-GB"/>
        </w:rPr>
      </w:pPr>
      <w:r>
        <w:rPr>
          <w:rFonts w:ascii="Verdana" w:hAnsi="Verdana"/>
          <w:sz w:val="20"/>
          <w:szCs w:val="20"/>
        </w:rPr>
        <w:t xml:space="preserve">For the </w:t>
      </w:r>
      <w:r w:rsidR="00EF265F">
        <w:rPr>
          <w:rFonts w:ascii="Verdana" w:hAnsi="Verdana"/>
          <w:sz w:val="20"/>
          <w:szCs w:val="20"/>
        </w:rPr>
        <w:t xml:space="preserve">widespread </w:t>
      </w:r>
      <w:r>
        <w:rPr>
          <w:rFonts w:ascii="Verdana" w:hAnsi="Verdana"/>
          <w:sz w:val="20"/>
          <w:szCs w:val="20"/>
        </w:rPr>
        <w:t xml:space="preserve">use of the substance as a laboratory reagent, it is not clear whether all the uses would be in the aim of research or development or if some uses would be in the scope of authorisation. </w:t>
      </w:r>
      <w:r w:rsidR="00EF265F">
        <w:rPr>
          <w:rFonts w:ascii="Verdana" w:hAnsi="Verdana"/>
          <w:sz w:val="20"/>
          <w:szCs w:val="20"/>
        </w:rPr>
        <w:t xml:space="preserve">There are few information on this known use of the substance as it was not evaluated by the lead registrant of the </w:t>
      </w:r>
      <w:r w:rsidR="00F1478B">
        <w:rPr>
          <w:rFonts w:ascii="Verdana" w:hAnsi="Verdana"/>
          <w:sz w:val="20"/>
          <w:szCs w:val="20"/>
        </w:rPr>
        <w:t xml:space="preserve">full registration dossier of the </w:t>
      </w:r>
      <w:r w:rsidR="00EF265F">
        <w:rPr>
          <w:rFonts w:ascii="Verdana" w:hAnsi="Verdana"/>
          <w:sz w:val="20"/>
          <w:szCs w:val="20"/>
        </w:rPr>
        <w:t xml:space="preserve">substance. </w:t>
      </w:r>
    </w:p>
    <w:p w14:paraId="12EDD66B" w14:textId="77777777" w:rsidR="00BD6C98" w:rsidRDefault="00BD6C98" w:rsidP="00ED47FC">
      <w:pPr>
        <w:spacing w:after="0" w:line="276" w:lineRule="auto"/>
        <w:jc w:val="both"/>
        <w:rPr>
          <w:rFonts w:ascii="Verdana" w:hAnsi="Verdana"/>
          <w:sz w:val="20"/>
          <w:szCs w:val="20"/>
        </w:rPr>
      </w:pPr>
    </w:p>
    <w:p w14:paraId="26B5C627" w14:textId="0A39812B" w:rsidR="00526EB8" w:rsidRDefault="00526EB8" w:rsidP="00ED47FC">
      <w:pPr>
        <w:pStyle w:val="Corpsdetexte"/>
        <w:spacing w:after="0" w:line="276" w:lineRule="auto"/>
        <w:jc w:val="both"/>
        <w:rPr>
          <w:rFonts w:ascii="Verdana" w:hAnsi="Verdana"/>
          <w:sz w:val="20"/>
          <w:lang w:val="en-US"/>
        </w:rPr>
      </w:pPr>
      <w:r w:rsidRPr="00DE0316">
        <w:rPr>
          <w:rFonts w:ascii="Verdana" w:hAnsi="Verdana"/>
          <w:sz w:val="20"/>
          <w:lang w:val="en-US"/>
        </w:rPr>
        <w:t xml:space="preserve">For intermediate uses, </w:t>
      </w:r>
      <w:r w:rsidRPr="00DE0316">
        <w:rPr>
          <w:rFonts w:ascii="Verdana" w:hAnsi="Verdana"/>
          <w:color w:val="000000"/>
          <w:sz w:val="20"/>
        </w:rPr>
        <w:t>the establishment of a BOELs</w:t>
      </w:r>
      <w:r w:rsidR="009C5C60">
        <w:rPr>
          <w:rFonts w:ascii="Verdana" w:hAnsi="Verdana"/>
          <w:color w:val="000000"/>
          <w:sz w:val="20"/>
        </w:rPr>
        <w:t xml:space="preserve"> (CAD directive)</w:t>
      </w:r>
      <w:r w:rsidRPr="00DE0316">
        <w:rPr>
          <w:rFonts w:ascii="Verdana" w:hAnsi="Verdana"/>
          <w:color w:val="000000"/>
          <w:sz w:val="20"/>
        </w:rPr>
        <w:t xml:space="preserve"> </w:t>
      </w:r>
      <w:r>
        <w:rPr>
          <w:rFonts w:ascii="Verdana" w:hAnsi="Verdana"/>
          <w:color w:val="000000"/>
          <w:sz w:val="20"/>
        </w:rPr>
        <w:t xml:space="preserve">and a BLVs </w:t>
      </w:r>
      <w:r w:rsidR="009C5C60">
        <w:rPr>
          <w:rFonts w:ascii="Verdana" w:hAnsi="Verdana"/>
          <w:color w:val="000000"/>
          <w:sz w:val="20"/>
        </w:rPr>
        <w:t xml:space="preserve">or a binding DNEL under a restriction </w:t>
      </w:r>
      <w:r>
        <w:rPr>
          <w:rFonts w:ascii="Verdana" w:hAnsi="Verdana"/>
          <w:color w:val="000000"/>
          <w:sz w:val="20"/>
        </w:rPr>
        <w:t>would be a more</w:t>
      </w:r>
      <w:r w:rsidRPr="00DE0316">
        <w:rPr>
          <w:rFonts w:ascii="Verdana" w:hAnsi="Verdana"/>
          <w:color w:val="000000"/>
          <w:sz w:val="20"/>
        </w:rPr>
        <w:t xml:space="preserve"> suitable RMO to address occupational risks above the current IOELV</w:t>
      </w:r>
      <w:r w:rsidR="00B32A51">
        <w:rPr>
          <w:rFonts w:ascii="Verdana" w:hAnsi="Verdana"/>
          <w:color w:val="000000"/>
          <w:sz w:val="20"/>
        </w:rPr>
        <w:t xml:space="preserve"> (see section 2.5 below)</w:t>
      </w:r>
      <w:r w:rsidRPr="00DE0316">
        <w:rPr>
          <w:rFonts w:ascii="Verdana" w:hAnsi="Verdana"/>
          <w:color w:val="000000"/>
          <w:sz w:val="20"/>
        </w:rPr>
        <w:t>.</w:t>
      </w:r>
    </w:p>
    <w:p w14:paraId="48ABC6DD" w14:textId="77777777" w:rsidR="00526EB8" w:rsidRDefault="00526EB8" w:rsidP="00ED47FC">
      <w:pPr>
        <w:spacing w:after="0" w:line="276" w:lineRule="auto"/>
        <w:jc w:val="both"/>
        <w:rPr>
          <w:rFonts w:ascii="Verdana" w:hAnsi="Verdana"/>
          <w:sz w:val="20"/>
          <w:szCs w:val="20"/>
        </w:rPr>
      </w:pPr>
    </w:p>
    <w:p w14:paraId="02ED3F17" w14:textId="2BE000E2" w:rsidR="00DE0316" w:rsidRDefault="00DE0316" w:rsidP="00ED47FC">
      <w:pPr>
        <w:spacing w:after="0" w:line="276" w:lineRule="auto"/>
        <w:jc w:val="both"/>
        <w:rPr>
          <w:rFonts w:ascii="Verdana" w:hAnsi="Verdana"/>
          <w:sz w:val="20"/>
          <w:szCs w:val="20"/>
        </w:rPr>
      </w:pPr>
    </w:p>
    <w:p w14:paraId="43564507" w14:textId="4B8E9972" w:rsidR="00767A78" w:rsidRPr="00767A78" w:rsidRDefault="00B40654" w:rsidP="00ED47FC">
      <w:pPr>
        <w:spacing w:after="0" w:line="276" w:lineRule="auto"/>
        <w:jc w:val="both"/>
        <w:rPr>
          <w:rFonts w:ascii="Verdana" w:hAnsi="Verdana" w:cs="Arial"/>
          <w:b/>
          <w:bCs/>
          <w:color w:val="000000"/>
          <w:sz w:val="22"/>
          <w:szCs w:val="22"/>
        </w:rPr>
      </w:pPr>
      <w:r>
        <w:rPr>
          <w:rFonts w:ascii="Verdana" w:hAnsi="Verdana"/>
          <w:b/>
          <w:sz w:val="20"/>
          <w:szCs w:val="20"/>
        </w:rPr>
        <w:t>Despite the fact that</w:t>
      </w:r>
      <w:r w:rsidR="00767A78" w:rsidRPr="00767A78">
        <w:rPr>
          <w:rFonts w:ascii="Verdana" w:hAnsi="Verdana"/>
          <w:b/>
          <w:sz w:val="20"/>
          <w:szCs w:val="20"/>
        </w:rPr>
        <w:t xml:space="preserve"> the identification of carbon disulfide as SVHC would send a strong </w:t>
      </w:r>
      <w:r w:rsidR="00767A78" w:rsidRPr="00B40654">
        <w:rPr>
          <w:rFonts w:ascii="Verdana" w:hAnsi="Verdana"/>
          <w:b/>
          <w:sz w:val="20"/>
          <w:szCs w:val="20"/>
        </w:rPr>
        <w:t>signal about its hazardous nature</w:t>
      </w:r>
      <w:r w:rsidRPr="00B40654">
        <w:rPr>
          <w:rFonts w:ascii="Verdana" w:hAnsi="Verdana"/>
          <w:b/>
          <w:sz w:val="20"/>
          <w:szCs w:val="20"/>
        </w:rPr>
        <w:t xml:space="preserve">, authorisation </w:t>
      </w:r>
      <w:r w:rsidRPr="00673013">
        <w:rPr>
          <w:rFonts w:ascii="Verdana" w:hAnsi="Verdana"/>
          <w:b/>
          <w:sz w:val="20"/>
          <w:szCs w:val="20"/>
        </w:rPr>
        <w:t xml:space="preserve">might not be considered as </w:t>
      </w:r>
      <w:r>
        <w:rPr>
          <w:rFonts w:ascii="Verdana" w:hAnsi="Verdana"/>
          <w:b/>
          <w:sz w:val="20"/>
          <w:szCs w:val="20"/>
        </w:rPr>
        <w:t xml:space="preserve">an </w:t>
      </w:r>
      <w:r w:rsidRPr="00B40654">
        <w:rPr>
          <w:rFonts w:ascii="Verdana" w:hAnsi="Verdana"/>
          <w:b/>
          <w:sz w:val="20"/>
          <w:szCs w:val="20"/>
        </w:rPr>
        <w:t>appropriate</w:t>
      </w:r>
      <w:r w:rsidRPr="00673013">
        <w:rPr>
          <w:rFonts w:ascii="Verdana" w:hAnsi="Verdana"/>
          <w:b/>
          <w:sz w:val="20"/>
          <w:szCs w:val="20"/>
        </w:rPr>
        <w:t xml:space="preserve"> </w:t>
      </w:r>
      <w:r>
        <w:rPr>
          <w:rFonts w:ascii="Verdana" w:hAnsi="Verdana"/>
          <w:b/>
          <w:sz w:val="20"/>
          <w:szCs w:val="20"/>
        </w:rPr>
        <w:t xml:space="preserve">risk mitigation measure </w:t>
      </w:r>
      <w:r w:rsidRPr="00B40654">
        <w:rPr>
          <w:rFonts w:ascii="Verdana" w:hAnsi="Verdana"/>
          <w:b/>
          <w:sz w:val="20"/>
          <w:szCs w:val="20"/>
        </w:rPr>
        <w:t xml:space="preserve">since </w:t>
      </w:r>
      <w:r w:rsidRPr="00B40654">
        <w:rPr>
          <w:rFonts w:ascii="Verdana" w:hAnsi="Verdana"/>
          <w:b/>
          <w:sz w:val="20"/>
          <w:szCs w:val="20"/>
          <w:lang w:eastAsia="en-GB"/>
        </w:rPr>
        <w:t>manufacture</w:t>
      </w:r>
      <w:r w:rsidRPr="00673013">
        <w:rPr>
          <w:rFonts w:ascii="Verdana" w:hAnsi="Verdana"/>
          <w:b/>
          <w:sz w:val="20"/>
          <w:szCs w:val="20"/>
          <w:lang w:eastAsia="en-GB"/>
        </w:rPr>
        <w:t>, intermediate uses or research and development</w:t>
      </w:r>
      <w:r w:rsidRPr="00B40654">
        <w:rPr>
          <w:rFonts w:ascii="Verdana" w:hAnsi="Verdana"/>
          <w:b/>
          <w:sz w:val="20"/>
          <w:lang w:val="en-US"/>
        </w:rPr>
        <w:t xml:space="preserve"> are not covered by this process</w:t>
      </w:r>
      <w:r w:rsidR="00767A78" w:rsidRPr="00B40654">
        <w:rPr>
          <w:rFonts w:ascii="Verdana" w:hAnsi="Verdana"/>
          <w:b/>
          <w:sz w:val="20"/>
          <w:szCs w:val="20"/>
        </w:rPr>
        <w:t>.</w:t>
      </w:r>
      <w:r w:rsidR="00767A78" w:rsidRPr="00B40654">
        <w:rPr>
          <w:rFonts w:ascii="Verdana" w:hAnsi="Verdana" w:cs="Arial"/>
          <w:b/>
          <w:bCs/>
          <w:color w:val="000000"/>
          <w:sz w:val="22"/>
          <w:szCs w:val="22"/>
        </w:rPr>
        <w:t xml:space="preserve"> </w:t>
      </w:r>
    </w:p>
    <w:p w14:paraId="430A0051" w14:textId="090E2146" w:rsidR="00FD58AE" w:rsidRPr="008C6D58" w:rsidRDefault="00672957" w:rsidP="00ED47FC">
      <w:pPr>
        <w:pStyle w:val="Titre3"/>
        <w:numPr>
          <w:ilvl w:val="0"/>
          <w:numId w:val="0"/>
        </w:numPr>
        <w:spacing w:line="276" w:lineRule="auto"/>
      </w:pPr>
      <w:bookmarkStart w:id="26" w:name="_Toc117776292"/>
      <w:r>
        <w:t>2</w:t>
      </w:r>
      <w:r w:rsidR="008C6D58" w:rsidRPr="008C6D58">
        <w:t>.</w:t>
      </w:r>
      <w:r w:rsidR="005D3DEB">
        <w:t>4</w:t>
      </w:r>
      <w:r w:rsidR="008C6D58" w:rsidRPr="008C6D58">
        <w:t xml:space="preserve"> </w:t>
      </w:r>
      <w:r w:rsidR="00532DE1" w:rsidRPr="008C6D58">
        <w:t>Restriction</w:t>
      </w:r>
      <w:bookmarkEnd w:id="26"/>
    </w:p>
    <w:p w14:paraId="2E8F1256" w14:textId="0ADFE05C" w:rsidR="00D54111" w:rsidRDefault="005567C8" w:rsidP="00ED47FC">
      <w:pPr>
        <w:pStyle w:val="Sansinterligne"/>
        <w:spacing w:line="276" w:lineRule="auto"/>
        <w:jc w:val="both"/>
        <w:rPr>
          <w:rFonts w:ascii="Verdana" w:hAnsi="Verdana"/>
          <w:sz w:val="20"/>
          <w:szCs w:val="20"/>
        </w:rPr>
      </w:pPr>
      <w:r w:rsidRPr="00BE3212">
        <w:rPr>
          <w:rFonts w:ascii="Verdana" w:hAnsi="Verdana"/>
          <w:sz w:val="20"/>
          <w:szCs w:val="20"/>
        </w:rPr>
        <w:t>A restriction proposal under REAC</w:t>
      </w:r>
      <w:r w:rsidR="009C227F">
        <w:rPr>
          <w:rFonts w:ascii="Verdana" w:hAnsi="Verdana"/>
          <w:sz w:val="20"/>
          <w:szCs w:val="20"/>
        </w:rPr>
        <w:t>h</w:t>
      </w:r>
      <w:r w:rsidRPr="00BE3212">
        <w:rPr>
          <w:rFonts w:ascii="Verdana" w:hAnsi="Verdana"/>
          <w:sz w:val="20"/>
          <w:szCs w:val="20"/>
        </w:rPr>
        <w:t xml:space="preserve"> has to meet the REAC</w:t>
      </w:r>
      <w:r w:rsidR="009C227F">
        <w:rPr>
          <w:rFonts w:ascii="Verdana" w:hAnsi="Verdana"/>
          <w:sz w:val="20"/>
          <w:szCs w:val="20"/>
        </w:rPr>
        <w:t>h</w:t>
      </w:r>
      <w:r w:rsidRPr="00BE3212">
        <w:rPr>
          <w:rFonts w:ascii="Verdana" w:hAnsi="Verdana"/>
          <w:sz w:val="20"/>
          <w:szCs w:val="20"/>
        </w:rPr>
        <w:t xml:space="preserve"> Annex XV requirements aim</w:t>
      </w:r>
      <w:r>
        <w:rPr>
          <w:rFonts w:ascii="Verdana" w:hAnsi="Verdana"/>
          <w:sz w:val="20"/>
          <w:szCs w:val="20"/>
        </w:rPr>
        <w:t>ing</w:t>
      </w:r>
      <w:r w:rsidRPr="00BE3212">
        <w:rPr>
          <w:rFonts w:ascii="Verdana" w:hAnsi="Verdana"/>
          <w:sz w:val="20"/>
          <w:szCs w:val="20"/>
        </w:rPr>
        <w:t xml:space="preserve"> at tackling a risk by reducing the exposure to the hazardous substance down to a safe level, otherwise at removing it.</w:t>
      </w:r>
    </w:p>
    <w:p w14:paraId="268F6E07" w14:textId="616AABE9" w:rsidR="005567C8" w:rsidRDefault="005567C8" w:rsidP="00ED47FC">
      <w:pPr>
        <w:pStyle w:val="Sansinterligne"/>
        <w:spacing w:line="276" w:lineRule="auto"/>
        <w:jc w:val="both"/>
        <w:rPr>
          <w:rFonts w:ascii="Verdana" w:hAnsi="Verdana"/>
          <w:sz w:val="20"/>
          <w:szCs w:val="20"/>
        </w:rPr>
      </w:pPr>
    </w:p>
    <w:p w14:paraId="26C7F4B5" w14:textId="211A5AAF" w:rsidR="00B40654" w:rsidRDefault="005567C8" w:rsidP="00F1478B">
      <w:pPr>
        <w:spacing w:after="0"/>
        <w:jc w:val="both"/>
        <w:rPr>
          <w:rFonts w:ascii="Verdana" w:hAnsi="Verdana"/>
          <w:sz w:val="20"/>
          <w:szCs w:val="20"/>
        </w:rPr>
      </w:pPr>
      <w:r w:rsidRPr="00672957">
        <w:rPr>
          <w:rFonts w:ascii="Verdana" w:hAnsi="Verdana"/>
          <w:sz w:val="20"/>
          <w:szCs w:val="20"/>
        </w:rPr>
        <w:t xml:space="preserve">Although an Annex </w:t>
      </w:r>
      <w:r w:rsidR="00672957" w:rsidRPr="00672957">
        <w:rPr>
          <w:rFonts w:ascii="Verdana" w:hAnsi="Verdana"/>
          <w:sz w:val="20"/>
          <w:szCs w:val="20"/>
        </w:rPr>
        <w:t>X</w:t>
      </w:r>
      <w:r w:rsidRPr="00672957">
        <w:rPr>
          <w:rFonts w:ascii="Verdana" w:hAnsi="Verdana"/>
          <w:sz w:val="20"/>
          <w:szCs w:val="20"/>
        </w:rPr>
        <w:t>V restriction proposal would show several advantages over the REAC</w:t>
      </w:r>
      <w:r w:rsidR="009C227F">
        <w:rPr>
          <w:rFonts w:ascii="Verdana" w:hAnsi="Verdana"/>
          <w:sz w:val="20"/>
          <w:szCs w:val="20"/>
        </w:rPr>
        <w:t>h</w:t>
      </w:r>
      <w:r w:rsidRPr="00672957">
        <w:rPr>
          <w:rFonts w:ascii="Verdana" w:hAnsi="Verdana"/>
          <w:sz w:val="20"/>
          <w:szCs w:val="20"/>
        </w:rPr>
        <w:t xml:space="preserve"> authori</w:t>
      </w:r>
      <w:r w:rsidR="00141082">
        <w:rPr>
          <w:rFonts w:ascii="Verdana" w:hAnsi="Verdana"/>
          <w:sz w:val="20"/>
          <w:szCs w:val="20"/>
        </w:rPr>
        <w:t>s</w:t>
      </w:r>
      <w:r w:rsidRPr="00672957">
        <w:rPr>
          <w:rFonts w:ascii="Verdana" w:hAnsi="Verdana"/>
          <w:sz w:val="20"/>
          <w:szCs w:val="20"/>
        </w:rPr>
        <w:t xml:space="preserve">ation </w:t>
      </w:r>
      <w:r w:rsidR="00532ADF">
        <w:rPr>
          <w:rFonts w:ascii="Verdana" w:hAnsi="Verdana"/>
          <w:sz w:val="20"/>
          <w:szCs w:val="20"/>
        </w:rPr>
        <w:t>procedure (e.g. cover</w:t>
      </w:r>
      <w:r w:rsidR="00767A78">
        <w:rPr>
          <w:rFonts w:ascii="Verdana" w:hAnsi="Verdana"/>
          <w:sz w:val="20"/>
          <w:szCs w:val="20"/>
        </w:rPr>
        <w:t xml:space="preserve"> transported isolated</w:t>
      </w:r>
      <w:r w:rsidR="00532ADF">
        <w:rPr>
          <w:rFonts w:ascii="Verdana" w:hAnsi="Verdana"/>
          <w:sz w:val="20"/>
          <w:szCs w:val="20"/>
        </w:rPr>
        <w:t xml:space="preserve"> intermediates)</w:t>
      </w:r>
      <w:r w:rsidRPr="00672957">
        <w:rPr>
          <w:rFonts w:ascii="Verdana" w:hAnsi="Verdana"/>
          <w:sz w:val="20"/>
          <w:szCs w:val="20"/>
        </w:rPr>
        <w:t>, an “unacceptable risk has to be demonstrated</w:t>
      </w:r>
      <w:r w:rsidR="00672957" w:rsidRPr="00672957">
        <w:rPr>
          <w:rFonts w:ascii="Verdana" w:hAnsi="Verdana"/>
          <w:sz w:val="20"/>
          <w:szCs w:val="20"/>
        </w:rPr>
        <w:t>”</w:t>
      </w:r>
      <w:r w:rsidR="00532ADF">
        <w:rPr>
          <w:rFonts w:ascii="Verdana" w:hAnsi="Verdana"/>
          <w:sz w:val="20"/>
          <w:szCs w:val="20"/>
        </w:rPr>
        <w:t xml:space="preserve">. </w:t>
      </w:r>
      <w:r w:rsidRPr="00672957">
        <w:rPr>
          <w:rFonts w:ascii="Verdana" w:hAnsi="Verdana"/>
          <w:sz w:val="20"/>
          <w:szCs w:val="20"/>
        </w:rPr>
        <w:t xml:space="preserve">So, the risk should be robustly </w:t>
      </w:r>
      <w:r w:rsidR="00532ADF">
        <w:rPr>
          <w:rFonts w:ascii="Verdana" w:hAnsi="Verdana"/>
          <w:sz w:val="20"/>
          <w:szCs w:val="20"/>
        </w:rPr>
        <w:t>address</w:t>
      </w:r>
      <w:r w:rsidRPr="00672957">
        <w:rPr>
          <w:rFonts w:ascii="Verdana" w:hAnsi="Verdana"/>
          <w:sz w:val="20"/>
          <w:szCs w:val="20"/>
        </w:rPr>
        <w:t>ed. Regarding</w:t>
      </w:r>
      <w:r w:rsidR="00532ADF">
        <w:rPr>
          <w:rFonts w:ascii="Verdana" w:hAnsi="Verdana"/>
          <w:sz w:val="20"/>
          <w:szCs w:val="20"/>
        </w:rPr>
        <w:t xml:space="preserve"> the available data in the registration</w:t>
      </w:r>
      <w:r w:rsidRPr="00672957">
        <w:rPr>
          <w:rFonts w:ascii="Verdana" w:hAnsi="Verdana"/>
          <w:sz w:val="20"/>
          <w:szCs w:val="20"/>
        </w:rPr>
        <w:t xml:space="preserve"> dossier</w:t>
      </w:r>
      <w:r w:rsidR="00A657E8">
        <w:rPr>
          <w:rFonts w:ascii="Verdana" w:hAnsi="Verdana"/>
          <w:sz w:val="20"/>
          <w:szCs w:val="20"/>
        </w:rPr>
        <w:t>s</w:t>
      </w:r>
      <w:r w:rsidRPr="00672957">
        <w:rPr>
          <w:rFonts w:ascii="Verdana" w:hAnsi="Verdana"/>
          <w:sz w:val="20"/>
          <w:szCs w:val="20"/>
        </w:rPr>
        <w:t xml:space="preserve">, </w:t>
      </w:r>
      <w:r w:rsidR="00914758">
        <w:rPr>
          <w:rFonts w:ascii="Verdana" w:hAnsi="Verdana"/>
          <w:sz w:val="20"/>
          <w:szCs w:val="20"/>
        </w:rPr>
        <w:t>there are exposure</w:t>
      </w:r>
      <w:r w:rsidR="00655137">
        <w:rPr>
          <w:rFonts w:ascii="Verdana" w:hAnsi="Verdana"/>
          <w:sz w:val="20"/>
          <w:szCs w:val="20"/>
        </w:rPr>
        <w:t>s</w:t>
      </w:r>
      <w:r w:rsidR="00914758">
        <w:rPr>
          <w:rFonts w:ascii="Verdana" w:hAnsi="Verdana"/>
          <w:sz w:val="20"/>
          <w:szCs w:val="20"/>
        </w:rPr>
        <w:t xml:space="preserve"> to carbon disulfide but the exposure assessment, </w:t>
      </w:r>
      <w:r w:rsidR="00C62F53">
        <w:rPr>
          <w:rFonts w:ascii="Verdana" w:hAnsi="Verdana"/>
          <w:sz w:val="20"/>
          <w:szCs w:val="20"/>
        </w:rPr>
        <w:t xml:space="preserve">is </w:t>
      </w:r>
      <w:r w:rsidR="00532ADF">
        <w:rPr>
          <w:rFonts w:ascii="Verdana" w:hAnsi="Verdana"/>
          <w:sz w:val="20"/>
          <w:szCs w:val="20"/>
        </w:rPr>
        <w:t>mainly based on modelled data</w:t>
      </w:r>
      <w:r w:rsidR="00C62F53">
        <w:rPr>
          <w:rFonts w:ascii="Verdana" w:hAnsi="Verdana"/>
          <w:sz w:val="20"/>
          <w:szCs w:val="20"/>
        </w:rPr>
        <w:t>. In particular for uses</w:t>
      </w:r>
      <w:r w:rsidR="00B40654">
        <w:rPr>
          <w:rFonts w:ascii="Verdana" w:hAnsi="Verdana"/>
          <w:sz w:val="20"/>
          <w:szCs w:val="20"/>
        </w:rPr>
        <w:t>,</w:t>
      </w:r>
      <w:r w:rsidR="00C62F53">
        <w:rPr>
          <w:rFonts w:ascii="Verdana" w:hAnsi="Verdana"/>
          <w:sz w:val="20"/>
          <w:szCs w:val="20"/>
        </w:rPr>
        <w:t xml:space="preserve"> </w:t>
      </w:r>
      <w:r w:rsidR="005725D0">
        <w:rPr>
          <w:rFonts w:ascii="Verdana" w:hAnsi="Verdana"/>
          <w:sz w:val="20"/>
          <w:szCs w:val="20"/>
        </w:rPr>
        <w:t xml:space="preserve">such as </w:t>
      </w:r>
      <w:r w:rsidR="005725D0" w:rsidRPr="002D0738">
        <w:rPr>
          <w:rFonts w:ascii="Verdana" w:hAnsi="Verdana"/>
          <w:sz w:val="20"/>
          <w:szCs w:val="20"/>
        </w:rPr>
        <w:t>m</w:t>
      </w:r>
      <w:r w:rsidR="00C62F53" w:rsidRPr="002D0738">
        <w:rPr>
          <w:rFonts w:ascii="Verdana" w:hAnsi="Verdana"/>
          <w:sz w:val="20"/>
          <w:szCs w:val="20"/>
        </w:rPr>
        <w:t>anufacturing of regenerated cellulose</w:t>
      </w:r>
      <w:r w:rsidR="00C62F53">
        <w:rPr>
          <w:rFonts w:ascii="Verdana" w:hAnsi="Verdana"/>
          <w:sz w:val="20"/>
          <w:szCs w:val="20"/>
        </w:rPr>
        <w:t xml:space="preserve"> (PROC 4) and </w:t>
      </w:r>
      <w:r w:rsidR="005725D0" w:rsidRPr="002D0738">
        <w:rPr>
          <w:rFonts w:ascii="Verdana" w:hAnsi="Verdana"/>
          <w:sz w:val="20"/>
          <w:szCs w:val="20"/>
        </w:rPr>
        <w:t>i</w:t>
      </w:r>
      <w:r w:rsidR="00C62F53" w:rsidRPr="002D0738">
        <w:rPr>
          <w:rFonts w:ascii="Verdana" w:hAnsi="Verdana"/>
          <w:sz w:val="20"/>
          <w:szCs w:val="20"/>
        </w:rPr>
        <w:t>ndustrial use as an intermediate, use in the manufacture of plant protection products and biocides</w:t>
      </w:r>
      <w:r w:rsidR="00532ADF">
        <w:rPr>
          <w:rFonts w:ascii="Verdana" w:hAnsi="Verdana"/>
          <w:sz w:val="20"/>
          <w:szCs w:val="20"/>
        </w:rPr>
        <w:t xml:space="preserve"> </w:t>
      </w:r>
      <w:r w:rsidR="00C62F53">
        <w:rPr>
          <w:rFonts w:ascii="Verdana" w:hAnsi="Verdana"/>
          <w:sz w:val="20"/>
          <w:szCs w:val="20"/>
        </w:rPr>
        <w:t>(PROC 4), models lead to RCR &gt; 0.5</w:t>
      </w:r>
      <w:r w:rsidR="00B40654">
        <w:rPr>
          <w:rFonts w:ascii="Verdana" w:hAnsi="Verdana"/>
          <w:sz w:val="20"/>
          <w:szCs w:val="20"/>
        </w:rPr>
        <w:t>.</w:t>
      </w:r>
    </w:p>
    <w:p w14:paraId="4090BBAC" w14:textId="46D65000" w:rsidR="00C62F53" w:rsidRDefault="00C62F53" w:rsidP="00F1478B">
      <w:pPr>
        <w:spacing w:after="0"/>
        <w:jc w:val="both"/>
        <w:rPr>
          <w:rFonts w:ascii="Verdana" w:hAnsi="Verdana"/>
          <w:sz w:val="20"/>
          <w:szCs w:val="20"/>
        </w:rPr>
      </w:pPr>
      <w:r>
        <w:rPr>
          <w:rFonts w:ascii="Verdana" w:hAnsi="Verdana"/>
          <w:sz w:val="20"/>
          <w:szCs w:val="20"/>
        </w:rPr>
        <w:t xml:space="preserve"> </w:t>
      </w:r>
    </w:p>
    <w:p w14:paraId="5B6668C7" w14:textId="6291295E" w:rsidR="00EF083B" w:rsidRDefault="005725D0" w:rsidP="00F1478B">
      <w:pPr>
        <w:spacing w:after="0"/>
        <w:jc w:val="both"/>
        <w:rPr>
          <w:rFonts w:ascii="Verdana" w:hAnsi="Verdana"/>
          <w:sz w:val="20"/>
          <w:szCs w:val="20"/>
        </w:rPr>
      </w:pPr>
      <w:r>
        <w:rPr>
          <w:rFonts w:ascii="Verdana" w:hAnsi="Verdana"/>
          <w:sz w:val="20"/>
          <w:szCs w:val="20"/>
        </w:rPr>
        <w:t>In addition, f</w:t>
      </w:r>
      <w:r w:rsidR="00C62F53">
        <w:rPr>
          <w:rFonts w:ascii="Verdana" w:hAnsi="Verdana"/>
          <w:sz w:val="20"/>
          <w:szCs w:val="20"/>
        </w:rPr>
        <w:t>or</w:t>
      </w:r>
      <w:r>
        <w:rPr>
          <w:rFonts w:ascii="Verdana" w:hAnsi="Verdana"/>
          <w:sz w:val="20"/>
          <w:szCs w:val="20"/>
        </w:rPr>
        <w:t xml:space="preserve"> the widespread use by</w:t>
      </w:r>
      <w:r w:rsidR="00C62F53">
        <w:rPr>
          <w:rFonts w:ascii="Verdana" w:hAnsi="Verdana"/>
          <w:sz w:val="20"/>
          <w:szCs w:val="20"/>
        </w:rPr>
        <w:t xml:space="preserve"> professio</w:t>
      </w:r>
      <w:r w:rsidR="00C62F53" w:rsidRPr="002D0738">
        <w:rPr>
          <w:rFonts w:ascii="Verdana" w:hAnsi="Verdana"/>
          <w:sz w:val="20"/>
          <w:szCs w:val="20"/>
        </w:rPr>
        <w:t>nal use</w:t>
      </w:r>
      <w:r w:rsidRPr="002D0738">
        <w:rPr>
          <w:rFonts w:ascii="Verdana" w:hAnsi="Verdana"/>
          <w:sz w:val="20"/>
          <w:szCs w:val="20"/>
        </w:rPr>
        <w:t>rs</w:t>
      </w:r>
      <w:r w:rsidR="00C62F53" w:rsidRPr="002D0738">
        <w:rPr>
          <w:rFonts w:ascii="Verdana" w:hAnsi="Verdana"/>
          <w:sz w:val="20"/>
          <w:szCs w:val="20"/>
        </w:rPr>
        <w:t xml:space="preserve"> of</w:t>
      </w:r>
      <w:r w:rsidRPr="002D0738">
        <w:rPr>
          <w:rFonts w:ascii="Verdana" w:hAnsi="Verdana"/>
          <w:sz w:val="20"/>
          <w:szCs w:val="20"/>
        </w:rPr>
        <w:t xml:space="preserve"> carbon disulfide as a</w:t>
      </w:r>
      <w:r w:rsidR="00C62F53" w:rsidRPr="002D0738">
        <w:rPr>
          <w:rFonts w:ascii="Verdana" w:hAnsi="Verdana"/>
          <w:sz w:val="20"/>
          <w:szCs w:val="20"/>
        </w:rPr>
        <w:t xml:space="preserve"> laboratory chemical (PROC 15)</w:t>
      </w:r>
      <w:r w:rsidRPr="002D0738">
        <w:rPr>
          <w:rFonts w:ascii="Verdana" w:hAnsi="Verdana"/>
          <w:sz w:val="20"/>
          <w:szCs w:val="20"/>
        </w:rPr>
        <w:t>,</w:t>
      </w:r>
      <w:r w:rsidR="002D0738">
        <w:rPr>
          <w:rFonts w:ascii="Verdana" w:hAnsi="Verdana"/>
          <w:sz w:val="20"/>
          <w:szCs w:val="20"/>
        </w:rPr>
        <w:t xml:space="preserve"> </w:t>
      </w:r>
      <w:r w:rsidR="00C62F53" w:rsidRPr="002D0738">
        <w:rPr>
          <w:rFonts w:ascii="Verdana" w:hAnsi="Verdana"/>
          <w:sz w:val="20"/>
          <w:szCs w:val="20"/>
        </w:rPr>
        <w:t xml:space="preserve">exposure data </w:t>
      </w:r>
      <w:r w:rsidRPr="002D0738">
        <w:rPr>
          <w:rFonts w:ascii="Verdana" w:hAnsi="Verdana"/>
          <w:sz w:val="20"/>
          <w:szCs w:val="20"/>
        </w:rPr>
        <w:t>at the current IOELV was modelised</w:t>
      </w:r>
      <w:r w:rsidR="00C62F53" w:rsidRPr="002D0738">
        <w:rPr>
          <w:rFonts w:ascii="Verdana" w:hAnsi="Verdana"/>
          <w:sz w:val="20"/>
          <w:szCs w:val="20"/>
        </w:rPr>
        <w:t>.</w:t>
      </w:r>
      <w:r w:rsidR="00C62F53">
        <w:rPr>
          <w:rFonts w:ascii="Verdana" w:hAnsi="Verdana"/>
          <w:sz w:val="20"/>
          <w:szCs w:val="20"/>
        </w:rPr>
        <w:t xml:space="preserve"> </w:t>
      </w:r>
      <w:r w:rsidR="000E2B76">
        <w:rPr>
          <w:rFonts w:ascii="Verdana" w:hAnsi="Verdana"/>
          <w:sz w:val="20"/>
          <w:szCs w:val="20"/>
        </w:rPr>
        <w:t>T</w:t>
      </w:r>
      <w:r w:rsidR="005567C8" w:rsidRPr="00672957">
        <w:rPr>
          <w:rFonts w:ascii="Verdana" w:hAnsi="Verdana"/>
          <w:sz w:val="20"/>
          <w:szCs w:val="20"/>
        </w:rPr>
        <w:t>hese data are questionab</w:t>
      </w:r>
      <w:r w:rsidR="00914758">
        <w:rPr>
          <w:rFonts w:ascii="Verdana" w:hAnsi="Verdana"/>
          <w:sz w:val="20"/>
          <w:szCs w:val="20"/>
        </w:rPr>
        <w:t>le regarding the</w:t>
      </w:r>
      <w:r w:rsidR="005567C8" w:rsidRPr="00672957">
        <w:rPr>
          <w:rFonts w:ascii="Verdana" w:hAnsi="Verdana"/>
          <w:sz w:val="20"/>
          <w:szCs w:val="20"/>
        </w:rPr>
        <w:t xml:space="preserve"> relevance and robustness</w:t>
      </w:r>
      <w:r w:rsidR="00532ADF">
        <w:rPr>
          <w:rFonts w:ascii="Verdana" w:hAnsi="Verdana"/>
          <w:sz w:val="20"/>
          <w:szCs w:val="20"/>
        </w:rPr>
        <w:t xml:space="preserve"> as the model may </w:t>
      </w:r>
      <w:r w:rsidR="00914758">
        <w:rPr>
          <w:rFonts w:ascii="Verdana" w:hAnsi="Verdana"/>
          <w:sz w:val="20"/>
          <w:szCs w:val="20"/>
        </w:rPr>
        <w:t>underestimate the exposure</w:t>
      </w:r>
      <w:r w:rsidR="00532ADF">
        <w:rPr>
          <w:rFonts w:ascii="Verdana" w:hAnsi="Verdana"/>
          <w:sz w:val="20"/>
          <w:szCs w:val="20"/>
        </w:rPr>
        <w:t xml:space="preserve"> for very volatile substances like carbon disulfide</w:t>
      </w:r>
      <w:r w:rsidR="00914758">
        <w:rPr>
          <w:rFonts w:ascii="Verdana" w:hAnsi="Verdana"/>
          <w:sz w:val="20"/>
          <w:szCs w:val="20"/>
        </w:rPr>
        <w:t xml:space="preserve"> and as dermal exposure was not taken into account</w:t>
      </w:r>
      <w:r w:rsidR="005567C8" w:rsidRPr="00672957">
        <w:rPr>
          <w:rFonts w:ascii="Verdana" w:hAnsi="Verdana"/>
          <w:sz w:val="20"/>
          <w:szCs w:val="20"/>
        </w:rPr>
        <w:t xml:space="preserve">. </w:t>
      </w:r>
      <w:r w:rsidR="00EF083B">
        <w:rPr>
          <w:rFonts w:ascii="Verdana" w:hAnsi="Verdana"/>
          <w:sz w:val="20"/>
          <w:szCs w:val="20"/>
        </w:rPr>
        <w:t>Considering these estimated exposures and the IOELV, the RCR was set at 1. In contrast, h</w:t>
      </w:r>
      <w:r w:rsidR="00767A78">
        <w:rPr>
          <w:rFonts w:ascii="Verdana" w:hAnsi="Verdana"/>
          <w:sz w:val="20"/>
          <w:szCs w:val="20"/>
        </w:rPr>
        <w:t>igh exposure levels</w:t>
      </w:r>
      <w:r w:rsidR="00EF083B">
        <w:rPr>
          <w:rFonts w:ascii="Verdana" w:hAnsi="Verdana"/>
          <w:sz w:val="20"/>
          <w:szCs w:val="20"/>
        </w:rPr>
        <w:t xml:space="preserve"> to carbon disulfide</w:t>
      </w:r>
      <w:r w:rsidR="00767A78">
        <w:rPr>
          <w:rFonts w:ascii="Verdana" w:hAnsi="Verdana"/>
          <w:sz w:val="20"/>
          <w:szCs w:val="20"/>
        </w:rPr>
        <w:t xml:space="preserve"> have been reported </w:t>
      </w:r>
      <w:r w:rsidR="00EF083B">
        <w:rPr>
          <w:rFonts w:ascii="Verdana" w:hAnsi="Verdana"/>
          <w:sz w:val="20"/>
          <w:szCs w:val="20"/>
        </w:rPr>
        <w:t xml:space="preserve">for workers </w:t>
      </w:r>
      <w:r w:rsidR="00767A78">
        <w:rPr>
          <w:rFonts w:ascii="Verdana" w:hAnsi="Verdana"/>
          <w:sz w:val="20"/>
          <w:szCs w:val="20"/>
        </w:rPr>
        <w:t>in the literature</w:t>
      </w:r>
      <w:r w:rsidR="000E2B76">
        <w:rPr>
          <w:rFonts w:ascii="Verdana" w:hAnsi="Verdana"/>
          <w:sz w:val="20"/>
          <w:szCs w:val="20"/>
        </w:rPr>
        <w:t>, above IOELV</w:t>
      </w:r>
      <w:r w:rsidR="00767A78">
        <w:rPr>
          <w:rFonts w:ascii="Verdana" w:hAnsi="Verdana"/>
          <w:sz w:val="20"/>
          <w:szCs w:val="20"/>
        </w:rPr>
        <w:t>.</w:t>
      </w:r>
    </w:p>
    <w:p w14:paraId="54C524AC" w14:textId="77777777" w:rsidR="00EF083B" w:rsidRDefault="00EF083B" w:rsidP="00F1478B">
      <w:pPr>
        <w:spacing w:after="0"/>
        <w:jc w:val="both"/>
        <w:rPr>
          <w:rFonts w:ascii="Verdana" w:hAnsi="Verdana"/>
          <w:sz w:val="20"/>
          <w:szCs w:val="20"/>
        </w:rPr>
      </w:pPr>
    </w:p>
    <w:p w14:paraId="5699E6E4" w14:textId="1A23DA8A" w:rsidR="005567C8" w:rsidRPr="00673013" w:rsidRDefault="00EF083B" w:rsidP="00F1478B">
      <w:pPr>
        <w:spacing w:after="0"/>
        <w:jc w:val="both"/>
        <w:rPr>
          <w:rFonts w:ascii="Verdana" w:hAnsi="Verdana"/>
          <w:b/>
          <w:sz w:val="20"/>
          <w:szCs w:val="20"/>
        </w:rPr>
      </w:pPr>
      <w:r w:rsidRPr="00673013">
        <w:rPr>
          <w:rFonts w:ascii="Verdana" w:hAnsi="Verdana"/>
          <w:b/>
          <w:sz w:val="20"/>
          <w:szCs w:val="20"/>
        </w:rPr>
        <w:t xml:space="preserve">In the framework of the public consultation, </w:t>
      </w:r>
      <w:r>
        <w:rPr>
          <w:rFonts w:ascii="Verdana" w:hAnsi="Verdana"/>
          <w:b/>
          <w:sz w:val="20"/>
          <w:szCs w:val="20"/>
        </w:rPr>
        <w:t>FR-MSCA</w:t>
      </w:r>
      <w:r w:rsidRPr="00673013">
        <w:rPr>
          <w:rFonts w:ascii="Verdana" w:hAnsi="Verdana"/>
          <w:b/>
          <w:sz w:val="20"/>
          <w:szCs w:val="20"/>
        </w:rPr>
        <w:t xml:space="preserve"> ask</w:t>
      </w:r>
      <w:r>
        <w:rPr>
          <w:rFonts w:ascii="Verdana" w:hAnsi="Verdana"/>
          <w:b/>
          <w:sz w:val="20"/>
          <w:szCs w:val="20"/>
        </w:rPr>
        <w:t>s</w:t>
      </w:r>
      <w:r w:rsidRPr="00673013">
        <w:rPr>
          <w:rFonts w:ascii="Verdana" w:hAnsi="Verdana"/>
          <w:b/>
          <w:sz w:val="20"/>
          <w:szCs w:val="20"/>
        </w:rPr>
        <w:t xml:space="preserve"> if a</w:t>
      </w:r>
      <w:r w:rsidR="00532ADF" w:rsidRPr="00673013">
        <w:rPr>
          <w:rFonts w:ascii="Verdana" w:hAnsi="Verdana"/>
          <w:b/>
          <w:sz w:val="20"/>
          <w:szCs w:val="20"/>
        </w:rPr>
        <w:t>dditional recent m</w:t>
      </w:r>
      <w:r w:rsidR="005567C8" w:rsidRPr="00673013">
        <w:rPr>
          <w:rFonts w:ascii="Verdana" w:hAnsi="Verdana"/>
          <w:b/>
          <w:sz w:val="20"/>
          <w:szCs w:val="20"/>
        </w:rPr>
        <w:t>odelling data (static and personal sampling, biomonitoring</w:t>
      </w:r>
      <w:r w:rsidR="00914758" w:rsidRPr="00673013">
        <w:rPr>
          <w:rFonts w:ascii="Verdana" w:hAnsi="Verdana"/>
          <w:b/>
          <w:sz w:val="20"/>
          <w:szCs w:val="20"/>
        </w:rPr>
        <w:t>, dermal exposure</w:t>
      </w:r>
      <w:r w:rsidR="005567C8" w:rsidRPr="00673013">
        <w:rPr>
          <w:rFonts w:ascii="Verdana" w:hAnsi="Verdana"/>
          <w:b/>
          <w:sz w:val="20"/>
          <w:szCs w:val="20"/>
        </w:rPr>
        <w:t xml:space="preserve">) </w:t>
      </w:r>
      <w:r w:rsidRPr="00673013">
        <w:rPr>
          <w:rFonts w:ascii="Verdana" w:hAnsi="Verdana"/>
          <w:b/>
          <w:sz w:val="20"/>
          <w:szCs w:val="20"/>
        </w:rPr>
        <w:t xml:space="preserve">is available </w:t>
      </w:r>
      <w:r w:rsidR="005567C8" w:rsidRPr="00673013">
        <w:rPr>
          <w:rFonts w:ascii="Verdana" w:hAnsi="Verdana"/>
          <w:b/>
          <w:sz w:val="20"/>
          <w:szCs w:val="20"/>
        </w:rPr>
        <w:t xml:space="preserve">to </w:t>
      </w:r>
      <w:r w:rsidR="00241483" w:rsidRPr="00673013">
        <w:rPr>
          <w:rFonts w:ascii="Verdana" w:hAnsi="Verdana"/>
          <w:b/>
          <w:sz w:val="20"/>
          <w:szCs w:val="20"/>
        </w:rPr>
        <w:t>robustly</w:t>
      </w:r>
      <w:r w:rsidR="00532ADF" w:rsidRPr="00673013">
        <w:rPr>
          <w:rFonts w:ascii="Verdana" w:hAnsi="Verdana"/>
          <w:b/>
          <w:sz w:val="20"/>
          <w:szCs w:val="20"/>
        </w:rPr>
        <w:t xml:space="preserve"> </w:t>
      </w:r>
      <w:r w:rsidR="005567C8" w:rsidRPr="00673013">
        <w:rPr>
          <w:rFonts w:ascii="Verdana" w:hAnsi="Verdana"/>
          <w:b/>
          <w:sz w:val="20"/>
          <w:szCs w:val="20"/>
        </w:rPr>
        <w:t xml:space="preserve">demonstrate </w:t>
      </w:r>
      <w:r w:rsidR="009F2CA8" w:rsidRPr="00673013">
        <w:rPr>
          <w:rFonts w:ascii="Verdana" w:hAnsi="Verdana"/>
          <w:b/>
          <w:sz w:val="20"/>
          <w:szCs w:val="20"/>
        </w:rPr>
        <w:t xml:space="preserve">safe use of </w:t>
      </w:r>
      <w:r w:rsidR="00767A78" w:rsidRPr="00673013">
        <w:rPr>
          <w:rFonts w:ascii="Verdana" w:hAnsi="Verdana"/>
          <w:b/>
          <w:sz w:val="20"/>
          <w:szCs w:val="20"/>
        </w:rPr>
        <w:t>carbon disulfide</w:t>
      </w:r>
      <w:r w:rsidR="005567C8" w:rsidRPr="00673013">
        <w:rPr>
          <w:rFonts w:ascii="Verdana" w:hAnsi="Verdana"/>
          <w:b/>
          <w:sz w:val="20"/>
          <w:szCs w:val="20"/>
        </w:rPr>
        <w:t>.</w:t>
      </w:r>
      <w:r w:rsidR="006F05C9" w:rsidRPr="00673013">
        <w:rPr>
          <w:rFonts w:ascii="Verdana" w:hAnsi="Verdana"/>
          <w:b/>
          <w:sz w:val="20"/>
          <w:szCs w:val="20"/>
        </w:rPr>
        <w:t xml:space="preserve"> </w:t>
      </w:r>
      <w:r w:rsidR="009F2CA8" w:rsidRPr="00673013">
        <w:rPr>
          <w:rFonts w:ascii="Verdana" w:hAnsi="Verdana"/>
          <w:b/>
          <w:sz w:val="20"/>
          <w:szCs w:val="20"/>
        </w:rPr>
        <w:t xml:space="preserve">Otherwise, </w:t>
      </w:r>
      <w:r w:rsidR="005725D0" w:rsidRPr="00673013">
        <w:rPr>
          <w:rFonts w:ascii="Verdana" w:hAnsi="Verdana"/>
          <w:b/>
          <w:sz w:val="20"/>
          <w:szCs w:val="20"/>
        </w:rPr>
        <w:t xml:space="preserve">a </w:t>
      </w:r>
      <w:r w:rsidR="009F2CA8" w:rsidRPr="00673013">
        <w:rPr>
          <w:rFonts w:ascii="Verdana" w:hAnsi="Verdana"/>
          <w:b/>
          <w:sz w:val="20"/>
          <w:szCs w:val="20"/>
        </w:rPr>
        <w:t>restr</w:t>
      </w:r>
      <w:r w:rsidR="003D5974" w:rsidRPr="00673013">
        <w:rPr>
          <w:rFonts w:ascii="Verdana" w:hAnsi="Verdana"/>
          <w:b/>
          <w:sz w:val="20"/>
          <w:szCs w:val="20"/>
        </w:rPr>
        <w:t>ict</w:t>
      </w:r>
      <w:r w:rsidR="005725D0" w:rsidRPr="00673013">
        <w:rPr>
          <w:rFonts w:ascii="Verdana" w:hAnsi="Verdana"/>
          <w:b/>
          <w:sz w:val="20"/>
          <w:szCs w:val="20"/>
        </w:rPr>
        <w:t>ion of</w:t>
      </w:r>
      <w:r w:rsidR="009F2CA8" w:rsidRPr="00673013">
        <w:rPr>
          <w:rFonts w:ascii="Verdana" w:hAnsi="Verdana"/>
          <w:b/>
          <w:sz w:val="20"/>
          <w:szCs w:val="20"/>
        </w:rPr>
        <w:t xml:space="preserve"> these uses to ensure safe use of </w:t>
      </w:r>
      <w:r w:rsidR="005725D0" w:rsidRPr="00673013">
        <w:rPr>
          <w:rFonts w:ascii="Verdana" w:hAnsi="Verdana"/>
          <w:b/>
          <w:sz w:val="20"/>
          <w:szCs w:val="20"/>
        </w:rPr>
        <w:t>carbon disulfide would be an option</w:t>
      </w:r>
      <w:r w:rsidR="009F2CA8" w:rsidRPr="00673013">
        <w:rPr>
          <w:rFonts w:ascii="Verdana" w:hAnsi="Verdana"/>
          <w:b/>
          <w:sz w:val="20"/>
          <w:szCs w:val="20"/>
        </w:rPr>
        <w:t>.</w:t>
      </w:r>
      <w:r w:rsidR="006E4487" w:rsidRPr="00673013">
        <w:rPr>
          <w:rFonts w:ascii="Verdana" w:hAnsi="Verdana"/>
          <w:b/>
          <w:sz w:val="20"/>
          <w:szCs w:val="20"/>
        </w:rPr>
        <w:t xml:space="preserve"> Adequate control of the substance could be ensure</w:t>
      </w:r>
      <w:r w:rsidR="00632B92" w:rsidRPr="00673013">
        <w:rPr>
          <w:rFonts w:ascii="Verdana" w:hAnsi="Verdana"/>
          <w:b/>
          <w:sz w:val="20"/>
          <w:szCs w:val="20"/>
        </w:rPr>
        <w:t>d</w:t>
      </w:r>
      <w:r w:rsidR="006E4487" w:rsidRPr="00673013">
        <w:rPr>
          <w:rFonts w:ascii="Verdana" w:hAnsi="Verdana"/>
          <w:b/>
          <w:sz w:val="20"/>
          <w:szCs w:val="20"/>
        </w:rPr>
        <w:t xml:space="preserve"> defining mandatory inhalation and dermal DNELs.   </w:t>
      </w:r>
    </w:p>
    <w:p w14:paraId="00BB9A79" w14:textId="77777777" w:rsidR="005725D0" w:rsidRDefault="005725D0" w:rsidP="00F1478B">
      <w:pPr>
        <w:spacing w:after="0"/>
        <w:jc w:val="both"/>
        <w:rPr>
          <w:rFonts w:ascii="Verdana" w:hAnsi="Verdana"/>
          <w:sz w:val="20"/>
          <w:szCs w:val="20"/>
        </w:rPr>
      </w:pPr>
    </w:p>
    <w:p w14:paraId="6DDC3DFF" w14:textId="2DF50933" w:rsidR="003D5974" w:rsidRDefault="003D5974" w:rsidP="00F1478B">
      <w:pPr>
        <w:spacing w:after="0"/>
        <w:jc w:val="both"/>
        <w:rPr>
          <w:rFonts w:ascii="Verdana" w:hAnsi="Verdana"/>
          <w:sz w:val="20"/>
          <w:szCs w:val="20"/>
        </w:rPr>
      </w:pPr>
      <w:r>
        <w:rPr>
          <w:rFonts w:ascii="Verdana" w:hAnsi="Verdana"/>
          <w:sz w:val="20"/>
          <w:szCs w:val="20"/>
        </w:rPr>
        <w:t>Factors to be considered to decide on th</w:t>
      </w:r>
      <w:r w:rsidR="00EF083B">
        <w:rPr>
          <w:rFonts w:ascii="Verdana" w:hAnsi="Verdana"/>
          <w:sz w:val="20"/>
          <w:szCs w:val="20"/>
        </w:rPr>
        <w:t>e relevance of this</w:t>
      </w:r>
      <w:r>
        <w:rPr>
          <w:rFonts w:ascii="Verdana" w:hAnsi="Verdana"/>
          <w:sz w:val="20"/>
          <w:szCs w:val="20"/>
        </w:rPr>
        <w:t xml:space="preserve"> </w:t>
      </w:r>
      <w:r w:rsidR="00C620D6">
        <w:rPr>
          <w:rFonts w:ascii="Verdana" w:hAnsi="Verdana"/>
          <w:sz w:val="20"/>
          <w:szCs w:val="20"/>
        </w:rPr>
        <w:t xml:space="preserve">management </w:t>
      </w:r>
      <w:r>
        <w:rPr>
          <w:rFonts w:ascii="Verdana" w:hAnsi="Verdana"/>
          <w:sz w:val="20"/>
          <w:szCs w:val="20"/>
        </w:rPr>
        <w:t>measure are:</w:t>
      </w:r>
    </w:p>
    <w:p w14:paraId="5F534B58" w14:textId="7ED19303" w:rsidR="003D5974" w:rsidRDefault="003D5974" w:rsidP="00673013">
      <w:pPr>
        <w:spacing w:after="0"/>
        <w:ind w:left="720"/>
        <w:jc w:val="both"/>
        <w:rPr>
          <w:rFonts w:ascii="Verdana" w:hAnsi="Verdana"/>
          <w:sz w:val="20"/>
          <w:szCs w:val="20"/>
        </w:rPr>
      </w:pPr>
      <w:r>
        <w:rPr>
          <w:rFonts w:ascii="Verdana" w:hAnsi="Verdana"/>
          <w:sz w:val="20"/>
          <w:szCs w:val="20"/>
        </w:rPr>
        <w:t>- the number of worker</w:t>
      </w:r>
      <w:r w:rsidR="00141082">
        <w:rPr>
          <w:rFonts w:ascii="Verdana" w:hAnsi="Verdana"/>
          <w:sz w:val="20"/>
          <w:szCs w:val="20"/>
        </w:rPr>
        <w:t>s</w:t>
      </w:r>
      <w:r>
        <w:rPr>
          <w:rFonts w:ascii="Verdana" w:hAnsi="Verdana"/>
          <w:sz w:val="20"/>
          <w:szCs w:val="20"/>
        </w:rPr>
        <w:t xml:space="preserve"> exposed </w:t>
      </w:r>
      <w:r w:rsidR="005725D0">
        <w:rPr>
          <w:rFonts w:ascii="Verdana" w:hAnsi="Verdana"/>
          <w:sz w:val="20"/>
          <w:szCs w:val="20"/>
        </w:rPr>
        <w:t xml:space="preserve">to carbon disulfide </w:t>
      </w:r>
      <w:r>
        <w:rPr>
          <w:rFonts w:ascii="Verdana" w:hAnsi="Verdana"/>
          <w:sz w:val="20"/>
          <w:szCs w:val="20"/>
        </w:rPr>
        <w:t>above the IO</w:t>
      </w:r>
      <w:r w:rsidR="000E2B76">
        <w:rPr>
          <w:rFonts w:ascii="Verdana" w:hAnsi="Verdana"/>
          <w:sz w:val="20"/>
          <w:szCs w:val="20"/>
        </w:rPr>
        <w:t>E</w:t>
      </w:r>
      <w:r>
        <w:rPr>
          <w:rFonts w:ascii="Verdana" w:hAnsi="Verdana"/>
          <w:sz w:val="20"/>
          <w:szCs w:val="20"/>
        </w:rPr>
        <w:t>L</w:t>
      </w:r>
      <w:r w:rsidR="005725D0">
        <w:rPr>
          <w:rFonts w:ascii="Verdana" w:hAnsi="Verdana"/>
          <w:sz w:val="20"/>
          <w:szCs w:val="20"/>
        </w:rPr>
        <w:t>V</w:t>
      </w:r>
      <w:r>
        <w:rPr>
          <w:rFonts w:ascii="Verdana" w:hAnsi="Verdana"/>
          <w:sz w:val="20"/>
          <w:szCs w:val="20"/>
        </w:rPr>
        <w:t>?</w:t>
      </w:r>
    </w:p>
    <w:p w14:paraId="174C11A4" w14:textId="2AEBD84C" w:rsidR="003D5974" w:rsidRDefault="003D5974" w:rsidP="00673013">
      <w:pPr>
        <w:spacing w:after="0"/>
        <w:ind w:left="720"/>
        <w:jc w:val="both"/>
        <w:rPr>
          <w:rFonts w:ascii="Verdana" w:hAnsi="Verdana"/>
          <w:sz w:val="20"/>
          <w:szCs w:val="20"/>
        </w:rPr>
      </w:pPr>
      <w:r>
        <w:rPr>
          <w:rFonts w:ascii="Verdana" w:hAnsi="Verdana"/>
          <w:sz w:val="20"/>
          <w:szCs w:val="20"/>
        </w:rPr>
        <w:t>- possibility of substituti</w:t>
      </w:r>
      <w:r w:rsidR="000E2B76">
        <w:rPr>
          <w:rFonts w:ascii="Verdana" w:hAnsi="Verdana"/>
          <w:sz w:val="20"/>
          <w:szCs w:val="20"/>
        </w:rPr>
        <w:t>on</w:t>
      </w:r>
      <w:r>
        <w:rPr>
          <w:rFonts w:ascii="Verdana" w:hAnsi="Verdana"/>
          <w:sz w:val="20"/>
          <w:szCs w:val="20"/>
        </w:rPr>
        <w:t>, in particular for laboratory uses</w:t>
      </w:r>
    </w:p>
    <w:p w14:paraId="4228AA8C" w14:textId="77777777" w:rsidR="006E4487" w:rsidRDefault="006E4487" w:rsidP="00673013">
      <w:pPr>
        <w:spacing w:after="0"/>
        <w:ind w:left="720"/>
        <w:jc w:val="both"/>
        <w:rPr>
          <w:rFonts w:ascii="Verdana" w:hAnsi="Verdana"/>
          <w:sz w:val="20"/>
          <w:szCs w:val="20"/>
          <w:lang w:val="en-US"/>
        </w:rPr>
      </w:pPr>
      <w:r w:rsidRPr="002D0738">
        <w:rPr>
          <w:rFonts w:ascii="Verdana" w:hAnsi="Verdana"/>
          <w:sz w:val="20"/>
          <w:szCs w:val="20"/>
          <w:lang w:val="en-US"/>
        </w:rPr>
        <w:t xml:space="preserve">- Existing OC and RMM available at industrial settings </w:t>
      </w:r>
    </w:p>
    <w:p w14:paraId="481BFC1D" w14:textId="3916D641" w:rsidR="003D5974" w:rsidRPr="002D0738" w:rsidRDefault="006E4487" w:rsidP="00673013">
      <w:pPr>
        <w:spacing w:after="0"/>
        <w:ind w:left="720"/>
        <w:jc w:val="both"/>
        <w:rPr>
          <w:rFonts w:ascii="Verdana" w:hAnsi="Verdana"/>
          <w:sz w:val="20"/>
          <w:szCs w:val="20"/>
          <w:lang w:val="en-US"/>
        </w:rPr>
      </w:pPr>
      <w:r>
        <w:rPr>
          <w:rFonts w:ascii="Verdana" w:hAnsi="Verdana"/>
          <w:sz w:val="20"/>
          <w:szCs w:val="20"/>
          <w:lang w:val="en-US"/>
        </w:rPr>
        <w:t>- OC and RMMs feasibility for</w:t>
      </w:r>
      <w:r w:rsidRPr="002D0738">
        <w:rPr>
          <w:rFonts w:ascii="Verdana" w:hAnsi="Verdana"/>
          <w:sz w:val="20"/>
          <w:szCs w:val="20"/>
          <w:lang w:val="en-US"/>
        </w:rPr>
        <w:t xml:space="preserve"> professional workers</w:t>
      </w:r>
    </w:p>
    <w:p w14:paraId="065CBCC2" w14:textId="36BA4151" w:rsidR="00DE115F" w:rsidRPr="006E4487" w:rsidRDefault="00DE115F" w:rsidP="00F1478B">
      <w:pPr>
        <w:spacing w:after="0"/>
        <w:jc w:val="both"/>
        <w:rPr>
          <w:rFonts w:ascii="Verdana" w:hAnsi="Verdana"/>
          <w:sz w:val="20"/>
          <w:szCs w:val="20"/>
        </w:rPr>
      </w:pPr>
    </w:p>
    <w:p w14:paraId="6D89EEED" w14:textId="5E7070E0" w:rsidR="00DE115F" w:rsidRPr="006E4487" w:rsidRDefault="00DE115F" w:rsidP="00F1478B">
      <w:pPr>
        <w:spacing w:after="0"/>
        <w:jc w:val="both"/>
        <w:rPr>
          <w:rFonts w:ascii="Verdana" w:hAnsi="Verdana"/>
          <w:sz w:val="20"/>
          <w:szCs w:val="20"/>
          <w:lang w:val="en-US"/>
        </w:rPr>
      </w:pPr>
    </w:p>
    <w:p w14:paraId="72121983" w14:textId="0A32E14D" w:rsidR="00FD58AE" w:rsidRPr="004A03E1" w:rsidRDefault="008C6D58" w:rsidP="00ED47FC">
      <w:pPr>
        <w:pStyle w:val="Titre3"/>
        <w:numPr>
          <w:ilvl w:val="0"/>
          <w:numId w:val="0"/>
        </w:numPr>
        <w:spacing w:line="276" w:lineRule="auto"/>
      </w:pPr>
      <w:bookmarkStart w:id="27" w:name="_Toc387819861"/>
      <w:bookmarkStart w:id="28" w:name="_Toc92456983"/>
      <w:bookmarkStart w:id="29" w:name="_Toc117776293"/>
      <w:r>
        <w:t>2.</w:t>
      </w:r>
      <w:r w:rsidR="005D3DEB">
        <w:t>5</w:t>
      </w:r>
      <w:r>
        <w:t xml:space="preserve"> </w:t>
      </w:r>
      <w:r w:rsidR="00FD58AE">
        <w:t>O</w:t>
      </w:r>
      <w:r w:rsidR="00FD58AE" w:rsidRPr="004A03E1">
        <w:t>ther EU-wide regulatory risk management measures</w:t>
      </w:r>
      <w:bookmarkEnd w:id="27"/>
      <w:bookmarkEnd w:id="28"/>
      <w:r w:rsidR="00F945A6">
        <w:t>: CAD</w:t>
      </w:r>
      <w:bookmarkEnd w:id="29"/>
    </w:p>
    <w:p w14:paraId="7DB0E4E3" w14:textId="3B12497A" w:rsidR="00F945A6" w:rsidRDefault="00D54111" w:rsidP="00ED47FC">
      <w:pPr>
        <w:pStyle w:val="Corpsdetexte"/>
        <w:spacing w:line="276" w:lineRule="auto"/>
        <w:jc w:val="both"/>
        <w:rPr>
          <w:rFonts w:ascii="Verdana" w:hAnsi="Verdana"/>
          <w:sz w:val="20"/>
          <w:szCs w:val="20"/>
          <w:lang w:eastAsia="en-GB"/>
        </w:rPr>
      </w:pPr>
      <w:r w:rsidRPr="0052474E">
        <w:rPr>
          <w:rFonts w:ascii="Verdana" w:hAnsi="Verdana"/>
          <w:sz w:val="20"/>
          <w:szCs w:val="20"/>
          <w:lang w:eastAsia="en-GB"/>
        </w:rPr>
        <w:t xml:space="preserve">The main concern related to the use of </w:t>
      </w:r>
      <w:r w:rsidR="0052474E">
        <w:rPr>
          <w:rFonts w:ascii="Verdana" w:hAnsi="Verdana"/>
          <w:sz w:val="20"/>
          <w:szCs w:val="20"/>
          <w:lang w:eastAsia="en-GB"/>
        </w:rPr>
        <w:t>carbon disulfide</w:t>
      </w:r>
      <w:r w:rsidRPr="0052474E">
        <w:rPr>
          <w:rFonts w:ascii="Verdana" w:hAnsi="Verdana"/>
          <w:sz w:val="20"/>
          <w:szCs w:val="20"/>
          <w:lang w:eastAsia="en-GB"/>
        </w:rPr>
        <w:t xml:space="preserve"> </w:t>
      </w:r>
      <w:r w:rsidR="0052474E">
        <w:rPr>
          <w:rFonts w:ascii="Verdana" w:hAnsi="Verdana"/>
          <w:sz w:val="20"/>
          <w:szCs w:val="20"/>
          <w:lang w:eastAsia="en-GB"/>
        </w:rPr>
        <w:t>is worker exposure</w:t>
      </w:r>
      <w:r w:rsidRPr="00BC0280">
        <w:rPr>
          <w:i/>
        </w:rPr>
        <w:t xml:space="preserve">. </w:t>
      </w:r>
      <w:r w:rsidR="0052474E" w:rsidRPr="0052474E">
        <w:rPr>
          <w:rFonts w:ascii="Verdana" w:hAnsi="Verdana"/>
          <w:sz w:val="20"/>
          <w:szCs w:val="20"/>
          <w:lang w:eastAsia="en-GB"/>
        </w:rPr>
        <w:t xml:space="preserve">In the case of carbon </w:t>
      </w:r>
      <w:r w:rsidR="00482EE8">
        <w:rPr>
          <w:rFonts w:ascii="Verdana" w:hAnsi="Verdana"/>
          <w:sz w:val="20"/>
          <w:szCs w:val="20"/>
          <w:lang w:eastAsia="en-GB"/>
        </w:rPr>
        <w:t>disulfide</w:t>
      </w:r>
      <w:r w:rsidR="0052474E" w:rsidRPr="0052474E">
        <w:rPr>
          <w:rFonts w:ascii="Verdana" w:hAnsi="Verdana"/>
          <w:sz w:val="20"/>
          <w:szCs w:val="20"/>
          <w:lang w:eastAsia="en-GB"/>
        </w:rPr>
        <w:t>, an IOEL</w:t>
      </w:r>
      <w:r w:rsidR="00F945A6">
        <w:rPr>
          <w:rFonts w:ascii="Verdana" w:hAnsi="Verdana"/>
          <w:sz w:val="20"/>
          <w:szCs w:val="20"/>
          <w:lang w:eastAsia="en-GB"/>
        </w:rPr>
        <w:t>V</w:t>
      </w:r>
      <w:r w:rsidR="0052474E" w:rsidRPr="0052474E">
        <w:rPr>
          <w:rFonts w:ascii="Verdana" w:hAnsi="Verdana"/>
          <w:sz w:val="20"/>
          <w:szCs w:val="20"/>
          <w:lang w:eastAsia="en-GB"/>
        </w:rPr>
        <w:t xml:space="preserve"> has been set meaning that</w:t>
      </w:r>
      <w:r w:rsidRPr="0052474E">
        <w:rPr>
          <w:rFonts w:ascii="Verdana" w:hAnsi="Verdana"/>
          <w:sz w:val="20"/>
          <w:szCs w:val="20"/>
          <w:lang w:eastAsia="en-GB"/>
        </w:rPr>
        <w:t xml:space="preserve"> all </w:t>
      </w:r>
      <w:r w:rsidR="000C7C65">
        <w:rPr>
          <w:rFonts w:ascii="Verdana" w:hAnsi="Verdana"/>
          <w:sz w:val="20"/>
          <w:szCs w:val="20"/>
          <w:lang w:eastAsia="en-GB"/>
        </w:rPr>
        <w:t>M</w:t>
      </w:r>
      <w:r w:rsidRPr="0052474E">
        <w:rPr>
          <w:rFonts w:ascii="Verdana" w:hAnsi="Verdana"/>
          <w:sz w:val="20"/>
          <w:szCs w:val="20"/>
          <w:lang w:eastAsia="en-GB"/>
        </w:rPr>
        <w:t>ember states must set a national OEL for the substance, taking the IOEL</w:t>
      </w:r>
      <w:r w:rsidR="00F945A6">
        <w:rPr>
          <w:rFonts w:ascii="Verdana" w:hAnsi="Verdana"/>
          <w:sz w:val="20"/>
          <w:szCs w:val="20"/>
          <w:lang w:eastAsia="en-GB"/>
        </w:rPr>
        <w:t>V</w:t>
      </w:r>
      <w:r w:rsidRPr="0052474E">
        <w:rPr>
          <w:rFonts w:ascii="Verdana" w:hAnsi="Verdana"/>
          <w:sz w:val="20"/>
          <w:szCs w:val="20"/>
          <w:lang w:eastAsia="en-GB"/>
        </w:rPr>
        <w:t xml:space="preserve"> (and scienti</w:t>
      </w:r>
      <w:r w:rsidR="0052474E" w:rsidRPr="0052474E">
        <w:rPr>
          <w:rFonts w:ascii="Verdana" w:hAnsi="Verdana"/>
          <w:sz w:val="20"/>
          <w:szCs w:val="20"/>
          <w:lang w:eastAsia="en-GB"/>
        </w:rPr>
        <w:t>fic documentation) into account.</w:t>
      </w:r>
      <w:r w:rsidRPr="00F945A6">
        <w:rPr>
          <w:rFonts w:ascii="Verdana" w:hAnsi="Verdana"/>
          <w:sz w:val="20"/>
          <w:szCs w:val="20"/>
          <w:lang w:eastAsia="en-GB"/>
        </w:rPr>
        <w:t xml:space="preserve"> </w:t>
      </w:r>
      <w:r w:rsidR="00F945A6" w:rsidRPr="00F945A6">
        <w:rPr>
          <w:rFonts w:ascii="Verdana" w:hAnsi="Verdana"/>
          <w:sz w:val="20"/>
          <w:szCs w:val="20"/>
          <w:lang w:eastAsia="en-GB"/>
        </w:rPr>
        <w:t>However,</w:t>
      </w:r>
      <w:r w:rsidR="0052474E">
        <w:t xml:space="preserve"> </w:t>
      </w:r>
      <w:r w:rsidR="00F945A6">
        <w:rPr>
          <w:rFonts w:ascii="Verdana" w:hAnsi="Verdana"/>
          <w:sz w:val="20"/>
          <w:szCs w:val="20"/>
          <w:lang w:eastAsia="en-GB"/>
        </w:rPr>
        <w:t>n</w:t>
      </w:r>
      <w:r w:rsidRPr="0052474E">
        <w:rPr>
          <w:rFonts w:ascii="Verdana" w:hAnsi="Verdana"/>
          <w:sz w:val="20"/>
          <w:szCs w:val="20"/>
          <w:lang w:eastAsia="en-GB"/>
        </w:rPr>
        <w:t>ational OEL</w:t>
      </w:r>
      <w:r w:rsidR="000C7C65">
        <w:rPr>
          <w:rFonts w:ascii="Verdana" w:hAnsi="Verdana"/>
          <w:sz w:val="20"/>
          <w:szCs w:val="20"/>
          <w:lang w:eastAsia="en-GB"/>
        </w:rPr>
        <w:t>s</w:t>
      </w:r>
      <w:r w:rsidRPr="0052474E">
        <w:rPr>
          <w:rFonts w:ascii="Verdana" w:hAnsi="Verdana"/>
          <w:sz w:val="20"/>
          <w:szCs w:val="20"/>
          <w:lang w:eastAsia="en-GB"/>
        </w:rPr>
        <w:t xml:space="preserve"> do not have to be equal to the IOEL</w:t>
      </w:r>
      <w:r w:rsidR="00655137">
        <w:rPr>
          <w:rFonts w:ascii="Verdana" w:hAnsi="Verdana"/>
          <w:sz w:val="20"/>
          <w:szCs w:val="20"/>
          <w:lang w:eastAsia="en-GB"/>
        </w:rPr>
        <w:t>V</w:t>
      </w:r>
      <w:r w:rsidRPr="002D0738">
        <w:rPr>
          <w:rFonts w:ascii="Verdana" w:hAnsi="Verdana"/>
          <w:sz w:val="20"/>
          <w:szCs w:val="20"/>
          <w:lang w:eastAsia="en-GB"/>
        </w:rPr>
        <w:t xml:space="preserve">. </w:t>
      </w:r>
      <w:r w:rsidR="0060798D">
        <w:rPr>
          <w:rFonts w:ascii="Verdana" w:hAnsi="Verdana"/>
          <w:sz w:val="20"/>
          <w:szCs w:val="20"/>
          <w:lang w:eastAsia="en-GB"/>
        </w:rPr>
        <w:t>As</w:t>
      </w:r>
      <w:r w:rsidR="0052474E" w:rsidRPr="002D0738">
        <w:rPr>
          <w:rFonts w:ascii="Verdana" w:hAnsi="Verdana"/>
          <w:sz w:val="20"/>
          <w:szCs w:val="20"/>
          <w:lang w:eastAsia="en-GB"/>
        </w:rPr>
        <w:t xml:space="preserve"> seen in table </w:t>
      </w:r>
      <w:r w:rsidR="002D0738" w:rsidRPr="002D0738">
        <w:rPr>
          <w:rFonts w:ascii="Verdana" w:hAnsi="Verdana"/>
          <w:sz w:val="20"/>
          <w:szCs w:val="20"/>
          <w:lang w:eastAsia="en-GB"/>
        </w:rPr>
        <w:t>3</w:t>
      </w:r>
      <w:r w:rsidR="0052474E" w:rsidRPr="002D0738">
        <w:rPr>
          <w:i/>
        </w:rPr>
        <w:t xml:space="preserve">, </w:t>
      </w:r>
      <w:r w:rsidR="0052474E" w:rsidRPr="002D0738">
        <w:rPr>
          <w:rFonts w:ascii="Verdana" w:hAnsi="Verdana"/>
          <w:sz w:val="20"/>
          <w:szCs w:val="20"/>
          <w:lang w:eastAsia="en-GB"/>
        </w:rPr>
        <w:t>n</w:t>
      </w:r>
      <w:r w:rsidR="00F945A6" w:rsidRPr="002D0738">
        <w:rPr>
          <w:rFonts w:ascii="Verdana" w:hAnsi="Verdana"/>
          <w:sz w:val="20"/>
          <w:szCs w:val="20"/>
          <w:lang w:eastAsia="en-GB"/>
        </w:rPr>
        <w:t>ational</w:t>
      </w:r>
      <w:r w:rsidR="00F945A6">
        <w:rPr>
          <w:rFonts w:ascii="Verdana" w:hAnsi="Verdana"/>
          <w:sz w:val="20"/>
          <w:szCs w:val="20"/>
          <w:lang w:eastAsia="en-GB"/>
        </w:rPr>
        <w:t xml:space="preserve"> </w:t>
      </w:r>
      <w:r w:rsidRPr="0052474E">
        <w:rPr>
          <w:rFonts w:ascii="Verdana" w:hAnsi="Verdana"/>
          <w:sz w:val="20"/>
          <w:szCs w:val="20"/>
          <w:lang w:eastAsia="en-GB"/>
        </w:rPr>
        <w:t>OELs</w:t>
      </w:r>
      <w:r w:rsidR="00724227">
        <w:rPr>
          <w:rFonts w:ascii="Verdana" w:hAnsi="Verdana"/>
          <w:sz w:val="20"/>
          <w:szCs w:val="20"/>
          <w:lang w:eastAsia="en-GB"/>
        </w:rPr>
        <w:t xml:space="preserve"> lower or</w:t>
      </w:r>
      <w:r w:rsidRPr="0052474E">
        <w:rPr>
          <w:rFonts w:ascii="Verdana" w:hAnsi="Verdana"/>
          <w:sz w:val="20"/>
          <w:szCs w:val="20"/>
          <w:lang w:eastAsia="en-GB"/>
        </w:rPr>
        <w:t xml:space="preserve"> </w:t>
      </w:r>
      <w:r w:rsidR="0052474E" w:rsidRPr="0052474E">
        <w:rPr>
          <w:rFonts w:ascii="Verdana" w:hAnsi="Verdana"/>
          <w:sz w:val="20"/>
          <w:szCs w:val="20"/>
          <w:lang w:eastAsia="en-GB"/>
        </w:rPr>
        <w:t>higher than the</w:t>
      </w:r>
      <w:r w:rsidRPr="0052474E">
        <w:rPr>
          <w:rFonts w:ascii="Verdana" w:hAnsi="Verdana"/>
          <w:sz w:val="20"/>
          <w:szCs w:val="20"/>
          <w:lang w:eastAsia="en-GB"/>
        </w:rPr>
        <w:t xml:space="preserve"> IOEL</w:t>
      </w:r>
      <w:r w:rsidR="00F945A6">
        <w:rPr>
          <w:rFonts w:ascii="Verdana" w:hAnsi="Verdana"/>
          <w:sz w:val="20"/>
          <w:szCs w:val="20"/>
          <w:lang w:eastAsia="en-GB"/>
        </w:rPr>
        <w:t>V</w:t>
      </w:r>
      <w:r w:rsidR="0052474E" w:rsidRPr="0052474E">
        <w:rPr>
          <w:rFonts w:ascii="Verdana" w:hAnsi="Verdana"/>
          <w:sz w:val="20"/>
          <w:szCs w:val="20"/>
          <w:lang w:eastAsia="en-GB"/>
        </w:rPr>
        <w:t xml:space="preserve"> have </w:t>
      </w:r>
      <w:r w:rsidR="0052474E" w:rsidRPr="0052474E">
        <w:rPr>
          <w:rFonts w:ascii="Verdana" w:hAnsi="Verdana"/>
          <w:sz w:val="20"/>
          <w:szCs w:val="20"/>
          <w:lang w:eastAsia="en-GB"/>
        </w:rPr>
        <w:lastRenderedPageBreak/>
        <w:t>been set</w:t>
      </w:r>
      <w:r w:rsidR="00F945A6">
        <w:rPr>
          <w:rFonts w:ascii="Verdana" w:hAnsi="Verdana"/>
          <w:sz w:val="20"/>
          <w:szCs w:val="20"/>
          <w:lang w:eastAsia="en-GB"/>
        </w:rPr>
        <w:t xml:space="preserve"> within the EU</w:t>
      </w:r>
      <w:r w:rsidRPr="0052474E">
        <w:rPr>
          <w:rFonts w:ascii="Verdana" w:hAnsi="Verdana"/>
          <w:sz w:val="20"/>
          <w:szCs w:val="20"/>
          <w:lang w:eastAsia="en-GB"/>
        </w:rPr>
        <w:t xml:space="preserve">. </w:t>
      </w:r>
      <w:r w:rsidR="006202E2">
        <w:rPr>
          <w:rFonts w:ascii="Verdana" w:hAnsi="Verdana"/>
          <w:sz w:val="20"/>
          <w:szCs w:val="20"/>
          <w:lang w:eastAsia="en-GB"/>
        </w:rPr>
        <w:t>The rationale behind the differences in the OEL derivation is not available.</w:t>
      </w:r>
    </w:p>
    <w:p w14:paraId="7AA295A4" w14:textId="2E0D3AB7" w:rsidR="00635C56" w:rsidRPr="00066B0F" w:rsidDel="00635C56" w:rsidRDefault="00EF083B" w:rsidP="00635C56">
      <w:pPr>
        <w:pStyle w:val="Corpsdetexte"/>
        <w:spacing w:line="276" w:lineRule="auto"/>
        <w:jc w:val="both"/>
        <w:rPr>
          <w:rFonts w:ascii="Verdana" w:hAnsi="Verdana"/>
          <w:sz w:val="20"/>
          <w:szCs w:val="20"/>
          <w:lang w:eastAsia="en-GB"/>
        </w:rPr>
      </w:pPr>
      <w:r>
        <w:rPr>
          <w:rFonts w:ascii="Verdana" w:hAnsi="Verdana"/>
          <w:b/>
          <w:sz w:val="20"/>
          <w:szCs w:val="20"/>
        </w:rPr>
        <w:t>Given the severity</w:t>
      </w:r>
      <w:r w:rsidR="00635C56">
        <w:rPr>
          <w:rFonts w:ascii="Verdana" w:hAnsi="Verdana"/>
          <w:b/>
          <w:sz w:val="20"/>
          <w:szCs w:val="20"/>
        </w:rPr>
        <w:t xml:space="preserve"> of the effects (mainly cardiotoxicity and neurotoxicity) and the </w:t>
      </w:r>
      <w:r w:rsidR="002376E7">
        <w:rPr>
          <w:rFonts w:ascii="Verdana" w:hAnsi="Verdana"/>
          <w:b/>
          <w:sz w:val="20"/>
          <w:szCs w:val="20"/>
        </w:rPr>
        <w:t>RCR</w:t>
      </w:r>
      <w:r w:rsidR="00635C56">
        <w:rPr>
          <w:rFonts w:ascii="Verdana" w:hAnsi="Verdana"/>
          <w:b/>
          <w:sz w:val="20"/>
          <w:szCs w:val="20"/>
        </w:rPr>
        <w:t xml:space="preserve"> </w:t>
      </w:r>
      <w:r w:rsidR="002376E7">
        <w:rPr>
          <w:rFonts w:ascii="Verdana" w:hAnsi="Verdana"/>
          <w:b/>
          <w:sz w:val="20"/>
          <w:szCs w:val="20"/>
        </w:rPr>
        <w:t>close to 1 for some uses</w:t>
      </w:r>
      <w:r>
        <w:rPr>
          <w:rFonts w:ascii="Verdana" w:hAnsi="Verdana"/>
          <w:b/>
          <w:sz w:val="20"/>
          <w:szCs w:val="20"/>
        </w:rPr>
        <w:t>,</w:t>
      </w:r>
      <w:r w:rsidR="00635C56">
        <w:rPr>
          <w:rFonts w:ascii="Verdana" w:hAnsi="Verdana"/>
          <w:b/>
          <w:sz w:val="20"/>
          <w:szCs w:val="20"/>
        </w:rPr>
        <w:t xml:space="preserve"> it should be ensure that national OEL do</w:t>
      </w:r>
      <w:r w:rsidR="002376E7">
        <w:rPr>
          <w:rFonts w:ascii="Verdana" w:hAnsi="Verdana"/>
          <w:b/>
          <w:sz w:val="20"/>
          <w:szCs w:val="20"/>
        </w:rPr>
        <w:t>es</w:t>
      </w:r>
      <w:r w:rsidR="00635C56">
        <w:rPr>
          <w:rFonts w:ascii="Verdana" w:hAnsi="Verdana"/>
          <w:b/>
          <w:sz w:val="20"/>
          <w:szCs w:val="20"/>
        </w:rPr>
        <w:t xml:space="preserve"> </w:t>
      </w:r>
      <w:r w:rsidR="002376E7">
        <w:rPr>
          <w:rFonts w:ascii="Verdana" w:hAnsi="Verdana"/>
          <w:b/>
          <w:sz w:val="20"/>
          <w:szCs w:val="20"/>
        </w:rPr>
        <w:t>not exceed</w:t>
      </w:r>
      <w:r w:rsidR="00635C56">
        <w:rPr>
          <w:rFonts w:ascii="Verdana" w:hAnsi="Verdana"/>
          <w:b/>
          <w:sz w:val="20"/>
          <w:szCs w:val="20"/>
        </w:rPr>
        <w:t xml:space="preserve"> the IOELV. If it is not </w:t>
      </w:r>
      <w:r w:rsidR="00635C56" w:rsidRPr="002376E7">
        <w:rPr>
          <w:rFonts w:ascii="Verdana" w:hAnsi="Verdana"/>
          <w:b/>
          <w:sz w:val="20"/>
          <w:szCs w:val="20"/>
        </w:rPr>
        <w:t xml:space="preserve">the case, </w:t>
      </w:r>
      <w:r w:rsidR="00635C56" w:rsidRPr="00673013" w:rsidDel="00635C56">
        <w:rPr>
          <w:rFonts w:ascii="Verdana" w:hAnsi="Verdana"/>
          <w:b/>
          <w:sz w:val="20"/>
          <w:szCs w:val="20"/>
          <w:lang w:eastAsia="en-GB"/>
        </w:rPr>
        <w:t xml:space="preserve">the setting of a BOELs for this substance under </w:t>
      </w:r>
      <w:r w:rsidR="002376E7">
        <w:rPr>
          <w:rFonts w:ascii="Verdana" w:hAnsi="Verdana"/>
          <w:b/>
          <w:sz w:val="20"/>
          <w:szCs w:val="20"/>
          <w:lang w:eastAsia="en-GB"/>
        </w:rPr>
        <w:t>the CAD</w:t>
      </w:r>
      <w:r w:rsidR="00635C56" w:rsidRPr="00673013" w:rsidDel="00635C56">
        <w:rPr>
          <w:rFonts w:ascii="Verdana" w:hAnsi="Verdana"/>
          <w:b/>
          <w:sz w:val="20"/>
          <w:szCs w:val="20"/>
          <w:lang w:eastAsia="en-GB"/>
        </w:rPr>
        <w:t xml:space="preserve"> could be a regulatory management option to control the risks. A BOEL value set at EU leve</w:t>
      </w:r>
      <w:r w:rsidR="002376E7" w:rsidRPr="00673013">
        <w:rPr>
          <w:rFonts w:ascii="Verdana" w:hAnsi="Verdana"/>
          <w:b/>
          <w:sz w:val="20"/>
          <w:szCs w:val="20"/>
          <w:lang w:eastAsia="en-GB"/>
        </w:rPr>
        <w:t>l</w:t>
      </w:r>
      <w:r w:rsidR="00635C56" w:rsidRPr="00673013" w:rsidDel="00635C56">
        <w:rPr>
          <w:rFonts w:ascii="Verdana" w:hAnsi="Verdana"/>
          <w:b/>
          <w:sz w:val="20"/>
          <w:szCs w:val="20"/>
          <w:lang w:eastAsia="en-GB"/>
        </w:rPr>
        <w:t xml:space="preserve"> </w:t>
      </w:r>
      <w:r w:rsidR="002376E7" w:rsidRPr="00673013">
        <w:rPr>
          <w:rFonts w:ascii="Verdana" w:hAnsi="Verdana"/>
          <w:b/>
          <w:sz w:val="20"/>
          <w:szCs w:val="20"/>
          <w:lang w:eastAsia="en-GB"/>
        </w:rPr>
        <w:t>should</w:t>
      </w:r>
      <w:r w:rsidR="00635C56" w:rsidRPr="00673013" w:rsidDel="00635C56">
        <w:rPr>
          <w:rFonts w:ascii="Verdana" w:hAnsi="Verdana"/>
          <w:b/>
          <w:sz w:val="20"/>
          <w:szCs w:val="20"/>
          <w:lang w:eastAsia="en-GB"/>
        </w:rPr>
        <w:t xml:space="preserve"> ensure harmonisation.</w:t>
      </w:r>
      <w:r w:rsidR="00635C56" w:rsidDel="00635C56">
        <w:rPr>
          <w:rFonts w:ascii="Verdana" w:hAnsi="Verdana"/>
          <w:sz w:val="20"/>
          <w:szCs w:val="20"/>
          <w:lang w:eastAsia="en-GB"/>
        </w:rPr>
        <w:t xml:space="preserve"> </w:t>
      </w:r>
    </w:p>
    <w:p w14:paraId="6A971C3A" w14:textId="77777777" w:rsidR="002376E7" w:rsidDel="00635C56" w:rsidRDefault="002376E7" w:rsidP="002376E7">
      <w:pPr>
        <w:pStyle w:val="Corpsdetexte"/>
        <w:spacing w:line="276" w:lineRule="auto"/>
        <w:jc w:val="both"/>
        <w:rPr>
          <w:rFonts w:ascii="Verdana" w:hAnsi="Verdana"/>
          <w:sz w:val="20"/>
          <w:szCs w:val="20"/>
          <w:lang w:eastAsia="en-GB"/>
        </w:rPr>
      </w:pPr>
      <w:r w:rsidDel="00635C56">
        <w:rPr>
          <w:rFonts w:ascii="Verdana" w:hAnsi="Verdana"/>
          <w:sz w:val="20"/>
          <w:szCs w:val="20"/>
          <w:lang w:eastAsia="en-GB"/>
        </w:rPr>
        <w:t xml:space="preserve">It is noted that BOELs are mainly set for non-threshold carcinogenic substances for which IOELVs cannot be set. In addition, over the last few years, priority was to focus on carcinogens and mutagens for BOELs derivation. Only one BOEL and one binding BLV (lead metal and its inorganic compounds) has been set under CAD. Nevertheless, the severity of </w:t>
      </w:r>
      <w:r w:rsidDel="00635C56">
        <w:rPr>
          <w:rFonts w:ascii="Verdana" w:hAnsi="Verdana"/>
          <w:sz w:val="20"/>
          <w:szCs w:val="20"/>
          <w:lang w:eastAsia="en-GB"/>
        </w:rPr>
        <w:t xml:space="preserve">the effects identified with carbon disulfide would justify such BOEL. </w:t>
      </w:r>
      <w:r w:rsidRPr="0013183C" w:rsidDel="00635C56">
        <w:rPr>
          <w:rFonts w:ascii="Verdana" w:hAnsi="Verdana"/>
          <w:sz w:val="20"/>
          <w:szCs w:val="20"/>
          <w:lang w:eastAsia="en-GB"/>
        </w:rPr>
        <w:t xml:space="preserve">Socio-economic and technical feasibility factors </w:t>
      </w:r>
      <w:r w:rsidDel="00635C56">
        <w:rPr>
          <w:rFonts w:ascii="Verdana" w:hAnsi="Verdana"/>
          <w:sz w:val="20"/>
          <w:szCs w:val="20"/>
          <w:lang w:eastAsia="en-GB"/>
        </w:rPr>
        <w:t>will be</w:t>
      </w:r>
      <w:r w:rsidRPr="0013183C" w:rsidDel="00635C56">
        <w:rPr>
          <w:rFonts w:ascii="Verdana" w:hAnsi="Verdana"/>
          <w:sz w:val="20"/>
          <w:szCs w:val="20"/>
          <w:lang w:eastAsia="en-GB"/>
        </w:rPr>
        <w:t xml:space="preserve"> taken into account when establishing </w:t>
      </w:r>
      <w:r w:rsidDel="00635C56">
        <w:rPr>
          <w:rFonts w:ascii="Verdana" w:hAnsi="Verdana"/>
          <w:sz w:val="20"/>
          <w:szCs w:val="20"/>
          <w:lang w:eastAsia="en-GB"/>
        </w:rPr>
        <w:t xml:space="preserve">a BOEL. Information on the number of persons exposed would help for such an analysis. </w:t>
      </w:r>
    </w:p>
    <w:p w14:paraId="0AE8276C" w14:textId="1956BDEE" w:rsidR="00066B0F" w:rsidRDefault="0060798D" w:rsidP="000E4E66">
      <w:pPr>
        <w:spacing w:after="0" w:line="276" w:lineRule="auto"/>
        <w:jc w:val="both"/>
        <w:rPr>
          <w:rFonts w:ascii="Verdana" w:hAnsi="Verdana"/>
          <w:b/>
          <w:sz w:val="20"/>
          <w:szCs w:val="20"/>
        </w:rPr>
      </w:pPr>
      <w:r>
        <w:rPr>
          <w:rFonts w:ascii="Verdana" w:hAnsi="Verdana"/>
          <w:sz w:val="20"/>
          <w:szCs w:val="20"/>
          <w:lang w:eastAsia="en-GB"/>
        </w:rPr>
        <w:t>As both dermal and inhalation route</w:t>
      </w:r>
      <w:r w:rsidR="00372872">
        <w:rPr>
          <w:rFonts w:ascii="Verdana" w:hAnsi="Verdana"/>
          <w:sz w:val="20"/>
          <w:szCs w:val="20"/>
          <w:lang w:eastAsia="en-GB"/>
        </w:rPr>
        <w:t>s</w:t>
      </w:r>
      <w:r>
        <w:rPr>
          <w:rFonts w:ascii="Verdana" w:hAnsi="Verdana"/>
          <w:sz w:val="20"/>
          <w:szCs w:val="20"/>
          <w:lang w:eastAsia="en-GB"/>
        </w:rPr>
        <w:t xml:space="preserve"> of exposure are of concern in the case of carbon disulfide, t</w:t>
      </w:r>
      <w:r w:rsidR="00066B0F" w:rsidRPr="00066B0F">
        <w:rPr>
          <w:rFonts w:ascii="Verdana" w:hAnsi="Verdana"/>
          <w:sz w:val="20"/>
          <w:szCs w:val="20"/>
          <w:lang w:eastAsia="en-GB"/>
        </w:rPr>
        <w:t xml:space="preserve">he setting of </w:t>
      </w:r>
      <w:r w:rsidR="00EF083B">
        <w:rPr>
          <w:rFonts w:ascii="Verdana" w:hAnsi="Verdana"/>
          <w:sz w:val="20"/>
          <w:szCs w:val="20"/>
          <w:lang w:eastAsia="en-GB"/>
        </w:rPr>
        <w:t>a</w:t>
      </w:r>
      <w:r w:rsidR="00066B0F">
        <w:rPr>
          <w:rFonts w:ascii="Verdana" w:hAnsi="Verdana"/>
          <w:sz w:val="20"/>
          <w:szCs w:val="20"/>
          <w:lang w:eastAsia="en-GB"/>
        </w:rPr>
        <w:t xml:space="preserve"> </w:t>
      </w:r>
      <w:r w:rsidR="00066B0F" w:rsidRPr="0040560F">
        <w:rPr>
          <w:rFonts w:ascii="Verdana" w:hAnsi="Verdana"/>
          <w:sz w:val="20"/>
          <w:szCs w:val="20"/>
          <w:lang w:eastAsia="en-GB"/>
        </w:rPr>
        <w:t xml:space="preserve">biological limit </w:t>
      </w:r>
      <w:r w:rsidR="00066B0F" w:rsidRPr="00066B0F">
        <w:rPr>
          <w:rFonts w:ascii="Verdana" w:hAnsi="Verdana"/>
          <w:sz w:val="20"/>
          <w:szCs w:val="20"/>
          <w:lang w:eastAsia="en-GB"/>
        </w:rPr>
        <w:t xml:space="preserve">value </w:t>
      </w:r>
      <w:r w:rsidR="003E19AC">
        <w:rPr>
          <w:rFonts w:ascii="Verdana" w:hAnsi="Verdana"/>
          <w:sz w:val="20"/>
          <w:szCs w:val="20"/>
          <w:lang w:eastAsia="en-GB"/>
        </w:rPr>
        <w:t xml:space="preserve">(BLV) </w:t>
      </w:r>
      <w:r w:rsidR="00CA353B">
        <w:rPr>
          <w:rFonts w:ascii="Verdana" w:hAnsi="Verdana"/>
          <w:sz w:val="20"/>
          <w:szCs w:val="20"/>
          <w:lang w:eastAsia="en-GB"/>
        </w:rPr>
        <w:t xml:space="preserve">in the CAD in addition to the OEL </w:t>
      </w:r>
      <w:r w:rsidR="00066B0F" w:rsidRPr="00066B0F">
        <w:rPr>
          <w:rFonts w:ascii="Verdana" w:hAnsi="Verdana"/>
          <w:sz w:val="20"/>
          <w:szCs w:val="20"/>
          <w:lang w:eastAsia="en-GB"/>
        </w:rPr>
        <w:t xml:space="preserve">would </w:t>
      </w:r>
      <w:r w:rsidR="00CA353B">
        <w:rPr>
          <w:rFonts w:ascii="Verdana" w:hAnsi="Verdana"/>
          <w:sz w:val="20"/>
          <w:szCs w:val="20"/>
          <w:lang w:eastAsia="en-GB"/>
        </w:rPr>
        <w:t xml:space="preserve">limit </w:t>
      </w:r>
      <w:r>
        <w:rPr>
          <w:rFonts w:ascii="Verdana" w:hAnsi="Verdana"/>
          <w:sz w:val="20"/>
          <w:szCs w:val="20"/>
          <w:lang w:eastAsia="en-GB"/>
        </w:rPr>
        <w:t>worker exposure</w:t>
      </w:r>
      <w:r w:rsidR="00066B0F" w:rsidRPr="00066B0F">
        <w:rPr>
          <w:rFonts w:ascii="Verdana" w:hAnsi="Verdana"/>
          <w:sz w:val="20"/>
          <w:szCs w:val="20"/>
          <w:lang w:eastAsia="en-GB"/>
        </w:rPr>
        <w:t xml:space="preserve"> </w:t>
      </w:r>
      <w:r w:rsidR="00CA353B">
        <w:rPr>
          <w:rFonts w:ascii="Verdana" w:hAnsi="Verdana"/>
          <w:sz w:val="20"/>
          <w:szCs w:val="20"/>
          <w:lang w:eastAsia="en-GB"/>
        </w:rPr>
        <w:t xml:space="preserve">and provide higher human health safety as it </w:t>
      </w:r>
      <w:r w:rsidR="00066B0F" w:rsidRPr="00066B0F">
        <w:rPr>
          <w:rFonts w:ascii="Verdana" w:hAnsi="Verdana"/>
          <w:sz w:val="20"/>
          <w:szCs w:val="20"/>
          <w:lang w:eastAsia="en-GB"/>
        </w:rPr>
        <w:t xml:space="preserve">would </w:t>
      </w:r>
      <w:r w:rsidR="00CA353B">
        <w:rPr>
          <w:rFonts w:ascii="Verdana" w:hAnsi="Verdana"/>
          <w:sz w:val="20"/>
          <w:szCs w:val="20"/>
          <w:lang w:eastAsia="en-GB"/>
        </w:rPr>
        <w:t xml:space="preserve">also </w:t>
      </w:r>
      <w:r w:rsidR="00066B0F" w:rsidRPr="00066B0F">
        <w:rPr>
          <w:rFonts w:ascii="Verdana" w:hAnsi="Verdana"/>
          <w:sz w:val="20"/>
          <w:szCs w:val="20"/>
          <w:lang w:eastAsia="en-GB"/>
        </w:rPr>
        <w:t>take into account dermal exposure.</w:t>
      </w:r>
      <w:r w:rsidR="002376E7" w:rsidRPr="002376E7">
        <w:rPr>
          <w:rFonts w:ascii="Verdana" w:hAnsi="Verdana"/>
          <w:b/>
          <w:sz w:val="20"/>
          <w:szCs w:val="20"/>
        </w:rPr>
        <w:t xml:space="preserve"> </w:t>
      </w:r>
    </w:p>
    <w:p w14:paraId="62FD3A0C" w14:textId="77777777" w:rsidR="002376E7" w:rsidRPr="000E4E66" w:rsidRDefault="002376E7" w:rsidP="000E4E66">
      <w:pPr>
        <w:spacing w:after="0" w:line="276" w:lineRule="auto"/>
        <w:jc w:val="both"/>
        <w:rPr>
          <w:rFonts w:ascii="Verdana" w:hAnsi="Verdana"/>
          <w:b/>
          <w:sz w:val="20"/>
          <w:szCs w:val="20"/>
        </w:rPr>
      </w:pPr>
    </w:p>
    <w:p w14:paraId="42389707" w14:textId="338C0ABB" w:rsidR="004539AE" w:rsidRPr="0052474E" w:rsidDel="00635C56" w:rsidRDefault="004539AE" w:rsidP="00ED47FC">
      <w:pPr>
        <w:pStyle w:val="Corpsdetexte"/>
        <w:spacing w:line="276" w:lineRule="auto"/>
        <w:jc w:val="both"/>
        <w:rPr>
          <w:rFonts w:ascii="Verdana" w:hAnsi="Verdana"/>
          <w:sz w:val="20"/>
          <w:szCs w:val="20"/>
          <w:lang w:eastAsia="en-GB"/>
        </w:rPr>
      </w:pPr>
      <w:r w:rsidRPr="004539AE" w:rsidDel="00635C56">
        <w:rPr>
          <w:rFonts w:ascii="Verdana" w:hAnsi="Verdana"/>
          <w:sz w:val="20"/>
          <w:szCs w:val="20"/>
          <w:lang w:eastAsia="en-GB"/>
        </w:rPr>
        <w:t xml:space="preserve">The </w:t>
      </w:r>
      <w:r w:rsidR="000C7C65" w:rsidRPr="004539AE" w:rsidDel="00635C56">
        <w:rPr>
          <w:rFonts w:ascii="Verdana" w:hAnsi="Verdana"/>
          <w:sz w:val="20"/>
          <w:szCs w:val="20"/>
          <w:lang w:eastAsia="en-GB"/>
        </w:rPr>
        <w:t xml:space="preserve">CAD </w:t>
      </w:r>
      <w:r w:rsidRPr="004539AE" w:rsidDel="00635C56">
        <w:rPr>
          <w:rFonts w:ascii="Verdana" w:hAnsi="Verdana"/>
          <w:sz w:val="20"/>
          <w:szCs w:val="20"/>
          <w:lang w:eastAsia="en-GB"/>
        </w:rPr>
        <w:t xml:space="preserve">Directive also covers the evaluation of emissions and process wastes which would not be covered by a DNEL </w:t>
      </w:r>
      <w:r w:rsidR="00CA353B" w:rsidDel="00635C56">
        <w:rPr>
          <w:rFonts w:ascii="Verdana" w:hAnsi="Verdana"/>
          <w:sz w:val="20"/>
          <w:szCs w:val="20"/>
          <w:lang w:eastAsia="en-GB"/>
        </w:rPr>
        <w:t xml:space="preserve">proposed </w:t>
      </w:r>
      <w:r w:rsidRPr="004539AE" w:rsidDel="00635C56">
        <w:rPr>
          <w:rFonts w:ascii="Verdana" w:hAnsi="Verdana"/>
          <w:sz w:val="20"/>
          <w:szCs w:val="20"/>
          <w:lang w:eastAsia="en-GB"/>
        </w:rPr>
        <w:t>in a restriction.</w:t>
      </w:r>
    </w:p>
    <w:p w14:paraId="7A389E3A" w14:textId="6AD26C62" w:rsidR="0052474E" w:rsidRPr="00474CAC" w:rsidRDefault="0052474E" w:rsidP="00ED47FC">
      <w:pPr>
        <w:spacing w:after="0" w:line="276" w:lineRule="auto"/>
        <w:jc w:val="both"/>
        <w:rPr>
          <w:rFonts w:ascii="Verdana" w:hAnsi="Verdana"/>
          <w:b/>
          <w:sz w:val="20"/>
          <w:szCs w:val="20"/>
        </w:rPr>
      </w:pPr>
      <w:r>
        <w:rPr>
          <w:rFonts w:ascii="Verdana" w:hAnsi="Verdana"/>
          <w:b/>
          <w:sz w:val="20"/>
          <w:szCs w:val="20"/>
        </w:rPr>
        <w:t xml:space="preserve">Overall, </w:t>
      </w:r>
      <w:r w:rsidRPr="0016014E">
        <w:rPr>
          <w:rFonts w:ascii="Verdana" w:hAnsi="Verdana"/>
          <w:b/>
          <w:sz w:val="20"/>
          <w:szCs w:val="20"/>
        </w:rPr>
        <w:t xml:space="preserve">setting </w:t>
      </w:r>
      <w:r w:rsidR="00CA353B">
        <w:rPr>
          <w:rFonts w:ascii="Verdana" w:hAnsi="Verdana"/>
          <w:b/>
          <w:sz w:val="20"/>
          <w:szCs w:val="20"/>
        </w:rPr>
        <w:t xml:space="preserve">a BLV </w:t>
      </w:r>
      <w:r>
        <w:rPr>
          <w:rFonts w:ascii="Verdana" w:hAnsi="Verdana"/>
          <w:b/>
          <w:sz w:val="20"/>
          <w:szCs w:val="20"/>
        </w:rPr>
        <w:t xml:space="preserve">within the framework of CAD </w:t>
      </w:r>
      <w:r w:rsidRPr="0016014E">
        <w:rPr>
          <w:rFonts w:ascii="Verdana" w:hAnsi="Verdana"/>
          <w:b/>
          <w:sz w:val="20"/>
          <w:szCs w:val="20"/>
        </w:rPr>
        <w:t xml:space="preserve">would be an option </w:t>
      </w:r>
      <w:r>
        <w:rPr>
          <w:rFonts w:ascii="Verdana" w:hAnsi="Verdana"/>
          <w:b/>
          <w:sz w:val="20"/>
          <w:szCs w:val="20"/>
        </w:rPr>
        <w:t xml:space="preserve">to address the risks for workers. </w:t>
      </w:r>
    </w:p>
    <w:p w14:paraId="2C0CA730" w14:textId="0258CD10" w:rsidR="0052474E" w:rsidRDefault="0052474E" w:rsidP="007320C1">
      <w:pPr>
        <w:pStyle w:val="Corpsdetexte"/>
        <w:jc w:val="both"/>
        <w:rPr>
          <w:rFonts w:ascii="Verdana" w:hAnsi="Verdana"/>
          <w:i/>
          <w:sz w:val="20"/>
          <w:szCs w:val="20"/>
          <w:u w:val="single"/>
        </w:rPr>
      </w:pPr>
    </w:p>
    <w:p w14:paraId="4CA92BAA" w14:textId="77777777" w:rsidR="00E16173" w:rsidRPr="000E4E66" w:rsidRDefault="00E16173" w:rsidP="007320C1">
      <w:pPr>
        <w:pStyle w:val="Corpsdetexte"/>
        <w:jc w:val="both"/>
        <w:rPr>
          <w:rFonts w:ascii="Verdana" w:hAnsi="Verdana"/>
          <w:i/>
          <w:sz w:val="20"/>
          <w:szCs w:val="20"/>
          <w:u w:val="single"/>
        </w:rPr>
        <w:sectPr w:rsidR="00E16173" w:rsidRPr="000E4E66" w:rsidSect="008345ED">
          <w:headerReference w:type="default" r:id="rId13"/>
          <w:footerReference w:type="default" r:id="rId14"/>
          <w:headerReference w:type="first" r:id="rId15"/>
          <w:pgSz w:w="11906" w:h="16838"/>
          <w:pgMar w:top="1418" w:right="1797" w:bottom="1134" w:left="1797" w:header="680" w:footer="567" w:gutter="0"/>
          <w:cols w:space="720"/>
          <w:titlePg/>
          <w:docGrid w:linePitch="326"/>
        </w:sectPr>
      </w:pPr>
    </w:p>
    <w:p w14:paraId="7FF3C71C" w14:textId="77777777" w:rsidR="0089332A" w:rsidRDefault="0089332A" w:rsidP="0089332A">
      <w:pPr>
        <w:pStyle w:val="Titre1"/>
      </w:pPr>
      <w:bookmarkStart w:id="30" w:name="_Ref9599184"/>
      <w:bookmarkStart w:id="31" w:name="_Toc41319410"/>
      <w:bookmarkStart w:id="32" w:name="_Toc53653348"/>
      <w:bookmarkStart w:id="33" w:name="_Toc117776294"/>
      <w:r w:rsidRPr="00843A73">
        <w:lastRenderedPageBreak/>
        <w:t>Conclusion</w:t>
      </w:r>
      <w:r>
        <w:t>s and actions</w:t>
      </w:r>
      <w:bookmarkEnd w:id="30"/>
      <w:bookmarkEnd w:id="31"/>
      <w:bookmarkEnd w:id="32"/>
      <w:bookmarkEnd w:id="33"/>
    </w:p>
    <w:tbl>
      <w:tblPr>
        <w:tblStyle w:val="TableauGrille4-Accentuation1"/>
        <w:tblW w:w="14596" w:type="dxa"/>
        <w:tblLook w:val="04A0" w:firstRow="1" w:lastRow="0" w:firstColumn="1" w:lastColumn="0" w:noHBand="0" w:noVBand="1"/>
      </w:tblPr>
      <w:tblGrid>
        <w:gridCol w:w="2432"/>
        <w:gridCol w:w="2433"/>
        <w:gridCol w:w="2433"/>
        <w:gridCol w:w="2432"/>
        <w:gridCol w:w="2433"/>
        <w:gridCol w:w="2433"/>
      </w:tblGrid>
      <w:tr w:rsidR="001217C3" w14:paraId="5F43E028" w14:textId="77777777" w:rsidTr="00B55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14:paraId="531A0791" w14:textId="744FE467" w:rsidR="00882D5E" w:rsidRPr="005D1EDC" w:rsidRDefault="001217C3" w:rsidP="00B557C8">
            <w:pPr>
              <w:rPr>
                <w:rFonts w:ascii="Verdana" w:hAnsi="Verdana"/>
                <w:sz w:val="20"/>
                <w:szCs w:val="20"/>
              </w:rPr>
            </w:pPr>
            <w:bookmarkStart w:id="34" w:name="_Toc285710598"/>
            <w:bookmarkStart w:id="35" w:name="_Toc308015310"/>
            <w:bookmarkStart w:id="36" w:name="_Toc387770099"/>
            <w:r>
              <w:rPr>
                <w:rFonts w:ascii="Verdana" w:hAnsi="Verdana"/>
                <w:sz w:val="20"/>
                <w:szCs w:val="20"/>
              </w:rPr>
              <w:t>CAS</w:t>
            </w:r>
            <w:r w:rsidR="00882D5E" w:rsidRPr="005D1EDC">
              <w:rPr>
                <w:rFonts w:ascii="Verdana" w:hAnsi="Verdana"/>
                <w:sz w:val="20"/>
                <w:szCs w:val="20"/>
              </w:rPr>
              <w:t xml:space="preserve"> number, substance name</w:t>
            </w:r>
          </w:p>
        </w:tc>
        <w:tc>
          <w:tcPr>
            <w:tcW w:w="2433" w:type="dxa"/>
          </w:tcPr>
          <w:p w14:paraId="28A13060" w14:textId="177EA864" w:rsidR="00882D5E" w:rsidRPr="005D1EDC" w:rsidRDefault="00882D5E" w:rsidP="00B557C8">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D1EDC">
              <w:rPr>
                <w:rFonts w:ascii="Verdana" w:hAnsi="Verdana"/>
                <w:sz w:val="20"/>
                <w:szCs w:val="20"/>
              </w:rPr>
              <w:t>H</w:t>
            </w:r>
            <w:r w:rsidR="0087489F">
              <w:rPr>
                <w:rFonts w:ascii="Verdana" w:hAnsi="Verdana"/>
                <w:sz w:val="20"/>
                <w:szCs w:val="20"/>
              </w:rPr>
              <w:t xml:space="preserve">uman </w:t>
            </w:r>
            <w:r w:rsidRPr="005D1EDC">
              <w:rPr>
                <w:rFonts w:ascii="Verdana" w:hAnsi="Verdana"/>
                <w:sz w:val="20"/>
                <w:szCs w:val="20"/>
              </w:rPr>
              <w:t>H</w:t>
            </w:r>
            <w:r w:rsidR="0087489F">
              <w:rPr>
                <w:rFonts w:ascii="Verdana" w:hAnsi="Verdana"/>
                <w:sz w:val="20"/>
                <w:szCs w:val="20"/>
              </w:rPr>
              <w:t>ealth</w:t>
            </w:r>
            <w:r w:rsidRPr="005D1EDC">
              <w:rPr>
                <w:rFonts w:ascii="Verdana" w:hAnsi="Verdana"/>
                <w:sz w:val="20"/>
                <w:szCs w:val="20"/>
              </w:rPr>
              <w:t xml:space="preserve"> Hazard</w:t>
            </w:r>
          </w:p>
        </w:tc>
        <w:tc>
          <w:tcPr>
            <w:tcW w:w="2433" w:type="dxa"/>
          </w:tcPr>
          <w:p w14:paraId="4AC99F87" w14:textId="4C8C79A3" w:rsidR="00882D5E" w:rsidRPr="005D1EDC" w:rsidRDefault="0087489F" w:rsidP="00B557C8">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Environmental</w:t>
            </w:r>
            <w:r w:rsidR="00882D5E" w:rsidRPr="005D1EDC">
              <w:rPr>
                <w:rFonts w:ascii="Verdana" w:hAnsi="Verdana"/>
                <w:sz w:val="20"/>
                <w:szCs w:val="20"/>
              </w:rPr>
              <w:t xml:space="preserve"> Hazard</w:t>
            </w:r>
          </w:p>
        </w:tc>
        <w:tc>
          <w:tcPr>
            <w:tcW w:w="2432" w:type="dxa"/>
          </w:tcPr>
          <w:p w14:paraId="33F9D0EA" w14:textId="2A7FC509" w:rsidR="00882D5E" w:rsidRPr="009B2F6E" w:rsidRDefault="00B52255" w:rsidP="00B557C8">
            <w:pPr>
              <w:cnfStyle w:val="100000000000" w:firstRow="1" w:lastRow="0" w:firstColumn="0" w:lastColumn="0" w:oddVBand="0" w:evenVBand="0" w:oddHBand="0" w:evenHBand="0" w:firstRowFirstColumn="0" w:firstRowLastColumn="0" w:lastRowFirstColumn="0" w:lastRowLastColumn="0"/>
            </w:pPr>
            <w:r>
              <w:rPr>
                <w:rFonts w:ascii="Verdana" w:hAnsi="Verdana"/>
                <w:sz w:val="20"/>
                <w:szCs w:val="20"/>
              </w:rPr>
              <w:t>Relevant u</w:t>
            </w:r>
            <w:r w:rsidRPr="005D1EDC">
              <w:rPr>
                <w:rFonts w:ascii="Verdana" w:hAnsi="Verdana"/>
                <w:sz w:val="20"/>
                <w:szCs w:val="20"/>
              </w:rPr>
              <w:t>se</w:t>
            </w:r>
            <w:r w:rsidR="00635A90">
              <w:rPr>
                <w:rFonts w:ascii="Verdana" w:hAnsi="Verdana"/>
                <w:sz w:val="20"/>
                <w:szCs w:val="20"/>
              </w:rPr>
              <w:t>(s)</w:t>
            </w:r>
            <w:r>
              <w:rPr>
                <w:rFonts w:ascii="Verdana" w:hAnsi="Verdana"/>
                <w:sz w:val="20"/>
                <w:szCs w:val="20"/>
              </w:rPr>
              <w:t xml:space="preserve"> </w:t>
            </w:r>
            <w:r w:rsidR="00882D5E">
              <w:rPr>
                <w:rFonts w:ascii="Verdana" w:hAnsi="Verdana"/>
                <w:sz w:val="20"/>
                <w:szCs w:val="20"/>
              </w:rPr>
              <w:t xml:space="preserve">&amp; </w:t>
            </w:r>
            <w:r w:rsidR="00882D5E" w:rsidRPr="009B2F6E">
              <w:rPr>
                <w:rFonts w:ascii="Verdana" w:hAnsi="Verdana"/>
                <w:sz w:val="20"/>
                <w:szCs w:val="20"/>
              </w:rPr>
              <w:t>exposure potential</w:t>
            </w:r>
          </w:p>
        </w:tc>
        <w:tc>
          <w:tcPr>
            <w:tcW w:w="2433" w:type="dxa"/>
          </w:tcPr>
          <w:p w14:paraId="11D076CE" w14:textId="382C7C3E" w:rsidR="00882D5E" w:rsidRPr="005D1EDC" w:rsidRDefault="00635A90" w:rsidP="00B557C8">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Last foreseen action</w:t>
            </w:r>
          </w:p>
        </w:tc>
        <w:tc>
          <w:tcPr>
            <w:tcW w:w="2433" w:type="dxa"/>
          </w:tcPr>
          <w:p w14:paraId="056A6F7E" w14:textId="77777777" w:rsidR="00882D5E" w:rsidRPr="005D1EDC" w:rsidRDefault="00882D5E" w:rsidP="00B557C8">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5D1EDC">
              <w:rPr>
                <w:rFonts w:ascii="Verdana" w:hAnsi="Verdana"/>
                <w:sz w:val="20"/>
                <w:szCs w:val="20"/>
              </w:rPr>
              <w:t>Action</w:t>
            </w:r>
          </w:p>
        </w:tc>
      </w:tr>
      <w:tr w:rsidR="001217C3" w14:paraId="4FF621C9" w14:textId="77777777" w:rsidTr="00B5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14:paraId="49FB3EE4" w14:textId="77DBBCEB" w:rsidR="00882D5E" w:rsidRPr="005D1EDC" w:rsidRDefault="001217C3" w:rsidP="00355E7A">
            <w:pPr>
              <w:rPr>
                <w:rFonts w:ascii="Verdana" w:hAnsi="Verdana"/>
                <w:b w:val="0"/>
                <w:sz w:val="20"/>
                <w:szCs w:val="20"/>
              </w:rPr>
            </w:pPr>
            <w:r>
              <w:rPr>
                <w:rFonts w:ascii="Verdana" w:hAnsi="Verdana"/>
                <w:sz w:val="20"/>
                <w:szCs w:val="20"/>
              </w:rPr>
              <w:t>Carbon disulfide, 75-15-0</w:t>
            </w:r>
          </w:p>
        </w:tc>
        <w:tc>
          <w:tcPr>
            <w:tcW w:w="2433" w:type="dxa"/>
          </w:tcPr>
          <w:p w14:paraId="4880EEF3" w14:textId="23CBAAAD" w:rsidR="00882D5E" w:rsidRDefault="001217C3"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Neurotoxicity, cardiotoxicity, toxic</w:t>
            </w:r>
            <w:r w:rsidR="00C91A8D">
              <w:rPr>
                <w:rFonts w:ascii="Verdana" w:hAnsi="Verdana"/>
                <w:sz w:val="20"/>
                <w:szCs w:val="20"/>
              </w:rPr>
              <w:t>ity</w:t>
            </w:r>
            <w:r>
              <w:rPr>
                <w:rFonts w:ascii="Verdana" w:hAnsi="Verdana"/>
                <w:sz w:val="20"/>
                <w:szCs w:val="20"/>
              </w:rPr>
              <w:t xml:space="preserve"> for reproduction</w:t>
            </w:r>
          </w:p>
          <w:p w14:paraId="155BCF19" w14:textId="77777777" w:rsidR="00882D5E" w:rsidRPr="005D1EDC" w:rsidRDefault="00882D5E"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433" w:type="dxa"/>
          </w:tcPr>
          <w:sdt>
            <w:sdtPr>
              <w:rPr>
                <w:rFonts w:ascii="Verdana" w:hAnsi="Verdana"/>
                <w:sz w:val="20"/>
                <w:szCs w:val="20"/>
              </w:rPr>
              <w:id w:val="1682620038"/>
              <w:placeholder>
                <w:docPart w:val="18DB9D92DB1D48C994631EF344E09FBC"/>
              </w:placeholder>
              <w:comboBox>
                <w:listItem w:displayText="Select or type..." w:value="Select or type..."/>
                <w:listItem w:displayText="Known or potential hazard" w:value="Known or potential hazard"/>
                <w:listItem w:displayText="No hazard or unlikely hazard" w:value="No hazard or unlikely hazard"/>
                <w:listItem w:displayText="Inconclusive hazard" w:value="Inconclusive hazard"/>
              </w:comboBox>
            </w:sdtPr>
            <w:sdtContent>
              <w:p w14:paraId="7E24BE5B" w14:textId="7338F223" w:rsidR="00882D5E" w:rsidRPr="005D1EDC" w:rsidRDefault="00FD4EE7"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No hazard or unlikely hazard</w:t>
                </w:r>
              </w:p>
            </w:sdtContent>
          </w:sdt>
          <w:p w14:paraId="62A7A5D0" w14:textId="4E364F8D" w:rsidR="00882D5E" w:rsidRDefault="00673013"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sdt>
              <w:sdtPr>
                <w:rPr>
                  <w:rFonts w:ascii="Verdana" w:hAnsi="Verdana"/>
                  <w:sz w:val="20"/>
                  <w:szCs w:val="20"/>
                </w:rPr>
                <w:id w:val="-1986229886"/>
                <w:placeholder>
                  <w:docPart w:val="9BACE6EBE68A454A896C3890DF266F0A"/>
                </w:placeholder>
                <w:comboBox>
                  <w:listItem w:displayText="Select or type..." w:value="Select or type..."/>
                  <w:listItem w:displayText=" " w:value=" "/>
                  <w:listItem w:displayText="for PBT/vPvB" w:value="for PBT/vPvB"/>
                  <w:listItem w:displayText="for aquatic toxicity" w:value="for aquatic toxicity"/>
                  <w:listItem w:displayText="for ED" w:value="for ED"/>
                </w:comboBox>
              </w:sdtPr>
              <w:sdtContent>
                <w:r w:rsidR="00FD4EE7">
                  <w:rPr>
                    <w:rFonts w:ascii="Verdana" w:hAnsi="Verdana"/>
                    <w:sz w:val="20"/>
                    <w:szCs w:val="20"/>
                  </w:rPr>
                  <w:t xml:space="preserve"> </w:t>
                </w:r>
              </w:sdtContent>
            </w:sdt>
          </w:p>
          <w:p w14:paraId="54910709" w14:textId="77777777" w:rsidR="00882D5E" w:rsidRPr="005D1EDC" w:rsidRDefault="00882D5E"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2432" w:type="dxa"/>
          </w:tcPr>
          <w:p w14:paraId="08C142D4" w14:textId="5B1BDEBF" w:rsidR="001217C3" w:rsidRDefault="001217C3"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Manufacturing of regenerated cellulose, solvent in the production of polymers, Transported isolated intermediate in the production of fine chemicals, laboratory reagent</w:t>
            </w:r>
          </w:p>
          <w:p w14:paraId="5AC7C261" w14:textId="68365E01" w:rsidR="00882D5E" w:rsidRPr="000D11E9" w:rsidRDefault="001217C3"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High exposure potential</w:t>
            </w:r>
          </w:p>
        </w:tc>
        <w:tc>
          <w:tcPr>
            <w:tcW w:w="2433" w:type="dxa"/>
          </w:tcPr>
          <w:sdt>
            <w:sdtPr>
              <w:rPr>
                <w:rFonts w:ascii="Verdana" w:hAnsi="Verdana"/>
                <w:sz w:val="20"/>
                <w:szCs w:val="20"/>
              </w:rPr>
              <w:id w:val="-1144201899"/>
              <w:placeholder>
                <w:docPart w:val="C6EC9020F46A413DB260D2B3FAF5F806"/>
              </w:placeholder>
              <w:comboBox>
                <w:listItem w:displayText="Select or type..." w:value="Select or type..."/>
                <w:listItem w:displayText="Currently no need for EU RRM" w:value="Currently no need for EU RRM"/>
                <w:listItem w:displayText="No hypothesis yet" w:value="No hypothesis yet"/>
                <w:listItem w:displayText="Need for EU RRM: CLH" w:value="Need for EU RRM: CLH"/>
                <w:listItem w:displayText="Need for EU RRM: SVHC identification" w:value="Need for EU RRM: SVHC identification"/>
                <w:listItem w:displayText="Need for EU RRM: Authorisation" w:value="Need for EU RRM: Authorisation"/>
                <w:listItem w:displayText="Need for EU RRM: Restriction" w:value="Need for EU RRM: Restriction"/>
              </w:comboBox>
            </w:sdtPr>
            <w:sdtContent>
              <w:p w14:paraId="3C78E279" w14:textId="1C8541BC" w:rsidR="00882D5E" w:rsidRPr="000D11E9" w:rsidRDefault="00FD4EE7"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Select or type...</w:t>
                </w:r>
              </w:p>
            </w:sdtContent>
          </w:sdt>
          <w:p w14:paraId="56F6F790" w14:textId="20CFC121" w:rsidR="00882D5E" w:rsidRPr="000D11E9" w:rsidRDefault="00882D5E"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p w14:paraId="5D30C6E2" w14:textId="77777777" w:rsidR="00F94CED" w:rsidRPr="000D11E9" w:rsidRDefault="00F94CED"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p w14:paraId="2B722667" w14:textId="3B514712" w:rsidR="00B52255" w:rsidRPr="000D11E9" w:rsidRDefault="00B52255"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bookmarkStart w:id="37" w:name="_Hlk74232137"/>
            <w:r w:rsidRPr="000D11E9">
              <w:rPr>
                <w:rFonts w:ascii="Verdana" w:hAnsi="Verdana"/>
                <w:sz w:val="20"/>
                <w:szCs w:val="20"/>
              </w:rPr>
              <w:t>Justification:</w:t>
            </w:r>
          </w:p>
          <w:p w14:paraId="049510A1" w14:textId="1573AFF8" w:rsidR="00B52255" w:rsidRPr="000D11E9" w:rsidRDefault="00635A90"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D11E9">
              <w:rPr>
                <w:rFonts w:ascii="Verdana" w:hAnsi="Verdana"/>
                <w:sz w:val="20"/>
                <w:szCs w:val="20"/>
              </w:rPr>
              <w:t>Provide a short summary of the main elements justifying the last foreseen action</w:t>
            </w:r>
            <w:bookmarkEnd w:id="37"/>
          </w:p>
        </w:tc>
        <w:tc>
          <w:tcPr>
            <w:tcW w:w="2433" w:type="dxa"/>
          </w:tcPr>
          <w:p w14:paraId="051DAE1C" w14:textId="77777777" w:rsidR="00D5242E" w:rsidRPr="00D768D4" w:rsidRDefault="00CF3376"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sidRPr="00D768D4">
              <w:rPr>
                <w:rFonts w:ascii="Verdana" w:hAnsi="Verdana"/>
                <w:b/>
                <w:bCs/>
                <w:sz w:val="20"/>
                <w:szCs w:val="20"/>
              </w:rPr>
              <w:t xml:space="preserve">First step: </w:t>
            </w:r>
          </w:p>
          <w:p w14:paraId="58AAF039" w14:textId="77777777" w:rsidR="00E3013E" w:rsidRDefault="00E3013E"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p>
          <w:p w14:paraId="0860E3B3" w14:textId="2B586D48" w:rsidR="00CF3376" w:rsidRPr="00D768D4" w:rsidRDefault="00E3013E" w:rsidP="00B557C8">
            <w:pPr>
              <w:spacing w:after="0"/>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rPr>
            </w:pPr>
            <w:r>
              <w:rPr>
                <w:rFonts w:ascii="Verdana" w:hAnsi="Verdana"/>
                <w:b/>
                <w:bCs/>
                <w:sz w:val="20"/>
                <w:szCs w:val="20"/>
              </w:rPr>
              <w:t>Next steps (if risk</w:t>
            </w:r>
            <w:r w:rsidR="00CF3376" w:rsidRPr="00D768D4">
              <w:rPr>
                <w:rFonts w:ascii="Verdana" w:hAnsi="Verdana"/>
                <w:b/>
                <w:bCs/>
                <w:sz w:val="20"/>
                <w:szCs w:val="20"/>
              </w:rPr>
              <w:t xml:space="preserve"> confirmed):</w:t>
            </w:r>
          </w:p>
          <w:p w14:paraId="09B06A99" w14:textId="48B496F9" w:rsidR="00D5242E" w:rsidRPr="005D1EDC" w:rsidRDefault="00D5242E" w:rsidP="00355E7A">
            <w:pPr>
              <w:spacing w:after="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37CC4058" w14:textId="12CE51DA" w:rsidR="00882D5E" w:rsidRDefault="00882D5E" w:rsidP="005D1EDC"/>
    <w:p w14:paraId="1026E4B3" w14:textId="16978333" w:rsidR="0001481A" w:rsidRDefault="0001481A" w:rsidP="005D1EDC"/>
    <w:p w14:paraId="388ADF9E" w14:textId="635DC849" w:rsidR="0001481A" w:rsidRDefault="0001481A" w:rsidP="005D1EDC">
      <w:pPr>
        <w:sectPr w:rsidR="0001481A" w:rsidSect="007320C1">
          <w:pgSz w:w="16838" w:h="11906" w:orient="landscape"/>
          <w:pgMar w:top="1797" w:right="1418" w:bottom="1797" w:left="1134" w:header="680" w:footer="567" w:gutter="0"/>
          <w:cols w:space="720"/>
          <w:docGrid w:linePitch="326"/>
        </w:sectPr>
      </w:pPr>
    </w:p>
    <w:p w14:paraId="7C07D005" w14:textId="77777777" w:rsidR="001C6F30" w:rsidRDefault="001C6F30" w:rsidP="001C6F30">
      <w:pPr>
        <w:pStyle w:val="Titre1"/>
      </w:pPr>
      <w:bookmarkStart w:id="38" w:name="_Hlk72844969"/>
      <w:bookmarkStart w:id="39" w:name="_Toc117776295"/>
      <w:bookmarkEnd w:id="34"/>
      <w:bookmarkEnd w:id="35"/>
      <w:bookmarkEnd w:id="36"/>
      <w:r w:rsidRPr="00165A84">
        <w:lastRenderedPageBreak/>
        <w:t>References</w:t>
      </w:r>
      <w:bookmarkEnd w:id="39"/>
    </w:p>
    <w:p w14:paraId="52C445FA" w14:textId="77777777" w:rsidR="001C6F30" w:rsidRPr="001C6F30" w:rsidRDefault="001C6F30" w:rsidP="001C6F30">
      <w:pPr>
        <w:pStyle w:val="MDPI71References"/>
        <w:numPr>
          <w:ilvl w:val="0"/>
          <w:numId w:val="0"/>
        </w:numPr>
        <w:rPr>
          <w:rFonts w:ascii="Verdana" w:hAnsi="Verdana"/>
          <w:color w:val="auto"/>
          <w:sz w:val="20"/>
          <w:lang w:val="en-GB" w:eastAsia="en-GB" w:bidi="ar-SA"/>
        </w:rPr>
      </w:pPr>
      <w:r w:rsidRPr="001C6F30">
        <w:rPr>
          <w:rFonts w:ascii="Verdana" w:hAnsi="Verdana"/>
          <w:color w:val="auto"/>
          <w:sz w:val="20"/>
          <w:lang w:val="en-GB" w:eastAsia="en-GB" w:bidi="ar-SA"/>
        </w:rPr>
        <w:t>ANSES on behalf of the French Ministry of Environment. ‘Substance Evaluation Conclusion as Required by REACH Article 48 and Evaluation Report for Carbon Disulfide (in Press)’, January 2022.</w:t>
      </w:r>
    </w:p>
    <w:p w14:paraId="4EBD72E4" w14:textId="77777777" w:rsidR="001C6F30" w:rsidRPr="001C6F30" w:rsidRDefault="001C6F30" w:rsidP="001C6F30">
      <w:pPr>
        <w:pStyle w:val="MDPI71References"/>
        <w:numPr>
          <w:ilvl w:val="0"/>
          <w:numId w:val="0"/>
        </w:numPr>
        <w:rPr>
          <w:rFonts w:ascii="Verdana" w:hAnsi="Verdana"/>
          <w:color w:val="auto"/>
          <w:sz w:val="20"/>
          <w:lang w:val="en-GB" w:eastAsia="en-GB" w:bidi="ar-SA"/>
        </w:rPr>
      </w:pPr>
    </w:p>
    <w:p w14:paraId="11B05807" w14:textId="1F0FA22E" w:rsidR="003221A7" w:rsidRDefault="003221A7" w:rsidP="001C6F30">
      <w:pPr>
        <w:pStyle w:val="MDPI71References"/>
        <w:numPr>
          <w:ilvl w:val="0"/>
          <w:numId w:val="0"/>
        </w:numPr>
        <w:rPr>
          <w:rFonts w:ascii="Verdana" w:hAnsi="Verdana"/>
          <w:color w:val="auto"/>
          <w:sz w:val="20"/>
          <w:lang w:val="en-GB" w:eastAsia="en-GB" w:bidi="ar-SA"/>
        </w:rPr>
      </w:pPr>
      <w:r>
        <w:rPr>
          <w:rFonts w:ascii="Verdana" w:hAnsi="Verdana"/>
          <w:color w:val="auto"/>
          <w:sz w:val="20"/>
          <w:lang w:val="en-GB" w:eastAsia="en-GB" w:bidi="ar-SA"/>
        </w:rPr>
        <w:t>CSR 2019. Chemical safety report dated December 2019 from the lead registrant.</w:t>
      </w:r>
    </w:p>
    <w:p w14:paraId="1FC581F2" w14:textId="77777777" w:rsidR="003221A7" w:rsidRDefault="003221A7" w:rsidP="001C6F30">
      <w:pPr>
        <w:pStyle w:val="MDPI71References"/>
        <w:numPr>
          <w:ilvl w:val="0"/>
          <w:numId w:val="0"/>
        </w:numPr>
        <w:rPr>
          <w:rFonts w:ascii="Verdana" w:hAnsi="Verdana"/>
          <w:color w:val="auto"/>
          <w:sz w:val="20"/>
          <w:lang w:val="en-GB" w:eastAsia="en-GB" w:bidi="ar-SA"/>
        </w:rPr>
      </w:pPr>
    </w:p>
    <w:p w14:paraId="54ED8452" w14:textId="69273267" w:rsidR="001C6F30" w:rsidRPr="001C6F30" w:rsidRDefault="001C6F30" w:rsidP="001C6F30">
      <w:pPr>
        <w:pStyle w:val="MDPI71References"/>
        <w:numPr>
          <w:ilvl w:val="0"/>
          <w:numId w:val="0"/>
        </w:numPr>
        <w:rPr>
          <w:rFonts w:ascii="Verdana" w:hAnsi="Verdana"/>
          <w:color w:val="auto"/>
          <w:sz w:val="20"/>
          <w:lang w:val="en-GB" w:eastAsia="en-GB" w:bidi="ar-SA"/>
        </w:rPr>
      </w:pPr>
      <w:r w:rsidRPr="001C6F30">
        <w:rPr>
          <w:rFonts w:ascii="Verdana" w:hAnsi="Verdana"/>
          <w:color w:val="auto"/>
          <w:sz w:val="20"/>
          <w:lang w:val="en-GB" w:eastAsia="en-GB" w:bidi="ar-SA"/>
        </w:rPr>
        <w:t>ECHA (2019). Guidance on information requirements and Chemical Safety Assessment. Appendix to chapter R.8: Guidance for preparing a scientific report for health-based exposure limits at the workplace, version 1.0, August 2019.</w:t>
      </w:r>
    </w:p>
    <w:p w14:paraId="36FA226B" w14:textId="77777777" w:rsidR="001C6F30" w:rsidRPr="001C6F30" w:rsidRDefault="001C6F30" w:rsidP="001C6F30">
      <w:pPr>
        <w:pStyle w:val="MDPI71References"/>
        <w:numPr>
          <w:ilvl w:val="0"/>
          <w:numId w:val="0"/>
        </w:numPr>
        <w:rPr>
          <w:rFonts w:ascii="Verdana" w:hAnsi="Verdana"/>
          <w:color w:val="auto"/>
          <w:sz w:val="20"/>
          <w:lang w:val="en-GB" w:eastAsia="en-GB" w:bidi="ar-SA"/>
        </w:rPr>
      </w:pPr>
    </w:p>
    <w:p w14:paraId="35073A8A" w14:textId="77777777" w:rsidR="001C6F30" w:rsidRPr="001C6F30" w:rsidRDefault="001C6F30" w:rsidP="001C6F30">
      <w:pPr>
        <w:autoSpaceDE w:val="0"/>
        <w:autoSpaceDN w:val="0"/>
        <w:adjustRightInd w:val="0"/>
        <w:spacing w:after="0"/>
        <w:rPr>
          <w:rFonts w:ascii="Verdana" w:hAnsi="Verdana"/>
          <w:sz w:val="20"/>
          <w:szCs w:val="20"/>
          <w:lang w:eastAsia="en-GB"/>
        </w:rPr>
      </w:pPr>
      <w:r w:rsidRPr="001C6F30">
        <w:rPr>
          <w:rFonts w:ascii="Verdana" w:hAnsi="Verdana"/>
          <w:sz w:val="20"/>
          <w:szCs w:val="20"/>
          <w:lang w:eastAsia="en-GB"/>
        </w:rPr>
        <w:t>Godderis L, Braeckman L, Vanhoorne M, Viaene M. Neurobehavioral and clinical effects in workers exposed to CS2. Int J Hyg Environ Health 2006; 209(2): 139-150.</w:t>
      </w:r>
    </w:p>
    <w:p w14:paraId="715D8789" w14:textId="77777777" w:rsidR="001C6F30" w:rsidRPr="001C6F30" w:rsidRDefault="001C6F30" w:rsidP="001C6F30">
      <w:pPr>
        <w:pStyle w:val="MDPI71References"/>
        <w:numPr>
          <w:ilvl w:val="0"/>
          <w:numId w:val="0"/>
        </w:numPr>
        <w:rPr>
          <w:rFonts w:ascii="Verdana" w:hAnsi="Verdana"/>
          <w:color w:val="auto"/>
          <w:sz w:val="20"/>
          <w:lang w:val="en-GB" w:eastAsia="en-GB" w:bidi="ar-SA"/>
        </w:rPr>
      </w:pPr>
    </w:p>
    <w:p w14:paraId="2C2596F2" w14:textId="4971E1AE" w:rsidR="001C6F30" w:rsidRPr="000E69DC" w:rsidRDefault="001C6F30" w:rsidP="001C6F30">
      <w:pPr>
        <w:pStyle w:val="MDPI71References"/>
        <w:numPr>
          <w:ilvl w:val="0"/>
          <w:numId w:val="0"/>
        </w:numPr>
        <w:rPr>
          <w:rFonts w:ascii="Verdana" w:hAnsi="Verdana"/>
          <w:color w:val="auto"/>
          <w:sz w:val="20"/>
          <w:lang w:val="fr-FR" w:eastAsia="en-GB" w:bidi="ar-SA"/>
        </w:rPr>
      </w:pPr>
      <w:r w:rsidRPr="001C6F30">
        <w:rPr>
          <w:rFonts w:ascii="Verdana" w:hAnsi="Verdana"/>
          <w:color w:val="auto"/>
          <w:sz w:val="20"/>
          <w:lang w:val="en-GB" w:eastAsia="en-GB" w:bidi="ar-SA"/>
        </w:rPr>
        <w:t xml:space="preserve">HCNL (Health Council Netherland). ‘Health-Based Recommended Occupational Exposure Limit, </w:t>
      </w:r>
      <w:r w:rsidR="00351F82">
        <w:rPr>
          <w:rFonts w:ascii="Verdana" w:hAnsi="Verdana"/>
          <w:color w:val="auto"/>
          <w:sz w:val="20"/>
          <w:lang w:val="en-GB" w:eastAsia="en-GB" w:bidi="ar-SA"/>
        </w:rPr>
        <w:t>Carbon disulfide</w:t>
      </w:r>
      <w:r w:rsidRPr="001C6F30">
        <w:rPr>
          <w:rFonts w:ascii="Verdana" w:hAnsi="Verdana"/>
          <w:color w:val="auto"/>
          <w:sz w:val="20"/>
          <w:lang w:val="en-GB" w:eastAsia="en-GB" w:bidi="ar-SA"/>
        </w:rPr>
        <w:t xml:space="preserve">’, 2011. </w:t>
      </w:r>
      <w:hyperlink r:id="rId16" w:history="1">
        <w:r w:rsidRPr="000E69DC">
          <w:rPr>
            <w:rFonts w:ascii="Verdana" w:hAnsi="Verdana"/>
            <w:color w:val="auto"/>
            <w:sz w:val="20"/>
            <w:lang w:val="fr-FR" w:eastAsia="en-GB" w:bidi="ar-SA"/>
          </w:rPr>
          <w:t>https://www.healthcouncil.nl</w:t>
        </w:r>
      </w:hyperlink>
    </w:p>
    <w:p w14:paraId="391C8546" w14:textId="77777777" w:rsidR="001C6F30" w:rsidRPr="000E69DC" w:rsidRDefault="001C6F30" w:rsidP="001C6F30">
      <w:pPr>
        <w:pStyle w:val="MDPI71References"/>
        <w:numPr>
          <w:ilvl w:val="0"/>
          <w:numId w:val="0"/>
        </w:numPr>
        <w:rPr>
          <w:rFonts w:ascii="Verdana" w:hAnsi="Verdana"/>
          <w:color w:val="auto"/>
          <w:sz w:val="20"/>
          <w:lang w:val="fr-FR" w:eastAsia="en-GB" w:bidi="ar-SA"/>
        </w:rPr>
      </w:pPr>
    </w:p>
    <w:p w14:paraId="4D13FABD" w14:textId="77777777" w:rsidR="008B6593" w:rsidRPr="008B6593" w:rsidRDefault="008B6593" w:rsidP="001C6F30">
      <w:pPr>
        <w:spacing w:after="120"/>
        <w:jc w:val="both"/>
        <w:rPr>
          <w:rFonts w:ascii="Verdana" w:hAnsi="Verdana"/>
          <w:sz w:val="20"/>
          <w:szCs w:val="20"/>
          <w:lang w:eastAsia="en-GB"/>
        </w:rPr>
      </w:pPr>
      <w:r w:rsidRPr="000E69DC">
        <w:rPr>
          <w:rFonts w:ascii="Verdana" w:hAnsi="Verdana"/>
          <w:sz w:val="20"/>
          <w:szCs w:val="20"/>
          <w:lang w:val="fr-FR" w:eastAsia="en-GB"/>
        </w:rPr>
        <w:t xml:space="preserve">Göen, T., Schramm, A., Baumeister, T., Uter, W., Drexler, H., 2014. </w:t>
      </w:r>
      <w:r w:rsidRPr="008B6593">
        <w:rPr>
          <w:rFonts w:ascii="Verdana" w:hAnsi="Verdana"/>
          <w:sz w:val="20"/>
          <w:szCs w:val="20"/>
          <w:lang w:eastAsia="en-GB"/>
        </w:rPr>
        <w:t xml:space="preserve">Current and historical individual data about exposure of workers in the rayon industry to carbon disulphide and their validity in calculating the cumulative dose. Int Arch Occup Environ Health 87, 675–683. </w:t>
      </w:r>
    </w:p>
    <w:p w14:paraId="1FED45E6" w14:textId="05A2AEAE" w:rsidR="008B6593" w:rsidRPr="008B6593" w:rsidRDefault="008B6593" w:rsidP="001C6F30">
      <w:pPr>
        <w:spacing w:after="120"/>
        <w:jc w:val="both"/>
        <w:rPr>
          <w:rFonts w:ascii="Verdana" w:hAnsi="Verdana"/>
          <w:sz w:val="20"/>
          <w:szCs w:val="20"/>
          <w:lang w:eastAsia="en-GB"/>
        </w:rPr>
      </w:pPr>
      <w:r w:rsidRPr="000E69DC">
        <w:rPr>
          <w:rFonts w:ascii="Verdana" w:hAnsi="Verdana"/>
          <w:sz w:val="20"/>
          <w:szCs w:val="20"/>
          <w:lang w:val="en-US" w:eastAsia="en-GB"/>
        </w:rPr>
        <w:t xml:space="preserve">Kilo, S., Zonnur, N., Uter, W., Göen, T., Drexler, H., 2015. </w:t>
      </w:r>
      <w:r w:rsidRPr="008B6593">
        <w:rPr>
          <w:rFonts w:ascii="Verdana" w:hAnsi="Verdana"/>
          <w:sz w:val="20"/>
          <w:szCs w:val="20"/>
          <w:lang w:eastAsia="en-GB"/>
        </w:rPr>
        <w:t xml:space="preserve">Effect of Skin Protection and Skin Irritation on the Internal Exposure to Carbon Disulphide in Employees of the Viscose Industry. ANNHYG 59, 972–981. </w:t>
      </w:r>
    </w:p>
    <w:p w14:paraId="1631B396" w14:textId="254D4217" w:rsidR="001C6F30" w:rsidRPr="001C6F30" w:rsidRDefault="001C6F30" w:rsidP="001C6F30">
      <w:pPr>
        <w:spacing w:after="120"/>
        <w:jc w:val="both"/>
        <w:rPr>
          <w:rFonts w:ascii="Verdana" w:hAnsi="Verdana"/>
          <w:sz w:val="20"/>
          <w:szCs w:val="20"/>
          <w:lang w:eastAsia="en-GB"/>
        </w:rPr>
      </w:pPr>
      <w:r w:rsidRPr="001C6F30">
        <w:rPr>
          <w:rFonts w:ascii="Verdana" w:hAnsi="Verdana"/>
          <w:sz w:val="20"/>
          <w:szCs w:val="20"/>
          <w:lang w:eastAsia="en-GB"/>
        </w:rPr>
        <w:t xml:space="preserve">Schramm, A., Uter, W., Brandt, M., Göen, T., Köhrmann, M., Baumeister, T., Drexler, H., 2016. Increased intima-media thickness in rayon workers after long-term exposure to </w:t>
      </w:r>
      <w:r w:rsidR="00351F82">
        <w:rPr>
          <w:rFonts w:ascii="Verdana" w:hAnsi="Verdana"/>
          <w:sz w:val="20"/>
          <w:szCs w:val="20"/>
          <w:lang w:eastAsia="en-GB"/>
        </w:rPr>
        <w:t>carbon disulfide</w:t>
      </w:r>
      <w:r w:rsidRPr="001C6F30">
        <w:rPr>
          <w:rFonts w:ascii="Verdana" w:hAnsi="Verdana"/>
          <w:sz w:val="20"/>
          <w:szCs w:val="20"/>
          <w:lang w:eastAsia="en-GB"/>
        </w:rPr>
        <w:t xml:space="preserve">. Int Arch Occup Environ Health 89, 513–519. </w:t>
      </w:r>
      <w:hyperlink r:id="rId17" w:history="1">
        <w:r w:rsidRPr="001C6F30">
          <w:rPr>
            <w:rFonts w:ascii="Verdana" w:hAnsi="Verdana"/>
            <w:sz w:val="20"/>
            <w:szCs w:val="20"/>
            <w:lang w:eastAsia="en-GB"/>
          </w:rPr>
          <w:t>https://doi.org/10.1007/s00420-015-1091-5</w:t>
        </w:r>
      </w:hyperlink>
    </w:p>
    <w:p w14:paraId="0BC33D37" w14:textId="130B6B63" w:rsidR="001C6F30" w:rsidRPr="001C6F30" w:rsidRDefault="001C6F30" w:rsidP="001C6F30">
      <w:pPr>
        <w:pStyle w:val="MDPI71References"/>
        <w:numPr>
          <w:ilvl w:val="0"/>
          <w:numId w:val="0"/>
        </w:numPr>
        <w:rPr>
          <w:rFonts w:ascii="Verdana" w:hAnsi="Verdana"/>
          <w:color w:val="auto"/>
          <w:sz w:val="20"/>
          <w:lang w:val="en-GB" w:eastAsia="en-GB" w:bidi="ar-SA"/>
        </w:rPr>
      </w:pPr>
      <w:r w:rsidRPr="001C6F30">
        <w:rPr>
          <w:rFonts w:ascii="Verdana" w:hAnsi="Verdana"/>
          <w:color w:val="auto"/>
          <w:sz w:val="20"/>
          <w:lang w:val="en-GB" w:eastAsia="en-GB" w:bidi="ar-SA"/>
        </w:rPr>
        <w:t xml:space="preserve">SCOEL (Scientific Committee on Occupational Exposure). Recommendation from the Scientific Committee on Occupational Exposure Limits for </w:t>
      </w:r>
      <w:r w:rsidR="00351F82">
        <w:rPr>
          <w:rFonts w:ascii="Verdana" w:hAnsi="Verdana"/>
          <w:color w:val="auto"/>
          <w:sz w:val="20"/>
          <w:lang w:val="en-GB" w:eastAsia="en-GB" w:bidi="ar-SA"/>
        </w:rPr>
        <w:t>Carbon disulfide</w:t>
      </w:r>
      <w:r w:rsidRPr="001C6F30">
        <w:rPr>
          <w:rFonts w:ascii="Verdana" w:hAnsi="Verdana"/>
          <w:color w:val="auto"/>
          <w:sz w:val="20"/>
          <w:lang w:val="en-GB" w:eastAsia="en-GB" w:bidi="ar-SA"/>
        </w:rPr>
        <w:t>, 2008.</w:t>
      </w:r>
    </w:p>
    <w:p w14:paraId="5C10118A" w14:textId="77777777" w:rsidR="001C6F30" w:rsidRPr="001C6F30" w:rsidRDefault="001C6F30" w:rsidP="001C6F30">
      <w:pPr>
        <w:pStyle w:val="MDPI71References"/>
        <w:numPr>
          <w:ilvl w:val="0"/>
          <w:numId w:val="0"/>
        </w:numPr>
        <w:rPr>
          <w:rFonts w:ascii="Verdana" w:hAnsi="Verdana"/>
          <w:color w:val="auto"/>
          <w:sz w:val="20"/>
          <w:lang w:val="en-GB" w:eastAsia="en-GB" w:bidi="ar-SA"/>
        </w:rPr>
      </w:pPr>
    </w:p>
    <w:p w14:paraId="6F7DBB90" w14:textId="77777777" w:rsidR="001C6F30" w:rsidRPr="001C6F30" w:rsidRDefault="001C6F30" w:rsidP="001C6F30">
      <w:pPr>
        <w:pStyle w:val="MDPI71References"/>
        <w:numPr>
          <w:ilvl w:val="0"/>
          <w:numId w:val="0"/>
        </w:numPr>
        <w:spacing w:line="240" w:lineRule="auto"/>
        <w:rPr>
          <w:rFonts w:ascii="Verdana" w:hAnsi="Verdana"/>
          <w:color w:val="auto"/>
          <w:sz w:val="20"/>
          <w:lang w:val="en-GB" w:eastAsia="en-GB" w:bidi="ar-SA"/>
        </w:rPr>
      </w:pPr>
      <w:r w:rsidRPr="001C6F30">
        <w:rPr>
          <w:rFonts w:ascii="Verdana" w:hAnsi="Verdana"/>
          <w:color w:val="auto"/>
          <w:sz w:val="20"/>
          <w:lang w:val="en-GB" w:eastAsia="en-GB" w:bidi="ar-SA"/>
        </w:rPr>
        <w:t xml:space="preserve">Takebayashi, Toru, Yuji Nishiwaki, Tetsuo Nomiyama, Takamoto Uemura, Tsuneyuki Yamauchi, Shigeru Tanaka, Haruhiko Sakurai, Kazuyuki Omae, and Japanese Rayon Worker’s Health Study Group. ‘Lack of Relationship between Occupational Exposure to Carbon Disulfide and Endocrine Dysfunction: A Six-Year Cohort Study of the Japanese Rayon Workers’. Journal of Occupational Health 45, no. 2 (2003): 111–18. </w:t>
      </w:r>
      <w:hyperlink r:id="rId18" w:history="1">
        <w:r w:rsidRPr="001C6F30">
          <w:rPr>
            <w:rFonts w:ascii="Verdana" w:hAnsi="Verdana"/>
            <w:color w:val="auto"/>
            <w:sz w:val="20"/>
            <w:lang w:val="en-GB" w:eastAsia="en-GB" w:bidi="ar-SA"/>
          </w:rPr>
          <w:t>https://doi.org/10.1539/joh.45.111</w:t>
        </w:r>
      </w:hyperlink>
      <w:r w:rsidRPr="001C6F30">
        <w:rPr>
          <w:rFonts w:ascii="Verdana" w:hAnsi="Verdana"/>
          <w:color w:val="auto"/>
          <w:sz w:val="20"/>
          <w:lang w:val="en-GB" w:eastAsia="en-GB" w:bidi="ar-SA"/>
        </w:rPr>
        <w:t>.</w:t>
      </w:r>
    </w:p>
    <w:p w14:paraId="45917AC0" w14:textId="77777777" w:rsidR="001C6F30" w:rsidRPr="001C6F30" w:rsidRDefault="001C6F30" w:rsidP="001C6F30">
      <w:pPr>
        <w:pStyle w:val="MDPI71References"/>
        <w:numPr>
          <w:ilvl w:val="0"/>
          <w:numId w:val="0"/>
        </w:numPr>
        <w:rPr>
          <w:rFonts w:ascii="Verdana" w:hAnsi="Verdana"/>
          <w:color w:val="auto"/>
          <w:sz w:val="20"/>
          <w:lang w:val="en-GB" w:eastAsia="en-GB" w:bidi="ar-SA"/>
        </w:rPr>
      </w:pPr>
    </w:p>
    <w:p w14:paraId="791EDFE7" w14:textId="43B4EE57" w:rsidR="001C6F30" w:rsidRPr="001C6F30" w:rsidRDefault="001C6F30" w:rsidP="001C6F30">
      <w:pPr>
        <w:spacing w:after="120"/>
        <w:jc w:val="both"/>
        <w:rPr>
          <w:rFonts w:ascii="Verdana" w:hAnsi="Verdana"/>
          <w:sz w:val="20"/>
          <w:szCs w:val="20"/>
          <w:lang w:eastAsia="en-GB"/>
        </w:rPr>
      </w:pPr>
      <w:r w:rsidRPr="001C6F30">
        <w:rPr>
          <w:rFonts w:ascii="Verdana" w:hAnsi="Verdana"/>
          <w:sz w:val="20"/>
          <w:szCs w:val="20"/>
          <w:lang w:eastAsia="en-GB"/>
        </w:rPr>
        <w:t xml:space="preserve">Takebayashi, T., 2004. A six year follow up study of the subclinical effects of </w:t>
      </w:r>
      <w:r w:rsidR="00351F82">
        <w:rPr>
          <w:rFonts w:ascii="Verdana" w:hAnsi="Verdana"/>
          <w:sz w:val="20"/>
          <w:szCs w:val="20"/>
          <w:lang w:eastAsia="en-GB"/>
        </w:rPr>
        <w:t>carbon disulfide</w:t>
      </w:r>
      <w:r w:rsidRPr="001C6F30">
        <w:rPr>
          <w:rFonts w:ascii="Verdana" w:hAnsi="Verdana"/>
          <w:sz w:val="20"/>
          <w:szCs w:val="20"/>
          <w:lang w:eastAsia="en-GB"/>
        </w:rPr>
        <w:t xml:space="preserve"> exposure on the cardiovascular system. Occupational and Environmental Medicine 61, 127–134. </w:t>
      </w:r>
      <w:hyperlink r:id="rId19" w:history="1">
        <w:r w:rsidRPr="001C6F30">
          <w:rPr>
            <w:rFonts w:ascii="Verdana" w:hAnsi="Verdana"/>
            <w:sz w:val="20"/>
            <w:szCs w:val="20"/>
            <w:lang w:eastAsia="en-GB"/>
          </w:rPr>
          <w:t>https://doi.org/10.1136/oem.2002.006858</w:t>
        </w:r>
      </w:hyperlink>
    </w:p>
    <w:p w14:paraId="30809E0D" w14:textId="77777777" w:rsidR="001C6F30" w:rsidRPr="001C6F30" w:rsidRDefault="001C6F30" w:rsidP="001C6F30">
      <w:pPr>
        <w:pStyle w:val="MDPI71References"/>
        <w:numPr>
          <w:ilvl w:val="0"/>
          <w:numId w:val="0"/>
        </w:numPr>
        <w:rPr>
          <w:rFonts w:ascii="Verdana" w:hAnsi="Verdana"/>
          <w:color w:val="auto"/>
          <w:sz w:val="20"/>
          <w:lang w:val="en-GB" w:eastAsia="en-GB" w:bidi="ar-SA"/>
        </w:rPr>
      </w:pPr>
      <w:r w:rsidRPr="001C6F30">
        <w:rPr>
          <w:rFonts w:ascii="Verdana" w:hAnsi="Verdana"/>
          <w:color w:val="auto"/>
          <w:sz w:val="20"/>
          <w:lang w:val="en-GB" w:eastAsia="en-GB" w:bidi="ar-SA"/>
        </w:rPr>
        <w:t xml:space="preserve">Unpublished report (2019a). ‘Extended One Generation Reproductive Toxicity Study of carbon disulfide by Oral Gavage in Rats’. Summary available in ECHA disseminated database. </w:t>
      </w:r>
      <w:hyperlink r:id="rId20" w:history="1">
        <w:r w:rsidRPr="001C6F30">
          <w:rPr>
            <w:rFonts w:ascii="Verdana" w:hAnsi="Verdana"/>
            <w:color w:val="auto"/>
            <w:sz w:val="20"/>
            <w:lang w:val="en-GB" w:eastAsia="en-GB" w:bidi="ar-SA"/>
          </w:rPr>
          <w:t>https://echa.europa.eu/</w:t>
        </w:r>
      </w:hyperlink>
    </w:p>
    <w:p w14:paraId="513C1963" w14:textId="77777777" w:rsidR="001C6F30" w:rsidRPr="001C6F30" w:rsidRDefault="001C6F30" w:rsidP="001C6F30">
      <w:pPr>
        <w:pStyle w:val="MDPI71References"/>
        <w:numPr>
          <w:ilvl w:val="0"/>
          <w:numId w:val="0"/>
        </w:numPr>
        <w:ind w:left="425" w:hanging="425"/>
        <w:rPr>
          <w:rFonts w:ascii="Verdana" w:hAnsi="Verdana"/>
          <w:color w:val="auto"/>
          <w:sz w:val="20"/>
          <w:lang w:val="en-GB" w:eastAsia="en-GB" w:bidi="ar-SA"/>
        </w:rPr>
      </w:pPr>
    </w:p>
    <w:p w14:paraId="09A6BB71" w14:textId="0FD07A39" w:rsidR="001C6F30" w:rsidRDefault="001C6F30" w:rsidP="001C6F30">
      <w:pPr>
        <w:jc w:val="both"/>
        <w:rPr>
          <w:rFonts w:ascii="Verdana" w:hAnsi="Verdana"/>
          <w:sz w:val="20"/>
          <w:szCs w:val="20"/>
          <w:lang w:eastAsia="en-GB"/>
        </w:rPr>
      </w:pPr>
      <w:r w:rsidRPr="001C6F30">
        <w:rPr>
          <w:rFonts w:ascii="Verdana" w:hAnsi="Verdana"/>
          <w:sz w:val="20"/>
          <w:szCs w:val="20"/>
          <w:lang w:eastAsia="en-GB"/>
        </w:rPr>
        <w:t>Unpublished r</w:t>
      </w:r>
      <w:r w:rsidR="00111A90">
        <w:rPr>
          <w:rFonts w:ascii="Verdana" w:hAnsi="Verdana"/>
          <w:sz w:val="20"/>
          <w:szCs w:val="20"/>
          <w:lang w:eastAsia="en-GB"/>
        </w:rPr>
        <w:t>eport (2019</w:t>
      </w:r>
      <w:r w:rsidRPr="001C6F30">
        <w:rPr>
          <w:rFonts w:ascii="Verdana" w:hAnsi="Verdana"/>
          <w:sz w:val="20"/>
          <w:szCs w:val="20"/>
          <w:lang w:eastAsia="en-GB"/>
        </w:rPr>
        <w:t xml:space="preserve">). ‘Determination of the whole blood toxicokinetics of carbon disulfide (CS2) and the plasma toxicokinetics of the CS2 metabolite 2-thiothiazolidine- 4-carboxylic acid (TTCA) in male Wistar Han rats following a single oral (gavage) or inhalation administration of CS2 and to determine the routes of elimination and excretion of CS2 and TTCA in male Wistar Han rats following a single oral (gavage) or inhalation administration of CS2.’ Summary available in ECHA disseminated database. </w:t>
      </w:r>
      <w:hyperlink r:id="rId21" w:history="1">
        <w:r w:rsidRPr="001C6F30">
          <w:rPr>
            <w:rFonts w:ascii="Verdana" w:hAnsi="Verdana"/>
            <w:sz w:val="20"/>
            <w:szCs w:val="20"/>
            <w:lang w:eastAsia="en-GB"/>
          </w:rPr>
          <w:t>https://echa.europa.eu/</w:t>
        </w:r>
      </w:hyperlink>
    </w:p>
    <w:p w14:paraId="4BED9A00" w14:textId="71A4A3C6" w:rsidR="00C56733" w:rsidRPr="001C6F30" w:rsidRDefault="00C56733" w:rsidP="001C6F30">
      <w:pPr>
        <w:jc w:val="both"/>
        <w:rPr>
          <w:rFonts w:ascii="Verdana" w:hAnsi="Verdana"/>
          <w:sz w:val="20"/>
          <w:szCs w:val="20"/>
          <w:lang w:eastAsia="en-GB"/>
        </w:rPr>
      </w:pPr>
      <w:r w:rsidRPr="002D0738">
        <w:rPr>
          <w:rFonts w:ascii="Verdana" w:hAnsi="Verdana"/>
          <w:sz w:val="20"/>
          <w:szCs w:val="20"/>
          <w:lang w:eastAsia="en-GB"/>
        </w:rPr>
        <w:lastRenderedPageBreak/>
        <w:t>Yoshioka, N., Takebayashi, T., Nishiwaki, Y., Nomiyama, T., Iwasawa, S., Sakurai, H., Omae, K., 2017. Changes of median nerve conduction velocity in rayon manufacturing workers: A 6</w:t>
      </w:r>
      <w:r w:rsidRPr="002D0738">
        <w:rPr>
          <w:rFonts w:ascii="Cambria Math" w:hAnsi="Cambria Math" w:cs="Cambria Math"/>
          <w:sz w:val="20"/>
          <w:szCs w:val="20"/>
          <w:lang w:eastAsia="en-GB"/>
        </w:rPr>
        <w:t>‐</w:t>
      </w:r>
      <w:r w:rsidRPr="002D0738">
        <w:rPr>
          <w:rFonts w:ascii="Verdana" w:hAnsi="Verdana"/>
          <w:sz w:val="20"/>
          <w:szCs w:val="20"/>
          <w:lang w:eastAsia="en-GB"/>
        </w:rPr>
        <w:t>year cohort study. Jrnl of Occup Health 59, 187–193.</w:t>
      </w:r>
    </w:p>
    <w:p w14:paraId="5C7194AC" w14:textId="4674AB18" w:rsidR="001C6F30" w:rsidRPr="00E50F59" w:rsidRDefault="001C6F30" w:rsidP="00111A90">
      <w:pPr>
        <w:pStyle w:val="MDPI71References"/>
        <w:numPr>
          <w:ilvl w:val="0"/>
          <w:numId w:val="0"/>
        </w:numPr>
        <w:rPr>
          <w:rFonts w:asciiTheme="minorHAnsi" w:eastAsiaTheme="minorHAnsi" w:hAnsiTheme="minorHAnsi" w:cstheme="minorHAnsi"/>
          <w:bCs/>
          <w:color w:val="auto"/>
          <w:sz w:val="22"/>
          <w:szCs w:val="22"/>
          <w:lang w:eastAsia="en-US" w:bidi="ar-SA"/>
        </w:rPr>
      </w:pPr>
    </w:p>
    <w:p w14:paraId="7EEB96B7" w14:textId="7A63898F" w:rsidR="00C40FA0" w:rsidRDefault="00C40FA0" w:rsidP="00C40FA0">
      <w:pPr>
        <w:pStyle w:val="Titre1"/>
        <w:numPr>
          <w:ilvl w:val="0"/>
          <w:numId w:val="0"/>
        </w:numPr>
        <w:ind w:left="142"/>
        <w:rPr>
          <w:szCs w:val="28"/>
        </w:rPr>
      </w:pPr>
      <w:bookmarkStart w:id="40" w:name="_Toc117776296"/>
      <w:r w:rsidRPr="00C40FA0">
        <w:rPr>
          <w:szCs w:val="28"/>
        </w:rPr>
        <w:t xml:space="preserve">Annex </w:t>
      </w:r>
      <w:r w:rsidR="00F51E60">
        <w:rPr>
          <w:szCs w:val="28"/>
        </w:rPr>
        <w:t>1</w:t>
      </w:r>
      <w:r w:rsidRPr="00C40FA0">
        <w:rPr>
          <w:szCs w:val="28"/>
        </w:rPr>
        <w:t>: Harmonised classifications and self-classifications reported by registrants</w:t>
      </w:r>
      <w:bookmarkEnd w:id="40"/>
      <w:r w:rsidRPr="00C40FA0">
        <w:rPr>
          <w:szCs w:val="28"/>
        </w:rPr>
        <w:t xml:space="preserve"> </w:t>
      </w:r>
    </w:p>
    <w:p w14:paraId="59735750" w14:textId="1F0CCCB9" w:rsidR="001002E1" w:rsidRDefault="00B16A1F" w:rsidP="001002E1">
      <w:pPr>
        <w:pStyle w:val="Corpsdetexte"/>
        <w:rPr>
          <w:rFonts w:ascii="Verdana" w:hAnsi="Verdana"/>
          <w:bCs/>
          <w:sz w:val="20"/>
          <w:szCs w:val="20"/>
        </w:rPr>
      </w:pPr>
      <w:bookmarkStart w:id="41" w:name="_Hlk83032147"/>
      <w:r>
        <w:rPr>
          <w:rFonts w:ascii="Verdana" w:hAnsi="Verdana"/>
          <w:bCs/>
          <w:sz w:val="20"/>
          <w:szCs w:val="20"/>
        </w:rPr>
        <w:t xml:space="preserve">Data consulted on </w:t>
      </w:r>
      <w:r w:rsidR="00E56EAD">
        <w:rPr>
          <w:rFonts w:ascii="Verdana" w:hAnsi="Verdana"/>
          <w:bCs/>
          <w:sz w:val="20"/>
          <w:szCs w:val="20"/>
        </w:rPr>
        <w:t>15 June</w:t>
      </w:r>
      <w:r>
        <w:rPr>
          <w:rFonts w:ascii="Verdana" w:hAnsi="Verdana"/>
          <w:bCs/>
          <w:sz w:val="20"/>
          <w:szCs w:val="20"/>
        </w:rPr>
        <w:t xml:space="preserve"> 2022</w:t>
      </w:r>
    </w:p>
    <w:p w14:paraId="4916A42E" w14:textId="474B082E" w:rsidR="00C37224" w:rsidRPr="009C0B1B" w:rsidRDefault="00C37224" w:rsidP="001002E1">
      <w:pPr>
        <w:pStyle w:val="Corpsdetexte"/>
        <w:rPr>
          <w:rFonts w:ascii="Verdana" w:hAnsi="Verdana"/>
          <w:bCs/>
          <w:sz w:val="20"/>
          <w:szCs w:val="20"/>
        </w:rPr>
      </w:pPr>
      <w:r w:rsidRPr="00C37224">
        <w:rPr>
          <w:rFonts w:ascii="Verdana" w:hAnsi="Verdana"/>
          <w:b/>
          <w:sz w:val="20"/>
        </w:rPr>
        <w:t xml:space="preserve">Table </w:t>
      </w:r>
      <w:r w:rsidRPr="00C37224">
        <w:rPr>
          <w:rFonts w:ascii="Verdana" w:hAnsi="Verdana"/>
          <w:b/>
          <w:sz w:val="20"/>
        </w:rPr>
        <w:fldChar w:fldCharType="begin"/>
      </w:r>
      <w:r w:rsidRPr="00C37224">
        <w:rPr>
          <w:rFonts w:ascii="Verdana" w:hAnsi="Verdana"/>
          <w:b/>
          <w:sz w:val="20"/>
        </w:rPr>
        <w:instrText xml:space="preserve"> SEQ Table \* ARABIC </w:instrText>
      </w:r>
      <w:r w:rsidRPr="00C37224">
        <w:rPr>
          <w:rFonts w:ascii="Verdana" w:hAnsi="Verdana"/>
          <w:b/>
          <w:sz w:val="20"/>
        </w:rPr>
        <w:fldChar w:fldCharType="separate"/>
      </w:r>
      <w:r w:rsidR="002D0738">
        <w:rPr>
          <w:rFonts w:ascii="Verdana" w:hAnsi="Verdana"/>
          <w:b/>
          <w:noProof/>
          <w:sz w:val="20"/>
        </w:rPr>
        <w:t>10</w:t>
      </w:r>
      <w:r w:rsidRPr="00C37224">
        <w:rPr>
          <w:rFonts w:ascii="Verdana" w:hAnsi="Verdana"/>
          <w:b/>
          <w:sz w:val="20"/>
        </w:rPr>
        <w:fldChar w:fldCharType="end"/>
      </w:r>
      <w:r>
        <w:rPr>
          <w:rFonts w:ascii="Verdana" w:hAnsi="Verdana"/>
          <w:b/>
          <w:sz w:val="20"/>
        </w:rPr>
        <w:t xml:space="preserve"> </w:t>
      </w:r>
      <w:r>
        <w:rPr>
          <w:rFonts w:ascii="Verdana" w:hAnsi="Verdana"/>
          <w:b/>
          <w:sz w:val="20"/>
        </w:rPr>
        <w:tab/>
      </w:r>
      <w:r w:rsidRPr="00C37224">
        <w:rPr>
          <w:rFonts w:ascii="Verdana" w:hAnsi="Verdana"/>
          <w:b/>
          <w:bCs/>
          <w:sz w:val="20"/>
          <w:szCs w:val="20"/>
        </w:rPr>
        <w:t>Harmonised classifications and self-classifications reported by registrants</w:t>
      </w:r>
      <w:r>
        <w:rPr>
          <w:rFonts w:ascii="Verdana" w:hAnsi="Verdana"/>
          <w:b/>
          <w:bCs/>
          <w:sz w:val="20"/>
          <w:szCs w:val="20"/>
        </w:rPr>
        <w:t xml:space="preserve"> for carbon disulfide</w:t>
      </w:r>
    </w:p>
    <w:tbl>
      <w:tblPr>
        <w:tblStyle w:val="TableauGrille4-Accentuation1"/>
        <w:tblW w:w="5632" w:type="pct"/>
        <w:tblLayout w:type="fixed"/>
        <w:tblLook w:val="04A0" w:firstRow="1" w:lastRow="0" w:firstColumn="1" w:lastColumn="0" w:noHBand="0" w:noVBand="1"/>
      </w:tblPr>
      <w:tblGrid>
        <w:gridCol w:w="816"/>
        <w:gridCol w:w="853"/>
        <w:gridCol w:w="1305"/>
        <w:gridCol w:w="1986"/>
        <w:gridCol w:w="1842"/>
        <w:gridCol w:w="2549"/>
      </w:tblGrid>
      <w:tr w:rsidR="009C4365" w:rsidRPr="00D14E25" w14:paraId="325B6CA3" w14:textId="77777777" w:rsidTr="00B70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bookmarkEnd w:id="41"/>
          <w:p w14:paraId="12697BB1" w14:textId="77777777" w:rsidR="009C4365" w:rsidRPr="00804F64" w:rsidRDefault="009C4365" w:rsidP="00B70A40">
            <w:pPr>
              <w:spacing w:before="240"/>
              <w:rPr>
                <w:rFonts w:ascii="Verdana" w:hAnsi="Verdana"/>
                <w:sz w:val="18"/>
                <w:szCs w:val="18"/>
              </w:rPr>
            </w:pPr>
            <w:r w:rsidRPr="00804F64">
              <w:rPr>
                <w:rFonts w:ascii="Verdana" w:hAnsi="Verdana"/>
                <w:sz w:val="18"/>
                <w:szCs w:val="18"/>
              </w:rPr>
              <w:t>EC/</w:t>
            </w:r>
            <w:r>
              <w:rPr>
                <w:rFonts w:ascii="Verdana" w:hAnsi="Verdana"/>
                <w:sz w:val="18"/>
                <w:szCs w:val="18"/>
              </w:rPr>
              <w:t xml:space="preserve"> </w:t>
            </w:r>
            <w:r w:rsidRPr="00804F64">
              <w:rPr>
                <w:rFonts w:ascii="Verdana" w:hAnsi="Verdana"/>
                <w:sz w:val="18"/>
                <w:szCs w:val="18"/>
              </w:rPr>
              <w:t>List No</w:t>
            </w:r>
          </w:p>
        </w:tc>
        <w:tc>
          <w:tcPr>
            <w:tcW w:w="456" w:type="pct"/>
          </w:tcPr>
          <w:p w14:paraId="73BAE09B" w14:textId="643F7B34" w:rsidR="009C4365" w:rsidRPr="00804F64" w:rsidRDefault="009C4365" w:rsidP="00B70A40">
            <w:pPr>
              <w:tabs>
                <w:tab w:val="left" w:pos="290"/>
                <w:tab w:val="center" w:pos="3445"/>
              </w:tabs>
              <w:spacing w:before="240" w:after="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804F64">
              <w:rPr>
                <w:rFonts w:ascii="Verdana" w:hAnsi="Verdana"/>
                <w:sz w:val="18"/>
                <w:szCs w:val="18"/>
              </w:rPr>
              <w:t xml:space="preserve">CAS </w:t>
            </w:r>
            <w:r>
              <w:rPr>
                <w:rFonts w:ascii="Verdana" w:hAnsi="Verdana"/>
                <w:sz w:val="18"/>
                <w:szCs w:val="18"/>
              </w:rPr>
              <w:t>No</w:t>
            </w:r>
          </w:p>
        </w:tc>
        <w:tc>
          <w:tcPr>
            <w:tcW w:w="698" w:type="pct"/>
            <w:tcBorders>
              <w:right w:val="single" w:sz="4" w:space="0" w:color="auto"/>
            </w:tcBorders>
          </w:tcPr>
          <w:p w14:paraId="63479A0F" w14:textId="77777777" w:rsidR="009C4365" w:rsidRPr="00804F64" w:rsidRDefault="009C4365" w:rsidP="00B70A40">
            <w:pPr>
              <w:tabs>
                <w:tab w:val="left" w:pos="290"/>
                <w:tab w:val="center" w:pos="3445"/>
              </w:tabs>
              <w:spacing w:before="240" w:after="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804F64">
              <w:rPr>
                <w:rFonts w:ascii="Verdana" w:hAnsi="Verdana"/>
                <w:sz w:val="18"/>
                <w:szCs w:val="18"/>
              </w:rPr>
              <w:t>Substance name</w:t>
            </w:r>
          </w:p>
        </w:tc>
        <w:tc>
          <w:tcPr>
            <w:tcW w:w="1062" w:type="pct"/>
            <w:tcBorders>
              <w:top w:val="single" w:sz="4" w:space="0" w:color="auto"/>
              <w:left w:val="single" w:sz="4" w:space="0" w:color="auto"/>
              <w:bottom w:val="single" w:sz="4" w:space="0" w:color="auto"/>
              <w:right w:val="single" w:sz="4" w:space="0" w:color="auto"/>
            </w:tcBorders>
          </w:tcPr>
          <w:p w14:paraId="4CEE261D" w14:textId="52FC6D20" w:rsidR="009C4365" w:rsidRPr="00804F64" w:rsidRDefault="009C4365" w:rsidP="00B70A40">
            <w:pPr>
              <w:tabs>
                <w:tab w:val="left" w:pos="290"/>
                <w:tab w:val="center" w:pos="3445"/>
              </w:tabs>
              <w:spacing w:before="240" w:after="0"/>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A22065">
              <w:rPr>
                <w:rFonts w:ascii="Verdana" w:hAnsi="Verdana"/>
                <w:sz w:val="18"/>
                <w:szCs w:val="18"/>
              </w:rPr>
              <w:t>Harmonised classification</w:t>
            </w:r>
          </w:p>
        </w:tc>
        <w:tc>
          <w:tcPr>
            <w:tcW w:w="985" w:type="pct"/>
            <w:tcBorders>
              <w:top w:val="single" w:sz="4" w:space="0" w:color="auto"/>
              <w:left w:val="single" w:sz="4" w:space="0" w:color="auto"/>
              <w:bottom w:val="single" w:sz="4" w:space="0" w:color="auto"/>
              <w:right w:val="single" w:sz="4" w:space="0" w:color="auto"/>
            </w:tcBorders>
          </w:tcPr>
          <w:p w14:paraId="6738F941" w14:textId="34673FC4" w:rsidR="009C4365" w:rsidRPr="00154CDB" w:rsidRDefault="009C4365" w:rsidP="00B70A40">
            <w:pPr>
              <w:spacing w:before="24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w:t>
            </w:r>
            <w:r w:rsidRPr="00804F64">
              <w:rPr>
                <w:rFonts w:ascii="Verdana" w:hAnsi="Verdana"/>
                <w:sz w:val="18"/>
                <w:szCs w:val="18"/>
              </w:rPr>
              <w:t>lassification</w:t>
            </w:r>
            <w:r>
              <w:rPr>
                <w:rFonts w:ascii="Verdana" w:hAnsi="Verdana"/>
                <w:sz w:val="18"/>
                <w:szCs w:val="18"/>
              </w:rPr>
              <w:t xml:space="preserve"> </w:t>
            </w:r>
            <w:r w:rsidRPr="00A22065">
              <w:rPr>
                <w:rFonts w:ascii="Verdana" w:hAnsi="Verdana"/>
                <w:sz w:val="18"/>
                <w:szCs w:val="18"/>
              </w:rPr>
              <w:t>in registrations</w:t>
            </w:r>
          </w:p>
        </w:tc>
        <w:tc>
          <w:tcPr>
            <w:tcW w:w="1363" w:type="pct"/>
            <w:tcBorders>
              <w:top w:val="single" w:sz="4" w:space="0" w:color="auto"/>
              <w:left w:val="single" w:sz="4" w:space="0" w:color="auto"/>
              <w:bottom w:val="single" w:sz="4" w:space="0" w:color="auto"/>
              <w:right w:val="single" w:sz="4" w:space="0" w:color="auto"/>
            </w:tcBorders>
          </w:tcPr>
          <w:p w14:paraId="0FBF20D6" w14:textId="673155B1" w:rsidR="009C4365" w:rsidRPr="00804F64" w:rsidRDefault="009C4365" w:rsidP="00B70A40">
            <w:pPr>
              <w:spacing w:before="240"/>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w:t>
            </w:r>
            <w:r w:rsidRPr="00154CDB">
              <w:rPr>
                <w:rFonts w:ascii="Verdana" w:hAnsi="Verdana"/>
                <w:sz w:val="18"/>
                <w:szCs w:val="18"/>
              </w:rPr>
              <w:t>lassification in C&amp;L notifications</w:t>
            </w:r>
            <w:r w:rsidR="00CA6702">
              <w:rPr>
                <w:rFonts w:ascii="Verdana" w:hAnsi="Verdana"/>
                <w:sz w:val="18"/>
                <w:szCs w:val="18"/>
              </w:rPr>
              <w:t xml:space="preserve"> (954)</w:t>
            </w:r>
          </w:p>
        </w:tc>
      </w:tr>
      <w:tr w:rsidR="009C4365" w:rsidRPr="00154CDB" w14:paraId="3C632F1C" w14:textId="77777777" w:rsidTr="00B70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p w14:paraId="78637A36" w14:textId="61D6ED1A" w:rsidR="009C4365" w:rsidRPr="00804F64" w:rsidRDefault="00BC41CD" w:rsidP="004B3432">
            <w:pPr>
              <w:spacing w:after="0"/>
              <w:rPr>
                <w:rFonts w:ascii="Verdana" w:hAnsi="Verdana"/>
                <w:b w:val="0"/>
                <w:i/>
                <w:sz w:val="18"/>
                <w:szCs w:val="18"/>
              </w:rPr>
            </w:pPr>
            <w:r w:rsidRPr="004B3432">
              <w:rPr>
                <w:rFonts w:ascii="Verdana" w:hAnsi="Verdana"/>
                <w:sz w:val="18"/>
                <w:szCs w:val="18"/>
                <w:lang w:val="pt-PT"/>
              </w:rPr>
              <w:t>200-843-6</w:t>
            </w:r>
          </w:p>
        </w:tc>
        <w:tc>
          <w:tcPr>
            <w:tcW w:w="456" w:type="pct"/>
          </w:tcPr>
          <w:p w14:paraId="1B545105" w14:textId="07A12154" w:rsidR="009C4365" w:rsidRPr="004B3432" w:rsidRDefault="001C4474"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75-15-0</w:t>
            </w:r>
          </w:p>
        </w:tc>
        <w:tc>
          <w:tcPr>
            <w:tcW w:w="698" w:type="pct"/>
          </w:tcPr>
          <w:p w14:paraId="0CB4F9C5" w14:textId="101F3256" w:rsidR="009C4365" w:rsidRPr="004B3432" w:rsidRDefault="001C4474"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Carbon disulfide</w:t>
            </w:r>
          </w:p>
        </w:tc>
        <w:tc>
          <w:tcPr>
            <w:tcW w:w="1062" w:type="pct"/>
            <w:tcBorders>
              <w:top w:val="single" w:sz="4" w:space="0" w:color="auto"/>
            </w:tcBorders>
          </w:tcPr>
          <w:p w14:paraId="15DEC2F3" w14:textId="6614B1D3" w:rsidR="009C4365" w:rsidRPr="004B3432" w:rsidRDefault="00BC41C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Flam. Liq. 3 H225</w:t>
            </w:r>
          </w:p>
          <w:p w14:paraId="102C059B" w14:textId="77777777" w:rsidR="009C4365" w:rsidRPr="004B3432" w:rsidRDefault="00BC41C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Repr. 2, H361fd</w:t>
            </w:r>
          </w:p>
          <w:p w14:paraId="36805405" w14:textId="77777777" w:rsidR="00BC41CD" w:rsidRPr="004B3432" w:rsidRDefault="00BC41C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Skin Irrit. 2, H315</w:t>
            </w:r>
          </w:p>
          <w:p w14:paraId="63CBF4EA" w14:textId="5661D132" w:rsidR="00BC41CD" w:rsidRPr="004B3432" w:rsidRDefault="00BC41C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Eye Irrit. 2, H319</w:t>
            </w:r>
          </w:p>
          <w:p w14:paraId="54E0E34E" w14:textId="77777777" w:rsidR="00BC41CD" w:rsidRPr="004B3432" w:rsidRDefault="00BC41C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bCs/>
                <w:sz w:val="18"/>
                <w:szCs w:val="18"/>
                <w:lang w:val="pt-PT"/>
              </w:rPr>
            </w:pPr>
            <w:r w:rsidRPr="004B3432">
              <w:rPr>
                <w:rFonts w:ascii="Verdana" w:hAnsi="Verdana"/>
                <w:sz w:val="18"/>
                <w:szCs w:val="18"/>
                <w:lang w:val="pt-PT"/>
              </w:rPr>
              <w:t>STOT RE 1**, H372</w:t>
            </w:r>
          </w:p>
          <w:p w14:paraId="1DE9A997" w14:textId="7849D792" w:rsidR="00BC41CD" w:rsidRPr="00804F64" w:rsidRDefault="00BC41C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i/>
                <w:sz w:val="18"/>
                <w:szCs w:val="18"/>
                <w:lang w:val="pt-PT"/>
              </w:rPr>
            </w:pPr>
            <w:r w:rsidRPr="004B3432">
              <w:rPr>
                <w:rFonts w:ascii="Verdana" w:hAnsi="Verdana"/>
                <w:bCs/>
                <w:sz w:val="18"/>
                <w:szCs w:val="18"/>
                <w:lang w:val="pt-PT"/>
              </w:rPr>
              <w:t>Specific concentration: Repr. 2; H361fd: C ≥ 1 %</w:t>
            </w:r>
            <w:r w:rsidRPr="004B3432">
              <w:rPr>
                <w:rFonts w:ascii="Verdana" w:hAnsi="Verdana"/>
                <w:bCs/>
                <w:sz w:val="18"/>
                <w:szCs w:val="18"/>
                <w:lang w:val="pt-PT"/>
              </w:rPr>
              <w:br/>
              <w:t>STOT RE 1; H372: C ≥ 1 %</w:t>
            </w:r>
            <w:r w:rsidRPr="004B3432">
              <w:rPr>
                <w:rFonts w:ascii="Verdana" w:hAnsi="Verdana"/>
                <w:bCs/>
                <w:sz w:val="18"/>
                <w:szCs w:val="18"/>
                <w:lang w:val="pt-PT"/>
              </w:rPr>
              <w:br/>
              <w:t>STOT RE 2; H373: 0,2 % ≤C &lt; 1 %</w:t>
            </w:r>
          </w:p>
        </w:tc>
        <w:tc>
          <w:tcPr>
            <w:tcW w:w="985" w:type="pct"/>
            <w:tcBorders>
              <w:top w:val="single" w:sz="4" w:space="0" w:color="auto"/>
            </w:tcBorders>
          </w:tcPr>
          <w:p w14:paraId="0B8AFD27" w14:textId="5D6BE6EB" w:rsidR="007B736A" w:rsidRPr="007B736A" w:rsidRDefault="007B736A"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7B736A">
              <w:rPr>
                <w:rFonts w:ascii="Verdana" w:hAnsi="Verdana"/>
                <w:b/>
                <w:bCs/>
                <w:sz w:val="18"/>
                <w:szCs w:val="18"/>
              </w:rPr>
              <w:t>Retain</w:t>
            </w:r>
            <w:r>
              <w:rPr>
                <w:rFonts w:ascii="Verdana" w:hAnsi="Verdana"/>
                <w:b/>
                <w:bCs/>
                <w:sz w:val="18"/>
                <w:szCs w:val="18"/>
              </w:rPr>
              <w:t>:</w:t>
            </w:r>
          </w:p>
          <w:p w14:paraId="421109F3" w14:textId="77777777" w:rsidR="007B736A" w:rsidRPr="004B3432" w:rsidRDefault="007B736A" w:rsidP="007B736A">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Flam. Liq. 3 H225</w:t>
            </w:r>
          </w:p>
          <w:p w14:paraId="22B79110" w14:textId="77777777" w:rsidR="007B736A" w:rsidRPr="004B3432" w:rsidRDefault="007B736A" w:rsidP="007B736A">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Repr. 2, H361fd</w:t>
            </w:r>
          </w:p>
          <w:p w14:paraId="7744C7DC" w14:textId="77777777" w:rsidR="007B736A" w:rsidRPr="004B3432" w:rsidRDefault="007B736A" w:rsidP="007B736A">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Skin Irrit. 2, H315</w:t>
            </w:r>
          </w:p>
          <w:p w14:paraId="24B433D7" w14:textId="77777777" w:rsidR="007B736A" w:rsidRPr="004B3432" w:rsidRDefault="007B736A" w:rsidP="007B736A">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Eye Irrit. 2, H319</w:t>
            </w:r>
          </w:p>
          <w:p w14:paraId="7A066AB5" w14:textId="7A2F993D" w:rsidR="007B736A" w:rsidRPr="004B3432" w:rsidRDefault="007B736A"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Specific concentration: Repr. 2; H361fd: C ≥ 1 %</w:t>
            </w:r>
          </w:p>
          <w:p w14:paraId="0F16B120" w14:textId="77777777" w:rsidR="007B736A" w:rsidRDefault="007B736A"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bCs/>
                <w:i/>
                <w:sz w:val="18"/>
                <w:szCs w:val="18"/>
              </w:rPr>
            </w:pPr>
          </w:p>
          <w:p w14:paraId="040A3141" w14:textId="1E9F923F" w:rsidR="007B736A" w:rsidRPr="007B736A" w:rsidRDefault="007B736A"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7B736A">
              <w:rPr>
                <w:rFonts w:ascii="Verdana" w:hAnsi="Verdana"/>
                <w:b/>
                <w:bCs/>
                <w:sz w:val="18"/>
                <w:szCs w:val="18"/>
              </w:rPr>
              <w:t>Modify:</w:t>
            </w:r>
          </w:p>
          <w:p w14:paraId="7847D0C0" w14:textId="5650603C" w:rsidR="003B6CD6" w:rsidRDefault="003B6CD6"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STOT RE 1, H372 (nervous system, cardiovascular system</w:t>
            </w:r>
            <w:r w:rsidR="00822472">
              <w:rPr>
                <w:rFonts w:ascii="Verdana" w:hAnsi="Verdana"/>
                <w:sz w:val="18"/>
                <w:szCs w:val="18"/>
                <w:lang w:val="pt-PT"/>
              </w:rPr>
              <w:t>, eye</w:t>
            </w:r>
            <w:r w:rsidRPr="004B3432">
              <w:rPr>
                <w:rFonts w:ascii="Verdana" w:hAnsi="Verdana"/>
                <w:sz w:val="18"/>
                <w:szCs w:val="18"/>
                <w:lang w:val="pt-PT"/>
              </w:rPr>
              <w:t>)</w:t>
            </w:r>
          </w:p>
          <w:p w14:paraId="1DC35120" w14:textId="0D3669BE" w:rsidR="004B3432" w:rsidRPr="004B3432" w:rsidRDefault="004B3432"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bCs/>
                <w:sz w:val="18"/>
                <w:szCs w:val="18"/>
                <w:lang w:val="pt-PT"/>
              </w:rPr>
              <w:t>Specific concentration:</w:t>
            </w:r>
          </w:p>
          <w:p w14:paraId="1C334FB5" w14:textId="7AE28A40" w:rsidR="007B736A" w:rsidRDefault="004B3432"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bCs/>
                <w:sz w:val="18"/>
                <w:szCs w:val="18"/>
                <w:lang w:val="pt-PT"/>
              </w:rPr>
            </w:pPr>
            <w:r w:rsidRPr="004B3432">
              <w:rPr>
                <w:rFonts w:ascii="Verdana" w:hAnsi="Verdana"/>
                <w:bCs/>
                <w:sz w:val="18"/>
                <w:szCs w:val="18"/>
                <w:lang w:val="pt-PT"/>
              </w:rPr>
              <w:t>STOT RE 1; H372: C ≥ 1 %</w:t>
            </w:r>
            <w:r w:rsidRPr="004B3432">
              <w:rPr>
                <w:rFonts w:ascii="Verdana" w:hAnsi="Verdana"/>
                <w:bCs/>
                <w:sz w:val="18"/>
                <w:szCs w:val="18"/>
                <w:lang w:val="pt-PT"/>
              </w:rPr>
              <w:br/>
              <w:t>STOT RE 2; H373: 0,2 % ≤C &lt; 1 %</w:t>
            </w:r>
          </w:p>
          <w:p w14:paraId="018DA593" w14:textId="77777777" w:rsidR="004B3432" w:rsidRPr="004B3432" w:rsidRDefault="004B3432"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p>
          <w:p w14:paraId="45C242FF" w14:textId="3BED958E" w:rsidR="007B736A" w:rsidRPr="007B736A" w:rsidRDefault="007B736A" w:rsidP="003B6CD6">
            <w:pPr>
              <w:spacing w:after="0"/>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7B736A">
              <w:rPr>
                <w:rFonts w:ascii="Verdana" w:hAnsi="Verdana"/>
                <w:b/>
                <w:bCs/>
                <w:sz w:val="18"/>
                <w:szCs w:val="18"/>
              </w:rPr>
              <w:t>Add:</w:t>
            </w:r>
          </w:p>
          <w:p w14:paraId="1B518AA1" w14:textId="209082F0" w:rsidR="009C4365" w:rsidRPr="004B3432" w:rsidRDefault="00CD7422" w:rsidP="00190D9E">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Pr>
                <w:rFonts w:ascii="Verdana" w:hAnsi="Verdana"/>
                <w:sz w:val="18"/>
                <w:szCs w:val="18"/>
                <w:lang w:val="pt-PT"/>
              </w:rPr>
              <w:t xml:space="preserve">Acute Tox. 4, </w:t>
            </w:r>
            <w:r w:rsidR="007B736A" w:rsidRPr="004B3432">
              <w:rPr>
                <w:rFonts w:ascii="Verdana" w:hAnsi="Verdana"/>
                <w:sz w:val="18"/>
                <w:szCs w:val="18"/>
                <w:lang w:val="pt-PT"/>
              </w:rPr>
              <w:t>H332</w:t>
            </w:r>
          </w:p>
        </w:tc>
        <w:tc>
          <w:tcPr>
            <w:tcW w:w="1363" w:type="pct"/>
            <w:tcBorders>
              <w:top w:val="single" w:sz="4" w:space="0" w:color="auto"/>
            </w:tcBorders>
          </w:tcPr>
          <w:p w14:paraId="46862F35" w14:textId="5EF6F6E0" w:rsidR="00AA488D" w:rsidRPr="004B3432" w:rsidRDefault="00AA488D" w:rsidP="00AA488D">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Flam. Liq. 3 H225</w:t>
            </w:r>
            <w:r>
              <w:rPr>
                <w:rFonts w:ascii="Verdana" w:hAnsi="Verdana"/>
                <w:sz w:val="18"/>
                <w:szCs w:val="18"/>
                <w:lang w:val="pt-PT"/>
              </w:rPr>
              <w:t>,</w:t>
            </w:r>
          </w:p>
          <w:p w14:paraId="24CDCEA9" w14:textId="00DB9E40" w:rsidR="00AA488D" w:rsidRPr="004B3432" w:rsidRDefault="00AA488D" w:rsidP="00AA488D">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Repr. 2, H361fd</w:t>
            </w:r>
            <w:r>
              <w:rPr>
                <w:rFonts w:ascii="Verdana" w:hAnsi="Verdana"/>
                <w:sz w:val="18"/>
                <w:szCs w:val="18"/>
                <w:lang w:val="pt-PT"/>
              </w:rPr>
              <w:t>,</w:t>
            </w:r>
          </w:p>
          <w:p w14:paraId="067DEB09" w14:textId="22056CA4" w:rsidR="00AA488D" w:rsidRPr="004B3432" w:rsidRDefault="00AA488D" w:rsidP="00AA488D">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Skin Irrit. 2, H315</w:t>
            </w:r>
            <w:r>
              <w:rPr>
                <w:rFonts w:ascii="Verdana" w:hAnsi="Verdana"/>
                <w:sz w:val="18"/>
                <w:szCs w:val="18"/>
                <w:lang w:val="pt-PT"/>
              </w:rPr>
              <w:t>,</w:t>
            </w:r>
          </w:p>
          <w:p w14:paraId="7091B35C" w14:textId="21CF850A" w:rsidR="00AA488D" w:rsidRPr="00AA488D" w:rsidRDefault="00AA488D"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Eye Irrit. 2, H319</w:t>
            </w:r>
            <w:r>
              <w:rPr>
                <w:rFonts w:ascii="Verdana" w:hAnsi="Verdana"/>
                <w:sz w:val="18"/>
                <w:szCs w:val="18"/>
                <w:lang w:val="pt-PT"/>
              </w:rPr>
              <w:t>,</w:t>
            </w:r>
          </w:p>
          <w:p w14:paraId="7A65E213" w14:textId="4338D494" w:rsidR="00AA488D" w:rsidRDefault="00AA488D" w:rsidP="00AA488D">
            <w:pPr>
              <w:spacing w:after="0"/>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pt-PT"/>
              </w:rPr>
            </w:pPr>
            <w:r w:rsidRPr="004B3432">
              <w:rPr>
                <w:rFonts w:ascii="Verdana" w:hAnsi="Verdana"/>
                <w:sz w:val="18"/>
                <w:szCs w:val="18"/>
                <w:lang w:val="pt-PT"/>
              </w:rPr>
              <w:t xml:space="preserve">STOT RE 1, H372 </w:t>
            </w:r>
            <w:r>
              <w:rPr>
                <w:rFonts w:ascii="Verdana" w:hAnsi="Verdana"/>
                <w:sz w:val="18"/>
                <w:szCs w:val="18"/>
                <w:lang w:val="pt-PT"/>
              </w:rPr>
              <w:t>[</w:t>
            </w:r>
            <w:r w:rsidR="008C2DFB">
              <w:rPr>
                <w:rFonts w:ascii="Verdana" w:hAnsi="Verdana"/>
                <w:sz w:val="18"/>
                <w:szCs w:val="18"/>
                <w:lang w:val="pt-PT"/>
              </w:rPr>
              <w:t>954</w:t>
            </w:r>
            <w:r w:rsidR="00CA6702">
              <w:rPr>
                <w:rFonts w:ascii="Verdana" w:hAnsi="Verdana"/>
                <w:sz w:val="18"/>
                <w:szCs w:val="18"/>
                <w:lang w:val="pt-PT"/>
              </w:rPr>
              <w:t xml:space="preserve"> out of 954</w:t>
            </w:r>
            <w:r w:rsidR="008C2DFB">
              <w:rPr>
                <w:rFonts w:ascii="Verdana" w:hAnsi="Verdana"/>
                <w:sz w:val="18"/>
                <w:szCs w:val="18"/>
                <w:lang w:val="pt-PT"/>
              </w:rPr>
              <w:t>]</w:t>
            </w:r>
          </w:p>
          <w:p w14:paraId="052A1C3C" w14:textId="77777777" w:rsidR="003B6CD6" w:rsidRPr="00AA488D" w:rsidRDefault="003B6CD6"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bCs/>
                <w:i/>
                <w:sz w:val="18"/>
                <w:szCs w:val="18"/>
                <w:lang w:val="pt-PT"/>
              </w:rPr>
            </w:pPr>
          </w:p>
          <w:p w14:paraId="737F4EDA" w14:textId="2CED4450" w:rsidR="009C4365" w:rsidRDefault="009C4365"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AA488D">
              <w:rPr>
                <w:rFonts w:ascii="Verdana" w:hAnsi="Verdana"/>
                <w:bCs/>
                <w:sz w:val="18"/>
                <w:szCs w:val="18"/>
              </w:rPr>
              <w:t>Acute Tox. 4 H332</w:t>
            </w:r>
            <w:r w:rsidR="003B6CD6" w:rsidRPr="00AA488D">
              <w:rPr>
                <w:rFonts w:ascii="Verdana" w:hAnsi="Verdana"/>
                <w:bCs/>
                <w:sz w:val="18"/>
                <w:szCs w:val="18"/>
              </w:rPr>
              <w:t xml:space="preserve"> </w:t>
            </w:r>
            <w:r w:rsidRPr="00AA488D">
              <w:rPr>
                <w:rFonts w:ascii="Verdana" w:hAnsi="Verdana"/>
                <w:bCs/>
                <w:sz w:val="18"/>
                <w:szCs w:val="18"/>
              </w:rPr>
              <w:t>[</w:t>
            </w:r>
            <w:r w:rsidR="00D93060">
              <w:rPr>
                <w:rFonts w:ascii="Verdana" w:hAnsi="Verdana"/>
                <w:bCs/>
                <w:sz w:val="18"/>
                <w:szCs w:val="18"/>
              </w:rPr>
              <w:t>500</w:t>
            </w:r>
            <w:r w:rsidR="003B6CD6" w:rsidRPr="00AA488D">
              <w:rPr>
                <w:rFonts w:ascii="Verdana" w:hAnsi="Verdana"/>
                <w:bCs/>
                <w:sz w:val="18"/>
                <w:szCs w:val="18"/>
              </w:rPr>
              <w:t xml:space="preserve"> out of 954</w:t>
            </w:r>
            <w:r w:rsidRPr="00AA488D">
              <w:rPr>
                <w:rFonts w:ascii="Verdana" w:hAnsi="Verdana"/>
                <w:bCs/>
                <w:sz w:val="18"/>
                <w:szCs w:val="18"/>
              </w:rPr>
              <w:t>]</w:t>
            </w:r>
          </w:p>
          <w:p w14:paraId="7D31727D" w14:textId="3259CC70" w:rsidR="004F44AF" w:rsidRDefault="004F44AF"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p>
          <w:p w14:paraId="3A04A0EE" w14:textId="5DCF99A4" w:rsidR="004F44AF" w:rsidRPr="00AA488D" w:rsidRDefault="004F44AF"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Pr>
                <w:rFonts w:ascii="Verdana" w:hAnsi="Verdana"/>
                <w:bCs/>
                <w:sz w:val="18"/>
                <w:szCs w:val="18"/>
              </w:rPr>
              <w:t>Acute Tox. 4, H302 [</w:t>
            </w:r>
            <w:r w:rsidR="00D93060">
              <w:rPr>
                <w:rFonts w:ascii="Verdana" w:hAnsi="Verdana"/>
                <w:bCs/>
                <w:sz w:val="18"/>
                <w:szCs w:val="18"/>
              </w:rPr>
              <w:t>42 out of 954]</w:t>
            </w:r>
          </w:p>
          <w:p w14:paraId="7E7EBDC6" w14:textId="77777777" w:rsidR="003B6CD6" w:rsidRPr="00AA488D" w:rsidRDefault="003B6CD6"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p>
          <w:p w14:paraId="07AF2857" w14:textId="77777777" w:rsidR="009C4365" w:rsidRDefault="003B6CD6"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napToGrid w:val="0"/>
                <w:sz w:val="18"/>
                <w:szCs w:val="18"/>
              </w:rPr>
            </w:pPr>
            <w:r w:rsidRPr="00AA488D">
              <w:rPr>
                <w:rFonts w:ascii="Verdana" w:hAnsi="Verdana"/>
                <w:snapToGrid w:val="0"/>
                <w:sz w:val="18"/>
                <w:szCs w:val="18"/>
              </w:rPr>
              <w:t>STOT SE 3, H335 [5 out of 954]</w:t>
            </w:r>
          </w:p>
          <w:p w14:paraId="770D5893" w14:textId="77777777" w:rsidR="004F44AF" w:rsidRDefault="004F44AF"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snapToGrid w:val="0"/>
                <w:sz w:val="18"/>
                <w:szCs w:val="18"/>
              </w:rPr>
            </w:pPr>
          </w:p>
          <w:p w14:paraId="20B0DEE1" w14:textId="0DBEF635" w:rsidR="004F44AF" w:rsidRPr="00804F64" w:rsidRDefault="004F44AF" w:rsidP="00B70A40">
            <w:pPr>
              <w:spacing w:after="0"/>
              <w:cnfStyle w:val="000000100000" w:firstRow="0" w:lastRow="0" w:firstColumn="0" w:lastColumn="0" w:oddVBand="0" w:evenVBand="0" w:oddHBand="1" w:evenHBand="0" w:firstRowFirstColumn="0" w:firstRowLastColumn="0" w:lastRowFirstColumn="0" w:lastRowLastColumn="0"/>
              <w:rPr>
                <w:rFonts w:ascii="Verdana" w:hAnsi="Verdana"/>
                <w:i/>
                <w:snapToGrid w:val="0"/>
                <w:sz w:val="18"/>
                <w:szCs w:val="18"/>
              </w:rPr>
            </w:pPr>
            <w:r>
              <w:rPr>
                <w:rFonts w:ascii="Verdana" w:hAnsi="Verdana"/>
                <w:snapToGrid w:val="0"/>
                <w:sz w:val="18"/>
                <w:szCs w:val="18"/>
              </w:rPr>
              <w:t>Aquatic Chronic 3, H412 [</w:t>
            </w:r>
            <w:r w:rsidR="00D93060">
              <w:rPr>
                <w:rFonts w:ascii="Verdana" w:hAnsi="Verdana"/>
                <w:snapToGrid w:val="0"/>
                <w:sz w:val="18"/>
                <w:szCs w:val="18"/>
              </w:rPr>
              <w:t>38</w:t>
            </w:r>
            <w:r w:rsidR="00CA6702">
              <w:rPr>
                <w:rFonts w:ascii="Verdana" w:hAnsi="Verdana"/>
                <w:snapToGrid w:val="0"/>
                <w:sz w:val="18"/>
                <w:szCs w:val="18"/>
              </w:rPr>
              <w:t xml:space="preserve"> out of 954</w:t>
            </w:r>
            <w:r w:rsidR="00D93060">
              <w:rPr>
                <w:rFonts w:ascii="Verdana" w:hAnsi="Verdana"/>
                <w:snapToGrid w:val="0"/>
                <w:sz w:val="18"/>
                <w:szCs w:val="18"/>
              </w:rPr>
              <w:t>]</w:t>
            </w:r>
          </w:p>
        </w:tc>
      </w:tr>
    </w:tbl>
    <w:p w14:paraId="0AA3C360" w14:textId="38F33E04" w:rsidR="009C4365" w:rsidRDefault="009C4365" w:rsidP="002756FE">
      <w:pPr>
        <w:pStyle w:val="Corpsdetexte"/>
        <w:rPr>
          <w:rFonts w:ascii="Verdana" w:hAnsi="Verdana"/>
          <w:sz w:val="20"/>
          <w:szCs w:val="20"/>
        </w:rPr>
      </w:pPr>
    </w:p>
    <w:bookmarkEnd w:id="38"/>
    <w:p w14:paraId="075F4EA1" w14:textId="77777777" w:rsidR="00C40FA0" w:rsidRDefault="00C40FA0">
      <w:pPr>
        <w:spacing w:after="200" w:line="276" w:lineRule="auto"/>
        <w:rPr>
          <w:rFonts w:ascii="Verdana" w:hAnsi="Verdana"/>
          <w:b/>
          <w:color w:val="0046AD"/>
          <w:sz w:val="28"/>
          <w:szCs w:val="28"/>
        </w:rPr>
      </w:pPr>
      <w:r>
        <w:rPr>
          <w:rFonts w:ascii="Verdana" w:hAnsi="Verdana"/>
          <w:szCs w:val="28"/>
        </w:rPr>
        <w:br w:type="page"/>
      </w:r>
    </w:p>
    <w:p w14:paraId="52C12C68" w14:textId="18A8C089" w:rsidR="008F6016" w:rsidRDefault="008F6016" w:rsidP="008F6016">
      <w:pPr>
        <w:pStyle w:val="Titre1"/>
        <w:numPr>
          <w:ilvl w:val="0"/>
          <w:numId w:val="0"/>
        </w:numPr>
        <w:ind w:left="142"/>
        <w:rPr>
          <w:szCs w:val="28"/>
        </w:rPr>
      </w:pPr>
      <w:bookmarkStart w:id="42" w:name="_Toc117776297"/>
      <w:r w:rsidRPr="002D2117">
        <w:rPr>
          <w:szCs w:val="28"/>
        </w:rPr>
        <w:lastRenderedPageBreak/>
        <w:t xml:space="preserve">Annex </w:t>
      </w:r>
      <w:r w:rsidR="00F51E60">
        <w:rPr>
          <w:szCs w:val="28"/>
        </w:rPr>
        <w:t>2</w:t>
      </w:r>
      <w:r>
        <w:rPr>
          <w:szCs w:val="28"/>
        </w:rPr>
        <w:t>:</w:t>
      </w:r>
      <w:r w:rsidRPr="002D2117">
        <w:rPr>
          <w:szCs w:val="28"/>
        </w:rPr>
        <w:t xml:space="preserve"> </w:t>
      </w:r>
      <w:r>
        <w:rPr>
          <w:szCs w:val="28"/>
        </w:rPr>
        <w:t>Overview of uses</w:t>
      </w:r>
      <w:r w:rsidR="002756FE">
        <w:rPr>
          <w:szCs w:val="28"/>
        </w:rPr>
        <w:t xml:space="preserve"> based on information available in registration dossiers</w:t>
      </w:r>
      <w:bookmarkEnd w:id="42"/>
      <w:r w:rsidR="004E6F8F">
        <w:rPr>
          <w:szCs w:val="28"/>
        </w:rPr>
        <w:t xml:space="preserve"> </w:t>
      </w:r>
    </w:p>
    <w:p w14:paraId="48DBF642" w14:textId="29EB07CA" w:rsidR="00724896" w:rsidRDefault="003E19AC" w:rsidP="00617EE5">
      <w:pPr>
        <w:pStyle w:val="Lgende"/>
      </w:pPr>
      <w:bookmarkStart w:id="43" w:name="_Toc78277914"/>
      <w:r w:rsidRPr="003E19AC">
        <w:t>I</w:t>
      </w:r>
      <w:r w:rsidR="00724896" w:rsidRPr="003E19AC">
        <w:t xml:space="preserve">nformation on tonnages </w:t>
      </w:r>
      <w:bookmarkEnd w:id="43"/>
      <w:r w:rsidR="00724896" w:rsidRPr="003E19AC">
        <w:t>and uses (status 07/2022</w:t>
      </w:r>
      <w:r w:rsidR="00DD00BE" w:rsidRPr="003E19AC">
        <w:t>, consulted in REAC</w:t>
      </w:r>
      <w:r w:rsidR="009C227F" w:rsidRPr="003E19AC">
        <w:t>h</w:t>
      </w:r>
      <w:r w:rsidR="00DD00BE" w:rsidRPr="003E19AC">
        <w:t>-IT</w:t>
      </w:r>
      <w:r w:rsidR="00724896" w:rsidRPr="003E19AC">
        <w:t>)</w:t>
      </w:r>
      <w:r>
        <w:t xml:space="preserve"> – see separate annex for confidential data</w:t>
      </w:r>
    </w:p>
    <w:p w14:paraId="134CDD7C" w14:textId="77777777" w:rsidR="003E19AC" w:rsidRDefault="003E19AC" w:rsidP="003E19AC">
      <w:pPr>
        <w:pStyle w:val="Corpsdetexte"/>
        <w:jc w:val="both"/>
        <w:rPr>
          <w:rFonts w:ascii="Verdana" w:hAnsi="Verdana"/>
          <w:bCs/>
          <w:sz w:val="20"/>
          <w:szCs w:val="20"/>
        </w:rPr>
      </w:pPr>
    </w:p>
    <w:p w14:paraId="2DF1BC3E" w14:textId="1CCA2DD4" w:rsidR="00D65CC8" w:rsidRDefault="00136966" w:rsidP="003E19AC">
      <w:pPr>
        <w:pStyle w:val="Corpsdetexte"/>
        <w:jc w:val="both"/>
        <w:rPr>
          <w:rFonts w:ascii="Verdana" w:hAnsi="Verdana"/>
          <w:sz w:val="20"/>
        </w:rPr>
      </w:pPr>
      <w:r>
        <w:rPr>
          <w:rFonts w:ascii="Verdana" w:hAnsi="Verdana"/>
          <w:bCs/>
          <w:sz w:val="20"/>
          <w:szCs w:val="20"/>
        </w:rPr>
        <w:t xml:space="preserve">There are </w:t>
      </w:r>
      <w:r w:rsidR="009205E3">
        <w:rPr>
          <w:rFonts w:ascii="Verdana" w:hAnsi="Verdana"/>
          <w:bCs/>
          <w:sz w:val="20"/>
          <w:szCs w:val="20"/>
        </w:rPr>
        <w:t>seven</w:t>
      </w:r>
      <w:r>
        <w:rPr>
          <w:rFonts w:ascii="Verdana" w:hAnsi="Verdana"/>
          <w:bCs/>
          <w:sz w:val="20"/>
          <w:szCs w:val="20"/>
        </w:rPr>
        <w:t xml:space="preserve"> active registrants for carbon disulfide with a full registration dossier with a total tonnage range ≥ 100 000 to ≤ 1 000 000 tonnes per year</w:t>
      </w:r>
      <w:r w:rsidRPr="00136966">
        <w:rPr>
          <w:rFonts w:ascii="Verdana" w:hAnsi="Verdana"/>
          <w:bCs/>
          <w:sz w:val="20"/>
          <w:szCs w:val="20"/>
        </w:rPr>
        <w:t xml:space="preserve"> </w:t>
      </w:r>
      <w:r>
        <w:rPr>
          <w:rFonts w:ascii="Verdana" w:hAnsi="Verdana"/>
          <w:bCs/>
          <w:sz w:val="20"/>
          <w:szCs w:val="20"/>
        </w:rPr>
        <w:t>and submitted in a joint submission.</w:t>
      </w:r>
      <w:r w:rsidR="009205E3">
        <w:rPr>
          <w:rFonts w:ascii="Verdana" w:hAnsi="Verdana"/>
          <w:bCs/>
          <w:sz w:val="20"/>
          <w:szCs w:val="20"/>
        </w:rPr>
        <w:t xml:space="preserve"> </w:t>
      </w:r>
    </w:p>
    <w:p w14:paraId="072AB831" w14:textId="55DD989C" w:rsidR="00BB5851" w:rsidRPr="00053E1B" w:rsidRDefault="00B02718" w:rsidP="00617EE5">
      <w:pPr>
        <w:pStyle w:val="Lgende"/>
      </w:pPr>
      <w:r w:rsidRPr="00053E1B">
        <w:t xml:space="preserve">Descriptors used </w:t>
      </w:r>
      <w:r w:rsidR="0001481A" w:rsidRPr="00053E1B">
        <w:t>in section 1.</w:t>
      </w:r>
      <w:r w:rsidR="00241483">
        <w:t>4.</w:t>
      </w:r>
    </w:p>
    <w:p w14:paraId="392BC9F7" w14:textId="1CA538AC" w:rsidR="00B02718" w:rsidRPr="00B02718" w:rsidRDefault="00B02718" w:rsidP="00B02718">
      <w:pPr>
        <w:jc w:val="both"/>
        <w:rPr>
          <w:rFonts w:ascii="Verdana" w:hAnsi="Verdana"/>
          <w:sz w:val="20"/>
        </w:rPr>
      </w:pPr>
      <w:r w:rsidRPr="00B02718">
        <w:rPr>
          <w:rFonts w:ascii="Verdana" w:hAnsi="Verdana"/>
          <w:sz w:val="20"/>
        </w:rPr>
        <w:t>Process categories (PROC):</w:t>
      </w:r>
    </w:p>
    <w:p w14:paraId="768FDA48" w14:textId="77777777" w:rsidR="0001481A"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 Chemical production or refinery in closed process without likelihood of exposure or processes with equivalent containment conditions</w:t>
      </w:r>
    </w:p>
    <w:p w14:paraId="7805A0AE" w14:textId="38AA411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 Chemical production or refinery in closed continuous process with occasional controlled exposure or processes with equivalent containment conditions</w:t>
      </w:r>
    </w:p>
    <w:p w14:paraId="06D99036"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3: Manufacture or formulation in the chemical industry in closed batch processes with occasional controlled exposure or processes with equivalent containment conditions</w:t>
      </w:r>
    </w:p>
    <w:p w14:paraId="637E0AAF"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4: Chemical production where opportunity for exposure arises</w:t>
      </w:r>
    </w:p>
    <w:p w14:paraId="756CB5B6"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5: Mixing or blending in batch processes</w:t>
      </w:r>
    </w:p>
    <w:p w14:paraId="6683F4A9"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6: Calendering operations</w:t>
      </w:r>
    </w:p>
    <w:p w14:paraId="6F4DE6CF"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7: Industrial spraying</w:t>
      </w:r>
    </w:p>
    <w:p w14:paraId="1A9C973A"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8a: Transfer of substance or mixture (charging and discharging) at non-dedicated facilities</w:t>
      </w:r>
    </w:p>
    <w:p w14:paraId="046241A6"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8b: Transfer of substance or mixture (charging and discharging) at dedicated facilities</w:t>
      </w:r>
    </w:p>
    <w:p w14:paraId="487D2BE9"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9: Transfer of substance or mixture into small containers (dedicated filling line, including weighing)</w:t>
      </w:r>
    </w:p>
    <w:p w14:paraId="050A62BD"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10: Roller application or brushing</w:t>
      </w:r>
    </w:p>
    <w:p w14:paraId="7A7A9F02"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11: Non industrial spraying</w:t>
      </w:r>
    </w:p>
    <w:p w14:paraId="4D331253"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13: Treatment of articles by dipping and pouring</w:t>
      </w:r>
    </w:p>
    <w:p w14:paraId="090396C1" w14:textId="77777777" w:rsidR="0001481A"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14: Tabletting, compression, extrusion, pelletisation, granulation</w:t>
      </w:r>
    </w:p>
    <w:p w14:paraId="3B52EB12" w14:textId="5D07A2F6"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13: Treatment of articles by dipping and pouring</w:t>
      </w:r>
    </w:p>
    <w:p w14:paraId="7710E11C"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15: Use as laboratory reagent</w:t>
      </w:r>
    </w:p>
    <w:p w14:paraId="5D98EBA0"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16: Use of fuels</w:t>
      </w:r>
    </w:p>
    <w:p w14:paraId="4E944E16"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17: Lubrication at high energy conditions in metal working operations</w:t>
      </w:r>
    </w:p>
    <w:p w14:paraId="2A849097"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18: General greasing /lubrication at high kinetic energy conditions</w:t>
      </w:r>
    </w:p>
    <w:p w14:paraId="3AABA83A"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19: Manual activities involving hand contact</w:t>
      </w:r>
    </w:p>
    <w:p w14:paraId="66619BD3"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20: Use of functional fluids in small devices</w:t>
      </w:r>
    </w:p>
    <w:p w14:paraId="49A3D6ED"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21: Low energy manipulation and handling of substances bound in/on materials or articles</w:t>
      </w:r>
    </w:p>
    <w:p w14:paraId="2D7923CE"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22: Potentially closed processing operations with minerals/metals at elevated temperature. Industrial setting</w:t>
      </w:r>
    </w:p>
    <w:p w14:paraId="1B5F6A48"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23: Open processing and transfer operations at substantially elevated temperature</w:t>
      </w:r>
    </w:p>
    <w:p w14:paraId="367D1AD5"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24: High (mechanical) energy work-up of substances bound in materials and/or articles</w:t>
      </w:r>
    </w:p>
    <w:p w14:paraId="787B2C93"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26: Handling of solid inorganic substances at ambient temperature</w:t>
      </w:r>
    </w:p>
    <w:p w14:paraId="286A0362"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PROC 28: Manual maintenance (cleaning and repair) of machinery</w:t>
      </w:r>
    </w:p>
    <w:p w14:paraId="0610835F" w14:textId="77777777" w:rsidR="00B02718" w:rsidRPr="00B02718" w:rsidRDefault="00B02718" w:rsidP="00B02718">
      <w:pPr>
        <w:contextualSpacing/>
        <w:jc w:val="both"/>
        <w:rPr>
          <w:rFonts w:ascii="Verdana" w:hAnsi="Verdana"/>
          <w:sz w:val="20"/>
        </w:rPr>
      </w:pPr>
    </w:p>
    <w:p w14:paraId="428C92E7" w14:textId="77777777" w:rsidR="00B02718" w:rsidRPr="00B02718" w:rsidRDefault="00B02718" w:rsidP="00B02718">
      <w:pPr>
        <w:jc w:val="both"/>
        <w:rPr>
          <w:rFonts w:ascii="Verdana" w:hAnsi="Verdana"/>
          <w:sz w:val="20"/>
        </w:rPr>
      </w:pPr>
      <w:r w:rsidRPr="00B02718">
        <w:rPr>
          <w:rFonts w:ascii="Verdana" w:hAnsi="Verdana"/>
          <w:sz w:val="20"/>
        </w:rPr>
        <w:t>Product categories (PC):</w:t>
      </w:r>
    </w:p>
    <w:p w14:paraId="25EC7505" w14:textId="5811CE32"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lastRenderedPageBreak/>
        <w:t>PC</w:t>
      </w:r>
      <w:r w:rsidR="00EA6447">
        <w:rPr>
          <w:rFonts w:ascii="Verdana" w:hAnsi="Verdana"/>
          <w:sz w:val="20"/>
        </w:rPr>
        <w:t xml:space="preserve"> 0: Other: Textile</w:t>
      </w:r>
    </w:p>
    <w:p w14:paraId="7B521721" w14:textId="05BD42FD" w:rsidR="00B02718" w:rsidRPr="00B02718" w:rsidRDefault="00EA6447" w:rsidP="00B02718">
      <w:pPr>
        <w:numPr>
          <w:ilvl w:val="0"/>
          <w:numId w:val="11"/>
        </w:numPr>
        <w:spacing w:after="200"/>
        <w:contextualSpacing/>
        <w:jc w:val="both"/>
        <w:rPr>
          <w:rFonts w:ascii="Verdana" w:hAnsi="Verdana"/>
          <w:sz w:val="20"/>
        </w:rPr>
      </w:pPr>
      <w:r>
        <w:rPr>
          <w:rFonts w:ascii="Verdana" w:hAnsi="Verdana"/>
          <w:sz w:val="20"/>
        </w:rPr>
        <w:t>PC 8</w:t>
      </w:r>
      <w:r w:rsidR="00B02718" w:rsidRPr="00B02718">
        <w:rPr>
          <w:rFonts w:ascii="Verdana" w:hAnsi="Verdana"/>
          <w:sz w:val="20"/>
        </w:rPr>
        <w:t xml:space="preserve">: </w:t>
      </w:r>
      <w:r>
        <w:rPr>
          <w:rFonts w:ascii="Verdana" w:hAnsi="Verdana"/>
          <w:sz w:val="20"/>
        </w:rPr>
        <w:t>Biocidal products (e.g. d</w:t>
      </w:r>
      <w:r w:rsidR="00C91A8D">
        <w:rPr>
          <w:rFonts w:ascii="Verdana" w:hAnsi="Verdana"/>
          <w:sz w:val="20"/>
        </w:rPr>
        <w:t>i</w:t>
      </w:r>
      <w:r>
        <w:rPr>
          <w:rFonts w:ascii="Verdana" w:hAnsi="Verdana"/>
          <w:sz w:val="20"/>
        </w:rPr>
        <w:t>sinfectants, pest control)</w:t>
      </w:r>
    </w:p>
    <w:p w14:paraId="0A6BB8B6" w14:textId="44E2705D"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PC 19: Removed from PC list and relocated in the technical function list (Table R.12- 15</w:t>
      </w:r>
      <w:r w:rsidR="006378D0">
        <w:rPr>
          <w:rFonts w:ascii="Verdana" w:hAnsi="Verdana"/>
          <w:sz w:val="20"/>
        </w:rPr>
        <w:t xml:space="preserve"> of ECHA guidance document, chapter R.12</w:t>
      </w:r>
      <w:r w:rsidR="006378D0">
        <w:rPr>
          <w:rStyle w:val="Appelnotedebasdep"/>
        </w:rPr>
        <w:footnoteReference w:id="7"/>
      </w:r>
      <w:r w:rsidRPr="00B02718">
        <w:rPr>
          <w:rFonts w:ascii="Verdana" w:hAnsi="Verdana"/>
          <w:sz w:val="20"/>
        </w:rPr>
        <w:t>).</w:t>
      </w:r>
    </w:p>
    <w:p w14:paraId="6199D7BC"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PC 20: Products such as ph-regulators, flocculants, precipitants, neutralisation agents</w:t>
      </w:r>
    </w:p>
    <w:p w14:paraId="65F63B49"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PC 21: Laboratory chemicals</w:t>
      </w:r>
    </w:p>
    <w:p w14:paraId="324D4041" w14:textId="53FC697F" w:rsidR="00B02718" w:rsidRPr="00B02718" w:rsidRDefault="00EA6447" w:rsidP="00B02718">
      <w:pPr>
        <w:numPr>
          <w:ilvl w:val="0"/>
          <w:numId w:val="11"/>
        </w:numPr>
        <w:spacing w:after="200"/>
        <w:contextualSpacing/>
        <w:jc w:val="both"/>
        <w:rPr>
          <w:rFonts w:ascii="Verdana" w:hAnsi="Verdana"/>
          <w:sz w:val="20"/>
        </w:rPr>
      </w:pPr>
      <w:r>
        <w:rPr>
          <w:rFonts w:ascii="Verdana" w:hAnsi="Verdana"/>
          <w:sz w:val="20"/>
        </w:rPr>
        <w:t>PC 27: Plant protection products</w:t>
      </w:r>
    </w:p>
    <w:p w14:paraId="58A6C432"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PC 32: Polymer preparations and compounds</w:t>
      </w:r>
    </w:p>
    <w:p w14:paraId="16703BE3" w14:textId="77777777" w:rsidR="006809BA" w:rsidRDefault="006809BA" w:rsidP="00B02718">
      <w:pPr>
        <w:jc w:val="both"/>
        <w:rPr>
          <w:rFonts w:ascii="Verdana" w:hAnsi="Verdana"/>
          <w:sz w:val="20"/>
        </w:rPr>
      </w:pPr>
    </w:p>
    <w:p w14:paraId="0241AAA6" w14:textId="4DC840F1" w:rsidR="00B02718" w:rsidRPr="00B02718" w:rsidRDefault="00B02718" w:rsidP="00B02718">
      <w:pPr>
        <w:jc w:val="both"/>
        <w:rPr>
          <w:rFonts w:ascii="Verdana" w:hAnsi="Verdana"/>
          <w:sz w:val="20"/>
        </w:rPr>
      </w:pPr>
      <w:r w:rsidRPr="00B02718">
        <w:rPr>
          <w:rFonts w:ascii="Verdana" w:hAnsi="Verdana"/>
          <w:sz w:val="20"/>
        </w:rPr>
        <w:t>Sector of end-uses (SU):</w:t>
      </w:r>
    </w:p>
    <w:p w14:paraId="2C3C5050" w14:textId="20F9F0FD" w:rsid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SU 0: Other</w:t>
      </w:r>
      <w:r w:rsidR="00A908B4">
        <w:rPr>
          <w:rFonts w:ascii="Verdana" w:hAnsi="Verdana"/>
          <w:sz w:val="20"/>
        </w:rPr>
        <w:t>: SU 3: Industrial uses of substances as such or in preparation at Industrial sites</w:t>
      </w:r>
    </w:p>
    <w:p w14:paraId="2F9ECDB0" w14:textId="3305D43B" w:rsidR="00A908B4" w:rsidRPr="00A908B4" w:rsidRDefault="00A908B4" w:rsidP="00B02718">
      <w:pPr>
        <w:numPr>
          <w:ilvl w:val="0"/>
          <w:numId w:val="11"/>
        </w:numPr>
        <w:spacing w:after="200"/>
        <w:contextualSpacing/>
        <w:jc w:val="both"/>
        <w:rPr>
          <w:rFonts w:ascii="Verdana" w:hAnsi="Verdana"/>
          <w:sz w:val="20"/>
          <w:lang w:val="fr-FR"/>
        </w:rPr>
      </w:pPr>
      <w:r w:rsidRPr="00A908B4">
        <w:rPr>
          <w:rFonts w:ascii="Verdana" w:hAnsi="Verdana"/>
          <w:sz w:val="20"/>
          <w:lang w:val="fr-FR"/>
        </w:rPr>
        <w:t xml:space="preserve">SU0: Other: SU 22: Professional uses: </w:t>
      </w:r>
      <w:r>
        <w:rPr>
          <w:rFonts w:ascii="Verdana" w:hAnsi="Verdana"/>
          <w:sz w:val="20"/>
          <w:lang w:val="fr-FR"/>
        </w:rPr>
        <w:t>Public domain (administration, educations, entertainments, services, craftsmen)</w:t>
      </w:r>
    </w:p>
    <w:p w14:paraId="57F2E60F" w14:textId="2BF352D3" w:rsidR="00A908B4" w:rsidRDefault="00A908B4" w:rsidP="00B02718">
      <w:pPr>
        <w:numPr>
          <w:ilvl w:val="0"/>
          <w:numId w:val="11"/>
        </w:numPr>
        <w:spacing w:after="200"/>
        <w:contextualSpacing/>
        <w:jc w:val="both"/>
        <w:rPr>
          <w:rFonts w:ascii="Verdana" w:hAnsi="Verdana"/>
          <w:sz w:val="20"/>
        </w:rPr>
      </w:pPr>
      <w:r>
        <w:rPr>
          <w:rFonts w:ascii="Verdana" w:hAnsi="Verdana"/>
          <w:sz w:val="20"/>
        </w:rPr>
        <w:t>SU 5: Manufacture of textiles, leather, fur</w:t>
      </w:r>
    </w:p>
    <w:p w14:paraId="20E1D4C6" w14:textId="5295CD54"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SU 8: Manufacture of bulk, large scale chemicals (including petroleum products)</w:t>
      </w:r>
    </w:p>
    <w:p w14:paraId="12AC73E5" w14:textId="77777777" w:rsidR="00B02718" w:rsidRPr="00B02718" w:rsidRDefault="00B02718" w:rsidP="00B02718">
      <w:pPr>
        <w:numPr>
          <w:ilvl w:val="0"/>
          <w:numId w:val="11"/>
        </w:numPr>
        <w:spacing w:after="200"/>
        <w:contextualSpacing/>
        <w:jc w:val="both"/>
        <w:rPr>
          <w:rFonts w:ascii="Verdana" w:hAnsi="Verdana"/>
          <w:sz w:val="20"/>
        </w:rPr>
      </w:pPr>
      <w:r w:rsidRPr="00B02718">
        <w:rPr>
          <w:rFonts w:ascii="Verdana" w:hAnsi="Verdana"/>
          <w:sz w:val="20"/>
        </w:rPr>
        <w:t>SU 9: Manufacture of fine chemicals</w:t>
      </w:r>
    </w:p>
    <w:p w14:paraId="7CE6C1FF" w14:textId="578D56A3" w:rsidR="00B02718" w:rsidRPr="00B02718" w:rsidRDefault="00A908B4" w:rsidP="00B02718">
      <w:pPr>
        <w:numPr>
          <w:ilvl w:val="0"/>
          <w:numId w:val="11"/>
        </w:numPr>
        <w:spacing w:after="200"/>
        <w:contextualSpacing/>
        <w:jc w:val="both"/>
        <w:rPr>
          <w:rFonts w:ascii="Verdana" w:hAnsi="Verdana"/>
          <w:sz w:val="20"/>
        </w:rPr>
      </w:pPr>
      <w:r>
        <w:rPr>
          <w:rFonts w:ascii="Verdana" w:hAnsi="Verdana"/>
          <w:sz w:val="20"/>
        </w:rPr>
        <w:t>SU 20: Health services</w:t>
      </w:r>
    </w:p>
    <w:p w14:paraId="5D96AF95" w14:textId="0F5AC41B" w:rsidR="00B02718" w:rsidRPr="00B02718" w:rsidRDefault="00A908B4" w:rsidP="00A908B4">
      <w:pPr>
        <w:numPr>
          <w:ilvl w:val="0"/>
          <w:numId w:val="11"/>
        </w:numPr>
        <w:spacing w:after="200"/>
        <w:contextualSpacing/>
        <w:jc w:val="both"/>
        <w:rPr>
          <w:rFonts w:ascii="Verdana" w:hAnsi="Verdana"/>
          <w:sz w:val="20"/>
        </w:rPr>
      </w:pPr>
      <w:r>
        <w:rPr>
          <w:rFonts w:ascii="Verdana" w:hAnsi="Verdana"/>
          <w:sz w:val="20"/>
        </w:rPr>
        <w:t>SU 24</w:t>
      </w:r>
      <w:r w:rsidR="00B02718" w:rsidRPr="00B02718">
        <w:rPr>
          <w:rFonts w:ascii="Verdana" w:hAnsi="Verdana"/>
          <w:sz w:val="20"/>
        </w:rPr>
        <w:t xml:space="preserve">: </w:t>
      </w:r>
      <w:r>
        <w:rPr>
          <w:rFonts w:ascii="Verdana" w:hAnsi="Verdana"/>
          <w:sz w:val="20"/>
        </w:rPr>
        <w:t>Research and development</w:t>
      </w:r>
    </w:p>
    <w:p w14:paraId="23228DE7" w14:textId="058E3DF2" w:rsidR="008F6016" w:rsidRDefault="008F6016">
      <w:pPr>
        <w:spacing w:after="200" w:line="276" w:lineRule="auto"/>
        <w:rPr>
          <w:rFonts w:ascii="Verdana" w:hAnsi="Verdana"/>
          <w:snapToGrid w:val="0"/>
          <w:sz w:val="20"/>
          <w:szCs w:val="20"/>
          <w:lang w:eastAsia="fi-FI"/>
        </w:rPr>
      </w:pPr>
    </w:p>
    <w:p w14:paraId="199C83D1" w14:textId="77777777" w:rsidR="00346672" w:rsidRDefault="00346672">
      <w:pPr>
        <w:spacing w:after="200" w:line="276" w:lineRule="auto"/>
        <w:rPr>
          <w:rFonts w:ascii="Verdana" w:hAnsi="Verdana"/>
          <w:b/>
          <w:color w:val="0046AD"/>
          <w:sz w:val="28"/>
          <w:szCs w:val="28"/>
        </w:rPr>
      </w:pPr>
      <w:r>
        <w:rPr>
          <w:szCs w:val="28"/>
        </w:rPr>
        <w:br w:type="page"/>
      </w:r>
    </w:p>
    <w:p w14:paraId="175EEA8B" w14:textId="5CED6084" w:rsidR="008F6016" w:rsidRDefault="008F6016" w:rsidP="008F6016">
      <w:pPr>
        <w:pStyle w:val="Titre1"/>
        <w:numPr>
          <w:ilvl w:val="0"/>
          <w:numId w:val="0"/>
        </w:numPr>
        <w:ind w:left="142"/>
        <w:rPr>
          <w:szCs w:val="28"/>
        </w:rPr>
      </w:pPr>
      <w:bookmarkStart w:id="44" w:name="_Toc117776298"/>
      <w:r w:rsidRPr="002D2117">
        <w:rPr>
          <w:szCs w:val="28"/>
        </w:rPr>
        <w:lastRenderedPageBreak/>
        <w:t xml:space="preserve">Annex </w:t>
      </w:r>
      <w:r w:rsidR="00F51E60">
        <w:rPr>
          <w:szCs w:val="28"/>
        </w:rPr>
        <w:t>3</w:t>
      </w:r>
      <w:r>
        <w:rPr>
          <w:szCs w:val="28"/>
        </w:rPr>
        <w:t>:</w:t>
      </w:r>
      <w:r w:rsidRPr="002D2117">
        <w:rPr>
          <w:szCs w:val="28"/>
        </w:rPr>
        <w:t xml:space="preserve"> </w:t>
      </w:r>
      <w:r>
        <w:rPr>
          <w:szCs w:val="28"/>
        </w:rPr>
        <w:t>Overview of completed or ongoing regulatory risk management activities</w:t>
      </w:r>
      <w:bookmarkEnd w:id="44"/>
      <w:r w:rsidR="00626439">
        <w:rPr>
          <w:szCs w:val="28"/>
        </w:rPr>
        <w:t xml:space="preserve"> </w:t>
      </w:r>
    </w:p>
    <w:p w14:paraId="54F0546C" w14:textId="5260888D" w:rsidR="001002E1" w:rsidRDefault="001002E1" w:rsidP="001002E1">
      <w:pPr>
        <w:pStyle w:val="Corpsdetexte"/>
        <w:rPr>
          <w:rFonts w:ascii="Verdana" w:hAnsi="Verdana"/>
          <w:bCs/>
          <w:sz w:val="20"/>
          <w:szCs w:val="20"/>
        </w:rPr>
      </w:pPr>
      <w:r w:rsidRPr="009C0B1B">
        <w:rPr>
          <w:rFonts w:ascii="Verdana" w:hAnsi="Verdana"/>
          <w:bCs/>
          <w:sz w:val="20"/>
          <w:szCs w:val="20"/>
        </w:rPr>
        <w:t xml:space="preserve">Data consulted on </w:t>
      </w:r>
      <w:r w:rsidR="00F67308">
        <w:rPr>
          <w:rFonts w:ascii="Verdana" w:hAnsi="Verdana"/>
          <w:bCs/>
          <w:sz w:val="20"/>
          <w:szCs w:val="20"/>
        </w:rPr>
        <w:t>June 2022.</w:t>
      </w:r>
    </w:p>
    <w:p w14:paraId="642E47FB" w14:textId="30A595C6" w:rsidR="00C37224" w:rsidRPr="009C0B1B" w:rsidRDefault="00C37224" w:rsidP="00C37224">
      <w:pPr>
        <w:pStyle w:val="Corpsdetexte"/>
        <w:rPr>
          <w:rFonts w:ascii="Verdana" w:hAnsi="Verdana"/>
          <w:bCs/>
          <w:sz w:val="20"/>
          <w:szCs w:val="20"/>
        </w:rPr>
      </w:pPr>
      <w:r w:rsidRPr="00C37224">
        <w:rPr>
          <w:rFonts w:ascii="Verdana" w:hAnsi="Verdana"/>
          <w:b/>
          <w:sz w:val="20"/>
        </w:rPr>
        <w:t xml:space="preserve">Table </w:t>
      </w:r>
      <w:r w:rsidRPr="00C37224">
        <w:rPr>
          <w:rFonts w:ascii="Verdana" w:hAnsi="Verdana"/>
          <w:b/>
          <w:sz w:val="20"/>
        </w:rPr>
        <w:fldChar w:fldCharType="begin"/>
      </w:r>
      <w:r w:rsidRPr="00C37224">
        <w:rPr>
          <w:rFonts w:ascii="Verdana" w:hAnsi="Verdana"/>
          <w:b/>
          <w:sz w:val="20"/>
        </w:rPr>
        <w:instrText xml:space="preserve"> SEQ Table \* ARABIC </w:instrText>
      </w:r>
      <w:r w:rsidRPr="00C37224">
        <w:rPr>
          <w:rFonts w:ascii="Verdana" w:hAnsi="Verdana"/>
          <w:b/>
          <w:sz w:val="20"/>
        </w:rPr>
        <w:fldChar w:fldCharType="separate"/>
      </w:r>
      <w:r w:rsidR="0014770F">
        <w:rPr>
          <w:rFonts w:ascii="Verdana" w:hAnsi="Verdana"/>
          <w:b/>
          <w:noProof/>
          <w:sz w:val="20"/>
        </w:rPr>
        <w:t>13</w:t>
      </w:r>
      <w:r w:rsidRPr="00C37224">
        <w:rPr>
          <w:rFonts w:ascii="Verdana" w:hAnsi="Verdana"/>
          <w:b/>
          <w:sz w:val="20"/>
        </w:rPr>
        <w:fldChar w:fldCharType="end"/>
      </w:r>
      <w:r>
        <w:rPr>
          <w:rFonts w:ascii="Verdana" w:hAnsi="Verdana"/>
          <w:b/>
          <w:sz w:val="20"/>
        </w:rPr>
        <w:t xml:space="preserve"> </w:t>
      </w:r>
      <w:r>
        <w:rPr>
          <w:rFonts w:ascii="Verdana" w:hAnsi="Verdana"/>
          <w:b/>
          <w:sz w:val="20"/>
        </w:rPr>
        <w:tab/>
      </w:r>
      <w:r>
        <w:rPr>
          <w:rFonts w:ascii="Verdana" w:hAnsi="Verdana"/>
          <w:b/>
          <w:bCs/>
          <w:sz w:val="20"/>
          <w:szCs w:val="20"/>
        </w:rPr>
        <w:t>Overview of completed or ongoing regulatory activities</w:t>
      </w:r>
    </w:p>
    <w:tbl>
      <w:tblPr>
        <w:tblStyle w:val="TableauGrille4-Accentuation1"/>
        <w:tblW w:w="5805" w:type="pct"/>
        <w:tblInd w:w="-5" w:type="dxa"/>
        <w:tblLayout w:type="fixed"/>
        <w:tblLook w:val="04A0" w:firstRow="1" w:lastRow="0" w:firstColumn="1" w:lastColumn="0" w:noHBand="0" w:noVBand="1"/>
      </w:tblPr>
      <w:tblGrid>
        <w:gridCol w:w="1116"/>
        <w:gridCol w:w="894"/>
        <w:gridCol w:w="1535"/>
        <w:gridCol w:w="1276"/>
        <w:gridCol w:w="1558"/>
        <w:gridCol w:w="993"/>
        <w:gridCol w:w="2267"/>
      </w:tblGrid>
      <w:tr w:rsidR="00ED4F4A" w:rsidRPr="004D4C9C" w14:paraId="09E2A2D6" w14:textId="77777777" w:rsidTr="00C020F4">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79" w:type="pct"/>
          </w:tcPr>
          <w:p w14:paraId="1A8264E4" w14:textId="2B36211D" w:rsidR="00ED4F4A" w:rsidRDefault="005A2C11" w:rsidP="00ED4F4A">
            <w:pPr>
              <w:spacing w:before="240"/>
              <w:rPr>
                <w:rFonts w:ascii="Verdana" w:hAnsi="Verdana"/>
                <w:bCs w:val="0"/>
                <w:sz w:val="18"/>
                <w:szCs w:val="18"/>
              </w:rPr>
            </w:pPr>
            <w:r>
              <w:rPr>
                <w:rFonts w:ascii="Verdana" w:hAnsi="Verdana"/>
                <w:sz w:val="18"/>
                <w:szCs w:val="18"/>
              </w:rPr>
              <w:t>Substance</w:t>
            </w:r>
          </w:p>
        </w:tc>
        <w:tc>
          <w:tcPr>
            <w:tcW w:w="464" w:type="pct"/>
            <w:noWrap/>
            <w:hideMark/>
          </w:tcPr>
          <w:p w14:paraId="231EEB4A" w14:textId="77777777" w:rsidR="00ED4F4A" w:rsidRPr="004D4C9C" w:rsidRDefault="00ED4F4A" w:rsidP="00ED4F4A">
            <w:pPr>
              <w:spacing w:before="240"/>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4D4C9C">
              <w:rPr>
                <w:rFonts w:ascii="Verdana" w:hAnsi="Verdana"/>
                <w:sz w:val="18"/>
                <w:szCs w:val="18"/>
              </w:rPr>
              <w:t>RMOA</w:t>
            </w:r>
          </w:p>
        </w:tc>
        <w:tc>
          <w:tcPr>
            <w:tcW w:w="1458" w:type="pct"/>
            <w:gridSpan w:val="2"/>
            <w:noWrap/>
            <w:hideMark/>
          </w:tcPr>
          <w:p w14:paraId="74354873" w14:textId="77777777" w:rsidR="00ED4F4A" w:rsidRPr="004D4C9C" w:rsidRDefault="00ED4F4A" w:rsidP="00ED4F4A">
            <w:pPr>
              <w:spacing w:before="240"/>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4D4C9C">
              <w:rPr>
                <w:rFonts w:ascii="Verdana" w:hAnsi="Verdana"/>
                <w:sz w:val="18"/>
                <w:szCs w:val="18"/>
              </w:rPr>
              <w:t>Authorisation</w:t>
            </w:r>
          </w:p>
        </w:tc>
        <w:tc>
          <w:tcPr>
            <w:tcW w:w="808" w:type="pct"/>
            <w:hideMark/>
          </w:tcPr>
          <w:p w14:paraId="3B296A6D" w14:textId="77777777" w:rsidR="00ED4F4A" w:rsidRPr="004D4C9C" w:rsidRDefault="00ED4F4A" w:rsidP="00ED4F4A">
            <w:pPr>
              <w:spacing w:before="240"/>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4D4C9C">
              <w:rPr>
                <w:rFonts w:ascii="Verdana" w:hAnsi="Verdana"/>
                <w:sz w:val="18"/>
                <w:szCs w:val="18"/>
              </w:rPr>
              <w:t>Restriction</w:t>
            </w:r>
          </w:p>
        </w:tc>
        <w:tc>
          <w:tcPr>
            <w:tcW w:w="515" w:type="pct"/>
            <w:noWrap/>
            <w:hideMark/>
          </w:tcPr>
          <w:p w14:paraId="3EE49ACF" w14:textId="77777777" w:rsidR="00ED4F4A" w:rsidRPr="004D4C9C" w:rsidRDefault="00ED4F4A" w:rsidP="00ED4F4A">
            <w:pPr>
              <w:spacing w:before="240"/>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4D4C9C">
              <w:rPr>
                <w:rFonts w:ascii="Verdana" w:hAnsi="Verdana"/>
                <w:sz w:val="18"/>
                <w:szCs w:val="18"/>
              </w:rPr>
              <w:t>CLH</w:t>
            </w:r>
          </w:p>
        </w:tc>
        <w:tc>
          <w:tcPr>
            <w:tcW w:w="1176" w:type="pct"/>
            <w:vAlign w:val="center"/>
            <w:hideMark/>
          </w:tcPr>
          <w:p w14:paraId="6313CE6A" w14:textId="76A5C32F" w:rsidR="00ED4F4A" w:rsidRPr="004D4C9C" w:rsidRDefault="00ED4F4A" w:rsidP="00ED4F4A">
            <w:pPr>
              <w:spacing w:before="240"/>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ED4F4A">
              <w:rPr>
                <w:rFonts w:ascii="Verdana" w:hAnsi="Verdana"/>
                <w:sz w:val="18"/>
                <w:szCs w:val="18"/>
              </w:rPr>
              <w:t>Actions not under REACH/ CLP</w:t>
            </w:r>
          </w:p>
        </w:tc>
      </w:tr>
      <w:tr w:rsidR="00C020F4" w:rsidRPr="00227D1B" w14:paraId="371B5AB9" w14:textId="77777777" w:rsidTr="00C020F4">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579" w:type="pct"/>
            <w:shd w:val="clear" w:color="auto" w:fill="4F81BD"/>
          </w:tcPr>
          <w:p w14:paraId="568D958D" w14:textId="77777777" w:rsidR="00ED4F4A" w:rsidRPr="00227D1B" w:rsidRDefault="00ED4F4A" w:rsidP="00ED4F4A">
            <w:pPr>
              <w:spacing w:after="0"/>
              <w:rPr>
                <w:rFonts w:ascii="Verdana" w:hAnsi="Verdana"/>
                <w:b w:val="0"/>
                <w:bCs w:val="0"/>
                <w:color w:val="000000"/>
                <w:sz w:val="16"/>
                <w:szCs w:val="16"/>
              </w:rPr>
            </w:pPr>
          </w:p>
        </w:tc>
        <w:tc>
          <w:tcPr>
            <w:tcW w:w="464" w:type="pct"/>
            <w:shd w:val="clear" w:color="auto" w:fill="4F81BD"/>
            <w:noWrap/>
            <w:hideMark/>
          </w:tcPr>
          <w:p w14:paraId="2ADF8BF3" w14:textId="77777777" w:rsidR="00ED4F4A" w:rsidRPr="00227D1B" w:rsidRDefault="00ED4F4A" w:rsidP="00ED4F4A">
            <w:pPr>
              <w:spacing w:after="0"/>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227D1B">
              <w:rPr>
                <w:rFonts w:ascii="Verdana" w:hAnsi="Verdana"/>
                <w:color w:val="000000"/>
                <w:sz w:val="16"/>
                <w:szCs w:val="16"/>
              </w:rPr>
              <w:t> </w:t>
            </w:r>
          </w:p>
        </w:tc>
        <w:tc>
          <w:tcPr>
            <w:tcW w:w="796" w:type="pct"/>
            <w:shd w:val="clear" w:color="auto" w:fill="4F81BD"/>
            <w:hideMark/>
          </w:tcPr>
          <w:p w14:paraId="5D08AD89" w14:textId="77777777" w:rsidR="00ED4F4A" w:rsidRPr="00ED4F4A" w:rsidRDefault="00ED4F4A" w:rsidP="00ED4F4A">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b/>
                <w:bCs/>
                <w:color w:val="FFFFFF"/>
                <w:sz w:val="16"/>
                <w:szCs w:val="16"/>
              </w:rPr>
            </w:pPr>
            <w:r w:rsidRPr="00ED4F4A">
              <w:rPr>
                <w:rFonts w:ascii="Verdana" w:hAnsi="Verdana" w:cstheme="minorHAnsi"/>
                <w:b/>
                <w:bCs/>
                <w:color w:val="FFFFFF"/>
                <w:sz w:val="16"/>
                <w:szCs w:val="16"/>
              </w:rPr>
              <w:t>Candidate list</w:t>
            </w:r>
          </w:p>
        </w:tc>
        <w:tc>
          <w:tcPr>
            <w:tcW w:w="662" w:type="pct"/>
            <w:shd w:val="clear" w:color="auto" w:fill="4F81BD"/>
            <w:noWrap/>
            <w:hideMark/>
          </w:tcPr>
          <w:p w14:paraId="30F64CD1" w14:textId="77777777" w:rsidR="00ED4F4A" w:rsidRPr="00ED4F4A" w:rsidRDefault="00ED4F4A" w:rsidP="00ED4F4A">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b/>
                <w:bCs/>
                <w:color w:val="FFFFFF"/>
                <w:sz w:val="16"/>
                <w:szCs w:val="16"/>
              </w:rPr>
            </w:pPr>
            <w:r w:rsidRPr="00ED4F4A">
              <w:rPr>
                <w:rFonts w:ascii="Verdana" w:hAnsi="Verdana" w:cstheme="minorHAnsi"/>
                <w:b/>
                <w:bCs/>
                <w:color w:val="FFFFFF"/>
                <w:sz w:val="16"/>
                <w:szCs w:val="16"/>
              </w:rPr>
              <w:t>Annex XIV</w:t>
            </w:r>
          </w:p>
        </w:tc>
        <w:tc>
          <w:tcPr>
            <w:tcW w:w="808" w:type="pct"/>
            <w:shd w:val="clear" w:color="auto" w:fill="4F81BD"/>
            <w:noWrap/>
            <w:hideMark/>
          </w:tcPr>
          <w:p w14:paraId="73EDC4EA" w14:textId="74091735" w:rsidR="00ED4F4A" w:rsidRPr="00ED4F4A" w:rsidRDefault="00ED4F4A" w:rsidP="00ED4F4A">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b/>
                <w:bCs/>
                <w:color w:val="FFFFFF"/>
                <w:sz w:val="16"/>
                <w:szCs w:val="16"/>
              </w:rPr>
            </w:pPr>
            <w:r w:rsidRPr="00ED4F4A">
              <w:rPr>
                <w:rFonts w:ascii="Verdana" w:hAnsi="Verdana" w:cstheme="minorHAnsi"/>
                <w:b/>
                <w:bCs/>
                <w:color w:val="FFFFFF"/>
                <w:sz w:val="16"/>
                <w:szCs w:val="16"/>
              </w:rPr>
              <w:t>Annex XVII</w:t>
            </w:r>
          </w:p>
        </w:tc>
        <w:tc>
          <w:tcPr>
            <w:tcW w:w="515" w:type="pct"/>
            <w:shd w:val="clear" w:color="auto" w:fill="4F81BD"/>
            <w:hideMark/>
          </w:tcPr>
          <w:p w14:paraId="03A840CB" w14:textId="34BD0CF0" w:rsidR="00ED4F4A" w:rsidRPr="00ED4F4A" w:rsidRDefault="00ED4F4A" w:rsidP="00ED4F4A">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b/>
                <w:bCs/>
                <w:color w:val="FFFFFF"/>
                <w:sz w:val="16"/>
                <w:szCs w:val="16"/>
              </w:rPr>
            </w:pPr>
            <w:r w:rsidRPr="00ED4F4A">
              <w:rPr>
                <w:rFonts w:ascii="Verdana" w:hAnsi="Verdana" w:cstheme="minorHAnsi"/>
                <w:b/>
                <w:bCs/>
                <w:color w:val="FFFFFF"/>
                <w:sz w:val="16"/>
                <w:szCs w:val="16"/>
              </w:rPr>
              <w:t>Annex VI (CLP)</w:t>
            </w:r>
          </w:p>
        </w:tc>
        <w:tc>
          <w:tcPr>
            <w:tcW w:w="1176" w:type="pct"/>
            <w:shd w:val="clear" w:color="auto" w:fill="4F81BD"/>
            <w:noWrap/>
          </w:tcPr>
          <w:p w14:paraId="68CA61EB" w14:textId="77777777" w:rsidR="00ED4F4A" w:rsidRPr="00227D1B" w:rsidRDefault="00ED4F4A" w:rsidP="00ED4F4A">
            <w:pPr>
              <w:spacing w:after="0"/>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p>
        </w:tc>
      </w:tr>
      <w:tr w:rsidR="00ED4F4A" w:rsidRPr="00227D1B" w14:paraId="3C17F870" w14:textId="77777777" w:rsidTr="00C020F4">
        <w:trPr>
          <w:trHeight w:val="74"/>
        </w:trPr>
        <w:tc>
          <w:tcPr>
            <w:cnfStyle w:val="001000000000" w:firstRow="0" w:lastRow="0" w:firstColumn="1" w:lastColumn="0" w:oddVBand="0" w:evenVBand="0" w:oddHBand="0" w:evenHBand="0" w:firstRowFirstColumn="0" w:firstRowLastColumn="0" w:lastRowFirstColumn="0" w:lastRowLastColumn="0"/>
            <w:tcW w:w="579" w:type="pct"/>
          </w:tcPr>
          <w:p w14:paraId="2F7449B1" w14:textId="31424479" w:rsidR="00ED4F4A" w:rsidRPr="00227D1B" w:rsidRDefault="005A2C11" w:rsidP="00ED4F4A">
            <w:pPr>
              <w:spacing w:after="0"/>
              <w:rPr>
                <w:rFonts w:ascii="Verdana" w:hAnsi="Verdana"/>
                <w:color w:val="000000"/>
                <w:sz w:val="16"/>
                <w:szCs w:val="16"/>
              </w:rPr>
            </w:pPr>
            <w:r>
              <w:rPr>
                <w:rFonts w:ascii="Verdana" w:hAnsi="Verdana"/>
                <w:color w:val="000000"/>
                <w:sz w:val="16"/>
                <w:szCs w:val="16"/>
              </w:rPr>
              <w:t>Carbon disulfide</w:t>
            </w:r>
          </w:p>
        </w:tc>
        <w:tc>
          <w:tcPr>
            <w:tcW w:w="464" w:type="pct"/>
            <w:noWrap/>
            <w:hideMark/>
          </w:tcPr>
          <w:p w14:paraId="641A4484" w14:textId="6B36F5BC" w:rsidR="00ED4F4A" w:rsidRPr="00227D1B" w:rsidRDefault="0001481A" w:rsidP="00ED4F4A">
            <w:pPr>
              <w:spacing w:after="0"/>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No other RMOA</w:t>
            </w:r>
          </w:p>
        </w:tc>
        <w:tc>
          <w:tcPr>
            <w:tcW w:w="796" w:type="pct"/>
            <w:noWrap/>
            <w:hideMark/>
          </w:tcPr>
          <w:p w14:paraId="5EC36168" w14:textId="44675972" w:rsidR="00ED4F4A" w:rsidRPr="00227D1B" w:rsidRDefault="00ED4F4A" w:rsidP="00ED4F4A">
            <w:pPr>
              <w:spacing w:after="0"/>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227D1B">
              <w:rPr>
                <w:rFonts w:ascii="Verdana" w:hAnsi="Verdana"/>
                <w:color w:val="000000"/>
                <w:sz w:val="16"/>
                <w:szCs w:val="16"/>
              </w:rPr>
              <w:t> </w:t>
            </w:r>
            <w:r w:rsidR="00F93C67">
              <w:rPr>
                <w:rFonts w:ascii="Verdana" w:hAnsi="Verdana"/>
                <w:color w:val="000000"/>
                <w:sz w:val="16"/>
                <w:szCs w:val="16"/>
              </w:rPr>
              <w:t xml:space="preserve">- </w:t>
            </w:r>
          </w:p>
        </w:tc>
        <w:tc>
          <w:tcPr>
            <w:tcW w:w="662" w:type="pct"/>
            <w:noWrap/>
            <w:hideMark/>
          </w:tcPr>
          <w:p w14:paraId="087CAA60" w14:textId="73FF0165" w:rsidR="00ED4F4A" w:rsidRPr="00227D1B" w:rsidRDefault="00ED4F4A" w:rsidP="00ED4F4A">
            <w:pPr>
              <w:spacing w:after="0"/>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227D1B">
              <w:rPr>
                <w:rFonts w:ascii="Verdana" w:hAnsi="Verdana"/>
                <w:color w:val="000000"/>
                <w:sz w:val="16"/>
                <w:szCs w:val="16"/>
              </w:rPr>
              <w:t> </w:t>
            </w:r>
            <w:r w:rsidR="00F93C67">
              <w:rPr>
                <w:rFonts w:ascii="Verdana" w:hAnsi="Verdana"/>
                <w:color w:val="000000"/>
                <w:sz w:val="16"/>
                <w:szCs w:val="16"/>
              </w:rPr>
              <w:t xml:space="preserve">- </w:t>
            </w:r>
          </w:p>
        </w:tc>
        <w:tc>
          <w:tcPr>
            <w:tcW w:w="808" w:type="pct"/>
            <w:noWrap/>
            <w:hideMark/>
          </w:tcPr>
          <w:p w14:paraId="31A0E551" w14:textId="2633BFE1" w:rsidR="00ED4F4A" w:rsidRPr="00227D1B" w:rsidRDefault="00ED4F4A" w:rsidP="00ED4F4A">
            <w:pPr>
              <w:spacing w:after="0"/>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227D1B">
              <w:rPr>
                <w:rFonts w:ascii="Verdana" w:hAnsi="Verdana"/>
                <w:color w:val="000000"/>
                <w:sz w:val="16"/>
                <w:szCs w:val="16"/>
              </w:rPr>
              <w:t> </w:t>
            </w:r>
            <w:r w:rsidR="00F93C67">
              <w:rPr>
                <w:rFonts w:ascii="Verdana" w:hAnsi="Verdana"/>
                <w:color w:val="000000"/>
                <w:sz w:val="16"/>
                <w:szCs w:val="16"/>
              </w:rPr>
              <w:t xml:space="preserve">- </w:t>
            </w:r>
          </w:p>
        </w:tc>
        <w:tc>
          <w:tcPr>
            <w:tcW w:w="515" w:type="pct"/>
            <w:noWrap/>
            <w:hideMark/>
          </w:tcPr>
          <w:p w14:paraId="048A0FFF" w14:textId="3682EBC9" w:rsidR="00ED4F4A" w:rsidRPr="00227D1B" w:rsidRDefault="00ED4F4A" w:rsidP="00ED4F4A">
            <w:pPr>
              <w:spacing w:after="0"/>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227D1B">
              <w:rPr>
                <w:rFonts w:ascii="Verdana" w:hAnsi="Verdana"/>
                <w:color w:val="000000"/>
                <w:sz w:val="16"/>
                <w:szCs w:val="16"/>
              </w:rPr>
              <w:t> </w:t>
            </w:r>
            <w:r w:rsidR="00C46BD4">
              <w:rPr>
                <w:rFonts w:ascii="Verdana" w:hAnsi="Verdana"/>
                <w:color w:val="000000"/>
                <w:sz w:val="16"/>
                <w:szCs w:val="16"/>
              </w:rPr>
              <w:t>Y</w:t>
            </w:r>
            <w:r w:rsidR="00F93C67">
              <w:rPr>
                <w:rFonts w:ascii="Verdana" w:hAnsi="Verdana"/>
                <w:color w:val="000000"/>
                <w:sz w:val="16"/>
                <w:szCs w:val="16"/>
              </w:rPr>
              <w:t>es</w:t>
            </w:r>
          </w:p>
        </w:tc>
        <w:tc>
          <w:tcPr>
            <w:tcW w:w="1176" w:type="pct"/>
            <w:noWrap/>
            <w:hideMark/>
          </w:tcPr>
          <w:p w14:paraId="3F946C9F" w14:textId="085B11F2" w:rsidR="00ED4F4A" w:rsidRPr="00227D1B" w:rsidRDefault="00ED4F4A" w:rsidP="00070EA2">
            <w:pPr>
              <w:spacing w:after="0"/>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227D1B">
              <w:rPr>
                <w:rFonts w:ascii="Verdana" w:hAnsi="Verdana"/>
                <w:color w:val="000000"/>
                <w:sz w:val="16"/>
                <w:szCs w:val="16"/>
              </w:rPr>
              <w:t> </w:t>
            </w:r>
            <w:r w:rsidR="00C46BD4">
              <w:rPr>
                <w:rFonts w:ascii="Verdana" w:hAnsi="Verdana"/>
                <w:color w:val="000000"/>
                <w:sz w:val="16"/>
                <w:szCs w:val="16"/>
              </w:rPr>
              <w:t>I</w:t>
            </w:r>
            <w:r w:rsidR="00070EA2">
              <w:rPr>
                <w:rFonts w:ascii="Verdana" w:hAnsi="Verdana"/>
                <w:color w:val="000000"/>
                <w:sz w:val="16"/>
                <w:szCs w:val="16"/>
              </w:rPr>
              <w:t>OEL</w:t>
            </w:r>
            <w:r w:rsidR="00F67308">
              <w:rPr>
                <w:rFonts w:ascii="Verdana" w:hAnsi="Verdana"/>
                <w:color w:val="000000"/>
                <w:sz w:val="16"/>
                <w:szCs w:val="16"/>
              </w:rPr>
              <w:t>V</w:t>
            </w:r>
          </w:p>
        </w:tc>
      </w:tr>
    </w:tbl>
    <w:p w14:paraId="35B035A2" w14:textId="013A2F13" w:rsidR="008F6016" w:rsidRDefault="008F6016" w:rsidP="002D2117">
      <w:pPr>
        <w:rPr>
          <w:rFonts w:ascii="Verdana" w:hAnsi="Verdana"/>
          <w:snapToGrid w:val="0"/>
          <w:sz w:val="20"/>
          <w:szCs w:val="20"/>
          <w:lang w:eastAsia="fi-FI"/>
        </w:rPr>
      </w:pPr>
    </w:p>
    <w:p w14:paraId="5817E26A" w14:textId="77777777" w:rsidR="00446E3C" w:rsidRDefault="00446E3C" w:rsidP="00446E3C">
      <w:pPr>
        <w:rPr>
          <w:rFonts w:ascii="Verdana" w:hAnsi="Verdana"/>
          <w:snapToGrid w:val="0"/>
          <w:sz w:val="20"/>
          <w:szCs w:val="20"/>
          <w:lang w:eastAsia="fi-FI"/>
        </w:rPr>
        <w:sectPr w:rsidR="00446E3C" w:rsidSect="006D5748">
          <w:pgSz w:w="11906" w:h="16838"/>
          <w:pgMar w:top="1418" w:right="1797" w:bottom="1134" w:left="1797" w:header="680" w:footer="567" w:gutter="0"/>
          <w:cols w:space="720"/>
        </w:sectPr>
      </w:pPr>
    </w:p>
    <w:p w14:paraId="6C2435C5" w14:textId="2A8213D8" w:rsidR="00446E3C" w:rsidRDefault="00446E3C" w:rsidP="00446E3C">
      <w:pPr>
        <w:pStyle w:val="Titre1"/>
        <w:numPr>
          <w:ilvl w:val="0"/>
          <w:numId w:val="0"/>
        </w:numPr>
        <w:ind w:left="142"/>
        <w:rPr>
          <w:szCs w:val="28"/>
        </w:rPr>
      </w:pPr>
      <w:bookmarkStart w:id="45" w:name="_Toc117776299"/>
      <w:r>
        <w:rPr>
          <w:szCs w:val="28"/>
        </w:rPr>
        <w:lastRenderedPageBreak/>
        <w:t xml:space="preserve">Annex </w:t>
      </w:r>
      <w:r w:rsidR="00805DB7">
        <w:rPr>
          <w:szCs w:val="28"/>
        </w:rPr>
        <w:t>4</w:t>
      </w:r>
      <w:r>
        <w:rPr>
          <w:szCs w:val="28"/>
        </w:rPr>
        <w:t>:</w:t>
      </w:r>
      <w:r w:rsidRPr="007E7CD3">
        <w:rPr>
          <w:szCs w:val="28"/>
        </w:rPr>
        <w:t xml:space="preserve"> </w:t>
      </w:r>
      <w:r>
        <w:rPr>
          <w:szCs w:val="28"/>
        </w:rPr>
        <w:t>Background Document</w:t>
      </w:r>
      <w:r w:rsidR="008F6016">
        <w:rPr>
          <w:szCs w:val="28"/>
        </w:rPr>
        <w:t xml:space="preserve"> (not for publication)</w:t>
      </w:r>
      <w:bookmarkEnd w:id="45"/>
    </w:p>
    <w:p w14:paraId="3C721935" w14:textId="22A5C2B8" w:rsidR="000F427A" w:rsidRDefault="00EF3722" w:rsidP="00F44C79">
      <w:pPr>
        <w:pStyle w:val="Titre1"/>
        <w:keepLines w:val="0"/>
        <w:numPr>
          <w:ilvl w:val="0"/>
          <w:numId w:val="7"/>
        </w:numPr>
        <w:tabs>
          <w:tab w:val="left" w:pos="360"/>
        </w:tabs>
        <w:spacing w:before="360" w:after="200"/>
      </w:pPr>
      <w:r>
        <w:t xml:space="preserve"> </w:t>
      </w:r>
      <w:bookmarkStart w:id="46" w:name="_Toc5286517"/>
      <w:bookmarkStart w:id="47" w:name="_Toc117776300"/>
      <w:r w:rsidR="000F427A" w:rsidRPr="00946069">
        <w:t>Human Health</w:t>
      </w:r>
      <w:bookmarkEnd w:id="47"/>
    </w:p>
    <w:p w14:paraId="1EDFD528" w14:textId="7D18E8D7" w:rsidR="008470B6" w:rsidRPr="00AC4891" w:rsidRDefault="001E068D" w:rsidP="001E068D">
      <w:pPr>
        <w:pStyle w:val="Titre3"/>
        <w:numPr>
          <w:ilvl w:val="0"/>
          <w:numId w:val="0"/>
        </w:numPr>
      </w:pPr>
      <w:bookmarkStart w:id="48" w:name="_Hlk72855945"/>
      <w:bookmarkStart w:id="49" w:name="_Toc117776301"/>
      <w:bookmarkEnd w:id="46"/>
      <w:r>
        <w:t xml:space="preserve">1.1. </w:t>
      </w:r>
      <w:r w:rsidR="008470B6" w:rsidRPr="00AC4891">
        <w:t>Additional human health hazard information</w:t>
      </w:r>
      <w:bookmarkEnd w:id="49"/>
    </w:p>
    <w:bookmarkEnd w:id="48"/>
    <w:p w14:paraId="6E1DAF9D" w14:textId="18E3AAD8" w:rsidR="001217C3" w:rsidRDefault="001E068D" w:rsidP="001E068D">
      <w:pPr>
        <w:pStyle w:val="Titre5"/>
        <w:numPr>
          <w:ilvl w:val="0"/>
          <w:numId w:val="0"/>
        </w:numPr>
        <w:ind w:left="1843" w:hanging="1843"/>
      </w:pPr>
      <w:r>
        <w:t>1.1.1</w:t>
      </w:r>
      <w:r w:rsidR="001217C3">
        <w:t xml:space="preserve"> Repeated-dose toxicity</w:t>
      </w:r>
    </w:p>
    <w:p w14:paraId="1CFB50A7" w14:textId="3E653A29" w:rsidR="00790972" w:rsidRDefault="00790972" w:rsidP="00790972">
      <w:pPr>
        <w:pStyle w:val="Paragraphedeliste"/>
        <w:numPr>
          <w:ilvl w:val="0"/>
          <w:numId w:val="28"/>
        </w:numPr>
        <w:jc w:val="both"/>
        <w:rPr>
          <w:rFonts w:ascii="Verdana" w:hAnsi="Verdana"/>
          <w:b/>
          <w:snapToGrid w:val="0"/>
          <w:sz w:val="20"/>
          <w:szCs w:val="20"/>
          <w:lang w:eastAsia="fi-FI"/>
        </w:rPr>
      </w:pPr>
      <w:r>
        <w:rPr>
          <w:rFonts w:ascii="Verdana" w:hAnsi="Verdana"/>
          <w:b/>
          <w:snapToGrid w:val="0"/>
          <w:sz w:val="20"/>
          <w:szCs w:val="20"/>
          <w:lang w:eastAsia="fi-FI"/>
        </w:rPr>
        <w:t xml:space="preserve">Takebayashi </w:t>
      </w:r>
      <w:r w:rsidRPr="002D0738">
        <w:rPr>
          <w:rFonts w:ascii="Verdana" w:hAnsi="Verdana"/>
          <w:b/>
          <w:i/>
          <w:snapToGrid w:val="0"/>
          <w:sz w:val="20"/>
          <w:szCs w:val="20"/>
          <w:lang w:eastAsia="fi-FI"/>
        </w:rPr>
        <w:t>et al.</w:t>
      </w:r>
      <w:r>
        <w:rPr>
          <w:rFonts w:ascii="Verdana" w:hAnsi="Verdana"/>
          <w:b/>
          <w:snapToGrid w:val="0"/>
          <w:sz w:val="20"/>
          <w:szCs w:val="20"/>
          <w:lang w:eastAsia="fi-FI"/>
        </w:rPr>
        <w:t>, 2003 and 2004</w:t>
      </w:r>
    </w:p>
    <w:p w14:paraId="2714E8EC" w14:textId="05344F56"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The authors investigated associations between occupational exposure to </w:t>
      </w:r>
      <w:r w:rsidR="000A25BF">
        <w:rPr>
          <w:rFonts w:ascii="Verdana" w:hAnsi="Verdana"/>
          <w:snapToGrid w:val="0"/>
          <w:sz w:val="20"/>
          <w:szCs w:val="20"/>
          <w:lang w:eastAsia="fi-FI"/>
        </w:rPr>
        <w:t>carbon disulfide</w:t>
      </w:r>
      <w:r w:rsidR="000A25BF" w:rsidRPr="00790972">
        <w:rPr>
          <w:rFonts w:ascii="Verdana" w:hAnsi="Verdana"/>
          <w:snapToGrid w:val="0"/>
          <w:sz w:val="20"/>
          <w:szCs w:val="20"/>
          <w:lang w:eastAsia="fi-FI"/>
        </w:rPr>
        <w:t xml:space="preserve"> </w:t>
      </w:r>
      <w:r w:rsidRPr="00790972">
        <w:rPr>
          <w:rFonts w:ascii="Verdana" w:hAnsi="Verdana"/>
          <w:snapToGrid w:val="0"/>
          <w:sz w:val="20"/>
          <w:szCs w:val="20"/>
          <w:lang w:eastAsia="fi-FI"/>
        </w:rPr>
        <w:t>and endocrine and cardiovascular system parameters.</w:t>
      </w:r>
    </w:p>
    <w:p w14:paraId="23DB8555" w14:textId="246F00CD"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Both publications concern a cohort study conducted in workers from 11 viscose rayon fiber manufacturing plants. In 1992-</w:t>
      </w:r>
      <w:r w:rsidR="00827A2F">
        <w:rPr>
          <w:rFonts w:ascii="Verdana" w:hAnsi="Verdana"/>
          <w:snapToGrid w:val="0"/>
          <w:sz w:val="20"/>
          <w:szCs w:val="20"/>
          <w:lang w:eastAsia="fi-FI"/>
        </w:rPr>
        <w:t>19</w:t>
      </w:r>
      <w:r w:rsidRPr="00790972">
        <w:rPr>
          <w:rFonts w:ascii="Verdana" w:hAnsi="Verdana"/>
          <w:snapToGrid w:val="0"/>
          <w:sz w:val="20"/>
          <w:szCs w:val="20"/>
          <w:lang w:eastAsia="fi-FI"/>
        </w:rPr>
        <w:t xml:space="preserve">93, 432 male workers exposed to </w:t>
      </w:r>
      <w:r w:rsidR="000A25BF">
        <w:rPr>
          <w:rFonts w:ascii="Verdana" w:hAnsi="Verdana"/>
          <w:snapToGrid w:val="0"/>
          <w:sz w:val="20"/>
          <w:szCs w:val="20"/>
          <w:lang w:eastAsia="fi-FI"/>
        </w:rPr>
        <w:t>carbon disulfide</w:t>
      </w:r>
      <w:r w:rsidR="000A25BF" w:rsidRPr="00790972">
        <w:rPr>
          <w:rFonts w:ascii="Verdana" w:hAnsi="Verdana"/>
          <w:snapToGrid w:val="0"/>
          <w:sz w:val="20"/>
          <w:szCs w:val="20"/>
          <w:lang w:eastAsia="fi-FI"/>
        </w:rPr>
        <w:t xml:space="preserve"> </w:t>
      </w:r>
      <w:r w:rsidRPr="00790972">
        <w:rPr>
          <w:rFonts w:ascii="Verdana" w:hAnsi="Verdana"/>
          <w:snapToGrid w:val="0"/>
          <w:sz w:val="20"/>
          <w:szCs w:val="20"/>
          <w:lang w:eastAsia="fi-FI"/>
        </w:rPr>
        <w:t xml:space="preserve">and 402 unexposed workers </w:t>
      </w:r>
      <w:r w:rsidR="00827A2F">
        <w:rPr>
          <w:rFonts w:ascii="Verdana" w:hAnsi="Verdana"/>
          <w:snapToGrid w:val="0"/>
          <w:sz w:val="20"/>
          <w:szCs w:val="20"/>
          <w:lang w:eastAsia="fi-FI"/>
        </w:rPr>
        <w:t>from the same factory and about the same age</w:t>
      </w:r>
      <w:r w:rsidRPr="00790972">
        <w:rPr>
          <w:rFonts w:ascii="Verdana" w:hAnsi="Verdana"/>
          <w:snapToGrid w:val="0"/>
          <w:sz w:val="20"/>
          <w:szCs w:val="20"/>
          <w:lang w:eastAsia="fi-FI"/>
        </w:rPr>
        <w:t xml:space="preserve"> were included in the cohort.</w:t>
      </w:r>
    </w:p>
    <w:p w14:paraId="0481D90F" w14:textId="3243B440"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The follow-up phase took place in 1998-1999. The participation rate was 89.9% (</w:t>
      </w:r>
      <w:r w:rsidR="00827A2F">
        <w:rPr>
          <w:rFonts w:ascii="Verdana" w:hAnsi="Verdana"/>
          <w:snapToGrid w:val="0"/>
          <w:sz w:val="20"/>
          <w:szCs w:val="20"/>
          <w:lang w:eastAsia="fi-FI"/>
        </w:rPr>
        <w:t>4 deaths, 80 lost to follow-up.</w:t>
      </w:r>
    </w:p>
    <w:p w14:paraId="0470B45F" w14:textId="5EA2F8F8"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After reclassification according to </w:t>
      </w:r>
      <w:r w:rsidR="000A25BF" w:rsidRPr="000A25BF">
        <w:rPr>
          <w:rFonts w:ascii="Verdana" w:hAnsi="Verdana"/>
          <w:snapToGrid w:val="0"/>
          <w:sz w:val="20"/>
          <w:szCs w:val="20"/>
          <w:lang w:eastAsia="fi-FI"/>
        </w:rPr>
        <w:t>carbon disulfide</w:t>
      </w:r>
      <w:r w:rsidR="000A25BF" w:rsidRPr="00790972">
        <w:rPr>
          <w:rFonts w:ascii="Verdana" w:hAnsi="Verdana"/>
          <w:snapToGrid w:val="0"/>
          <w:sz w:val="20"/>
          <w:szCs w:val="20"/>
          <w:lang w:eastAsia="fi-FI"/>
        </w:rPr>
        <w:t xml:space="preserve"> </w:t>
      </w:r>
      <w:r w:rsidRPr="00790972">
        <w:rPr>
          <w:rFonts w:ascii="Verdana" w:hAnsi="Verdana"/>
          <w:snapToGrid w:val="0"/>
          <w:sz w:val="20"/>
          <w:szCs w:val="20"/>
          <w:lang w:eastAsia="fi-FI"/>
        </w:rPr>
        <w:t>exposure, the data of 744 individuals are analyzed:</w:t>
      </w:r>
    </w:p>
    <w:p w14:paraId="72C46285" w14:textId="730ADBA2" w:rsidR="00790972" w:rsidRPr="00790972" w:rsidRDefault="00790972" w:rsidP="00790972">
      <w:pPr>
        <w:spacing w:after="0"/>
        <w:ind w:firstLine="720"/>
        <w:jc w:val="both"/>
        <w:rPr>
          <w:rFonts w:ascii="Verdana" w:hAnsi="Verdana"/>
          <w:snapToGrid w:val="0"/>
          <w:sz w:val="20"/>
          <w:szCs w:val="20"/>
          <w:lang w:eastAsia="fi-FI"/>
        </w:rPr>
      </w:pPr>
      <w:r w:rsidRPr="00790972">
        <w:rPr>
          <w:rFonts w:ascii="Verdana" w:hAnsi="Verdana"/>
          <w:snapToGrid w:val="0"/>
          <w:sz w:val="20"/>
          <w:szCs w:val="20"/>
          <w:lang w:eastAsia="fi-FI"/>
        </w:rPr>
        <w:t>- 259 still exposed</w:t>
      </w:r>
      <w:r w:rsidR="00827A2F">
        <w:rPr>
          <w:rFonts w:ascii="Verdana" w:hAnsi="Verdana"/>
          <w:snapToGrid w:val="0"/>
          <w:sz w:val="20"/>
          <w:szCs w:val="20"/>
          <w:lang w:eastAsia="fi-FI"/>
        </w:rPr>
        <w:t>,</w:t>
      </w:r>
    </w:p>
    <w:p w14:paraId="2111F761" w14:textId="6D0E55B6" w:rsidR="00790972" w:rsidRPr="00790972" w:rsidRDefault="00790972" w:rsidP="00790972">
      <w:pPr>
        <w:spacing w:after="0"/>
        <w:ind w:left="720"/>
        <w:jc w:val="both"/>
        <w:rPr>
          <w:rFonts w:ascii="Verdana" w:hAnsi="Verdana"/>
          <w:snapToGrid w:val="0"/>
          <w:sz w:val="20"/>
          <w:szCs w:val="20"/>
          <w:lang w:eastAsia="fi-FI"/>
        </w:rPr>
      </w:pPr>
      <w:r w:rsidRPr="00790972">
        <w:rPr>
          <w:rFonts w:ascii="Verdana" w:hAnsi="Verdana"/>
          <w:snapToGrid w:val="0"/>
          <w:sz w:val="20"/>
          <w:szCs w:val="20"/>
          <w:lang w:eastAsia="fi-FI"/>
        </w:rPr>
        <w:t>- 133 ex-exposed (cessation of exposure due to a production stoppage in 3 plants in 1994-1995)</w:t>
      </w:r>
      <w:r w:rsidR="00827A2F">
        <w:rPr>
          <w:rFonts w:ascii="Verdana" w:hAnsi="Verdana"/>
          <w:snapToGrid w:val="0"/>
          <w:sz w:val="20"/>
          <w:szCs w:val="20"/>
          <w:lang w:eastAsia="fi-FI"/>
        </w:rPr>
        <w:t>,</w:t>
      </w:r>
    </w:p>
    <w:p w14:paraId="167C3688" w14:textId="136B0853" w:rsidR="00790972" w:rsidRDefault="00790972" w:rsidP="00790972">
      <w:pPr>
        <w:spacing w:after="0"/>
        <w:ind w:firstLine="720"/>
        <w:jc w:val="both"/>
        <w:rPr>
          <w:rFonts w:ascii="Verdana" w:hAnsi="Verdana"/>
          <w:snapToGrid w:val="0"/>
          <w:sz w:val="20"/>
          <w:szCs w:val="20"/>
          <w:lang w:eastAsia="fi-FI"/>
        </w:rPr>
      </w:pPr>
      <w:r w:rsidRPr="00790972">
        <w:rPr>
          <w:rFonts w:ascii="Verdana" w:hAnsi="Verdana"/>
          <w:snapToGrid w:val="0"/>
          <w:sz w:val="20"/>
          <w:szCs w:val="20"/>
          <w:lang w:eastAsia="fi-FI"/>
        </w:rPr>
        <w:t>- 352 not exposed.</w:t>
      </w:r>
    </w:p>
    <w:p w14:paraId="0C2B12AD" w14:textId="24900566" w:rsidR="00790972" w:rsidRDefault="00790972" w:rsidP="00790972">
      <w:pPr>
        <w:spacing w:after="0"/>
        <w:jc w:val="both"/>
        <w:rPr>
          <w:rFonts w:ascii="Verdana" w:hAnsi="Verdana"/>
          <w:snapToGrid w:val="0"/>
          <w:sz w:val="20"/>
          <w:szCs w:val="20"/>
          <w:lang w:eastAsia="fi-FI"/>
        </w:rPr>
      </w:pPr>
    </w:p>
    <w:p w14:paraId="124B183C" w14:textId="1B728173"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The assessment of occupational exposure to </w:t>
      </w:r>
      <w:r w:rsidR="000A25BF" w:rsidRPr="000A25BF">
        <w:rPr>
          <w:rFonts w:ascii="Verdana" w:hAnsi="Verdana"/>
          <w:snapToGrid w:val="0"/>
          <w:sz w:val="20"/>
          <w:szCs w:val="20"/>
          <w:lang w:eastAsia="fi-FI"/>
        </w:rPr>
        <w:t>carbon disulfide</w:t>
      </w:r>
      <w:r w:rsidR="000A25BF" w:rsidRPr="00790972">
        <w:rPr>
          <w:rFonts w:ascii="Verdana" w:hAnsi="Verdana"/>
          <w:snapToGrid w:val="0"/>
          <w:sz w:val="20"/>
          <w:szCs w:val="20"/>
          <w:lang w:eastAsia="fi-FI"/>
        </w:rPr>
        <w:t xml:space="preserve"> </w:t>
      </w:r>
      <w:r w:rsidRPr="00790972">
        <w:rPr>
          <w:rFonts w:ascii="Verdana" w:hAnsi="Verdana"/>
          <w:snapToGrid w:val="0"/>
          <w:sz w:val="20"/>
          <w:szCs w:val="20"/>
          <w:lang w:eastAsia="fi-FI"/>
        </w:rPr>
        <w:t xml:space="preserve">is performed according to two parameters: </w:t>
      </w:r>
    </w:p>
    <w:p w14:paraId="65ED623A" w14:textId="1D074B0D"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 Measurement of the biomarker of </w:t>
      </w:r>
      <w:r w:rsidR="000A25BF" w:rsidRPr="000A25BF">
        <w:rPr>
          <w:rFonts w:ascii="Verdana" w:hAnsi="Verdana"/>
          <w:snapToGrid w:val="0"/>
          <w:sz w:val="20"/>
          <w:szCs w:val="20"/>
          <w:lang w:eastAsia="fi-FI"/>
        </w:rPr>
        <w:t>carbon disulfide</w:t>
      </w:r>
      <w:r w:rsidR="000A25BF" w:rsidRPr="00790972">
        <w:rPr>
          <w:rFonts w:ascii="Verdana" w:hAnsi="Verdana"/>
          <w:snapToGrid w:val="0"/>
          <w:sz w:val="20"/>
          <w:szCs w:val="20"/>
          <w:lang w:eastAsia="fi-FI"/>
        </w:rPr>
        <w:t xml:space="preserve"> </w:t>
      </w:r>
      <w:r w:rsidRPr="00790972">
        <w:rPr>
          <w:rFonts w:ascii="Verdana" w:hAnsi="Verdana"/>
          <w:snapToGrid w:val="0"/>
          <w:sz w:val="20"/>
          <w:szCs w:val="20"/>
          <w:lang w:eastAsia="fi-FI"/>
        </w:rPr>
        <w:t xml:space="preserve">exposure: urinary </w:t>
      </w:r>
      <w:r w:rsidR="00827A2F">
        <w:rPr>
          <w:rFonts w:ascii="Verdana" w:hAnsi="Verdana"/>
          <w:snapToGrid w:val="0"/>
          <w:sz w:val="20"/>
          <w:szCs w:val="20"/>
          <w:lang w:eastAsia="fi-FI"/>
        </w:rPr>
        <w:t xml:space="preserve">TTCA </w:t>
      </w:r>
      <w:r w:rsidRPr="00790972">
        <w:rPr>
          <w:rFonts w:ascii="Verdana" w:hAnsi="Verdana"/>
          <w:snapToGrid w:val="0"/>
          <w:sz w:val="20"/>
          <w:szCs w:val="20"/>
          <w:lang w:eastAsia="fi-FI"/>
        </w:rPr>
        <w:t>adjusted on the urin</w:t>
      </w:r>
      <w:r w:rsidR="00827A2F">
        <w:rPr>
          <w:rFonts w:ascii="Verdana" w:hAnsi="Verdana"/>
          <w:snapToGrid w:val="0"/>
          <w:sz w:val="20"/>
          <w:szCs w:val="20"/>
          <w:lang w:eastAsia="fi-FI"/>
        </w:rPr>
        <w:t>ary creatinine level since 1992,</w:t>
      </w:r>
    </w:p>
    <w:p w14:paraId="442BD579" w14:textId="29E3EE2E" w:rsidR="00790972" w:rsidRDefault="00827A2F" w:rsidP="00790972">
      <w:pPr>
        <w:spacing w:after="0"/>
        <w:jc w:val="both"/>
        <w:rPr>
          <w:rFonts w:ascii="Verdana" w:hAnsi="Verdana"/>
          <w:snapToGrid w:val="0"/>
          <w:sz w:val="20"/>
          <w:szCs w:val="20"/>
          <w:lang w:eastAsia="fi-FI"/>
        </w:rPr>
      </w:pPr>
      <w:r>
        <w:rPr>
          <w:rFonts w:ascii="Verdana" w:hAnsi="Verdana"/>
          <w:snapToGrid w:val="0"/>
          <w:sz w:val="20"/>
          <w:szCs w:val="20"/>
          <w:lang w:eastAsia="fi-FI"/>
        </w:rPr>
        <w:t>- Measurement of carbon disulfide</w:t>
      </w:r>
      <w:r w:rsidR="00790972" w:rsidRPr="00790972">
        <w:rPr>
          <w:rFonts w:ascii="Verdana" w:hAnsi="Verdana"/>
          <w:snapToGrid w:val="0"/>
          <w:sz w:val="20"/>
          <w:szCs w:val="20"/>
          <w:lang w:eastAsia="fi-FI"/>
        </w:rPr>
        <w:t xml:space="preserve"> in the inhalation zone on the same day as the urine sample since 1993</w:t>
      </w:r>
      <w:r>
        <w:rPr>
          <w:rFonts w:ascii="Verdana" w:hAnsi="Verdana"/>
          <w:snapToGrid w:val="0"/>
          <w:sz w:val="20"/>
          <w:szCs w:val="20"/>
          <w:lang w:eastAsia="fi-FI"/>
        </w:rPr>
        <w:t>.</w:t>
      </w:r>
    </w:p>
    <w:p w14:paraId="17E312DC" w14:textId="78CD5A03" w:rsidR="00790972" w:rsidRDefault="00790972" w:rsidP="00790972">
      <w:pPr>
        <w:spacing w:after="0"/>
        <w:jc w:val="both"/>
        <w:rPr>
          <w:rFonts w:ascii="Verdana" w:hAnsi="Verdana"/>
          <w:snapToGrid w:val="0"/>
          <w:sz w:val="20"/>
          <w:szCs w:val="20"/>
          <w:lang w:eastAsia="fi-FI"/>
        </w:rPr>
      </w:pPr>
    </w:p>
    <w:p w14:paraId="6593EEC0" w14:textId="05CD0D48"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In the 2003 publication, associations between o</w:t>
      </w:r>
      <w:r>
        <w:rPr>
          <w:rFonts w:ascii="Verdana" w:hAnsi="Verdana"/>
          <w:snapToGrid w:val="0"/>
          <w:sz w:val="20"/>
          <w:szCs w:val="20"/>
          <w:lang w:eastAsia="fi-FI"/>
        </w:rPr>
        <w:t xml:space="preserve">ccupational exposure to </w:t>
      </w:r>
      <w:r w:rsidR="000A25BF" w:rsidRPr="000A25BF">
        <w:rPr>
          <w:rFonts w:ascii="Verdana" w:hAnsi="Verdana"/>
          <w:snapToGrid w:val="0"/>
          <w:sz w:val="20"/>
          <w:szCs w:val="20"/>
          <w:lang w:eastAsia="fi-FI"/>
        </w:rPr>
        <w:t>carbon disulfide</w:t>
      </w:r>
      <w:r>
        <w:rPr>
          <w:rFonts w:ascii="Verdana" w:hAnsi="Verdana"/>
          <w:snapToGrid w:val="0"/>
          <w:sz w:val="20"/>
          <w:szCs w:val="20"/>
          <w:lang w:eastAsia="fi-FI"/>
        </w:rPr>
        <w:t xml:space="preserve"> and </w:t>
      </w:r>
      <w:r w:rsidRPr="00790972">
        <w:rPr>
          <w:rFonts w:ascii="Verdana" w:hAnsi="Verdana"/>
          <w:snapToGrid w:val="0"/>
          <w:sz w:val="20"/>
          <w:szCs w:val="20"/>
          <w:lang w:eastAsia="fi-FI"/>
        </w:rPr>
        <w:t>indicators of the endocrin</w:t>
      </w:r>
      <w:r>
        <w:rPr>
          <w:rFonts w:ascii="Verdana" w:hAnsi="Verdana"/>
          <w:snapToGrid w:val="0"/>
          <w:sz w:val="20"/>
          <w:szCs w:val="20"/>
          <w:lang w:eastAsia="fi-FI"/>
        </w:rPr>
        <w:t xml:space="preserve">e system were studied in blood. </w:t>
      </w:r>
      <w:r w:rsidRPr="00790972">
        <w:rPr>
          <w:rFonts w:ascii="Verdana" w:hAnsi="Verdana"/>
          <w:snapToGrid w:val="0"/>
          <w:sz w:val="20"/>
          <w:szCs w:val="20"/>
          <w:lang w:eastAsia="fi-FI"/>
        </w:rPr>
        <w:t xml:space="preserve">The parameters studied were:  </w:t>
      </w:r>
    </w:p>
    <w:p w14:paraId="773B203A" w14:textId="4DEB89A4"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glucose metabolism: fasting blood glucose, glycated hemoglobin (HbA</w:t>
      </w:r>
      <w:r w:rsidRPr="002D0738">
        <w:rPr>
          <w:rFonts w:ascii="Verdana" w:hAnsi="Verdana"/>
          <w:snapToGrid w:val="0"/>
          <w:sz w:val="20"/>
          <w:szCs w:val="20"/>
          <w:vertAlign w:val="subscript"/>
          <w:lang w:eastAsia="fi-FI"/>
        </w:rPr>
        <w:t>1C</w:t>
      </w:r>
      <w:r w:rsidRPr="00790972">
        <w:rPr>
          <w:rFonts w:ascii="Verdana" w:hAnsi="Verdana"/>
          <w:snapToGrid w:val="0"/>
          <w:sz w:val="20"/>
          <w:szCs w:val="20"/>
          <w:lang w:eastAsia="fi-FI"/>
        </w:rPr>
        <w:t>), serum insulin</w:t>
      </w:r>
      <w:r w:rsidR="00317A46">
        <w:rPr>
          <w:rFonts w:ascii="Verdana" w:hAnsi="Verdana"/>
          <w:snapToGrid w:val="0"/>
          <w:sz w:val="20"/>
          <w:szCs w:val="20"/>
          <w:lang w:eastAsia="fi-FI"/>
        </w:rPr>
        <w:t xml:space="preserve"> level,</w:t>
      </w:r>
    </w:p>
    <w:p w14:paraId="3250412A" w14:textId="25028E84"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pituitary function: FSH, LH, ACTH</w:t>
      </w:r>
      <w:r w:rsidR="00317A46">
        <w:rPr>
          <w:rFonts w:ascii="Verdana" w:hAnsi="Verdana"/>
          <w:snapToGrid w:val="0"/>
          <w:sz w:val="20"/>
          <w:szCs w:val="20"/>
          <w:lang w:eastAsia="fi-FI"/>
        </w:rPr>
        <w:t>,</w:t>
      </w:r>
    </w:p>
    <w:p w14:paraId="4BE0B7E8" w14:textId="5ACC44A8"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w:t>
      </w:r>
      <w:r w:rsidR="00317A46">
        <w:rPr>
          <w:rFonts w:ascii="Verdana" w:hAnsi="Verdana"/>
          <w:snapToGrid w:val="0"/>
          <w:sz w:val="20"/>
          <w:szCs w:val="20"/>
          <w:lang w:eastAsia="fi-FI"/>
        </w:rPr>
        <w:t xml:space="preserve"> gonadal function: testosterone,</w:t>
      </w:r>
    </w:p>
    <w:p w14:paraId="06FC1C59" w14:textId="6F97D937" w:rsidR="00790972" w:rsidRPr="00790972" w:rsidRDefault="00790972" w:rsidP="00790972">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thyroid function: TSH, T3 T4, TBG</w:t>
      </w:r>
      <w:r w:rsidR="00317A46">
        <w:rPr>
          <w:rFonts w:ascii="Verdana" w:hAnsi="Verdana"/>
          <w:snapToGrid w:val="0"/>
          <w:sz w:val="20"/>
          <w:szCs w:val="20"/>
          <w:lang w:eastAsia="fi-FI"/>
        </w:rPr>
        <w:t>.</w:t>
      </w:r>
    </w:p>
    <w:p w14:paraId="7903249D" w14:textId="134B507A" w:rsidR="00790972" w:rsidRDefault="00790972" w:rsidP="00790972">
      <w:pPr>
        <w:spacing w:after="0"/>
        <w:jc w:val="both"/>
        <w:rPr>
          <w:rFonts w:ascii="Verdana" w:hAnsi="Verdana"/>
          <w:snapToGrid w:val="0"/>
          <w:sz w:val="20"/>
          <w:szCs w:val="20"/>
          <w:lang w:eastAsia="fi-FI"/>
        </w:rPr>
      </w:pPr>
    </w:p>
    <w:p w14:paraId="4297435C" w14:textId="6A8E8332" w:rsidR="00A8366A" w:rsidRDefault="00A8366A" w:rsidP="00790972">
      <w:pPr>
        <w:spacing w:after="0"/>
        <w:jc w:val="both"/>
        <w:rPr>
          <w:rFonts w:ascii="Verdana" w:hAnsi="Verdana"/>
          <w:snapToGrid w:val="0"/>
          <w:sz w:val="20"/>
          <w:szCs w:val="20"/>
          <w:lang w:eastAsia="fi-FI"/>
        </w:rPr>
      </w:pPr>
      <w:r>
        <w:rPr>
          <w:rFonts w:ascii="Verdana" w:hAnsi="Verdana"/>
          <w:snapToGrid w:val="0"/>
          <w:sz w:val="20"/>
          <w:szCs w:val="20"/>
          <w:lang w:eastAsia="fi-FI"/>
        </w:rPr>
        <w:t xml:space="preserve">In the 2004 publication, </w:t>
      </w:r>
      <w:r w:rsidRPr="00790972">
        <w:rPr>
          <w:rFonts w:ascii="Verdana" w:hAnsi="Verdana"/>
          <w:snapToGrid w:val="0"/>
          <w:sz w:val="20"/>
          <w:szCs w:val="20"/>
          <w:lang w:eastAsia="fi-FI"/>
        </w:rPr>
        <w:t>associations between o</w:t>
      </w:r>
      <w:r>
        <w:rPr>
          <w:rFonts w:ascii="Verdana" w:hAnsi="Verdana"/>
          <w:snapToGrid w:val="0"/>
          <w:sz w:val="20"/>
          <w:szCs w:val="20"/>
          <w:lang w:eastAsia="fi-FI"/>
        </w:rPr>
        <w:t xml:space="preserve">ccupational exposure to </w:t>
      </w:r>
      <w:r w:rsidR="000A25BF" w:rsidRPr="000A25BF">
        <w:rPr>
          <w:rFonts w:ascii="Verdana" w:hAnsi="Verdana"/>
          <w:snapToGrid w:val="0"/>
          <w:sz w:val="20"/>
          <w:szCs w:val="20"/>
          <w:lang w:eastAsia="fi-FI"/>
        </w:rPr>
        <w:t>carbon disulfide</w:t>
      </w:r>
      <w:r w:rsidR="00317A46">
        <w:rPr>
          <w:rFonts w:ascii="Verdana" w:hAnsi="Verdana"/>
          <w:snapToGrid w:val="0"/>
          <w:sz w:val="20"/>
          <w:szCs w:val="20"/>
          <w:lang w:eastAsia="fi-FI"/>
        </w:rPr>
        <w:t xml:space="preserve"> and potential effects on the cardiovascular system</w:t>
      </w:r>
      <w:r>
        <w:rPr>
          <w:rFonts w:ascii="Verdana" w:hAnsi="Verdana"/>
          <w:snapToGrid w:val="0"/>
          <w:sz w:val="20"/>
          <w:szCs w:val="20"/>
          <w:lang w:eastAsia="fi-FI"/>
        </w:rPr>
        <w:t xml:space="preserve"> was studied. </w:t>
      </w:r>
      <w:r w:rsidRPr="00790972">
        <w:rPr>
          <w:rFonts w:ascii="Verdana" w:hAnsi="Verdana"/>
          <w:snapToGrid w:val="0"/>
          <w:sz w:val="20"/>
          <w:szCs w:val="20"/>
          <w:lang w:eastAsia="fi-FI"/>
        </w:rPr>
        <w:t xml:space="preserve">The parameters studied were:  </w:t>
      </w:r>
    </w:p>
    <w:p w14:paraId="05012EB4" w14:textId="77777777" w:rsidR="00A8366A" w:rsidRDefault="00A8366A" w:rsidP="00790972">
      <w:pPr>
        <w:spacing w:after="0"/>
        <w:jc w:val="both"/>
        <w:rPr>
          <w:rFonts w:ascii="Verdana" w:hAnsi="Verdana"/>
          <w:snapToGrid w:val="0"/>
          <w:sz w:val="20"/>
          <w:szCs w:val="20"/>
          <w:lang w:eastAsia="fi-FI"/>
        </w:rPr>
      </w:pPr>
    </w:p>
    <w:p w14:paraId="0B7F2F8F" w14:textId="1EF4936D" w:rsidR="00790972" w:rsidRDefault="00317A46" w:rsidP="00790972">
      <w:pPr>
        <w:spacing w:after="0"/>
        <w:jc w:val="both"/>
        <w:rPr>
          <w:rFonts w:ascii="Verdana" w:hAnsi="Verdana"/>
          <w:snapToGrid w:val="0"/>
          <w:sz w:val="20"/>
          <w:szCs w:val="20"/>
          <w:lang w:eastAsia="fi-FI"/>
        </w:rPr>
      </w:pPr>
      <w:r>
        <w:rPr>
          <w:rFonts w:ascii="Verdana" w:hAnsi="Verdana"/>
          <w:snapToGrid w:val="0"/>
          <w:sz w:val="20"/>
          <w:szCs w:val="20"/>
          <w:lang w:eastAsia="fi-FI"/>
        </w:rPr>
        <w:t>Cardiovascular risk factors: biochemical blood markers as total cholesterol, HDL-cholesterol</w:t>
      </w:r>
      <w:r w:rsidR="00790972" w:rsidRPr="00790972">
        <w:rPr>
          <w:rFonts w:ascii="Verdana" w:hAnsi="Verdana"/>
          <w:snapToGrid w:val="0"/>
          <w:sz w:val="20"/>
          <w:szCs w:val="20"/>
          <w:lang w:eastAsia="fi-FI"/>
        </w:rPr>
        <w:t xml:space="preserve">, </w:t>
      </w:r>
      <w:r>
        <w:rPr>
          <w:rFonts w:ascii="Verdana" w:hAnsi="Verdana"/>
          <w:snapToGrid w:val="0"/>
          <w:sz w:val="20"/>
          <w:szCs w:val="20"/>
          <w:lang w:eastAsia="fi-FI"/>
        </w:rPr>
        <w:t>LDL-cholesterol, apolipoprotein A</w:t>
      </w:r>
      <w:r w:rsidR="00790972" w:rsidRPr="00790972">
        <w:rPr>
          <w:rFonts w:ascii="Verdana" w:hAnsi="Verdana"/>
          <w:snapToGrid w:val="0"/>
          <w:sz w:val="20"/>
          <w:szCs w:val="20"/>
          <w:lang w:eastAsia="fi-FI"/>
        </w:rPr>
        <w:t xml:space="preserve">I, apolipoprotein B, lipoprotein </w:t>
      </w:r>
      <w:r>
        <w:rPr>
          <w:rFonts w:ascii="Verdana" w:hAnsi="Verdana"/>
          <w:snapToGrid w:val="0"/>
          <w:sz w:val="20"/>
          <w:szCs w:val="20"/>
          <w:lang w:eastAsia="fi-FI"/>
        </w:rPr>
        <w:t>(</w:t>
      </w:r>
      <w:r w:rsidR="00790972" w:rsidRPr="00790972">
        <w:rPr>
          <w:rFonts w:ascii="Verdana" w:hAnsi="Verdana"/>
          <w:snapToGrid w:val="0"/>
          <w:sz w:val="20"/>
          <w:szCs w:val="20"/>
          <w:lang w:eastAsia="fi-FI"/>
        </w:rPr>
        <w:t>a</w:t>
      </w:r>
      <w:r>
        <w:rPr>
          <w:rFonts w:ascii="Verdana" w:hAnsi="Verdana"/>
          <w:snapToGrid w:val="0"/>
          <w:sz w:val="20"/>
          <w:szCs w:val="20"/>
          <w:lang w:eastAsia="fi-FI"/>
        </w:rPr>
        <w:t>)</w:t>
      </w:r>
      <w:r w:rsidR="00790972" w:rsidRPr="00790972">
        <w:rPr>
          <w:rFonts w:ascii="Verdana" w:hAnsi="Verdana"/>
          <w:snapToGrid w:val="0"/>
          <w:sz w:val="20"/>
          <w:szCs w:val="20"/>
          <w:lang w:eastAsia="fi-FI"/>
        </w:rPr>
        <w:t>, triglycerides, fibrinogen, plasminogen activator, D-dimer, plasminogen activator/inhibitor ratio-1, and thrombin and antithrombin complex III.</w:t>
      </w:r>
    </w:p>
    <w:p w14:paraId="5A5DCC3E" w14:textId="77777777" w:rsidR="00A8366A" w:rsidRPr="00790972" w:rsidRDefault="00A8366A" w:rsidP="00790972">
      <w:pPr>
        <w:spacing w:after="0"/>
        <w:jc w:val="both"/>
        <w:rPr>
          <w:rFonts w:ascii="Verdana" w:hAnsi="Verdana"/>
          <w:snapToGrid w:val="0"/>
          <w:sz w:val="20"/>
          <w:szCs w:val="20"/>
          <w:lang w:eastAsia="fi-FI"/>
        </w:rPr>
      </w:pPr>
    </w:p>
    <w:p w14:paraId="475D53E0" w14:textId="27A786B5" w:rsidR="00A8366A" w:rsidRPr="00790972" w:rsidRDefault="00317A46" w:rsidP="00790972">
      <w:pPr>
        <w:spacing w:after="0"/>
        <w:jc w:val="both"/>
        <w:rPr>
          <w:rFonts w:ascii="Verdana" w:hAnsi="Verdana"/>
          <w:snapToGrid w:val="0"/>
          <w:sz w:val="20"/>
          <w:szCs w:val="20"/>
          <w:lang w:eastAsia="fi-FI"/>
        </w:rPr>
      </w:pPr>
      <w:r>
        <w:rPr>
          <w:rFonts w:ascii="Verdana" w:hAnsi="Verdana"/>
          <w:snapToGrid w:val="0"/>
          <w:sz w:val="20"/>
          <w:szCs w:val="20"/>
          <w:lang w:eastAsia="fi-FI"/>
        </w:rPr>
        <w:t>Indicators of vascular effect: r</w:t>
      </w:r>
      <w:r w:rsidR="00790972" w:rsidRPr="00790972">
        <w:rPr>
          <w:rFonts w:ascii="Verdana" w:hAnsi="Verdana"/>
          <w:snapToGrid w:val="0"/>
          <w:sz w:val="20"/>
          <w:szCs w:val="20"/>
          <w:lang w:eastAsia="fi-FI"/>
        </w:rPr>
        <w:t xml:space="preserve">esting blood </w:t>
      </w:r>
      <w:r>
        <w:rPr>
          <w:rFonts w:ascii="Verdana" w:hAnsi="Verdana"/>
          <w:snapToGrid w:val="0"/>
          <w:sz w:val="20"/>
          <w:szCs w:val="20"/>
          <w:lang w:eastAsia="fi-FI"/>
        </w:rPr>
        <w:t>pressure, a</w:t>
      </w:r>
      <w:r w:rsidR="00790972" w:rsidRPr="00790972">
        <w:rPr>
          <w:rFonts w:ascii="Verdana" w:hAnsi="Verdana"/>
          <w:snapToGrid w:val="0"/>
          <w:sz w:val="20"/>
          <w:szCs w:val="20"/>
          <w:lang w:eastAsia="fi-FI"/>
        </w:rPr>
        <w:t>ortic stiffness, blo</w:t>
      </w:r>
      <w:r>
        <w:rPr>
          <w:rFonts w:ascii="Verdana" w:hAnsi="Verdana"/>
          <w:snapToGrid w:val="0"/>
          <w:sz w:val="20"/>
          <w:szCs w:val="20"/>
          <w:lang w:eastAsia="fi-FI"/>
        </w:rPr>
        <w:t xml:space="preserve">od flow, maximum blood velocity. </w:t>
      </w:r>
      <w:r w:rsidR="00790972" w:rsidRPr="00790972">
        <w:rPr>
          <w:rFonts w:ascii="Verdana" w:hAnsi="Verdana"/>
          <w:snapToGrid w:val="0"/>
          <w:sz w:val="20"/>
          <w:szCs w:val="20"/>
          <w:lang w:eastAsia="fi-FI"/>
        </w:rPr>
        <w:t xml:space="preserve">Fundus </w:t>
      </w:r>
      <w:r>
        <w:rPr>
          <w:rFonts w:ascii="Verdana" w:hAnsi="Verdana"/>
          <w:snapToGrid w:val="0"/>
          <w:sz w:val="20"/>
          <w:szCs w:val="20"/>
          <w:lang w:eastAsia="fi-FI"/>
        </w:rPr>
        <w:t xml:space="preserve">was performed </w:t>
      </w:r>
      <w:r w:rsidR="00790972" w:rsidRPr="00790972">
        <w:rPr>
          <w:rFonts w:ascii="Verdana" w:hAnsi="Verdana"/>
          <w:snapToGrid w:val="0"/>
          <w:sz w:val="20"/>
          <w:szCs w:val="20"/>
          <w:lang w:eastAsia="fi-FI"/>
        </w:rPr>
        <w:t xml:space="preserve">to evaluate microaneurysms or retinal hemorrhage. </w:t>
      </w:r>
    </w:p>
    <w:p w14:paraId="564F7419" w14:textId="1595CBD1" w:rsidR="00790972" w:rsidRPr="00790972" w:rsidRDefault="00317A46" w:rsidP="00790972">
      <w:pPr>
        <w:spacing w:after="0"/>
        <w:jc w:val="both"/>
        <w:rPr>
          <w:rFonts w:ascii="Verdana" w:hAnsi="Verdana"/>
          <w:snapToGrid w:val="0"/>
          <w:sz w:val="20"/>
          <w:szCs w:val="20"/>
          <w:lang w:eastAsia="fi-FI"/>
        </w:rPr>
      </w:pPr>
      <w:r>
        <w:rPr>
          <w:rFonts w:ascii="Verdana" w:hAnsi="Verdana"/>
          <w:snapToGrid w:val="0"/>
          <w:sz w:val="20"/>
          <w:szCs w:val="20"/>
          <w:lang w:eastAsia="fi-FI"/>
        </w:rPr>
        <w:lastRenderedPageBreak/>
        <w:t xml:space="preserve">Cardiac outcome indicator: </w:t>
      </w:r>
      <w:r w:rsidR="00790972" w:rsidRPr="00790972">
        <w:rPr>
          <w:rFonts w:ascii="Verdana" w:hAnsi="Verdana"/>
          <w:snapToGrid w:val="0"/>
          <w:sz w:val="20"/>
          <w:szCs w:val="20"/>
          <w:lang w:eastAsia="fi-FI"/>
        </w:rPr>
        <w:t xml:space="preserve">From 12-derivation ECGs, an automated analysis of ECG abnormalities (from subclinical = minor to major abnormalities) by Minnesota model was performed (ischaemic signs, conduction disturbance, and arrhythmia). If medical treatment was initiated during follow-up, the patient was considered positive (no details provided on the type of treatment or therapeutic indication considered). A fine analysis of the ECG was then performed to specifically determine symptomatic signs of ischemia (ST shift&gt;2mm) for comparison. </w:t>
      </w:r>
    </w:p>
    <w:p w14:paraId="179879BC" w14:textId="77777777" w:rsidR="00A8366A" w:rsidRDefault="00A8366A" w:rsidP="00790972">
      <w:pPr>
        <w:spacing w:after="0"/>
        <w:jc w:val="both"/>
        <w:rPr>
          <w:rFonts w:ascii="Verdana" w:hAnsi="Verdana"/>
          <w:snapToGrid w:val="0"/>
          <w:sz w:val="20"/>
          <w:szCs w:val="20"/>
          <w:lang w:eastAsia="fi-FI"/>
        </w:rPr>
      </w:pPr>
    </w:p>
    <w:p w14:paraId="46E41DF4" w14:textId="77777777" w:rsidR="00A8366A" w:rsidRPr="00790972" w:rsidRDefault="00A8366A" w:rsidP="00A8366A">
      <w:pPr>
        <w:spacing w:after="0"/>
        <w:jc w:val="both"/>
        <w:rPr>
          <w:rFonts w:ascii="Verdana" w:hAnsi="Verdana"/>
          <w:snapToGrid w:val="0"/>
          <w:sz w:val="20"/>
          <w:szCs w:val="20"/>
          <w:lang w:eastAsia="fi-FI"/>
        </w:rPr>
      </w:pPr>
      <w:r w:rsidRPr="00790972">
        <w:rPr>
          <w:rFonts w:ascii="Verdana" w:hAnsi="Verdana"/>
          <w:snapToGrid w:val="0"/>
          <w:sz w:val="20"/>
          <w:szCs w:val="20"/>
          <w:lang w:eastAsia="fi-FI"/>
        </w:rPr>
        <w:t>A questionnaire was used to collect various symptoms.</w:t>
      </w:r>
    </w:p>
    <w:p w14:paraId="2BAC5DF3" w14:textId="244755EE" w:rsidR="00790972" w:rsidRDefault="00A8366A" w:rsidP="00A8366A">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Univariate and multivariate analyses were performed. </w:t>
      </w:r>
      <w:r w:rsidR="00790972" w:rsidRPr="00790972">
        <w:rPr>
          <w:rFonts w:ascii="Verdana" w:hAnsi="Verdana"/>
          <w:snapToGrid w:val="0"/>
          <w:sz w:val="20"/>
          <w:szCs w:val="20"/>
          <w:lang w:eastAsia="fi-FI"/>
        </w:rPr>
        <w:t>Confounding factors considered were age, BMI (kg/m2 ), education level, smoking status, alcohol consumption, shift work (yes or no), and coronary behavior (yes or no) at baseline. Systolic blood pressure and HDL-</w:t>
      </w:r>
      <w:r w:rsidR="00317A46">
        <w:rPr>
          <w:rFonts w:ascii="Verdana" w:hAnsi="Verdana"/>
          <w:snapToGrid w:val="0"/>
          <w:sz w:val="20"/>
          <w:szCs w:val="20"/>
          <w:lang w:eastAsia="fi-FI"/>
        </w:rPr>
        <w:t>cholesterol</w:t>
      </w:r>
      <w:r w:rsidR="00790972" w:rsidRPr="00790972">
        <w:rPr>
          <w:rFonts w:ascii="Verdana" w:hAnsi="Verdana"/>
          <w:snapToGrid w:val="0"/>
          <w:sz w:val="20"/>
          <w:szCs w:val="20"/>
          <w:lang w:eastAsia="fi-FI"/>
        </w:rPr>
        <w:t xml:space="preserve"> at baseline were considered for ophthalmography, as well as arterial thickness and ECG.</w:t>
      </w:r>
    </w:p>
    <w:p w14:paraId="792EA007" w14:textId="77777777" w:rsidR="00790972" w:rsidRDefault="00790972" w:rsidP="00790972">
      <w:pPr>
        <w:spacing w:after="0"/>
        <w:jc w:val="both"/>
        <w:rPr>
          <w:rFonts w:ascii="Verdana" w:hAnsi="Verdana"/>
          <w:snapToGrid w:val="0"/>
          <w:sz w:val="20"/>
          <w:szCs w:val="20"/>
          <w:lang w:eastAsia="fi-FI"/>
        </w:rPr>
      </w:pPr>
    </w:p>
    <w:p w14:paraId="7767CD61" w14:textId="2FF0B309" w:rsidR="00A8366A" w:rsidRPr="002D0738" w:rsidRDefault="00A8366A" w:rsidP="00A8366A">
      <w:pPr>
        <w:spacing w:after="0"/>
        <w:jc w:val="both"/>
        <w:rPr>
          <w:rFonts w:ascii="Verdana" w:hAnsi="Verdana"/>
          <w:snapToGrid w:val="0"/>
          <w:sz w:val="20"/>
          <w:szCs w:val="20"/>
          <w:u w:val="single"/>
          <w:lang w:val="en-US" w:eastAsia="fi-FI"/>
        </w:rPr>
      </w:pPr>
      <w:r w:rsidRPr="002D0738">
        <w:rPr>
          <w:rFonts w:ascii="Verdana" w:hAnsi="Verdana"/>
          <w:snapToGrid w:val="0"/>
          <w:sz w:val="20"/>
          <w:szCs w:val="20"/>
          <w:u w:val="single"/>
          <w:lang w:val="en-US" w:eastAsia="fi-FI"/>
        </w:rPr>
        <w:t>Results</w:t>
      </w:r>
    </w:p>
    <w:p w14:paraId="40112B59" w14:textId="77777777" w:rsidR="00A8366A" w:rsidRPr="002D0738" w:rsidRDefault="00A8366A" w:rsidP="00A8366A">
      <w:pPr>
        <w:spacing w:after="0"/>
        <w:jc w:val="both"/>
        <w:rPr>
          <w:rFonts w:ascii="Verdana" w:hAnsi="Verdana"/>
          <w:snapToGrid w:val="0"/>
          <w:sz w:val="20"/>
          <w:szCs w:val="20"/>
          <w:lang w:val="en-US" w:eastAsia="fi-FI"/>
        </w:rPr>
      </w:pPr>
    </w:p>
    <w:p w14:paraId="43878447" w14:textId="3DE62BDB" w:rsidR="00A8366A" w:rsidRDefault="00A8366A" w:rsidP="00A8366A">
      <w:pPr>
        <w:spacing w:after="0"/>
        <w:jc w:val="both"/>
        <w:rPr>
          <w:rFonts w:ascii="Verdana" w:hAnsi="Verdana"/>
          <w:i/>
          <w:snapToGrid w:val="0"/>
          <w:sz w:val="20"/>
          <w:szCs w:val="20"/>
          <w:lang w:val="en-US" w:eastAsia="fi-FI"/>
        </w:rPr>
      </w:pPr>
      <w:r>
        <w:rPr>
          <w:rFonts w:ascii="Verdana" w:hAnsi="Verdana"/>
          <w:i/>
          <w:snapToGrid w:val="0"/>
          <w:sz w:val="20"/>
          <w:szCs w:val="20"/>
          <w:lang w:val="en-US" w:eastAsia="fi-FI"/>
        </w:rPr>
        <w:t>Exposure levels</w:t>
      </w:r>
    </w:p>
    <w:p w14:paraId="0CAD0709" w14:textId="77777777" w:rsidR="00A8366A" w:rsidRPr="00A8366A" w:rsidRDefault="00A8366A" w:rsidP="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The duration of exposure was 19.3 (8.1) years for the exposed and 15.6 years for the ex-exposed.</w:t>
      </w:r>
    </w:p>
    <w:p w14:paraId="64F39772" w14:textId="77777777" w:rsidR="00A8366A" w:rsidRPr="00A8366A" w:rsidRDefault="00A8366A" w:rsidP="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xml:space="preserve">- The average TTCA level (geometric mean) was 1.61 mg/g creatinine (1.94 for the spinning station and 0.98 for the other stations). </w:t>
      </w:r>
    </w:p>
    <w:p w14:paraId="19678E87" w14:textId="02EF8E2D" w:rsidR="00A8366A" w:rsidRDefault="00A8366A" w:rsidP="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The CS2 measurement: 5.02 ppm (6.11 for the spinning station and 3.08 for the other stations).</w:t>
      </w:r>
    </w:p>
    <w:p w14:paraId="3B2E07C0" w14:textId="77777777" w:rsidR="00A8366A" w:rsidRDefault="00A8366A" w:rsidP="00A8366A">
      <w:pPr>
        <w:spacing w:after="0"/>
        <w:jc w:val="both"/>
        <w:rPr>
          <w:rFonts w:ascii="Verdana" w:hAnsi="Verdana"/>
          <w:i/>
          <w:snapToGrid w:val="0"/>
          <w:sz w:val="20"/>
          <w:szCs w:val="20"/>
          <w:lang w:val="en-US" w:eastAsia="fi-FI"/>
        </w:rPr>
      </w:pPr>
    </w:p>
    <w:p w14:paraId="758397C3" w14:textId="358BCC95" w:rsidR="00A8366A" w:rsidRPr="00A8366A" w:rsidRDefault="00A8366A" w:rsidP="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xml:space="preserve">Regarding the effects on the endocrine system, very </w:t>
      </w:r>
      <w:r w:rsidR="00317A46">
        <w:rPr>
          <w:rFonts w:ascii="Verdana" w:hAnsi="Verdana"/>
          <w:snapToGrid w:val="0"/>
          <w:sz w:val="20"/>
          <w:szCs w:val="20"/>
          <w:lang w:val="en-US" w:eastAsia="fi-FI"/>
        </w:rPr>
        <w:t>few associations were observed, t</w:t>
      </w:r>
      <w:r w:rsidRPr="00A8366A">
        <w:rPr>
          <w:rFonts w:ascii="Verdana" w:hAnsi="Verdana"/>
          <w:snapToGrid w:val="0"/>
          <w:sz w:val="20"/>
          <w:szCs w:val="20"/>
          <w:lang w:val="en-US" w:eastAsia="fi-FI"/>
        </w:rPr>
        <w:t>he only significant differences were in HbA</w:t>
      </w:r>
      <w:r w:rsidRPr="00317A46">
        <w:rPr>
          <w:rFonts w:ascii="Verdana" w:hAnsi="Verdana"/>
          <w:snapToGrid w:val="0"/>
          <w:sz w:val="20"/>
          <w:szCs w:val="20"/>
          <w:vertAlign w:val="subscript"/>
          <w:lang w:val="en-US" w:eastAsia="fi-FI"/>
        </w:rPr>
        <w:t>1C</w:t>
      </w:r>
      <w:r w:rsidR="00317A46">
        <w:rPr>
          <w:rFonts w:ascii="Verdana" w:hAnsi="Verdana"/>
          <w:snapToGrid w:val="0"/>
          <w:sz w:val="20"/>
          <w:szCs w:val="20"/>
          <w:lang w:val="en-US" w:eastAsia="fi-FI"/>
        </w:rPr>
        <w:t xml:space="preserve"> levels </w:t>
      </w:r>
      <w:r w:rsidRPr="00A8366A">
        <w:rPr>
          <w:rFonts w:ascii="Verdana" w:hAnsi="Verdana"/>
          <w:snapToGrid w:val="0"/>
          <w:sz w:val="20"/>
          <w:szCs w:val="20"/>
          <w:lang w:val="en-US" w:eastAsia="fi-FI"/>
        </w:rPr>
        <w:t xml:space="preserve">at baseline but no difference at follow-up and </w:t>
      </w:r>
      <w:r w:rsidR="00317A46">
        <w:rPr>
          <w:rFonts w:ascii="Verdana" w:hAnsi="Verdana"/>
          <w:snapToGrid w:val="0"/>
          <w:sz w:val="20"/>
          <w:szCs w:val="20"/>
          <w:lang w:val="en-US" w:eastAsia="fi-FI"/>
        </w:rPr>
        <w:t>a</w:t>
      </w:r>
      <w:r w:rsidRPr="00A8366A">
        <w:rPr>
          <w:rFonts w:ascii="Verdana" w:hAnsi="Verdana"/>
          <w:snapToGrid w:val="0"/>
          <w:sz w:val="20"/>
          <w:szCs w:val="20"/>
          <w:lang w:val="en-US" w:eastAsia="fi-FI"/>
        </w:rPr>
        <w:t xml:space="preserve"> lower T4 levels in the exposed group compared to the unexposed group (8.34 µg/dl vs 8.61 µg/dl) at follow-up only. </w:t>
      </w:r>
      <w:r w:rsidR="00317A46">
        <w:rPr>
          <w:rFonts w:ascii="Verdana" w:hAnsi="Verdana"/>
          <w:snapToGrid w:val="0"/>
          <w:sz w:val="20"/>
          <w:szCs w:val="20"/>
          <w:lang w:val="en-US" w:eastAsia="fi-FI"/>
        </w:rPr>
        <w:t xml:space="preserve">However, </w:t>
      </w:r>
      <w:r w:rsidRPr="00A8366A">
        <w:rPr>
          <w:rFonts w:ascii="Verdana" w:hAnsi="Verdana"/>
          <w:snapToGrid w:val="0"/>
          <w:sz w:val="20"/>
          <w:szCs w:val="20"/>
          <w:lang w:val="en-US" w:eastAsia="fi-FI"/>
        </w:rPr>
        <w:t>there was no dose-response relationship by use or by TTCA level.</w:t>
      </w:r>
    </w:p>
    <w:p w14:paraId="12F89ACA" w14:textId="77777777" w:rsidR="00A8366A" w:rsidRPr="00552AC5" w:rsidRDefault="00A8366A">
      <w:pPr>
        <w:spacing w:after="0"/>
        <w:jc w:val="both"/>
        <w:rPr>
          <w:rFonts w:ascii="Verdana" w:hAnsi="Verdana"/>
          <w:i/>
          <w:snapToGrid w:val="0"/>
          <w:sz w:val="20"/>
          <w:szCs w:val="20"/>
          <w:lang w:val="en-US" w:eastAsia="fi-FI"/>
        </w:rPr>
      </w:pPr>
    </w:p>
    <w:p w14:paraId="1C88C978" w14:textId="5D17B0CC" w:rsidR="00790972" w:rsidRPr="00A8366A" w:rsidRDefault="00790972">
      <w:pPr>
        <w:spacing w:after="0"/>
        <w:jc w:val="both"/>
        <w:rPr>
          <w:rFonts w:ascii="Verdana" w:hAnsi="Verdana"/>
          <w:snapToGrid w:val="0"/>
          <w:sz w:val="20"/>
          <w:szCs w:val="20"/>
          <w:lang w:val="en-US" w:eastAsia="fi-FI"/>
        </w:rPr>
      </w:pPr>
    </w:p>
    <w:p w14:paraId="69784489" w14:textId="76025014" w:rsidR="00A8366A" w:rsidRPr="00317A46" w:rsidRDefault="00317A46">
      <w:pPr>
        <w:spacing w:after="0"/>
        <w:jc w:val="both"/>
        <w:rPr>
          <w:rFonts w:ascii="Verdana" w:hAnsi="Verdana"/>
          <w:snapToGrid w:val="0"/>
          <w:sz w:val="20"/>
          <w:szCs w:val="20"/>
          <w:lang w:val="en-US" w:eastAsia="fi-FI"/>
        </w:rPr>
      </w:pPr>
      <w:r w:rsidRPr="00317A46">
        <w:rPr>
          <w:rFonts w:ascii="Verdana" w:hAnsi="Verdana"/>
          <w:snapToGrid w:val="0"/>
          <w:sz w:val="20"/>
          <w:szCs w:val="20"/>
          <w:lang w:val="en-US" w:eastAsia="fi-FI"/>
        </w:rPr>
        <w:t>Regarding the effects on the cardiovascular system (2004 publication):</w:t>
      </w:r>
    </w:p>
    <w:p w14:paraId="45EA2964" w14:textId="013EE841" w:rsidR="00A8366A" w:rsidRPr="00A8366A" w:rsidRDefault="00A8366A">
      <w:pPr>
        <w:spacing w:after="0"/>
        <w:jc w:val="both"/>
        <w:rPr>
          <w:rFonts w:ascii="Verdana" w:hAnsi="Verdana"/>
          <w:snapToGrid w:val="0"/>
          <w:sz w:val="20"/>
          <w:szCs w:val="20"/>
          <w:lang w:val="en-US" w:eastAsia="fi-FI"/>
        </w:rPr>
      </w:pPr>
      <w:r>
        <w:rPr>
          <w:rFonts w:ascii="Verdana" w:hAnsi="Verdana"/>
          <w:snapToGrid w:val="0"/>
          <w:sz w:val="20"/>
          <w:szCs w:val="20"/>
          <w:lang w:val="en-US" w:eastAsia="fi-FI"/>
        </w:rPr>
        <w:t xml:space="preserve">- </w:t>
      </w:r>
      <w:r w:rsidRPr="00A8366A">
        <w:rPr>
          <w:rFonts w:ascii="Verdana" w:hAnsi="Verdana"/>
          <w:snapToGrid w:val="0"/>
          <w:sz w:val="20"/>
          <w:szCs w:val="20"/>
          <w:lang w:val="en-US" w:eastAsia="fi-FI"/>
        </w:rPr>
        <w:t>No adverse effect on lipid biochemistry, coagulation.</w:t>
      </w:r>
    </w:p>
    <w:p w14:paraId="4342BCAA" w14:textId="3BEC3BEE" w:rsidR="00A8366A" w:rsidRPr="00A8366A" w:rsidRDefault="00A8366A">
      <w:pPr>
        <w:spacing w:after="0"/>
        <w:jc w:val="both"/>
        <w:rPr>
          <w:rFonts w:ascii="Verdana" w:hAnsi="Verdana"/>
          <w:snapToGrid w:val="0"/>
          <w:sz w:val="20"/>
          <w:szCs w:val="20"/>
          <w:lang w:val="en-US" w:eastAsia="fi-FI"/>
        </w:rPr>
      </w:pPr>
      <w:r>
        <w:rPr>
          <w:rFonts w:ascii="Verdana" w:hAnsi="Verdana"/>
          <w:snapToGrid w:val="0"/>
          <w:sz w:val="20"/>
          <w:szCs w:val="20"/>
          <w:lang w:val="en-US" w:eastAsia="fi-FI"/>
        </w:rPr>
        <w:t xml:space="preserve">- </w:t>
      </w:r>
      <w:r w:rsidRPr="00A8366A">
        <w:rPr>
          <w:rFonts w:ascii="Verdana" w:hAnsi="Verdana"/>
          <w:snapToGrid w:val="0"/>
          <w:sz w:val="20"/>
          <w:szCs w:val="20"/>
          <w:lang w:val="en-US" w:eastAsia="fi-FI"/>
        </w:rPr>
        <w:t>No effect (or marginal effect) on systolic and diastolic blood pressure.</w:t>
      </w:r>
    </w:p>
    <w:p w14:paraId="724CAFB4" w14:textId="49028C29" w:rsidR="00A8366A" w:rsidRPr="00A8366A" w:rsidRDefault="00A8366A">
      <w:pPr>
        <w:spacing w:after="0"/>
        <w:jc w:val="both"/>
        <w:rPr>
          <w:rFonts w:ascii="Verdana" w:hAnsi="Verdana"/>
          <w:snapToGrid w:val="0"/>
          <w:sz w:val="20"/>
          <w:szCs w:val="20"/>
          <w:lang w:val="en-US" w:eastAsia="fi-FI"/>
        </w:rPr>
      </w:pPr>
      <w:r>
        <w:rPr>
          <w:rFonts w:ascii="Verdana" w:hAnsi="Verdana"/>
          <w:snapToGrid w:val="0"/>
          <w:sz w:val="20"/>
          <w:szCs w:val="20"/>
          <w:lang w:val="en-US" w:eastAsia="fi-FI"/>
        </w:rPr>
        <w:t xml:space="preserve">- </w:t>
      </w:r>
      <w:r w:rsidRPr="00A8366A">
        <w:rPr>
          <w:rFonts w:ascii="Verdana" w:hAnsi="Verdana"/>
          <w:snapToGrid w:val="0"/>
          <w:sz w:val="20"/>
          <w:szCs w:val="20"/>
          <w:lang w:val="en-US" w:eastAsia="fi-FI"/>
        </w:rPr>
        <w:t>No effect on arterial stiffness.</w:t>
      </w:r>
    </w:p>
    <w:p w14:paraId="02FD8674" w14:textId="416CF10E" w:rsidR="00A8366A" w:rsidRPr="00A8366A" w:rsidRDefault="00A8366A">
      <w:pPr>
        <w:spacing w:after="0"/>
        <w:jc w:val="both"/>
        <w:rPr>
          <w:rFonts w:ascii="Verdana" w:hAnsi="Verdana"/>
          <w:snapToGrid w:val="0"/>
          <w:sz w:val="20"/>
          <w:szCs w:val="20"/>
          <w:lang w:val="en-US" w:eastAsia="fi-FI"/>
        </w:rPr>
      </w:pPr>
      <w:r>
        <w:rPr>
          <w:rFonts w:ascii="Verdana" w:hAnsi="Verdana"/>
          <w:snapToGrid w:val="0"/>
          <w:sz w:val="20"/>
          <w:szCs w:val="20"/>
          <w:lang w:val="en-US" w:eastAsia="fi-FI"/>
        </w:rPr>
        <w:t xml:space="preserve">- </w:t>
      </w:r>
      <w:r w:rsidRPr="00A8366A">
        <w:rPr>
          <w:rFonts w:ascii="Verdana" w:hAnsi="Verdana"/>
          <w:snapToGrid w:val="0"/>
          <w:sz w:val="20"/>
          <w:szCs w:val="20"/>
          <w:lang w:val="en-US" w:eastAsia="fi-FI"/>
        </w:rPr>
        <w:t>No significant effect on retinal microaneurysms.</w:t>
      </w:r>
    </w:p>
    <w:p w14:paraId="35BF11B6" w14:textId="77777777" w:rsidR="00A8366A" w:rsidRDefault="00A8366A">
      <w:pPr>
        <w:spacing w:after="0"/>
        <w:jc w:val="both"/>
        <w:rPr>
          <w:rFonts w:ascii="Verdana" w:hAnsi="Verdana"/>
          <w:snapToGrid w:val="0"/>
          <w:sz w:val="20"/>
          <w:szCs w:val="20"/>
          <w:lang w:val="en-US" w:eastAsia="fi-FI"/>
        </w:rPr>
      </w:pPr>
    </w:p>
    <w:p w14:paraId="531BBF92" w14:textId="74EFFCB8" w:rsidR="00A8366A" w:rsidRPr="00A8366A" w:rsidRDefault="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xml:space="preserve">ECG analysis according to University of Minnesota coding: </w:t>
      </w:r>
    </w:p>
    <w:p w14:paraId="6A911D0E" w14:textId="77777777" w:rsidR="00A8366A" w:rsidRPr="00A8366A" w:rsidRDefault="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Signs of ischemia: Code 1 (altered QRS pattern); Code 4.1 to 4.3 (ST-segment depression or alteration), Code 5.1 to 5.3 (negative, flat, or dimorphic T wave)</w:t>
      </w:r>
    </w:p>
    <w:p w14:paraId="5C148AD6" w14:textId="77777777" w:rsidR="00A8366A" w:rsidRPr="00A8366A" w:rsidRDefault="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Conduction block: Code 6 (atrioventricular) and 7 (ventricular)</w:t>
      </w:r>
    </w:p>
    <w:p w14:paraId="1B1F0B09" w14:textId="77777777" w:rsidR="00A8366A" w:rsidRPr="00A8366A" w:rsidRDefault="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 Arrhythmias; Code 8.1 to 8.9)</w:t>
      </w:r>
    </w:p>
    <w:p w14:paraId="75EF552D" w14:textId="47DAFB9C" w:rsidR="00A8366A" w:rsidRPr="002D0738" w:rsidRDefault="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The baseline, follow-up, and 6-year incidence of ischemic signs based on Minnesota 82 ECG coding were statistically higher in</w:t>
      </w:r>
      <w:r w:rsidR="000A25BF" w:rsidRPr="000A25BF">
        <w:rPr>
          <w:rFonts w:ascii="Verdana" w:hAnsi="Verdana"/>
          <w:snapToGrid w:val="0"/>
          <w:sz w:val="20"/>
          <w:szCs w:val="20"/>
          <w:lang w:eastAsia="fi-FI"/>
        </w:rPr>
        <w:t xml:space="preserve"> carbon disulfide</w:t>
      </w:r>
      <w:r w:rsidR="000A25BF" w:rsidRPr="00790972">
        <w:rPr>
          <w:rFonts w:ascii="Verdana" w:hAnsi="Verdana"/>
          <w:snapToGrid w:val="0"/>
          <w:sz w:val="20"/>
          <w:szCs w:val="20"/>
          <w:lang w:eastAsia="fi-FI"/>
        </w:rPr>
        <w:t xml:space="preserve"> </w:t>
      </w:r>
      <w:r w:rsidRPr="00A8366A">
        <w:rPr>
          <w:rFonts w:ascii="Verdana" w:hAnsi="Verdana"/>
          <w:snapToGrid w:val="0"/>
          <w:sz w:val="20"/>
          <w:szCs w:val="20"/>
          <w:lang w:val="en-US" w:eastAsia="fi-FI"/>
        </w:rPr>
        <w:t xml:space="preserve">-exposed workers vs. the other 2 groups. After stratification by age, these results tend to show a correlation between the 6-year </w:t>
      </w:r>
      <w:r w:rsidR="000A25BF" w:rsidRPr="000A25BF">
        <w:rPr>
          <w:rFonts w:ascii="Verdana" w:hAnsi="Verdana"/>
          <w:snapToGrid w:val="0"/>
          <w:sz w:val="20"/>
          <w:szCs w:val="20"/>
          <w:lang w:eastAsia="fi-FI"/>
        </w:rPr>
        <w:t>carbon disulfide</w:t>
      </w:r>
      <w:r w:rsidRPr="00A8366A">
        <w:rPr>
          <w:rFonts w:ascii="Verdana" w:hAnsi="Verdana"/>
          <w:snapToGrid w:val="0"/>
          <w:sz w:val="20"/>
          <w:szCs w:val="20"/>
          <w:lang w:val="en-US" w:eastAsia="fi-FI"/>
        </w:rPr>
        <w:t xml:space="preserve"> and TTCA levels and these subclinical findings. </w:t>
      </w:r>
      <w:r w:rsidRPr="002D0738">
        <w:rPr>
          <w:rFonts w:ascii="Verdana" w:hAnsi="Verdana"/>
          <w:snapToGrid w:val="0"/>
          <w:sz w:val="20"/>
          <w:szCs w:val="20"/>
          <w:lang w:val="en-US" w:eastAsia="fi-FI"/>
        </w:rPr>
        <w:t>(5 ppm (</w:t>
      </w:r>
      <w:r w:rsidR="000A25BF" w:rsidRPr="000A25BF">
        <w:rPr>
          <w:rFonts w:ascii="Verdana" w:hAnsi="Verdana"/>
          <w:snapToGrid w:val="0"/>
          <w:sz w:val="20"/>
          <w:szCs w:val="20"/>
          <w:lang w:eastAsia="fi-FI"/>
        </w:rPr>
        <w:t>carbon disulfide</w:t>
      </w:r>
      <w:r w:rsidRPr="002D0738">
        <w:rPr>
          <w:rFonts w:ascii="Verdana" w:hAnsi="Verdana"/>
          <w:snapToGrid w:val="0"/>
          <w:sz w:val="20"/>
          <w:szCs w:val="20"/>
          <w:lang w:val="en-US" w:eastAsia="fi-FI"/>
        </w:rPr>
        <w:t xml:space="preserve">) and 1.6 mg/g creatinine (TTCA)). </w:t>
      </w:r>
    </w:p>
    <w:p w14:paraId="70E66D08" w14:textId="0E68F9DB" w:rsidR="00A8366A" w:rsidRDefault="00A8366A">
      <w:pPr>
        <w:spacing w:after="0"/>
        <w:jc w:val="both"/>
        <w:rPr>
          <w:rFonts w:ascii="Verdana" w:hAnsi="Verdana"/>
          <w:snapToGrid w:val="0"/>
          <w:sz w:val="20"/>
          <w:szCs w:val="20"/>
          <w:lang w:val="en-US" w:eastAsia="fi-FI"/>
        </w:rPr>
      </w:pPr>
      <w:r w:rsidRPr="00A8366A">
        <w:rPr>
          <w:rFonts w:ascii="Verdana" w:hAnsi="Verdana"/>
          <w:snapToGrid w:val="0"/>
          <w:sz w:val="20"/>
          <w:szCs w:val="20"/>
          <w:lang w:val="en-US" w:eastAsia="fi-FI"/>
        </w:rPr>
        <w:t>This observation is not confirmed by fine systematic analysis of ECGs (ST depression &gt;2 mm or patients receiving treatment).</w:t>
      </w:r>
    </w:p>
    <w:p w14:paraId="6C45F157" w14:textId="77777777" w:rsidR="00A8366A" w:rsidRPr="00A8366A" w:rsidRDefault="00A8366A" w:rsidP="00A8366A">
      <w:pPr>
        <w:spacing w:after="0"/>
        <w:jc w:val="both"/>
        <w:rPr>
          <w:rFonts w:ascii="Verdana" w:hAnsi="Verdana"/>
          <w:snapToGrid w:val="0"/>
          <w:sz w:val="20"/>
          <w:szCs w:val="20"/>
          <w:lang w:val="en-US" w:eastAsia="fi-FI"/>
        </w:rPr>
      </w:pPr>
    </w:p>
    <w:p w14:paraId="408B9E35" w14:textId="384BDF1D" w:rsidR="00790972" w:rsidRDefault="00790972" w:rsidP="00790972">
      <w:pPr>
        <w:pStyle w:val="Paragraphedeliste"/>
        <w:numPr>
          <w:ilvl w:val="0"/>
          <w:numId w:val="28"/>
        </w:numPr>
        <w:jc w:val="both"/>
        <w:rPr>
          <w:rFonts w:ascii="Verdana" w:hAnsi="Verdana"/>
          <w:b/>
          <w:snapToGrid w:val="0"/>
          <w:sz w:val="20"/>
          <w:szCs w:val="20"/>
          <w:lang w:eastAsia="fi-FI"/>
        </w:rPr>
      </w:pPr>
      <w:r>
        <w:rPr>
          <w:rFonts w:ascii="Verdana" w:hAnsi="Verdana"/>
          <w:b/>
          <w:snapToGrid w:val="0"/>
          <w:sz w:val="20"/>
          <w:szCs w:val="20"/>
          <w:lang w:eastAsia="fi-FI"/>
        </w:rPr>
        <w:t xml:space="preserve">Schramm </w:t>
      </w:r>
      <w:r w:rsidRPr="002D0738">
        <w:rPr>
          <w:rFonts w:ascii="Verdana" w:hAnsi="Verdana"/>
          <w:b/>
          <w:i/>
          <w:snapToGrid w:val="0"/>
          <w:sz w:val="20"/>
          <w:szCs w:val="20"/>
          <w:lang w:eastAsia="fi-FI"/>
        </w:rPr>
        <w:t>et al.,</w:t>
      </w:r>
      <w:r>
        <w:rPr>
          <w:rFonts w:ascii="Verdana" w:hAnsi="Verdana"/>
          <w:b/>
          <w:snapToGrid w:val="0"/>
          <w:sz w:val="20"/>
          <w:szCs w:val="20"/>
          <w:lang w:eastAsia="fi-FI"/>
        </w:rPr>
        <w:t xml:space="preserve"> 2016</w:t>
      </w:r>
    </w:p>
    <w:p w14:paraId="51BB385F" w14:textId="702F8987" w:rsidR="00A8366A" w:rsidRPr="002D0738" w:rsidRDefault="00A8366A" w:rsidP="002D0738">
      <w:pPr>
        <w:jc w:val="both"/>
        <w:rPr>
          <w:rFonts w:ascii="Verdana" w:hAnsi="Verdana"/>
          <w:snapToGrid w:val="0"/>
          <w:sz w:val="20"/>
          <w:szCs w:val="20"/>
          <w:lang w:eastAsia="fi-FI"/>
        </w:rPr>
      </w:pPr>
      <w:r w:rsidRPr="002D0738">
        <w:rPr>
          <w:rFonts w:ascii="Verdana" w:hAnsi="Verdana"/>
          <w:snapToGrid w:val="0"/>
          <w:sz w:val="20"/>
          <w:szCs w:val="20"/>
          <w:lang w:eastAsia="fi-FI"/>
        </w:rPr>
        <w:t xml:space="preserve">The authors conducted a cross-sectional review of 290 exposed and 137 unexposed workers to </w:t>
      </w:r>
      <w:r w:rsidR="000A25BF" w:rsidRPr="000A25BF">
        <w:rPr>
          <w:rFonts w:ascii="Verdana" w:hAnsi="Verdana"/>
          <w:snapToGrid w:val="0"/>
          <w:sz w:val="20"/>
          <w:szCs w:val="20"/>
          <w:lang w:eastAsia="fi-FI"/>
        </w:rPr>
        <w:t>carbon disulfide</w:t>
      </w:r>
      <w:r w:rsidRPr="002D0738">
        <w:rPr>
          <w:rFonts w:ascii="Verdana" w:hAnsi="Verdana"/>
          <w:snapToGrid w:val="0"/>
          <w:sz w:val="20"/>
          <w:szCs w:val="20"/>
          <w:lang w:eastAsia="fi-FI"/>
        </w:rPr>
        <w:t xml:space="preserve"> in a German rayon fiber manufacturing plant. On this cohort, they calculated cumulative (CE</w:t>
      </w:r>
      <w:r w:rsidR="000A25BF">
        <w:rPr>
          <w:rFonts w:ascii="Verdana" w:hAnsi="Verdana"/>
          <w:snapToGrid w:val="0"/>
          <w:sz w:val="20"/>
          <w:szCs w:val="20"/>
          <w:lang w:eastAsia="fi-FI"/>
        </w:rPr>
        <w:t xml:space="preserve"> </w:t>
      </w:r>
      <w:r w:rsidRPr="002D0738">
        <w:rPr>
          <w:rFonts w:ascii="Verdana" w:hAnsi="Verdana"/>
          <w:snapToGrid w:val="0"/>
          <w:sz w:val="20"/>
          <w:szCs w:val="20"/>
          <w:lang w:eastAsia="fi-FI"/>
        </w:rPr>
        <w:t>CS2) and individual biological (CE</w:t>
      </w:r>
      <w:r w:rsidR="00317A46">
        <w:rPr>
          <w:rFonts w:ascii="Verdana" w:hAnsi="Verdana"/>
          <w:snapToGrid w:val="0"/>
          <w:sz w:val="20"/>
          <w:szCs w:val="20"/>
          <w:lang w:eastAsia="fi-FI"/>
        </w:rPr>
        <w:t xml:space="preserve"> </w:t>
      </w:r>
      <w:r w:rsidRPr="002D0738">
        <w:rPr>
          <w:rFonts w:ascii="Verdana" w:hAnsi="Verdana"/>
          <w:snapToGrid w:val="0"/>
          <w:sz w:val="20"/>
          <w:szCs w:val="20"/>
          <w:lang w:eastAsia="fi-FI"/>
        </w:rPr>
        <w:t xml:space="preserve">TTCA) exposure from 1992 to 2009. Follow-up included assessment of cardiovascular risk </w:t>
      </w:r>
      <w:r w:rsidRPr="002D0738">
        <w:rPr>
          <w:rFonts w:ascii="Verdana" w:hAnsi="Verdana"/>
          <w:snapToGrid w:val="0"/>
          <w:sz w:val="20"/>
          <w:szCs w:val="20"/>
          <w:lang w:eastAsia="fi-FI"/>
        </w:rPr>
        <w:lastRenderedPageBreak/>
        <w:t xml:space="preserve">factors and measurement of intima-media thickness (IMT) of right and left carotid arteries. Multiple linear regression analyses were performed with IMT as the outcome with three cumulative exposure variables (exposure duration, cumulative </w:t>
      </w:r>
      <w:r w:rsidR="000A25BF" w:rsidRPr="000A25BF">
        <w:rPr>
          <w:rFonts w:ascii="Verdana" w:hAnsi="Verdana"/>
          <w:snapToGrid w:val="0"/>
          <w:sz w:val="20"/>
          <w:szCs w:val="20"/>
          <w:lang w:eastAsia="fi-FI"/>
        </w:rPr>
        <w:t>carbon disulfide</w:t>
      </w:r>
      <w:r w:rsidRPr="002D0738">
        <w:rPr>
          <w:rFonts w:ascii="Verdana" w:hAnsi="Verdana"/>
          <w:snapToGrid w:val="0"/>
          <w:sz w:val="20"/>
          <w:szCs w:val="20"/>
          <w:lang w:eastAsia="fi-FI"/>
        </w:rPr>
        <w:t xml:space="preserve">, and cumulative TTCA) as well as with maximum categorized </w:t>
      </w:r>
      <w:r w:rsidR="000A25BF" w:rsidRPr="000A25BF">
        <w:rPr>
          <w:rFonts w:ascii="Verdana" w:hAnsi="Verdana"/>
          <w:snapToGrid w:val="0"/>
          <w:sz w:val="20"/>
          <w:szCs w:val="20"/>
          <w:lang w:eastAsia="fi-FI"/>
        </w:rPr>
        <w:t>carbon disulfide</w:t>
      </w:r>
      <w:r w:rsidRPr="002D0738">
        <w:rPr>
          <w:rFonts w:ascii="Verdana" w:hAnsi="Verdana"/>
          <w:snapToGrid w:val="0"/>
          <w:sz w:val="20"/>
          <w:szCs w:val="20"/>
          <w:lang w:eastAsia="fi-FI"/>
        </w:rPr>
        <w:t xml:space="preserve"> exposure, all adjusted for cardiovascular risk factors. </w:t>
      </w:r>
    </w:p>
    <w:p w14:paraId="045F7BA9" w14:textId="77777777" w:rsidR="00317A46" w:rsidRDefault="00A8366A" w:rsidP="00317A46">
      <w:pPr>
        <w:jc w:val="both"/>
        <w:rPr>
          <w:rFonts w:ascii="Verdana" w:hAnsi="Verdana"/>
          <w:snapToGrid w:val="0"/>
          <w:sz w:val="20"/>
          <w:szCs w:val="20"/>
          <w:lang w:eastAsia="fi-FI"/>
        </w:rPr>
      </w:pPr>
      <w:r w:rsidRPr="002D0738">
        <w:rPr>
          <w:rFonts w:ascii="Verdana" w:hAnsi="Verdana"/>
          <w:snapToGrid w:val="0"/>
          <w:sz w:val="20"/>
          <w:szCs w:val="20"/>
          <w:lang w:eastAsia="fi-FI"/>
        </w:rPr>
        <w:t>Exposed workers had a mean duration of exposure (CE</w:t>
      </w:r>
      <w:r w:rsidR="000A25BF">
        <w:rPr>
          <w:rFonts w:ascii="Verdana" w:hAnsi="Verdana"/>
          <w:snapToGrid w:val="0"/>
          <w:sz w:val="20"/>
          <w:szCs w:val="20"/>
          <w:lang w:eastAsia="fi-FI"/>
        </w:rPr>
        <w:t xml:space="preserve"> </w:t>
      </w:r>
      <w:r w:rsidRPr="002D0738">
        <w:rPr>
          <w:rFonts w:ascii="Verdana" w:hAnsi="Verdana"/>
          <w:snapToGrid w:val="0"/>
          <w:sz w:val="20"/>
          <w:szCs w:val="20"/>
          <w:lang w:eastAsia="fi-FI"/>
        </w:rPr>
        <w:t xml:space="preserve">YEARS) of 16.8 (7.8) years, a cumulative exposure dose (CE CS2) of 256.3 (158.9) ppm × year, and a cumulative exposure index (CE TTCA) of 30.2 (23.8) mg TTCA/g creatinine × year. </w:t>
      </w:r>
    </w:p>
    <w:p w14:paraId="40C84D05" w14:textId="74570DC5" w:rsidR="00317A46" w:rsidRDefault="00317A46" w:rsidP="002D0738">
      <w:pPr>
        <w:jc w:val="both"/>
        <w:rPr>
          <w:rFonts w:ascii="Verdana" w:hAnsi="Verdana"/>
          <w:snapToGrid w:val="0"/>
          <w:sz w:val="20"/>
          <w:szCs w:val="20"/>
          <w:lang w:eastAsia="fi-FI"/>
        </w:rPr>
      </w:pPr>
      <w:r w:rsidRPr="00D97534">
        <w:rPr>
          <w:rFonts w:ascii="Verdana" w:hAnsi="Verdana"/>
          <w:snapToGrid w:val="0"/>
          <w:sz w:val="20"/>
          <w:szCs w:val="20"/>
          <w:lang w:eastAsia="fi-FI"/>
        </w:rPr>
        <w:t xml:space="preserve">Among the 2 groups, only age and diastolic pressure differed (lower in the exposed group). Cardiovascular risk factors did not reveal any difference between the groups. </w:t>
      </w:r>
      <w:r w:rsidR="00A8366A" w:rsidRPr="002D0738">
        <w:rPr>
          <w:rFonts w:ascii="Verdana" w:hAnsi="Verdana"/>
          <w:snapToGrid w:val="0"/>
          <w:sz w:val="20"/>
          <w:szCs w:val="20"/>
          <w:lang w:eastAsia="fi-FI"/>
        </w:rPr>
        <w:t xml:space="preserve">IMT measurements revealed no difference between the 2 groups (0.62 vs 0.61 mm). </w:t>
      </w:r>
    </w:p>
    <w:p w14:paraId="580ECC17" w14:textId="0366A75F" w:rsidR="00A8366A" w:rsidRPr="002D0738" w:rsidRDefault="00A8366A" w:rsidP="002D0738">
      <w:pPr>
        <w:jc w:val="both"/>
        <w:rPr>
          <w:rFonts w:ascii="Verdana" w:hAnsi="Verdana"/>
          <w:snapToGrid w:val="0"/>
          <w:sz w:val="20"/>
          <w:szCs w:val="20"/>
          <w:lang w:eastAsia="fi-FI"/>
        </w:rPr>
      </w:pPr>
      <w:r w:rsidRPr="002D0738">
        <w:rPr>
          <w:rFonts w:ascii="Verdana" w:hAnsi="Verdana"/>
          <w:snapToGrid w:val="0"/>
          <w:sz w:val="20"/>
          <w:szCs w:val="20"/>
          <w:lang w:eastAsia="fi-FI"/>
        </w:rPr>
        <w:t>Multivariate linear regression analyses, however, showed an increase in</w:t>
      </w:r>
      <w:r w:rsidR="00317A46" w:rsidRPr="00317A46">
        <w:rPr>
          <w:rFonts w:ascii="Verdana" w:hAnsi="Verdana"/>
          <w:snapToGrid w:val="0"/>
          <w:sz w:val="20"/>
          <w:szCs w:val="20"/>
          <w:lang w:eastAsia="fi-FI"/>
        </w:rPr>
        <w:t xml:space="preserve"> </w:t>
      </w:r>
      <w:r w:rsidR="00317A46">
        <w:rPr>
          <w:rFonts w:ascii="Verdana" w:hAnsi="Verdana"/>
          <w:snapToGrid w:val="0"/>
          <w:sz w:val="20"/>
          <w:szCs w:val="20"/>
          <w:lang w:eastAsia="fi-FI"/>
        </w:rPr>
        <w:t>IMT</w:t>
      </w:r>
      <w:r w:rsidRPr="002D0738">
        <w:rPr>
          <w:rFonts w:ascii="Verdana" w:hAnsi="Verdana"/>
          <w:snapToGrid w:val="0"/>
          <w:sz w:val="20"/>
          <w:szCs w:val="20"/>
          <w:lang w:eastAsia="fi-FI"/>
        </w:rPr>
        <w:t xml:space="preserve"> with EC YEAR, EC-CS2, and EC-CTTCA. The analyses showed a dependence of the </w:t>
      </w:r>
      <w:r w:rsidRPr="00A8366A">
        <w:rPr>
          <w:rFonts w:ascii="Verdana" w:hAnsi="Verdana"/>
          <w:snapToGrid w:val="0"/>
          <w:sz w:val="20"/>
          <w:szCs w:val="20"/>
          <w:lang w:eastAsia="fi-FI"/>
        </w:rPr>
        <w:t>results with age and number of p</w:t>
      </w:r>
      <w:r w:rsidRPr="002D0738">
        <w:rPr>
          <w:rFonts w:ascii="Verdana" w:hAnsi="Verdana"/>
          <w:snapToGrid w:val="0"/>
          <w:sz w:val="20"/>
          <w:szCs w:val="20"/>
          <w:lang w:eastAsia="fi-FI"/>
        </w:rPr>
        <w:t>ic per year.</w:t>
      </w:r>
    </w:p>
    <w:p w14:paraId="453A9652" w14:textId="735C8C9F" w:rsidR="00790972" w:rsidRPr="00790972" w:rsidRDefault="00790972" w:rsidP="00790972">
      <w:pPr>
        <w:pStyle w:val="Paragraphedeliste"/>
        <w:numPr>
          <w:ilvl w:val="0"/>
          <w:numId w:val="28"/>
        </w:numPr>
        <w:jc w:val="both"/>
        <w:rPr>
          <w:rFonts w:ascii="Verdana" w:hAnsi="Verdana"/>
          <w:b/>
          <w:snapToGrid w:val="0"/>
          <w:sz w:val="20"/>
          <w:szCs w:val="20"/>
          <w:lang w:eastAsia="fi-FI"/>
        </w:rPr>
      </w:pPr>
      <w:r w:rsidRPr="00790972">
        <w:rPr>
          <w:rFonts w:ascii="Verdana" w:hAnsi="Verdana"/>
          <w:b/>
          <w:snapToGrid w:val="0"/>
          <w:sz w:val="20"/>
          <w:szCs w:val="20"/>
          <w:lang w:eastAsia="fi-FI"/>
        </w:rPr>
        <w:t xml:space="preserve">Yoshioka </w:t>
      </w:r>
      <w:r w:rsidRPr="002D0738">
        <w:rPr>
          <w:rFonts w:ascii="Verdana" w:hAnsi="Verdana"/>
          <w:b/>
          <w:i/>
          <w:snapToGrid w:val="0"/>
          <w:sz w:val="20"/>
          <w:szCs w:val="20"/>
          <w:lang w:eastAsia="fi-FI"/>
        </w:rPr>
        <w:t>et al</w:t>
      </w:r>
      <w:r w:rsidRPr="00790972">
        <w:rPr>
          <w:rFonts w:ascii="Verdana" w:hAnsi="Verdana"/>
          <w:b/>
          <w:snapToGrid w:val="0"/>
          <w:sz w:val="20"/>
          <w:szCs w:val="20"/>
          <w:lang w:eastAsia="fi-FI"/>
        </w:rPr>
        <w:t>., 2017</w:t>
      </w:r>
    </w:p>
    <w:p w14:paraId="6807C54C" w14:textId="77777777" w:rsidR="00317937"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Yoshioka et al. (2017) conducted a 6-year cohort study to evaluate the relationship</w:t>
      </w:r>
      <w:r w:rsidR="000A25BF">
        <w:rPr>
          <w:rFonts w:ascii="Verdana" w:hAnsi="Verdana"/>
          <w:snapToGrid w:val="0"/>
          <w:sz w:val="20"/>
          <w:szCs w:val="20"/>
          <w:lang w:eastAsia="fi-FI"/>
        </w:rPr>
        <w:t xml:space="preserve"> between carbon disulfide </w:t>
      </w:r>
      <w:r w:rsidRPr="00790972">
        <w:rPr>
          <w:rFonts w:ascii="Verdana" w:hAnsi="Verdana"/>
          <w:snapToGrid w:val="0"/>
          <w:sz w:val="20"/>
          <w:szCs w:val="20"/>
          <w:lang w:eastAsia="fi-FI"/>
        </w:rPr>
        <w:t>exposure and motor and sensory nerve conduction velocities (MCV) and sensory nerve conduction velocity (SCV). The study involved male workers recru</w:t>
      </w:r>
      <w:r w:rsidR="00317A46">
        <w:rPr>
          <w:rFonts w:ascii="Verdana" w:hAnsi="Verdana"/>
          <w:snapToGrid w:val="0"/>
          <w:sz w:val="20"/>
          <w:szCs w:val="20"/>
          <w:lang w:eastAsia="fi-FI"/>
        </w:rPr>
        <w:t xml:space="preserve">ited from 11 viscose rayon facilities (same as in Takebayashi </w:t>
      </w:r>
      <w:r w:rsidR="00317A46" w:rsidRPr="002D0738">
        <w:rPr>
          <w:rFonts w:ascii="Verdana" w:hAnsi="Verdana"/>
          <w:i/>
          <w:snapToGrid w:val="0"/>
          <w:sz w:val="20"/>
          <w:szCs w:val="20"/>
          <w:lang w:eastAsia="fi-FI"/>
        </w:rPr>
        <w:t>et al</w:t>
      </w:r>
      <w:r w:rsidR="00317A46">
        <w:rPr>
          <w:rFonts w:ascii="Verdana" w:hAnsi="Verdana"/>
          <w:snapToGrid w:val="0"/>
          <w:sz w:val="20"/>
          <w:szCs w:val="20"/>
          <w:lang w:eastAsia="fi-FI"/>
        </w:rPr>
        <w:t>)</w:t>
      </w:r>
      <w:r w:rsidRPr="00790972">
        <w:rPr>
          <w:rFonts w:ascii="Verdana" w:hAnsi="Verdana"/>
          <w:snapToGrid w:val="0"/>
          <w:sz w:val="20"/>
          <w:szCs w:val="20"/>
          <w:lang w:eastAsia="fi-FI"/>
        </w:rPr>
        <w:t xml:space="preserve">. At baseline, study subjects included 432 exposed and 402 unexposed workers with no history of cardiovascular or cerebrovascular disease. Of the exposed workers, 145 ceased </w:t>
      </w:r>
      <w:r w:rsidR="000A25BF" w:rsidRPr="000A25BF">
        <w:rPr>
          <w:rFonts w:ascii="Verdana" w:hAnsi="Verdana"/>
          <w:snapToGrid w:val="0"/>
          <w:sz w:val="20"/>
          <w:szCs w:val="20"/>
          <w:lang w:eastAsia="fi-FI"/>
        </w:rPr>
        <w:t>carbon disulfide</w:t>
      </w:r>
      <w:r w:rsidRPr="00790972">
        <w:rPr>
          <w:rFonts w:ascii="Verdana" w:hAnsi="Verdana"/>
          <w:snapToGrid w:val="0"/>
          <w:sz w:val="20"/>
          <w:szCs w:val="20"/>
          <w:lang w:eastAsia="fi-FI"/>
        </w:rPr>
        <w:t xml:space="preserve"> exposure during the follow-up period (ex-exposed workers). </w:t>
      </w:r>
    </w:p>
    <w:p w14:paraId="2F172A30" w14:textId="77777777" w:rsidR="00317937"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Nerve conduction velocity was studied at the median ne</w:t>
      </w:r>
      <w:r w:rsidR="00317937">
        <w:rPr>
          <w:rFonts w:ascii="Verdana" w:hAnsi="Verdana"/>
          <w:snapToGrid w:val="0"/>
          <w:sz w:val="20"/>
          <w:szCs w:val="20"/>
          <w:lang w:eastAsia="fi-FI"/>
        </w:rPr>
        <w:t xml:space="preserve">rve level using evoked currents. </w:t>
      </w:r>
      <w:r w:rsidR="00317937" w:rsidRPr="00790972">
        <w:rPr>
          <w:rFonts w:ascii="Verdana" w:hAnsi="Verdana"/>
          <w:snapToGrid w:val="0"/>
          <w:sz w:val="20"/>
          <w:szCs w:val="20"/>
          <w:lang w:eastAsia="fi-FI"/>
        </w:rPr>
        <w:t>MCV and SCV were measured at baseline and during the follow-up period.</w:t>
      </w:r>
    </w:p>
    <w:p w14:paraId="0129E4DD" w14:textId="77777777" w:rsidR="00317937" w:rsidRDefault="00317937" w:rsidP="00317937">
      <w:pPr>
        <w:jc w:val="both"/>
        <w:rPr>
          <w:rFonts w:ascii="Verdana" w:hAnsi="Verdana"/>
          <w:snapToGrid w:val="0"/>
          <w:sz w:val="20"/>
          <w:szCs w:val="20"/>
          <w:lang w:eastAsia="fi-FI"/>
        </w:rPr>
      </w:pPr>
      <w:r w:rsidRPr="00790972">
        <w:rPr>
          <w:rFonts w:ascii="Verdana" w:hAnsi="Verdana"/>
          <w:snapToGrid w:val="0"/>
          <w:sz w:val="20"/>
          <w:szCs w:val="20"/>
          <w:lang w:eastAsia="fi-FI"/>
        </w:rPr>
        <w:t xml:space="preserve">In this study, the confounding factors considered were age, BMI, smoking status, alcohol consumption, education level, </w:t>
      </w:r>
      <w:r w:rsidRPr="000A25BF">
        <w:rPr>
          <w:rFonts w:ascii="Verdana" w:hAnsi="Verdana"/>
          <w:snapToGrid w:val="0"/>
          <w:sz w:val="20"/>
          <w:szCs w:val="20"/>
          <w:lang w:eastAsia="fi-FI"/>
        </w:rPr>
        <w:t>carbon disulfide</w:t>
      </w:r>
      <w:r w:rsidRPr="00790972">
        <w:rPr>
          <w:rFonts w:ascii="Verdana" w:hAnsi="Verdana"/>
          <w:snapToGrid w:val="0"/>
          <w:sz w:val="20"/>
          <w:szCs w:val="20"/>
          <w:lang w:eastAsia="fi-FI"/>
        </w:rPr>
        <w:t xml:space="preserve"> exposure status (unexposed, ex-exposed, exposed (1st, 2nd and 3rd tertile of exposure level). </w:t>
      </w:r>
    </w:p>
    <w:p w14:paraId="5507A30C" w14:textId="77777777" w:rsidR="00317937" w:rsidRDefault="00790972" w:rsidP="002D0738">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For exposure assessment, the </w:t>
      </w:r>
      <w:r w:rsidR="000A25BF" w:rsidRPr="000A25BF">
        <w:rPr>
          <w:rFonts w:ascii="Verdana" w:hAnsi="Verdana"/>
          <w:snapToGrid w:val="0"/>
          <w:sz w:val="20"/>
          <w:szCs w:val="20"/>
          <w:lang w:eastAsia="fi-FI"/>
        </w:rPr>
        <w:t>carbon disulfide</w:t>
      </w:r>
      <w:r w:rsidRPr="00790972">
        <w:rPr>
          <w:rFonts w:ascii="Verdana" w:hAnsi="Verdana"/>
          <w:snapToGrid w:val="0"/>
          <w:sz w:val="20"/>
          <w:szCs w:val="20"/>
          <w:lang w:eastAsia="fi-FI"/>
        </w:rPr>
        <w:t xml:space="preserve"> concentration was measured twice a year in the workers' area of evolution and the average concentration was time-weighted over an 8-hour period. For individual exposure, urinary </w:t>
      </w:r>
      <w:r w:rsidR="000A25BF" w:rsidRPr="000A25BF">
        <w:rPr>
          <w:rFonts w:ascii="Verdana" w:hAnsi="Verdana"/>
          <w:snapToGrid w:val="0"/>
          <w:sz w:val="20"/>
          <w:szCs w:val="20"/>
          <w:lang w:eastAsia="fi-FI"/>
        </w:rPr>
        <w:t>carbon disulfide</w:t>
      </w:r>
      <w:r w:rsidRPr="00790972">
        <w:rPr>
          <w:rFonts w:ascii="Verdana" w:hAnsi="Verdana"/>
          <w:snapToGrid w:val="0"/>
          <w:sz w:val="20"/>
          <w:szCs w:val="20"/>
          <w:lang w:eastAsia="fi-FI"/>
        </w:rPr>
        <w:t xml:space="preserve"> concentration was assessed by monitoring a urinary </w:t>
      </w:r>
      <w:r w:rsidR="00317937">
        <w:rPr>
          <w:rFonts w:ascii="Verdana" w:hAnsi="Verdana"/>
          <w:snapToGrid w:val="0"/>
          <w:sz w:val="20"/>
          <w:szCs w:val="20"/>
          <w:lang w:eastAsia="fi-FI"/>
        </w:rPr>
        <w:t>TTCA</w:t>
      </w:r>
      <w:r w:rsidRPr="00790972">
        <w:rPr>
          <w:rFonts w:ascii="Verdana" w:hAnsi="Verdana"/>
          <w:snapToGrid w:val="0"/>
          <w:sz w:val="20"/>
          <w:szCs w:val="20"/>
          <w:lang w:eastAsia="fi-FI"/>
        </w:rPr>
        <w:t xml:space="preserve">, twice a year. </w:t>
      </w:r>
    </w:p>
    <w:p w14:paraId="55E69263" w14:textId="77777777" w:rsidR="00317937" w:rsidRDefault="00317937" w:rsidP="002D0738">
      <w:pPr>
        <w:spacing w:after="0"/>
        <w:jc w:val="both"/>
        <w:rPr>
          <w:rFonts w:ascii="Verdana" w:hAnsi="Verdana"/>
          <w:snapToGrid w:val="0"/>
          <w:sz w:val="20"/>
          <w:szCs w:val="20"/>
          <w:lang w:eastAsia="fi-FI"/>
        </w:rPr>
      </w:pPr>
    </w:p>
    <w:p w14:paraId="541B4E7C" w14:textId="79D75BB8" w:rsidR="00317937" w:rsidRDefault="00790972" w:rsidP="002D0738">
      <w:pPr>
        <w:spacing w:after="0"/>
        <w:jc w:val="both"/>
        <w:rPr>
          <w:rFonts w:ascii="Verdana" w:hAnsi="Verdana"/>
          <w:snapToGrid w:val="0"/>
          <w:sz w:val="20"/>
          <w:szCs w:val="20"/>
          <w:lang w:eastAsia="fi-FI"/>
        </w:rPr>
      </w:pPr>
      <w:r w:rsidRPr="00790972">
        <w:rPr>
          <w:rFonts w:ascii="Verdana" w:hAnsi="Verdana"/>
          <w:snapToGrid w:val="0"/>
          <w:sz w:val="20"/>
          <w:szCs w:val="20"/>
          <w:lang w:eastAsia="fi-FI"/>
        </w:rPr>
        <w:t xml:space="preserve">The mean </w:t>
      </w:r>
      <w:r w:rsidR="00317937">
        <w:rPr>
          <w:rFonts w:ascii="Verdana" w:hAnsi="Verdana"/>
          <w:snapToGrid w:val="0"/>
          <w:sz w:val="20"/>
          <w:szCs w:val="20"/>
          <w:lang w:eastAsia="fi-FI"/>
        </w:rPr>
        <w:t xml:space="preserve">carbon disulfide </w:t>
      </w:r>
      <w:r w:rsidRPr="00790972">
        <w:rPr>
          <w:rFonts w:ascii="Verdana" w:hAnsi="Verdana"/>
          <w:snapToGrid w:val="0"/>
          <w:sz w:val="20"/>
          <w:szCs w:val="20"/>
          <w:lang w:eastAsia="fi-FI"/>
        </w:rPr>
        <w:t>exposure concentrations (ppm) were</w:t>
      </w:r>
      <w:r w:rsidR="00317937">
        <w:rPr>
          <w:rFonts w:ascii="Verdana" w:hAnsi="Verdana"/>
          <w:snapToGrid w:val="0"/>
          <w:sz w:val="20"/>
          <w:szCs w:val="20"/>
          <w:lang w:eastAsia="fi-FI"/>
        </w:rPr>
        <w:t>:</w:t>
      </w:r>
    </w:p>
    <w:p w14:paraId="582D56DD" w14:textId="33B9F2C4" w:rsidR="00317937" w:rsidRDefault="00317937" w:rsidP="002D0738">
      <w:pPr>
        <w:spacing w:after="0"/>
        <w:jc w:val="both"/>
        <w:rPr>
          <w:rFonts w:ascii="Verdana" w:hAnsi="Verdana"/>
          <w:snapToGrid w:val="0"/>
          <w:sz w:val="20"/>
          <w:szCs w:val="20"/>
          <w:lang w:eastAsia="fi-FI"/>
        </w:rPr>
      </w:pPr>
      <w:r>
        <w:rPr>
          <w:rFonts w:ascii="Verdana" w:hAnsi="Verdana"/>
          <w:snapToGrid w:val="0"/>
          <w:sz w:val="20"/>
          <w:szCs w:val="20"/>
          <w:lang w:eastAsia="fi-FI"/>
        </w:rPr>
        <w:t xml:space="preserve">- </w:t>
      </w:r>
      <w:r w:rsidR="00790972" w:rsidRPr="00790972">
        <w:rPr>
          <w:rFonts w:ascii="Verdana" w:hAnsi="Verdana"/>
          <w:snapToGrid w:val="0"/>
          <w:sz w:val="20"/>
          <w:szCs w:val="20"/>
          <w:lang w:eastAsia="fi-FI"/>
        </w:rPr>
        <w:t xml:space="preserve"> </w:t>
      </w:r>
      <w:r w:rsidRPr="00790972">
        <w:rPr>
          <w:rFonts w:ascii="Verdana" w:hAnsi="Verdana"/>
          <w:snapToGrid w:val="0"/>
          <w:sz w:val="20"/>
          <w:szCs w:val="20"/>
          <w:lang w:eastAsia="fi-FI"/>
        </w:rPr>
        <w:t>for exposed workers</w:t>
      </w:r>
      <w:r>
        <w:rPr>
          <w:rFonts w:ascii="Verdana" w:hAnsi="Verdana"/>
          <w:snapToGrid w:val="0"/>
          <w:sz w:val="20"/>
          <w:szCs w:val="20"/>
          <w:lang w:eastAsia="fi-FI"/>
        </w:rPr>
        <w:t xml:space="preserve">, the mean concentration were </w:t>
      </w:r>
      <w:r w:rsidR="00790972" w:rsidRPr="00790972">
        <w:rPr>
          <w:rFonts w:ascii="Verdana" w:hAnsi="Verdana"/>
          <w:snapToGrid w:val="0"/>
          <w:sz w:val="20"/>
          <w:szCs w:val="20"/>
          <w:lang w:eastAsia="fi-FI"/>
        </w:rPr>
        <w:t xml:space="preserve">5.96 ppm (0.8-16.0 ppm), with 2.84 ppm (0.8-4.6 ppm) for the first tertile, 5.64 ppm (4.7-6.6 ppm) for the second tertile, and 9.95 ppm (6.6-16.0 ppm) for the third tertile. </w:t>
      </w:r>
    </w:p>
    <w:p w14:paraId="1CC3F977" w14:textId="28AC9C26" w:rsidR="00317937" w:rsidRDefault="00317937" w:rsidP="002D0738">
      <w:pPr>
        <w:spacing w:after="0"/>
        <w:jc w:val="both"/>
        <w:rPr>
          <w:rFonts w:ascii="Verdana" w:hAnsi="Verdana"/>
          <w:snapToGrid w:val="0"/>
          <w:sz w:val="20"/>
          <w:szCs w:val="20"/>
          <w:lang w:eastAsia="fi-FI"/>
        </w:rPr>
      </w:pPr>
      <w:r>
        <w:rPr>
          <w:rFonts w:ascii="Verdana" w:hAnsi="Verdana"/>
          <w:snapToGrid w:val="0"/>
          <w:sz w:val="20"/>
          <w:szCs w:val="20"/>
          <w:lang w:eastAsia="fi-FI"/>
        </w:rPr>
        <w:t>- f</w:t>
      </w:r>
      <w:r w:rsidR="00790972" w:rsidRPr="00790972">
        <w:rPr>
          <w:rFonts w:ascii="Verdana" w:hAnsi="Verdana"/>
          <w:snapToGrid w:val="0"/>
          <w:sz w:val="20"/>
          <w:szCs w:val="20"/>
          <w:lang w:eastAsia="fi-FI"/>
        </w:rPr>
        <w:t xml:space="preserve">or ex-exposed workers, the mean exposure concentrations were 3.93 ppm (0.6-9.9 ppm). </w:t>
      </w:r>
    </w:p>
    <w:p w14:paraId="0D9A809E" w14:textId="52391847" w:rsidR="00790972" w:rsidRPr="00790972"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Th</w:t>
      </w:r>
      <w:r w:rsidR="00317937">
        <w:rPr>
          <w:rFonts w:ascii="Verdana" w:hAnsi="Verdana"/>
          <w:snapToGrid w:val="0"/>
          <w:sz w:val="20"/>
          <w:szCs w:val="20"/>
          <w:lang w:eastAsia="fi-FI"/>
        </w:rPr>
        <w:t xml:space="preserve">e urinary TTCA concentration was </w:t>
      </w:r>
      <w:r w:rsidRPr="00790972">
        <w:rPr>
          <w:rFonts w:ascii="Verdana" w:hAnsi="Verdana"/>
          <w:snapToGrid w:val="0"/>
          <w:sz w:val="20"/>
          <w:szCs w:val="20"/>
          <w:lang w:eastAsia="fi-FI"/>
        </w:rPr>
        <w:t xml:space="preserve">proportional to </w:t>
      </w:r>
      <w:r w:rsidR="000A25BF" w:rsidRPr="000A25BF">
        <w:rPr>
          <w:rFonts w:ascii="Verdana" w:hAnsi="Verdana"/>
          <w:snapToGrid w:val="0"/>
          <w:sz w:val="20"/>
          <w:szCs w:val="20"/>
          <w:lang w:eastAsia="fi-FI"/>
        </w:rPr>
        <w:t>carbon disulfide</w:t>
      </w:r>
      <w:r w:rsidRPr="00790972">
        <w:rPr>
          <w:rFonts w:ascii="Verdana" w:hAnsi="Verdana"/>
          <w:snapToGrid w:val="0"/>
          <w:sz w:val="20"/>
          <w:szCs w:val="20"/>
          <w:lang w:eastAsia="fi-FI"/>
        </w:rPr>
        <w:t xml:space="preserve"> exposure (r2 = </w:t>
      </w:r>
      <w:r w:rsidR="00317937">
        <w:rPr>
          <w:rFonts w:ascii="Verdana" w:hAnsi="Verdana"/>
          <w:snapToGrid w:val="0"/>
          <w:sz w:val="20"/>
          <w:szCs w:val="20"/>
          <w:lang w:eastAsia="fi-FI"/>
        </w:rPr>
        <w:t>0.9807, determined by the study authors). TTCA levels were 1.38 mg/g</w:t>
      </w:r>
      <w:r w:rsidRPr="00790972">
        <w:rPr>
          <w:rFonts w:ascii="Verdana" w:hAnsi="Verdana"/>
          <w:snapToGrid w:val="0"/>
          <w:sz w:val="20"/>
          <w:szCs w:val="20"/>
          <w:lang w:eastAsia="fi-FI"/>
        </w:rPr>
        <w:t xml:space="preserve"> creatinine (0.25-8.2 mg/g) in ex-exposed and 1.74 mg/g (0.25-8.2 mg/g) in exposed with 0.89 mg/g (0.25-2.28 mg/g) for the first tertile, 1.60 mg/g (0.33-3.01 mg/g) for the second tertile and 2.71 mg/g (0.89-8.22 mg/g) for the third tertile. </w:t>
      </w:r>
    </w:p>
    <w:p w14:paraId="7B44E897" w14:textId="77777777" w:rsidR="00790972" w:rsidRPr="00790972"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 xml:space="preserve">Measurement of sensitive nerve conduction velocity (SCV) showed no significant difference between unexposed, exposed and ex-exposed individuals at baseline. In the follow-up study, a significant decrease (p &lt; 0.001) in SCV can be observed only in exposed individuals (48.82 ± 5.49 m/sec) compared to unexposed individuals </w:t>
      </w:r>
      <w:r w:rsidRPr="00790972">
        <w:rPr>
          <w:rFonts w:ascii="Verdana" w:hAnsi="Verdana"/>
          <w:snapToGrid w:val="0"/>
          <w:sz w:val="20"/>
          <w:szCs w:val="20"/>
          <w:lang w:eastAsia="fi-FI"/>
        </w:rPr>
        <w:lastRenderedPageBreak/>
        <w:t>(50.43 ± 4.97 m/sec). Further analysis of exposure shows that a significant decrease in SCV is only observed in exposed individuals belonging to the second (48.52 ± 5.70 m/sec) and third (48.64 ± 5.88 m/sec) tertiles of exposure (p &lt; 0.05).</w:t>
      </w:r>
    </w:p>
    <w:p w14:paraId="1D9BD5BB" w14:textId="7ACFBAB9" w:rsidR="00790972" w:rsidRPr="00790972"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 xml:space="preserve">The measurement of motor nerve conduction velocity (MCV), at the beginning of the study, shows lower values in exposed individuals (57.66 ± 3.65 m/sec - p &lt; 0.001) and ex-exposed individuals (57.59 ± 3.60 m/sec - p &lt; 0.001) compared to that of unexposed individuals (58.97 ± 3.30 m/sec). Further analysis of exposure shows that lower </w:t>
      </w:r>
      <w:r w:rsidR="00317937">
        <w:rPr>
          <w:rFonts w:ascii="Verdana" w:hAnsi="Verdana"/>
          <w:snapToGrid w:val="0"/>
          <w:sz w:val="20"/>
          <w:szCs w:val="20"/>
          <w:lang w:eastAsia="fi-FI"/>
        </w:rPr>
        <w:t>MCV</w:t>
      </w:r>
      <w:r w:rsidRPr="00790972">
        <w:rPr>
          <w:rFonts w:ascii="Verdana" w:hAnsi="Verdana"/>
          <w:snapToGrid w:val="0"/>
          <w:sz w:val="20"/>
          <w:szCs w:val="20"/>
          <w:lang w:eastAsia="fi-FI"/>
        </w:rPr>
        <w:t xml:space="preserve"> values are observed only in individuals in the second exposure tertile (57.18 ± 4.08 m/sec - p &lt; 0.001) and the third exposure tertile (57.64 ± 3.11 - p &lt; 0.05). I</w:t>
      </w:r>
      <w:r w:rsidR="00317937">
        <w:rPr>
          <w:rFonts w:ascii="Verdana" w:hAnsi="Verdana"/>
          <w:snapToGrid w:val="0"/>
          <w:sz w:val="20"/>
          <w:szCs w:val="20"/>
          <w:lang w:eastAsia="fi-FI"/>
        </w:rPr>
        <w:t>n the follow-up study, lower MCV</w:t>
      </w:r>
      <w:r w:rsidRPr="00790972">
        <w:rPr>
          <w:rFonts w:ascii="Verdana" w:hAnsi="Verdana"/>
          <w:snapToGrid w:val="0"/>
          <w:sz w:val="20"/>
          <w:szCs w:val="20"/>
          <w:lang w:eastAsia="fi-FI"/>
        </w:rPr>
        <w:t xml:space="preserve"> values were also observed in exposed (56.06 ± 3.63 m/sec - p &lt; 0.001) and ex-exposed (55.98 ± 3.60 m/sec - p &lt; 0.001) individuals compared to unexposed individuals (57.45 ± 3.31 m/sec). These lower values are also observed only in individuals belonging to the second (55.83 ± 3.87 m/sec) and third (55.83 ± 3.61 m/sec) tertiles of exposure (p &lt; 0.001).</w:t>
      </w:r>
    </w:p>
    <w:p w14:paraId="7E63178F" w14:textId="05B37E13" w:rsidR="00790972" w:rsidRPr="00790972"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Nerve conduction velocity (NCV) differentials, between the beginning and end of the study, were meas</w:t>
      </w:r>
      <w:r w:rsidR="00317937">
        <w:rPr>
          <w:rFonts w:ascii="Verdana" w:hAnsi="Verdana"/>
          <w:snapToGrid w:val="0"/>
          <w:sz w:val="20"/>
          <w:szCs w:val="20"/>
          <w:lang w:eastAsia="fi-FI"/>
        </w:rPr>
        <w:t>ured in all individuals. For MCV</w:t>
      </w:r>
      <w:r w:rsidRPr="00790972">
        <w:rPr>
          <w:rFonts w:ascii="Verdana" w:hAnsi="Verdana"/>
          <w:snapToGrid w:val="0"/>
          <w:sz w:val="20"/>
          <w:szCs w:val="20"/>
          <w:lang w:eastAsia="fi-FI"/>
        </w:rPr>
        <w:t>, the conduction velocity differential was found to be non</w:t>
      </w:r>
      <w:r w:rsidR="00A8366A">
        <w:rPr>
          <w:rFonts w:ascii="Verdana" w:hAnsi="Verdana"/>
          <w:snapToGrid w:val="0"/>
          <w:sz w:val="20"/>
          <w:szCs w:val="20"/>
          <w:lang w:eastAsia="fi-FI"/>
        </w:rPr>
        <w:t>-</w:t>
      </w:r>
      <w:r w:rsidRPr="00790972">
        <w:rPr>
          <w:rFonts w:ascii="Verdana" w:hAnsi="Verdana"/>
          <w:snapToGrid w:val="0"/>
          <w:sz w:val="20"/>
          <w:szCs w:val="20"/>
          <w:lang w:eastAsia="fi-FI"/>
        </w:rPr>
        <w:t>significant in all individuals. For SCV, a significant conduction velocity differential could be observed in exposed individuals (-4.47 ± 3.94m/sec - p &lt; 0.001). This negative differential was only found to be significant in exposed individuals belonging to the third exposure tertile (-4.89 ± 4.39 m/sec - p &lt; 0.05).</w:t>
      </w:r>
    </w:p>
    <w:p w14:paraId="70521CA2" w14:textId="7361732E" w:rsidR="00790972" w:rsidRDefault="00790972" w:rsidP="00790972">
      <w:pPr>
        <w:jc w:val="both"/>
        <w:rPr>
          <w:rFonts w:ascii="Verdana" w:hAnsi="Verdana"/>
          <w:snapToGrid w:val="0"/>
          <w:sz w:val="20"/>
          <w:szCs w:val="20"/>
          <w:lang w:eastAsia="fi-FI"/>
        </w:rPr>
      </w:pPr>
      <w:r w:rsidRPr="00790972">
        <w:rPr>
          <w:rFonts w:ascii="Verdana" w:hAnsi="Verdana"/>
          <w:snapToGrid w:val="0"/>
          <w:sz w:val="20"/>
          <w:szCs w:val="20"/>
          <w:lang w:eastAsia="fi-FI"/>
        </w:rPr>
        <w:t xml:space="preserve">The results obtained also suggest that the effects of exposure to 4 ppm </w:t>
      </w:r>
      <w:r w:rsidR="000A25BF" w:rsidRPr="000A25BF">
        <w:rPr>
          <w:rFonts w:ascii="Verdana" w:hAnsi="Verdana"/>
          <w:snapToGrid w:val="0"/>
          <w:sz w:val="20"/>
          <w:szCs w:val="20"/>
          <w:lang w:eastAsia="fi-FI"/>
        </w:rPr>
        <w:t>carbon disulfide</w:t>
      </w:r>
      <w:r w:rsidRPr="00790972">
        <w:rPr>
          <w:rFonts w:ascii="Verdana" w:hAnsi="Verdana"/>
          <w:snapToGrid w:val="0"/>
          <w:sz w:val="20"/>
          <w:szCs w:val="20"/>
          <w:lang w:eastAsia="fi-FI"/>
        </w:rPr>
        <w:t xml:space="preserve"> may be reversible because the differential in SCV observed at the end of the study in ex-exposed individuals (-3.26 ± 3.79 m/sec) is almost identical to that observed in unexposed individuals (-3.38 ± 3.97 m/sec).</w:t>
      </w:r>
    </w:p>
    <w:p w14:paraId="4808DD51" w14:textId="6080FC0B" w:rsidR="009E7111" w:rsidRPr="002D2117" w:rsidRDefault="001217C3" w:rsidP="001217C3">
      <w:pPr>
        <w:pStyle w:val="Titre5"/>
        <w:numPr>
          <w:ilvl w:val="0"/>
          <w:numId w:val="0"/>
        </w:numPr>
        <w:ind w:left="1843" w:hanging="1843"/>
      </w:pPr>
      <w:r>
        <w:t>1.1.2</w:t>
      </w:r>
      <w:r w:rsidR="001E068D">
        <w:t xml:space="preserve"> </w:t>
      </w:r>
      <w:r w:rsidR="00AC4891">
        <w:t>Developmental toxicity in rabbits</w:t>
      </w:r>
    </w:p>
    <w:p w14:paraId="76DF6FD4" w14:textId="3C73C1B9" w:rsidR="00564A92" w:rsidRDefault="003B6734" w:rsidP="00A31A74">
      <w:pPr>
        <w:spacing w:after="120" w:line="276" w:lineRule="auto"/>
        <w:jc w:val="both"/>
        <w:rPr>
          <w:rFonts w:ascii="Verdana" w:hAnsi="Verdana"/>
          <w:snapToGrid w:val="0"/>
          <w:sz w:val="20"/>
          <w:szCs w:val="20"/>
          <w:lang w:eastAsia="fi-FI"/>
        </w:rPr>
      </w:pPr>
      <w:r w:rsidRPr="00AC4891">
        <w:rPr>
          <w:rFonts w:ascii="Verdana" w:hAnsi="Verdana"/>
          <w:snapToGrid w:val="0"/>
          <w:sz w:val="20"/>
          <w:szCs w:val="20"/>
          <w:lang w:eastAsia="fi-FI"/>
        </w:rPr>
        <w:t>In this GLP guideline study (Unpublished report, 1991), New Zealand white rabbits (24 per group) inhaled 0, 60, 100, 300, 600 or 1200 ppm (equivalent to 0, 190, 316, 948, 1896, 3792 mg/m</w:t>
      </w:r>
      <w:r w:rsidRPr="00564A92">
        <w:rPr>
          <w:rFonts w:ascii="Verdana" w:hAnsi="Verdana"/>
          <w:snapToGrid w:val="0"/>
          <w:sz w:val="20"/>
          <w:szCs w:val="20"/>
          <w:vertAlign w:val="superscript"/>
          <w:lang w:eastAsia="fi-FI"/>
        </w:rPr>
        <w:t>3</w:t>
      </w:r>
      <w:r w:rsidRPr="00AC4891">
        <w:rPr>
          <w:rFonts w:ascii="Verdana" w:hAnsi="Verdana"/>
          <w:snapToGrid w:val="0"/>
          <w:sz w:val="20"/>
          <w:szCs w:val="20"/>
          <w:lang w:eastAsia="fi-FI"/>
        </w:rPr>
        <w:t xml:space="preserve">) </w:t>
      </w:r>
      <w:r w:rsidR="00351F82" w:rsidRPr="00AC4891">
        <w:rPr>
          <w:rFonts w:ascii="Verdana" w:hAnsi="Verdana"/>
          <w:snapToGrid w:val="0"/>
          <w:sz w:val="20"/>
          <w:szCs w:val="20"/>
          <w:lang w:eastAsia="fi-FI"/>
        </w:rPr>
        <w:t>carbon disulfide</w:t>
      </w:r>
      <w:r w:rsidRPr="00AC4891">
        <w:rPr>
          <w:rFonts w:ascii="Verdana" w:hAnsi="Verdana"/>
          <w:snapToGrid w:val="0"/>
          <w:sz w:val="20"/>
          <w:szCs w:val="20"/>
          <w:lang w:eastAsia="fi-FI"/>
        </w:rPr>
        <w:t xml:space="preserve"> for 6 h/d on gestation days 6 to 18. At the top dose, ataxia, labored respiration, wheezing, and tremors were observed, as well as scant </w:t>
      </w:r>
      <w:r w:rsidR="00847C8D" w:rsidRPr="00AC4891">
        <w:rPr>
          <w:rFonts w:ascii="Verdana" w:hAnsi="Verdana"/>
          <w:snapToGrid w:val="0"/>
          <w:sz w:val="20"/>
          <w:szCs w:val="20"/>
          <w:lang w:eastAsia="fi-FI"/>
        </w:rPr>
        <w:t xml:space="preserve">feces and low food </w:t>
      </w:r>
      <w:r w:rsidR="00AC4891" w:rsidRPr="00AC4891">
        <w:rPr>
          <w:rFonts w:ascii="Verdana" w:hAnsi="Verdana"/>
          <w:snapToGrid w:val="0"/>
          <w:sz w:val="20"/>
          <w:szCs w:val="20"/>
          <w:lang w:eastAsia="fi-FI"/>
        </w:rPr>
        <w:t>consumption that</w:t>
      </w:r>
      <w:r w:rsidRPr="00AC4891">
        <w:rPr>
          <w:rFonts w:ascii="Verdana" w:hAnsi="Verdana"/>
          <w:snapToGrid w:val="0"/>
          <w:sz w:val="20"/>
          <w:szCs w:val="20"/>
          <w:lang w:eastAsia="fi-FI"/>
        </w:rPr>
        <w:t xml:space="preserve"> were clearly associated with carbon disulfide treatment. Three animal deaths at 1200</w:t>
      </w:r>
      <w:r w:rsidR="00564A92">
        <w:rPr>
          <w:rFonts w:ascii="Verdana" w:hAnsi="Verdana"/>
          <w:snapToGrid w:val="0"/>
          <w:sz w:val="20"/>
          <w:szCs w:val="20"/>
          <w:lang w:eastAsia="fi-FI"/>
        </w:rPr>
        <w:t xml:space="preserve"> ppm were considered treatment-</w:t>
      </w:r>
      <w:r w:rsidRPr="00AC4891">
        <w:rPr>
          <w:rFonts w:ascii="Verdana" w:hAnsi="Verdana"/>
          <w:snapToGrid w:val="0"/>
          <w:sz w:val="20"/>
          <w:szCs w:val="20"/>
          <w:lang w:eastAsia="fi-FI"/>
        </w:rPr>
        <w:t>related. At the top dose, group mean body weight was statistically significantly reduced compare</w:t>
      </w:r>
      <w:r w:rsidR="001C7FCE">
        <w:rPr>
          <w:rFonts w:ascii="Verdana" w:hAnsi="Verdana"/>
          <w:snapToGrid w:val="0"/>
          <w:sz w:val="20"/>
          <w:szCs w:val="20"/>
          <w:lang w:eastAsia="fi-FI"/>
        </w:rPr>
        <w:t>d</w:t>
      </w:r>
      <w:r w:rsidRPr="00AC4891">
        <w:rPr>
          <w:rFonts w:ascii="Verdana" w:hAnsi="Verdana"/>
          <w:snapToGrid w:val="0"/>
          <w:sz w:val="20"/>
          <w:szCs w:val="20"/>
          <w:lang w:eastAsia="fi-FI"/>
        </w:rPr>
        <w:t xml:space="preserve"> to control. Haematological findings were also noted mainly at the top dose (haemoglobin and haematocrit levels, </w:t>
      </w:r>
      <w:r w:rsidR="004C248B">
        <w:rPr>
          <w:rFonts w:ascii="Verdana" w:hAnsi="Verdana"/>
          <w:snapToGrid w:val="0"/>
          <w:sz w:val="20"/>
          <w:szCs w:val="20"/>
          <w:lang w:eastAsia="fi-FI"/>
        </w:rPr>
        <w:t>mean corpuscular volume</w:t>
      </w:r>
      <w:r w:rsidRPr="00AC4891">
        <w:rPr>
          <w:rFonts w:ascii="Verdana" w:hAnsi="Verdana"/>
          <w:snapToGrid w:val="0"/>
          <w:sz w:val="20"/>
          <w:szCs w:val="20"/>
          <w:lang w:eastAsia="fi-FI"/>
        </w:rPr>
        <w:t xml:space="preserve">, </w:t>
      </w:r>
      <w:r w:rsidR="004C248B">
        <w:rPr>
          <w:rFonts w:ascii="Verdana" w:hAnsi="Verdana"/>
          <w:snapToGrid w:val="0"/>
          <w:sz w:val="20"/>
          <w:szCs w:val="20"/>
          <w:lang w:eastAsia="fi-FI"/>
        </w:rPr>
        <w:t>mean corpuscular haemoglobin</w:t>
      </w:r>
      <w:r w:rsidRPr="00AC4891">
        <w:rPr>
          <w:rFonts w:ascii="Verdana" w:hAnsi="Verdana"/>
          <w:snapToGrid w:val="0"/>
          <w:sz w:val="20"/>
          <w:szCs w:val="20"/>
          <w:lang w:eastAsia="fi-FI"/>
        </w:rPr>
        <w:t xml:space="preserve"> neutrophils and lymphocytes). </w:t>
      </w:r>
      <w:r w:rsidR="002C0986" w:rsidRPr="00AC4891">
        <w:rPr>
          <w:rFonts w:ascii="Verdana" w:hAnsi="Verdana"/>
          <w:snapToGrid w:val="0"/>
          <w:sz w:val="20"/>
          <w:szCs w:val="20"/>
          <w:lang w:eastAsia="fi-FI"/>
        </w:rPr>
        <w:t>Overt maternal toxicity was considered only at the top dose level of 1200 ppm (3792 mg/m</w:t>
      </w:r>
      <w:r w:rsidR="002C0986" w:rsidRPr="002C0986">
        <w:rPr>
          <w:rFonts w:ascii="Verdana" w:hAnsi="Verdana"/>
          <w:snapToGrid w:val="0"/>
          <w:sz w:val="20"/>
          <w:szCs w:val="20"/>
          <w:vertAlign w:val="superscript"/>
          <w:lang w:eastAsia="fi-FI"/>
        </w:rPr>
        <w:t>3</w:t>
      </w:r>
      <w:r w:rsidR="002C0986" w:rsidRPr="00AC4891">
        <w:rPr>
          <w:rFonts w:ascii="Verdana" w:hAnsi="Verdana"/>
          <w:snapToGrid w:val="0"/>
          <w:sz w:val="20"/>
          <w:szCs w:val="20"/>
          <w:lang w:eastAsia="fi-FI"/>
        </w:rPr>
        <w:t>).</w:t>
      </w:r>
    </w:p>
    <w:p w14:paraId="4D47E5BD" w14:textId="3321B673" w:rsidR="00564A92" w:rsidRDefault="003B6734" w:rsidP="00A31A74">
      <w:pPr>
        <w:spacing w:after="120" w:line="276" w:lineRule="auto"/>
        <w:jc w:val="both"/>
        <w:rPr>
          <w:rFonts w:ascii="Verdana" w:hAnsi="Verdana"/>
          <w:snapToGrid w:val="0"/>
          <w:sz w:val="20"/>
          <w:szCs w:val="20"/>
          <w:lang w:eastAsia="fi-FI"/>
        </w:rPr>
      </w:pPr>
      <w:r w:rsidRPr="00AC4891">
        <w:rPr>
          <w:rFonts w:ascii="Verdana" w:hAnsi="Verdana"/>
          <w:snapToGrid w:val="0"/>
          <w:sz w:val="20"/>
          <w:szCs w:val="20"/>
          <w:lang w:eastAsia="fi-FI"/>
        </w:rPr>
        <w:t>At both 600 and 1200 ppm, a statistically significant increase in post-implantation losses (early and late resorptions) and reduced number of live foetuses were observed. Post-implantation losses were: 0.30 ± 0.63 in control, 0.64 ± 1</w:t>
      </w:r>
      <w:r w:rsidR="00564A92">
        <w:rPr>
          <w:rFonts w:ascii="Verdana" w:hAnsi="Verdana"/>
          <w:snapToGrid w:val="0"/>
          <w:sz w:val="20"/>
          <w:szCs w:val="20"/>
          <w:lang w:eastAsia="fi-FI"/>
        </w:rPr>
        <w:t xml:space="preserve">.00 at 600 ppm and 7.00 ± 3.94 </w:t>
      </w:r>
      <w:r w:rsidRPr="00AC4891">
        <w:rPr>
          <w:rFonts w:ascii="Verdana" w:hAnsi="Verdana"/>
          <w:snapToGrid w:val="0"/>
          <w:sz w:val="20"/>
          <w:szCs w:val="20"/>
          <w:lang w:eastAsia="fi-FI"/>
        </w:rPr>
        <w:t xml:space="preserve">at 1200 ppm. Two litters of 22 in the 600 ppm group and 14 litters of 21 in the 1200 ppm group consisted of implantation sites with no live fetuses, i.e., the litters consisted exclusively of resorptions. Reduced fetal body weights were also noted at 600 and 1200 ppm. </w:t>
      </w:r>
      <w:r w:rsidR="00CC4091" w:rsidRPr="00CC4091">
        <w:rPr>
          <w:rFonts w:ascii="Verdana" w:hAnsi="Verdana"/>
          <w:snapToGrid w:val="0"/>
          <w:sz w:val="20"/>
          <w:szCs w:val="20"/>
          <w:lang w:eastAsia="fi-FI"/>
        </w:rPr>
        <w:t>Dead fetuses were observed in the 0, 100, and 600 ppm exposure groups; yet this was not considered a treatment-</w:t>
      </w:r>
      <w:r w:rsidR="00CC4091" w:rsidRPr="00CC4091">
        <w:rPr>
          <w:rFonts w:ascii="Verdana" w:hAnsi="Verdana"/>
          <w:snapToGrid w:val="0"/>
          <w:sz w:val="20"/>
          <w:szCs w:val="20"/>
          <w:lang w:eastAsia="fi-FI"/>
        </w:rPr>
        <w:lastRenderedPageBreak/>
        <w:t>related finding because dead fetuses were observed in the control group, and none was observed in the 60, 300, or 1200 ppm exposure groups.</w:t>
      </w:r>
    </w:p>
    <w:p w14:paraId="7928BF01" w14:textId="11E3F24B" w:rsidR="002C0986" w:rsidRDefault="003B6734" w:rsidP="00A31A74">
      <w:pPr>
        <w:spacing w:after="120" w:line="276" w:lineRule="auto"/>
        <w:jc w:val="both"/>
        <w:rPr>
          <w:rFonts w:ascii="Verdana" w:hAnsi="Verdana"/>
          <w:snapToGrid w:val="0"/>
          <w:sz w:val="20"/>
          <w:szCs w:val="20"/>
          <w:lang w:eastAsia="fi-FI"/>
        </w:rPr>
      </w:pPr>
      <w:r w:rsidRPr="00AC4891">
        <w:rPr>
          <w:rFonts w:ascii="Verdana" w:hAnsi="Verdana"/>
          <w:snapToGrid w:val="0"/>
          <w:sz w:val="20"/>
          <w:szCs w:val="20"/>
          <w:lang w:eastAsia="fi-FI"/>
        </w:rPr>
        <w:t>In the 1200 ppm (3720 mg/m</w:t>
      </w:r>
      <w:r w:rsidRPr="002C0986">
        <w:rPr>
          <w:rFonts w:ascii="Verdana" w:hAnsi="Verdana"/>
          <w:snapToGrid w:val="0"/>
          <w:sz w:val="20"/>
          <w:szCs w:val="20"/>
          <w:vertAlign w:val="superscript"/>
          <w:lang w:eastAsia="fi-FI"/>
        </w:rPr>
        <w:t>3</w:t>
      </w:r>
      <w:r w:rsidRPr="00AC4891">
        <w:rPr>
          <w:rFonts w:ascii="Verdana" w:hAnsi="Verdana"/>
          <w:snapToGrid w:val="0"/>
          <w:sz w:val="20"/>
          <w:szCs w:val="20"/>
          <w:lang w:eastAsia="fi-FI"/>
        </w:rPr>
        <w:t xml:space="preserve">) group, </w:t>
      </w:r>
      <w:r w:rsidR="00B126C8">
        <w:rPr>
          <w:rFonts w:ascii="Verdana" w:hAnsi="Verdana"/>
          <w:snapToGrid w:val="0"/>
          <w:sz w:val="20"/>
          <w:szCs w:val="20"/>
          <w:lang w:eastAsia="fi-FI"/>
        </w:rPr>
        <w:t>an increase in the</w:t>
      </w:r>
      <w:r w:rsidRPr="00AC4891">
        <w:rPr>
          <w:rFonts w:ascii="Verdana" w:hAnsi="Verdana"/>
          <w:snapToGrid w:val="0"/>
          <w:sz w:val="20"/>
          <w:szCs w:val="20"/>
          <w:lang w:eastAsia="fi-FI"/>
        </w:rPr>
        <w:t xml:space="preserve"> incidence of hydrocephalus (2 in 2 litters)</w:t>
      </w:r>
      <w:r w:rsidR="00B126C8">
        <w:rPr>
          <w:rFonts w:ascii="Verdana" w:hAnsi="Verdana"/>
          <w:snapToGrid w:val="0"/>
          <w:sz w:val="20"/>
          <w:szCs w:val="20"/>
          <w:lang w:eastAsia="fi-FI"/>
        </w:rPr>
        <w:t xml:space="preserve"> was observed</w:t>
      </w:r>
      <w:r w:rsidRPr="00AC4891">
        <w:rPr>
          <w:rFonts w:ascii="Verdana" w:hAnsi="Verdana"/>
          <w:snapToGrid w:val="0"/>
          <w:sz w:val="20"/>
          <w:szCs w:val="20"/>
          <w:lang w:eastAsia="fi-FI"/>
        </w:rPr>
        <w:t>. Hydrocephalus was also noted at 100</w:t>
      </w:r>
      <w:r w:rsidR="00564A92">
        <w:rPr>
          <w:rFonts w:ascii="Verdana" w:hAnsi="Verdana"/>
          <w:snapToGrid w:val="0"/>
          <w:sz w:val="20"/>
          <w:szCs w:val="20"/>
          <w:lang w:eastAsia="fi-FI"/>
        </w:rPr>
        <w:t xml:space="preserve"> ppm</w:t>
      </w:r>
      <w:r w:rsidRPr="00AC4891">
        <w:rPr>
          <w:rFonts w:ascii="Verdana" w:hAnsi="Verdana"/>
          <w:snapToGrid w:val="0"/>
          <w:sz w:val="20"/>
          <w:szCs w:val="20"/>
          <w:lang w:eastAsia="fi-FI"/>
        </w:rPr>
        <w:t xml:space="preserve"> and at 300 ppm (1 incidence in 1 litter) but was not observed in the control group</w:t>
      </w:r>
      <w:r w:rsidR="00564A92">
        <w:rPr>
          <w:rFonts w:ascii="Verdana" w:hAnsi="Verdana"/>
          <w:snapToGrid w:val="0"/>
          <w:sz w:val="20"/>
          <w:szCs w:val="20"/>
          <w:lang w:eastAsia="fi-FI"/>
        </w:rPr>
        <w:t xml:space="preserve"> or at 600 ppm</w:t>
      </w:r>
      <w:r w:rsidRPr="00AC4891">
        <w:rPr>
          <w:rFonts w:ascii="Verdana" w:hAnsi="Verdana"/>
          <w:snapToGrid w:val="0"/>
          <w:sz w:val="20"/>
          <w:szCs w:val="20"/>
          <w:lang w:eastAsia="fi-FI"/>
        </w:rPr>
        <w:t>. T</w:t>
      </w:r>
      <w:r w:rsidR="00C90136">
        <w:rPr>
          <w:rFonts w:ascii="Verdana" w:hAnsi="Verdana"/>
          <w:snapToGrid w:val="0"/>
          <w:sz w:val="20"/>
          <w:szCs w:val="20"/>
          <w:lang w:eastAsia="fi-FI"/>
        </w:rPr>
        <w:t>he total number</w:t>
      </w:r>
      <w:r w:rsidR="00564A92">
        <w:rPr>
          <w:rFonts w:ascii="Verdana" w:hAnsi="Verdana"/>
          <w:snapToGrid w:val="0"/>
          <w:sz w:val="20"/>
          <w:szCs w:val="20"/>
          <w:lang w:eastAsia="fi-FI"/>
        </w:rPr>
        <w:t xml:space="preserve"> of malformation</w:t>
      </w:r>
      <w:r w:rsidR="00C90136">
        <w:rPr>
          <w:rFonts w:ascii="Verdana" w:hAnsi="Verdana"/>
          <w:snapToGrid w:val="0"/>
          <w:sz w:val="20"/>
          <w:szCs w:val="20"/>
          <w:lang w:eastAsia="fi-FI"/>
        </w:rPr>
        <w:t>s</w:t>
      </w:r>
      <w:r w:rsidR="00564A92">
        <w:rPr>
          <w:rFonts w:ascii="Verdana" w:hAnsi="Verdana"/>
          <w:snapToGrid w:val="0"/>
          <w:sz w:val="20"/>
          <w:szCs w:val="20"/>
          <w:lang w:eastAsia="fi-FI"/>
        </w:rPr>
        <w:t xml:space="preserve"> was increas</w:t>
      </w:r>
      <w:r w:rsidRPr="00AC4891">
        <w:rPr>
          <w:rFonts w:ascii="Verdana" w:hAnsi="Verdana"/>
          <w:snapToGrid w:val="0"/>
          <w:sz w:val="20"/>
          <w:szCs w:val="20"/>
          <w:lang w:eastAsia="fi-FI"/>
        </w:rPr>
        <w:t xml:space="preserve">ed at the top dose (right-sided </w:t>
      </w:r>
      <w:r w:rsidR="00564A92">
        <w:rPr>
          <w:rFonts w:ascii="Verdana" w:hAnsi="Verdana"/>
          <w:snapToGrid w:val="0"/>
          <w:sz w:val="20"/>
          <w:szCs w:val="20"/>
          <w:lang w:eastAsia="fi-FI"/>
        </w:rPr>
        <w:t>o</w:t>
      </w:r>
      <w:r w:rsidRPr="00AC4891">
        <w:rPr>
          <w:rFonts w:ascii="Verdana" w:hAnsi="Verdana"/>
          <w:snapToGrid w:val="0"/>
          <w:sz w:val="20"/>
          <w:szCs w:val="20"/>
          <w:lang w:eastAsia="fi-FI"/>
        </w:rPr>
        <w:t xml:space="preserve">esophagus, absent rish subclavian artery, swollen sublclavian artery, swollen sublingual salivary </w:t>
      </w:r>
      <w:r w:rsidR="00564A92" w:rsidRPr="00AC4891">
        <w:rPr>
          <w:rFonts w:ascii="Verdana" w:hAnsi="Verdana"/>
          <w:snapToGrid w:val="0"/>
          <w:sz w:val="20"/>
          <w:szCs w:val="20"/>
          <w:lang w:eastAsia="fi-FI"/>
        </w:rPr>
        <w:t>glands</w:t>
      </w:r>
      <w:r w:rsidRPr="00AC4891">
        <w:rPr>
          <w:rFonts w:ascii="Verdana" w:hAnsi="Verdana"/>
          <w:snapToGrid w:val="0"/>
          <w:sz w:val="20"/>
          <w:szCs w:val="20"/>
          <w:lang w:eastAsia="fi-FI"/>
        </w:rPr>
        <w:t>, malformed stomach, small thyroid and parathyroid, abnormal caudal vertebrae, fused sternebrae and split sternebrae)</w:t>
      </w:r>
      <w:r w:rsidR="00AC4891">
        <w:rPr>
          <w:rFonts w:ascii="Verdana" w:hAnsi="Verdana"/>
          <w:snapToGrid w:val="0"/>
          <w:sz w:val="20"/>
          <w:szCs w:val="20"/>
          <w:lang w:eastAsia="fi-FI"/>
        </w:rPr>
        <w:t xml:space="preserve"> </w:t>
      </w:r>
      <w:r w:rsidRPr="00AC4891">
        <w:rPr>
          <w:rFonts w:ascii="Verdana" w:hAnsi="Verdana"/>
          <w:snapToGrid w:val="0"/>
          <w:sz w:val="20"/>
          <w:szCs w:val="20"/>
          <w:lang w:eastAsia="fi-FI"/>
        </w:rPr>
        <w:t xml:space="preserve">with low incidences for each malformation (1 incidence in 1 litter). </w:t>
      </w:r>
      <w:r w:rsidR="007C0A41">
        <w:rPr>
          <w:rFonts w:ascii="Verdana" w:hAnsi="Verdana"/>
          <w:snapToGrid w:val="0"/>
          <w:sz w:val="20"/>
          <w:szCs w:val="20"/>
          <w:lang w:eastAsia="fi-FI"/>
        </w:rPr>
        <w:t>However</w:t>
      </w:r>
      <w:r w:rsidR="007C0A41" w:rsidRPr="007C0A41">
        <w:rPr>
          <w:rFonts w:ascii="Verdana" w:hAnsi="Verdana"/>
          <w:snapToGrid w:val="0"/>
          <w:sz w:val="20"/>
          <w:szCs w:val="20"/>
          <w:lang w:eastAsia="fi-FI"/>
        </w:rPr>
        <w:t>, the incidence of any specific skeletal or visceral malformation was not significant</w:t>
      </w:r>
      <w:r w:rsidR="007C0A41">
        <w:rPr>
          <w:rFonts w:ascii="Verdana" w:hAnsi="Verdana"/>
          <w:snapToGrid w:val="0"/>
          <w:sz w:val="20"/>
          <w:szCs w:val="20"/>
          <w:lang w:eastAsia="fi-FI"/>
        </w:rPr>
        <w:t>.</w:t>
      </w:r>
    </w:p>
    <w:p w14:paraId="05ED2D4D" w14:textId="182E0ED1" w:rsidR="003B6734" w:rsidRPr="003712A3" w:rsidRDefault="003712A3" w:rsidP="003B6734">
      <w:pPr>
        <w:spacing w:after="120"/>
        <w:jc w:val="both"/>
        <w:rPr>
          <w:rFonts w:ascii="Verdana" w:hAnsi="Verdana"/>
          <w:b/>
          <w:snapToGrid w:val="0"/>
          <w:sz w:val="20"/>
          <w:szCs w:val="20"/>
          <w:lang w:eastAsia="fi-FI"/>
        </w:rPr>
      </w:pPr>
      <w:r w:rsidRPr="003712A3">
        <w:rPr>
          <w:rFonts w:ascii="Verdana" w:hAnsi="Verdana"/>
          <w:b/>
          <w:snapToGrid w:val="0"/>
          <w:sz w:val="20"/>
          <w:szCs w:val="20"/>
          <w:lang w:eastAsia="fi-FI"/>
        </w:rPr>
        <w:t>Table</w:t>
      </w:r>
      <w:r w:rsidR="002D0738">
        <w:rPr>
          <w:rFonts w:ascii="Verdana" w:hAnsi="Verdana"/>
          <w:b/>
          <w:snapToGrid w:val="0"/>
          <w:sz w:val="20"/>
          <w:szCs w:val="20"/>
          <w:lang w:eastAsia="fi-FI"/>
        </w:rPr>
        <w:t xml:space="preserve"> 14</w:t>
      </w:r>
      <w:r w:rsidR="00C37224">
        <w:rPr>
          <w:rFonts w:ascii="Verdana" w:hAnsi="Verdana"/>
          <w:b/>
          <w:snapToGrid w:val="0"/>
          <w:sz w:val="20"/>
          <w:szCs w:val="20"/>
          <w:lang w:eastAsia="fi-FI"/>
        </w:rPr>
        <w:tab/>
      </w:r>
      <w:r w:rsidRPr="003712A3">
        <w:rPr>
          <w:rFonts w:ascii="Verdana" w:hAnsi="Verdana"/>
          <w:b/>
          <w:snapToGrid w:val="0"/>
          <w:sz w:val="20"/>
          <w:szCs w:val="20"/>
          <w:lang w:eastAsia="fi-FI"/>
        </w:rPr>
        <w:t xml:space="preserve"> </w:t>
      </w:r>
      <w:r w:rsidR="00B126C8">
        <w:rPr>
          <w:rFonts w:ascii="Verdana" w:hAnsi="Verdana"/>
          <w:b/>
          <w:snapToGrid w:val="0"/>
          <w:sz w:val="20"/>
          <w:szCs w:val="20"/>
          <w:lang w:eastAsia="fi-FI"/>
        </w:rPr>
        <w:t>Selected visceral malformations summary</w:t>
      </w:r>
      <w:r w:rsidRPr="003712A3">
        <w:rPr>
          <w:rFonts w:ascii="Verdana" w:hAnsi="Verdana"/>
          <w:b/>
          <w:snapToGrid w:val="0"/>
          <w:sz w:val="20"/>
          <w:szCs w:val="20"/>
          <w:lang w:eastAsia="fi-FI"/>
        </w:rPr>
        <w:t xml:space="preserve"> (U</w:t>
      </w:r>
      <w:r>
        <w:rPr>
          <w:rFonts w:ascii="Verdana" w:hAnsi="Verdana"/>
          <w:b/>
          <w:snapToGrid w:val="0"/>
          <w:sz w:val="20"/>
          <w:szCs w:val="20"/>
          <w:lang w:eastAsia="fi-FI"/>
        </w:rPr>
        <w:t>npubli</w:t>
      </w:r>
      <w:r w:rsidRPr="003712A3">
        <w:rPr>
          <w:rFonts w:ascii="Verdana" w:hAnsi="Verdana"/>
          <w:b/>
          <w:snapToGrid w:val="0"/>
          <w:sz w:val="20"/>
          <w:szCs w:val="20"/>
          <w:lang w:eastAsia="fi-FI"/>
        </w:rPr>
        <w:t>s</w:t>
      </w:r>
      <w:r>
        <w:rPr>
          <w:rFonts w:ascii="Verdana" w:hAnsi="Verdana"/>
          <w:b/>
          <w:snapToGrid w:val="0"/>
          <w:sz w:val="20"/>
          <w:szCs w:val="20"/>
          <w:lang w:eastAsia="fi-FI"/>
        </w:rPr>
        <w:t>h</w:t>
      </w:r>
      <w:r w:rsidRPr="003712A3">
        <w:rPr>
          <w:rFonts w:ascii="Verdana" w:hAnsi="Verdana"/>
          <w:b/>
          <w:snapToGrid w:val="0"/>
          <w:sz w:val="20"/>
          <w:szCs w:val="20"/>
          <w:lang w:eastAsia="fi-FI"/>
        </w:rPr>
        <w:t>ed, 1991)</w:t>
      </w:r>
    </w:p>
    <w:tbl>
      <w:tblPr>
        <w:tblStyle w:val="Grilledutableau"/>
        <w:tblW w:w="8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983"/>
        <w:gridCol w:w="940"/>
        <w:gridCol w:w="940"/>
        <w:gridCol w:w="940"/>
        <w:gridCol w:w="940"/>
        <w:gridCol w:w="940"/>
        <w:gridCol w:w="1195"/>
      </w:tblGrid>
      <w:tr w:rsidR="00B126C8" w14:paraId="6514010B" w14:textId="77777777" w:rsidTr="008B6593">
        <w:trPr>
          <w:trHeight w:val="347"/>
        </w:trPr>
        <w:tc>
          <w:tcPr>
            <w:tcW w:w="1641" w:type="dxa"/>
            <w:tcBorders>
              <w:top w:val="single" w:sz="4" w:space="0" w:color="auto"/>
            </w:tcBorders>
          </w:tcPr>
          <w:p w14:paraId="62A459EB" w14:textId="77777777" w:rsidR="00B126C8" w:rsidRPr="003712A3" w:rsidRDefault="00B126C8" w:rsidP="008B6593">
            <w:pPr>
              <w:spacing w:after="0"/>
              <w:jc w:val="both"/>
              <w:rPr>
                <w:rFonts w:ascii="Verdana" w:hAnsi="Verdana"/>
                <w:snapToGrid w:val="0"/>
                <w:sz w:val="20"/>
                <w:szCs w:val="20"/>
                <w:lang w:eastAsia="fi-FI"/>
              </w:rPr>
            </w:pPr>
          </w:p>
        </w:tc>
        <w:tc>
          <w:tcPr>
            <w:tcW w:w="954" w:type="dxa"/>
            <w:tcBorders>
              <w:top w:val="single" w:sz="4" w:space="0" w:color="auto"/>
            </w:tcBorders>
          </w:tcPr>
          <w:p w14:paraId="561A7A4A" w14:textId="77777777" w:rsidR="00B126C8" w:rsidRPr="003712A3" w:rsidRDefault="00B126C8" w:rsidP="008B6593">
            <w:pPr>
              <w:spacing w:after="0"/>
              <w:jc w:val="both"/>
              <w:rPr>
                <w:rFonts w:ascii="Verdana" w:hAnsi="Verdana"/>
                <w:snapToGrid w:val="0"/>
                <w:sz w:val="20"/>
                <w:szCs w:val="20"/>
                <w:lang w:eastAsia="fi-FI"/>
              </w:rPr>
            </w:pPr>
          </w:p>
        </w:tc>
        <w:tc>
          <w:tcPr>
            <w:tcW w:w="5959" w:type="dxa"/>
            <w:gridSpan w:val="6"/>
            <w:tcBorders>
              <w:top w:val="single" w:sz="4" w:space="0" w:color="auto"/>
            </w:tcBorders>
          </w:tcPr>
          <w:p w14:paraId="033A0D11" w14:textId="01BDDDC5" w:rsidR="00B126C8" w:rsidRPr="003712A3" w:rsidRDefault="00B126C8" w:rsidP="008B6593">
            <w:pPr>
              <w:spacing w:after="0"/>
              <w:jc w:val="center"/>
              <w:rPr>
                <w:rFonts w:ascii="Verdana" w:hAnsi="Verdana"/>
                <w:snapToGrid w:val="0"/>
                <w:sz w:val="20"/>
                <w:szCs w:val="20"/>
                <w:lang w:eastAsia="fi-FI"/>
              </w:rPr>
            </w:pPr>
            <w:r>
              <w:rPr>
                <w:rFonts w:ascii="Verdana" w:hAnsi="Verdana"/>
                <w:snapToGrid w:val="0"/>
                <w:sz w:val="20"/>
                <w:szCs w:val="20"/>
                <w:lang w:eastAsia="fi-FI"/>
              </w:rPr>
              <w:t>Carbon disulfide</w:t>
            </w:r>
          </w:p>
        </w:tc>
      </w:tr>
      <w:tr w:rsidR="003712A3" w14:paraId="07A4F052" w14:textId="77777777" w:rsidTr="008B6593">
        <w:trPr>
          <w:trHeight w:val="363"/>
        </w:trPr>
        <w:tc>
          <w:tcPr>
            <w:tcW w:w="1641" w:type="dxa"/>
            <w:tcBorders>
              <w:bottom w:val="single" w:sz="4" w:space="0" w:color="auto"/>
            </w:tcBorders>
          </w:tcPr>
          <w:p w14:paraId="675B0C09" w14:textId="4CB20BE7"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Group</w:t>
            </w:r>
          </w:p>
        </w:tc>
        <w:tc>
          <w:tcPr>
            <w:tcW w:w="954" w:type="dxa"/>
            <w:tcBorders>
              <w:bottom w:val="single" w:sz="4" w:space="0" w:color="auto"/>
            </w:tcBorders>
          </w:tcPr>
          <w:p w14:paraId="32427936" w14:textId="77777777" w:rsidR="003712A3" w:rsidRPr="003712A3" w:rsidRDefault="003712A3" w:rsidP="008B6593">
            <w:pPr>
              <w:spacing w:after="0"/>
              <w:jc w:val="both"/>
              <w:rPr>
                <w:rFonts w:ascii="Verdana" w:hAnsi="Verdana"/>
                <w:snapToGrid w:val="0"/>
                <w:sz w:val="20"/>
                <w:szCs w:val="20"/>
                <w:lang w:eastAsia="fi-FI"/>
              </w:rPr>
            </w:pPr>
          </w:p>
        </w:tc>
        <w:tc>
          <w:tcPr>
            <w:tcW w:w="912" w:type="dxa"/>
            <w:tcBorders>
              <w:bottom w:val="single" w:sz="4" w:space="0" w:color="auto"/>
            </w:tcBorders>
          </w:tcPr>
          <w:p w14:paraId="2AE9B52C" w14:textId="2B568BEB"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0 ppm</w:t>
            </w:r>
          </w:p>
        </w:tc>
        <w:tc>
          <w:tcPr>
            <w:tcW w:w="912" w:type="dxa"/>
            <w:tcBorders>
              <w:bottom w:val="single" w:sz="4" w:space="0" w:color="auto"/>
            </w:tcBorders>
          </w:tcPr>
          <w:p w14:paraId="62D83525" w14:textId="6EB0C1C5"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60 ppm</w:t>
            </w:r>
          </w:p>
        </w:tc>
        <w:tc>
          <w:tcPr>
            <w:tcW w:w="1148" w:type="dxa"/>
            <w:tcBorders>
              <w:bottom w:val="single" w:sz="4" w:space="0" w:color="auto"/>
            </w:tcBorders>
          </w:tcPr>
          <w:p w14:paraId="1B7BB651" w14:textId="6DB4E2A2"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 xml:space="preserve">100 ppm </w:t>
            </w:r>
          </w:p>
        </w:tc>
        <w:tc>
          <w:tcPr>
            <w:tcW w:w="912" w:type="dxa"/>
            <w:tcBorders>
              <w:bottom w:val="single" w:sz="4" w:space="0" w:color="auto"/>
            </w:tcBorders>
          </w:tcPr>
          <w:p w14:paraId="740E0E26" w14:textId="1157A14A"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 xml:space="preserve">300 ppm </w:t>
            </w:r>
          </w:p>
        </w:tc>
        <w:tc>
          <w:tcPr>
            <w:tcW w:w="912" w:type="dxa"/>
            <w:tcBorders>
              <w:bottom w:val="single" w:sz="4" w:space="0" w:color="auto"/>
            </w:tcBorders>
          </w:tcPr>
          <w:p w14:paraId="5A41C801" w14:textId="589BDA14"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600 ppm</w:t>
            </w:r>
          </w:p>
        </w:tc>
        <w:tc>
          <w:tcPr>
            <w:tcW w:w="1157" w:type="dxa"/>
            <w:tcBorders>
              <w:bottom w:val="single" w:sz="4" w:space="0" w:color="auto"/>
            </w:tcBorders>
          </w:tcPr>
          <w:p w14:paraId="28A2C67A" w14:textId="40BD604A" w:rsidR="003712A3" w:rsidRPr="003712A3" w:rsidRDefault="003712A3" w:rsidP="008B6593">
            <w:pPr>
              <w:spacing w:after="0"/>
              <w:jc w:val="both"/>
              <w:rPr>
                <w:rFonts w:ascii="Verdana" w:hAnsi="Verdana"/>
                <w:snapToGrid w:val="0"/>
                <w:sz w:val="20"/>
                <w:szCs w:val="20"/>
                <w:lang w:eastAsia="fi-FI"/>
              </w:rPr>
            </w:pPr>
            <w:r w:rsidRPr="003712A3">
              <w:rPr>
                <w:rFonts w:ascii="Verdana" w:hAnsi="Verdana"/>
                <w:snapToGrid w:val="0"/>
                <w:sz w:val="20"/>
                <w:szCs w:val="20"/>
                <w:lang w:eastAsia="fi-FI"/>
              </w:rPr>
              <w:t xml:space="preserve">1200 ppm  </w:t>
            </w:r>
          </w:p>
        </w:tc>
      </w:tr>
      <w:tr w:rsidR="003712A3" w14:paraId="2C24DD81" w14:textId="77777777" w:rsidTr="008B6593">
        <w:trPr>
          <w:trHeight w:val="710"/>
        </w:trPr>
        <w:tc>
          <w:tcPr>
            <w:tcW w:w="1641" w:type="dxa"/>
            <w:tcBorders>
              <w:top w:val="single" w:sz="4" w:space="0" w:color="auto"/>
              <w:bottom w:val="single" w:sz="4" w:space="0" w:color="auto"/>
            </w:tcBorders>
          </w:tcPr>
          <w:p w14:paraId="5DA41D87" w14:textId="53FE0E92"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Total number examined</w:t>
            </w:r>
          </w:p>
        </w:tc>
        <w:tc>
          <w:tcPr>
            <w:tcW w:w="954" w:type="dxa"/>
            <w:tcBorders>
              <w:top w:val="single" w:sz="4" w:space="0" w:color="auto"/>
              <w:bottom w:val="single" w:sz="4" w:space="0" w:color="auto"/>
            </w:tcBorders>
          </w:tcPr>
          <w:p w14:paraId="45EDFCA3"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Litter</w:t>
            </w:r>
          </w:p>
          <w:p w14:paraId="5BDB2122" w14:textId="149CF02B"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Fetuses</w:t>
            </w:r>
          </w:p>
        </w:tc>
        <w:tc>
          <w:tcPr>
            <w:tcW w:w="912" w:type="dxa"/>
            <w:tcBorders>
              <w:top w:val="single" w:sz="4" w:space="0" w:color="auto"/>
              <w:bottom w:val="single" w:sz="4" w:space="0" w:color="auto"/>
            </w:tcBorders>
          </w:tcPr>
          <w:p w14:paraId="4B22E18E"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22</w:t>
            </w:r>
          </w:p>
          <w:p w14:paraId="7C0DB688" w14:textId="5FAB6D12"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202</w:t>
            </w:r>
          </w:p>
        </w:tc>
        <w:tc>
          <w:tcPr>
            <w:tcW w:w="912" w:type="dxa"/>
            <w:tcBorders>
              <w:top w:val="single" w:sz="4" w:space="0" w:color="auto"/>
              <w:bottom w:val="single" w:sz="4" w:space="0" w:color="auto"/>
            </w:tcBorders>
          </w:tcPr>
          <w:p w14:paraId="67D017A6"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23</w:t>
            </w:r>
          </w:p>
          <w:p w14:paraId="35206E3A" w14:textId="55F84E35"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201</w:t>
            </w:r>
          </w:p>
        </w:tc>
        <w:tc>
          <w:tcPr>
            <w:tcW w:w="1148" w:type="dxa"/>
            <w:tcBorders>
              <w:top w:val="single" w:sz="4" w:space="0" w:color="auto"/>
              <w:bottom w:val="single" w:sz="4" w:space="0" w:color="auto"/>
            </w:tcBorders>
          </w:tcPr>
          <w:p w14:paraId="75A2FF1C"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22</w:t>
            </w:r>
          </w:p>
          <w:p w14:paraId="3831736C" w14:textId="78DB88FF"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193</w:t>
            </w:r>
          </w:p>
        </w:tc>
        <w:tc>
          <w:tcPr>
            <w:tcW w:w="912" w:type="dxa"/>
            <w:tcBorders>
              <w:top w:val="single" w:sz="4" w:space="0" w:color="auto"/>
              <w:bottom w:val="single" w:sz="4" w:space="0" w:color="auto"/>
            </w:tcBorders>
          </w:tcPr>
          <w:p w14:paraId="4EF5B282"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21</w:t>
            </w:r>
          </w:p>
          <w:p w14:paraId="5C25D398" w14:textId="4CBFAFA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175</w:t>
            </w:r>
          </w:p>
        </w:tc>
        <w:tc>
          <w:tcPr>
            <w:tcW w:w="912" w:type="dxa"/>
            <w:tcBorders>
              <w:top w:val="single" w:sz="4" w:space="0" w:color="auto"/>
              <w:bottom w:val="single" w:sz="4" w:space="0" w:color="auto"/>
            </w:tcBorders>
          </w:tcPr>
          <w:p w14:paraId="48377D74"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20</w:t>
            </w:r>
          </w:p>
          <w:p w14:paraId="3233547F" w14:textId="56FC334E"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159</w:t>
            </w:r>
          </w:p>
        </w:tc>
        <w:tc>
          <w:tcPr>
            <w:tcW w:w="1157" w:type="dxa"/>
            <w:tcBorders>
              <w:top w:val="single" w:sz="4" w:space="0" w:color="auto"/>
              <w:bottom w:val="single" w:sz="4" w:space="0" w:color="auto"/>
            </w:tcBorders>
          </w:tcPr>
          <w:p w14:paraId="7B69A882"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7</w:t>
            </w:r>
          </w:p>
          <w:p w14:paraId="763D63A6" w14:textId="3D506659"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35</w:t>
            </w:r>
          </w:p>
        </w:tc>
      </w:tr>
      <w:tr w:rsidR="003712A3" w14:paraId="5FF9312B" w14:textId="77777777" w:rsidTr="008B6593">
        <w:trPr>
          <w:trHeight w:val="347"/>
        </w:trPr>
        <w:tc>
          <w:tcPr>
            <w:tcW w:w="1641" w:type="dxa"/>
            <w:tcBorders>
              <w:top w:val="single" w:sz="4" w:space="0" w:color="auto"/>
              <w:bottom w:val="single" w:sz="4" w:space="0" w:color="auto"/>
            </w:tcBorders>
          </w:tcPr>
          <w:p w14:paraId="1D525DA1" w14:textId="3E95A679" w:rsidR="003712A3"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Total number of malformations</w:t>
            </w:r>
          </w:p>
        </w:tc>
        <w:tc>
          <w:tcPr>
            <w:tcW w:w="954" w:type="dxa"/>
            <w:tcBorders>
              <w:top w:val="single" w:sz="4" w:space="0" w:color="auto"/>
              <w:bottom w:val="single" w:sz="4" w:space="0" w:color="auto"/>
            </w:tcBorders>
          </w:tcPr>
          <w:p w14:paraId="0AD0938D"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Litters</w:t>
            </w:r>
          </w:p>
          <w:p w14:paraId="2413ACC1" w14:textId="765F7034"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Fetuses</w:t>
            </w:r>
          </w:p>
        </w:tc>
        <w:tc>
          <w:tcPr>
            <w:tcW w:w="912" w:type="dxa"/>
            <w:tcBorders>
              <w:top w:val="single" w:sz="4" w:space="0" w:color="auto"/>
              <w:bottom w:val="single" w:sz="4" w:space="0" w:color="auto"/>
            </w:tcBorders>
          </w:tcPr>
          <w:p w14:paraId="2CC2F0C4" w14:textId="77777777" w:rsidR="003712A3"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(9.1%)</w:t>
            </w:r>
          </w:p>
          <w:p w14:paraId="7BDEB311" w14:textId="1E4CCC6F"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(1%)</w:t>
            </w:r>
          </w:p>
        </w:tc>
        <w:tc>
          <w:tcPr>
            <w:tcW w:w="912" w:type="dxa"/>
            <w:tcBorders>
              <w:top w:val="single" w:sz="4" w:space="0" w:color="auto"/>
              <w:bottom w:val="single" w:sz="4" w:space="0" w:color="auto"/>
            </w:tcBorders>
          </w:tcPr>
          <w:p w14:paraId="1A9F568C" w14:textId="77777777" w:rsidR="003712A3"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(8.7%)</w:t>
            </w:r>
          </w:p>
          <w:p w14:paraId="29887B41" w14:textId="4E6B80F0"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(1%)</w:t>
            </w:r>
          </w:p>
        </w:tc>
        <w:tc>
          <w:tcPr>
            <w:tcW w:w="1148" w:type="dxa"/>
            <w:tcBorders>
              <w:top w:val="single" w:sz="4" w:space="0" w:color="auto"/>
              <w:bottom w:val="single" w:sz="4" w:space="0" w:color="auto"/>
            </w:tcBorders>
          </w:tcPr>
          <w:p w14:paraId="265C93A9" w14:textId="77777777" w:rsidR="003712A3"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5 (4.5%)</w:t>
            </w:r>
          </w:p>
          <w:p w14:paraId="73ED2BA0" w14:textId="403D6A94"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7 (3.6%)</w:t>
            </w:r>
          </w:p>
        </w:tc>
        <w:tc>
          <w:tcPr>
            <w:tcW w:w="912" w:type="dxa"/>
            <w:tcBorders>
              <w:top w:val="single" w:sz="4" w:space="0" w:color="auto"/>
              <w:bottom w:val="single" w:sz="4" w:space="0" w:color="auto"/>
            </w:tcBorders>
          </w:tcPr>
          <w:p w14:paraId="30603130" w14:textId="77777777" w:rsidR="003712A3"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4 (19%)</w:t>
            </w:r>
          </w:p>
          <w:p w14:paraId="6CAF901C" w14:textId="7CF12770"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3 (2.3%)</w:t>
            </w:r>
          </w:p>
        </w:tc>
        <w:tc>
          <w:tcPr>
            <w:tcW w:w="912" w:type="dxa"/>
            <w:tcBorders>
              <w:top w:val="single" w:sz="4" w:space="0" w:color="auto"/>
              <w:bottom w:val="single" w:sz="4" w:space="0" w:color="auto"/>
            </w:tcBorders>
          </w:tcPr>
          <w:p w14:paraId="1C4A78F1" w14:textId="77777777" w:rsidR="003712A3"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(10%)</w:t>
            </w:r>
          </w:p>
          <w:p w14:paraId="26386D19" w14:textId="7250415B"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(1.3%)</w:t>
            </w:r>
          </w:p>
        </w:tc>
        <w:tc>
          <w:tcPr>
            <w:tcW w:w="1157" w:type="dxa"/>
            <w:tcBorders>
              <w:top w:val="single" w:sz="4" w:space="0" w:color="auto"/>
              <w:bottom w:val="single" w:sz="4" w:space="0" w:color="auto"/>
            </w:tcBorders>
          </w:tcPr>
          <w:p w14:paraId="79ECE2ED" w14:textId="77777777"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4 (57.1%)*</w:t>
            </w:r>
          </w:p>
          <w:p w14:paraId="5DBE1359" w14:textId="0F4E7B1B" w:rsidR="003712A3" w:rsidRDefault="003712A3" w:rsidP="008B6593">
            <w:pPr>
              <w:spacing w:after="0"/>
              <w:jc w:val="both"/>
              <w:rPr>
                <w:rFonts w:ascii="Verdana" w:hAnsi="Verdana"/>
                <w:snapToGrid w:val="0"/>
                <w:sz w:val="20"/>
                <w:szCs w:val="20"/>
                <w:lang w:eastAsia="fi-FI"/>
              </w:rPr>
            </w:pPr>
            <w:r>
              <w:rPr>
                <w:rFonts w:ascii="Verdana" w:hAnsi="Verdana"/>
                <w:snapToGrid w:val="0"/>
                <w:sz w:val="20"/>
                <w:szCs w:val="20"/>
                <w:lang w:eastAsia="fi-FI"/>
              </w:rPr>
              <w:t>4 (11.4%)</w:t>
            </w:r>
          </w:p>
        </w:tc>
      </w:tr>
      <w:tr w:rsidR="00B126C8" w14:paraId="70E99D33" w14:textId="77777777" w:rsidTr="008B6593">
        <w:trPr>
          <w:trHeight w:val="693"/>
        </w:trPr>
        <w:tc>
          <w:tcPr>
            <w:tcW w:w="1641" w:type="dxa"/>
            <w:tcBorders>
              <w:top w:val="single" w:sz="4" w:space="0" w:color="auto"/>
              <w:bottom w:val="single" w:sz="4" w:space="0" w:color="auto"/>
            </w:tcBorders>
          </w:tcPr>
          <w:p w14:paraId="69E2394A" w14:textId="35697D93"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Hydrocephalus</w:t>
            </w:r>
          </w:p>
        </w:tc>
        <w:tc>
          <w:tcPr>
            <w:tcW w:w="954" w:type="dxa"/>
            <w:tcBorders>
              <w:top w:val="single" w:sz="4" w:space="0" w:color="auto"/>
              <w:bottom w:val="single" w:sz="4" w:space="0" w:color="auto"/>
            </w:tcBorders>
          </w:tcPr>
          <w:p w14:paraId="69B613E3"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Litters</w:t>
            </w:r>
          </w:p>
          <w:p w14:paraId="26BCB1CA" w14:textId="0925E993"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Fetuses</w:t>
            </w:r>
          </w:p>
        </w:tc>
        <w:tc>
          <w:tcPr>
            <w:tcW w:w="912" w:type="dxa"/>
            <w:tcBorders>
              <w:top w:val="single" w:sz="4" w:space="0" w:color="auto"/>
              <w:bottom w:val="single" w:sz="4" w:space="0" w:color="auto"/>
            </w:tcBorders>
          </w:tcPr>
          <w:p w14:paraId="0B85CD76"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0</w:t>
            </w:r>
          </w:p>
          <w:p w14:paraId="2FFD470F" w14:textId="2727DF9E"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0</w:t>
            </w:r>
          </w:p>
        </w:tc>
        <w:tc>
          <w:tcPr>
            <w:tcW w:w="912" w:type="dxa"/>
            <w:tcBorders>
              <w:top w:val="single" w:sz="4" w:space="0" w:color="auto"/>
              <w:bottom w:val="single" w:sz="4" w:space="0" w:color="auto"/>
            </w:tcBorders>
          </w:tcPr>
          <w:p w14:paraId="3FBA6945"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0</w:t>
            </w:r>
          </w:p>
          <w:p w14:paraId="229BD887" w14:textId="6D6550BC"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0</w:t>
            </w:r>
          </w:p>
        </w:tc>
        <w:tc>
          <w:tcPr>
            <w:tcW w:w="1148" w:type="dxa"/>
            <w:tcBorders>
              <w:top w:val="single" w:sz="4" w:space="0" w:color="auto"/>
              <w:bottom w:val="single" w:sz="4" w:space="0" w:color="auto"/>
            </w:tcBorders>
          </w:tcPr>
          <w:p w14:paraId="62D71FE0"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1 (4.5%)</w:t>
            </w:r>
          </w:p>
          <w:p w14:paraId="4FCE70DC" w14:textId="71EEBDA6"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1 (0.5%)</w:t>
            </w:r>
          </w:p>
        </w:tc>
        <w:tc>
          <w:tcPr>
            <w:tcW w:w="912" w:type="dxa"/>
            <w:tcBorders>
              <w:top w:val="single" w:sz="4" w:space="0" w:color="auto"/>
              <w:bottom w:val="single" w:sz="4" w:space="0" w:color="auto"/>
            </w:tcBorders>
          </w:tcPr>
          <w:p w14:paraId="6EEE6B02"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0</w:t>
            </w:r>
          </w:p>
          <w:p w14:paraId="3DCC7C24" w14:textId="4B8C2689"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0</w:t>
            </w:r>
          </w:p>
        </w:tc>
        <w:tc>
          <w:tcPr>
            <w:tcW w:w="912" w:type="dxa"/>
            <w:tcBorders>
              <w:top w:val="single" w:sz="4" w:space="0" w:color="auto"/>
              <w:bottom w:val="single" w:sz="4" w:space="0" w:color="auto"/>
            </w:tcBorders>
          </w:tcPr>
          <w:p w14:paraId="5AAF2485"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1 (5%)</w:t>
            </w:r>
          </w:p>
          <w:p w14:paraId="68C35135" w14:textId="0C18D87D"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1 (0.6%)</w:t>
            </w:r>
          </w:p>
        </w:tc>
        <w:tc>
          <w:tcPr>
            <w:tcW w:w="1157" w:type="dxa"/>
            <w:tcBorders>
              <w:top w:val="single" w:sz="4" w:space="0" w:color="auto"/>
              <w:bottom w:val="single" w:sz="4" w:space="0" w:color="auto"/>
            </w:tcBorders>
          </w:tcPr>
          <w:p w14:paraId="083CBDB9" w14:textId="77777777"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(28.6%)</w:t>
            </w:r>
          </w:p>
          <w:p w14:paraId="280F602E" w14:textId="1A24A6D2" w:rsidR="00B126C8" w:rsidRDefault="00B126C8" w:rsidP="008B6593">
            <w:pPr>
              <w:spacing w:after="0"/>
              <w:jc w:val="both"/>
              <w:rPr>
                <w:rFonts w:ascii="Verdana" w:hAnsi="Verdana"/>
                <w:snapToGrid w:val="0"/>
                <w:sz w:val="20"/>
                <w:szCs w:val="20"/>
                <w:lang w:eastAsia="fi-FI"/>
              </w:rPr>
            </w:pPr>
            <w:r>
              <w:rPr>
                <w:rFonts w:ascii="Verdana" w:hAnsi="Verdana"/>
                <w:snapToGrid w:val="0"/>
                <w:sz w:val="20"/>
                <w:szCs w:val="20"/>
                <w:lang w:eastAsia="fi-FI"/>
              </w:rPr>
              <w:t>2 (5.7%)</w:t>
            </w:r>
          </w:p>
        </w:tc>
      </w:tr>
    </w:tbl>
    <w:p w14:paraId="1D916953" w14:textId="5DA6883B" w:rsidR="003712A3" w:rsidRDefault="003712A3" w:rsidP="003B6734">
      <w:pPr>
        <w:spacing w:after="120"/>
        <w:jc w:val="both"/>
        <w:rPr>
          <w:rFonts w:ascii="Verdana" w:hAnsi="Verdana"/>
          <w:snapToGrid w:val="0"/>
          <w:sz w:val="20"/>
          <w:szCs w:val="20"/>
          <w:lang w:eastAsia="fi-FI"/>
        </w:rPr>
      </w:pPr>
      <w:r>
        <w:rPr>
          <w:rFonts w:ascii="Verdana" w:hAnsi="Verdana"/>
          <w:snapToGrid w:val="0"/>
          <w:sz w:val="20"/>
          <w:szCs w:val="20"/>
          <w:lang w:eastAsia="fi-FI"/>
        </w:rPr>
        <w:t>*p≤ 0.05; Fisher Exact</w:t>
      </w:r>
    </w:p>
    <w:p w14:paraId="319595F8" w14:textId="77777777" w:rsidR="00F5375E" w:rsidRDefault="00F5375E" w:rsidP="00A31A74">
      <w:pPr>
        <w:spacing w:after="120" w:line="276" w:lineRule="auto"/>
        <w:jc w:val="both"/>
        <w:rPr>
          <w:rFonts w:ascii="Verdana" w:hAnsi="Verdana"/>
          <w:snapToGrid w:val="0"/>
          <w:sz w:val="20"/>
          <w:szCs w:val="20"/>
          <w:lang w:eastAsia="fi-FI"/>
        </w:rPr>
      </w:pPr>
    </w:p>
    <w:p w14:paraId="52ADB4CF" w14:textId="3FDBBB6F" w:rsidR="00F5375E" w:rsidRDefault="000411A2" w:rsidP="00A31A74">
      <w:pPr>
        <w:spacing w:after="120" w:line="276" w:lineRule="auto"/>
        <w:jc w:val="both"/>
        <w:rPr>
          <w:rFonts w:ascii="Verdana" w:hAnsi="Verdana"/>
          <w:snapToGrid w:val="0"/>
          <w:sz w:val="20"/>
          <w:szCs w:val="20"/>
          <w:lang w:eastAsia="fi-FI"/>
        </w:rPr>
      </w:pPr>
      <w:r w:rsidRPr="00AC4891">
        <w:rPr>
          <w:rFonts w:ascii="Verdana" w:hAnsi="Verdana"/>
          <w:snapToGrid w:val="0"/>
          <w:sz w:val="20"/>
          <w:szCs w:val="20"/>
          <w:lang w:eastAsia="fi-FI"/>
        </w:rPr>
        <w:t xml:space="preserve">In a previous prenatal developmental study in rabbits Jones-Price </w:t>
      </w:r>
      <w:r w:rsidR="0008751D" w:rsidRPr="0008751D">
        <w:rPr>
          <w:rFonts w:ascii="Verdana" w:hAnsi="Verdana"/>
          <w:i/>
          <w:snapToGrid w:val="0"/>
          <w:sz w:val="20"/>
          <w:szCs w:val="20"/>
          <w:lang w:eastAsia="fi-FI"/>
        </w:rPr>
        <w:t>et al.</w:t>
      </w:r>
      <w:r w:rsidRPr="00AC4891">
        <w:rPr>
          <w:rFonts w:ascii="Verdana" w:hAnsi="Verdana"/>
          <w:snapToGrid w:val="0"/>
          <w:sz w:val="20"/>
          <w:szCs w:val="20"/>
          <w:lang w:eastAsia="fi-FI"/>
        </w:rPr>
        <w:t xml:space="preserve"> (1984b) investigated the effects of </w:t>
      </w:r>
      <w:r w:rsidR="00351F82" w:rsidRPr="00AC4891">
        <w:rPr>
          <w:rFonts w:ascii="Verdana" w:hAnsi="Verdana"/>
          <w:snapToGrid w:val="0"/>
          <w:sz w:val="20"/>
          <w:szCs w:val="20"/>
          <w:lang w:eastAsia="fi-FI"/>
        </w:rPr>
        <w:t>carbon disulfide</w:t>
      </w:r>
      <w:r w:rsidRPr="00AC4891">
        <w:rPr>
          <w:rFonts w:ascii="Verdana" w:hAnsi="Verdana"/>
          <w:snapToGrid w:val="0"/>
          <w:sz w:val="20"/>
          <w:szCs w:val="20"/>
          <w:lang w:eastAsia="fi-FI"/>
        </w:rPr>
        <w:t xml:space="preserve"> on development following oral exposure of pregnant rabbits to 0, 25, 75 and 150 mg/kg bw/d during gestation days 6-19. Animals were sacrificed on gestation day 30. Retarded body weight gains and increased liver weights were measured in the dams at 75 and 150 mg/kg bw/d. Fetal malformations were statistically significantly increased in males following exposure to 150 mg/kg bw/d. Resorptions were seen at all dose levels. A LOAEC of 25 mg/kg </w:t>
      </w:r>
      <w:r w:rsidR="001C7FCE">
        <w:rPr>
          <w:rFonts w:ascii="Verdana" w:hAnsi="Verdana"/>
          <w:snapToGrid w:val="0"/>
          <w:sz w:val="20"/>
          <w:szCs w:val="20"/>
          <w:lang w:eastAsia="fi-FI"/>
        </w:rPr>
        <w:t xml:space="preserve">bw/d </w:t>
      </w:r>
      <w:r w:rsidRPr="00AC4891">
        <w:rPr>
          <w:rFonts w:ascii="Verdana" w:hAnsi="Verdana"/>
          <w:snapToGrid w:val="0"/>
          <w:sz w:val="20"/>
          <w:szCs w:val="20"/>
          <w:lang w:eastAsia="fi-FI"/>
        </w:rPr>
        <w:t>was identified for the study (</w:t>
      </w:r>
      <w:r w:rsidR="00564A92">
        <w:rPr>
          <w:rFonts w:ascii="Verdana" w:hAnsi="Verdana"/>
          <w:snapToGrid w:val="0"/>
          <w:sz w:val="20"/>
          <w:szCs w:val="20"/>
          <w:lang w:eastAsia="fi-FI"/>
        </w:rPr>
        <w:t xml:space="preserve">study report not available, summary available in </w:t>
      </w:r>
      <w:r w:rsidRPr="00AC4891">
        <w:rPr>
          <w:rFonts w:ascii="Verdana" w:hAnsi="Verdana"/>
          <w:snapToGrid w:val="0"/>
          <w:sz w:val="20"/>
          <w:szCs w:val="20"/>
          <w:lang w:eastAsia="fi-FI"/>
        </w:rPr>
        <w:t>ATSDR, 1996).</w:t>
      </w:r>
    </w:p>
    <w:p w14:paraId="2C3625AD" w14:textId="13DFF95C" w:rsidR="000411A2" w:rsidRPr="00AC4891" w:rsidRDefault="002C0986" w:rsidP="00A31A74">
      <w:pPr>
        <w:spacing w:after="120" w:line="276" w:lineRule="auto"/>
        <w:jc w:val="both"/>
        <w:rPr>
          <w:rFonts w:ascii="Verdana" w:hAnsi="Verdana"/>
          <w:snapToGrid w:val="0"/>
          <w:sz w:val="20"/>
          <w:szCs w:val="20"/>
          <w:lang w:eastAsia="fi-FI"/>
        </w:rPr>
      </w:pPr>
      <w:r>
        <w:rPr>
          <w:rFonts w:ascii="Verdana" w:hAnsi="Verdana"/>
          <w:snapToGrid w:val="0"/>
          <w:sz w:val="20"/>
          <w:szCs w:val="20"/>
          <w:lang w:eastAsia="fi-FI"/>
        </w:rPr>
        <w:t xml:space="preserve">In addition, in </w:t>
      </w:r>
      <w:r w:rsidR="001C7FCE">
        <w:rPr>
          <w:rFonts w:ascii="Verdana" w:hAnsi="Verdana"/>
          <w:snapToGrid w:val="0"/>
          <w:sz w:val="20"/>
          <w:szCs w:val="20"/>
          <w:lang w:eastAsia="fi-FI"/>
        </w:rPr>
        <w:t xml:space="preserve">a </w:t>
      </w:r>
      <w:r w:rsidR="00906801">
        <w:rPr>
          <w:rFonts w:ascii="Verdana" w:hAnsi="Verdana"/>
          <w:snapToGrid w:val="0"/>
          <w:sz w:val="20"/>
          <w:szCs w:val="20"/>
          <w:lang w:eastAsia="fi-FI"/>
        </w:rPr>
        <w:t xml:space="preserve">prenatal developmental toxicity study in rabbit performed 7 hours per day, 5 day per weeks before mating up to gestation day 21, </w:t>
      </w:r>
      <w:r w:rsidRPr="00AC4891">
        <w:rPr>
          <w:rFonts w:ascii="Verdana" w:hAnsi="Verdana"/>
          <w:snapToGrid w:val="0"/>
          <w:sz w:val="20"/>
          <w:szCs w:val="20"/>
          <w:lang w:eastAsia="fi-FI"/>
        </w:rPr>
        <w:t xml:space="preserve">no </w:t>
      </w:r>
      <w:r>
        <w:rPr>
          <w:rFonts w:ascii="Verdana" w:hAnsi="Verdana"/>
          <w:snapToGrid w:val="0"/>
          <w:sz w:val="20"/>
          <w:szCs w:val="20"/>
          <w:lang w:eastAsia="fi-FI"/>
        </w:rPr>
        <w:t xml:space="preserve">developmental </w:t>
      </w:r>
      <w:r w:rsidRPr="00AC4891">
        <w:rPr>
          <w:rFonts w:ascii="Verdana" w:hAnsi="Verdana"/>
          <w:snapToGrid w:val="0"/>
          <w:sz w:val="20"/>
          <w:szCs w:val="20"/>
          <w:lang w:eastAsia="fi-FI"/>
        </w:rPr>
        <w:t xml:space="preserve">effects were seen up to </w:t>
      </w:r>
      <w:r w:rsidR="00906801">
        <w:rPr>
          <w:rFonts w:ascii="Verdana" w:hAnsi="Verdana"/>
          <w:snapToGrid w:val="0"/>
          <w:sz w:val="20"/>
          <w:szCs w:val="20"/>
          <w:lang w:eastAsia="fi-FI"/>
        </w:rPr>
        <w:t>19-38</w:t>
      </w:r>
      <w:r w:rsidRPr="00AC4891">
        <w:rPr>
          <w:rFonts w:ascii="Verdana" w:hAnsi="Verdana"/>
          <w:snapToGrid w:val="0"/>
          <w:sz w:val="20"/>
          <w:szCs w:val="20"/>
          <w:lang w:eastAsia="fi-FI"/>
        </w:rPr>
        <w:t xml:space="preserve"> ppm (</w:t>
      </w:r>
      <w:r w:rsidR="00906801">
        <w:rPr>
          <w:rFonts w:ascii="Verdana" w:hAnsi="Verdana"/>
          <w:snapToGrid w:val="0"/>
          <w:sz w:val="20"/>
          <w:szCs w:val="20"/>
          <w:lang w:eastAsia="fi-FI"/>
        </w:rPr>
        <w:t>60-120</w:t>
      </w:r>
      <w:r w:rsidRPr="00AC4891">
        <w:rPr>
          <w:rFonts w:ascii="Verdana" w:hAnsi="Verdana"/>
          <w:snapToGrid w:val="0"/>
          <w:sz w:val="20"/>
          <w:szCs w:val="20"/>
          <w:lang w:eastAsia="fi-FI"/>
        </w:rPr>
        <w:t xml:space="preserve"> mg/m</w:t>
      </w:r>
      <w:r w:rsidRPr="00A31A74">
        <w:rPr>
          <w:rFonts w:ascii="Verdana" w:hAnsi="Verdana"/>
          <w:snapToGrid w:val="0"/>
          <w:sz w:val="20"/>
          <w:szCs w:val="20"/>
          <w:vertAlign w:val="superscript"/>
          <w:lang w:eastAsia="fi-FI"/>
        </w:rPr>
        <w:t>3</w:t>
      </w:r>
      <w:r w:rsidR="002D0738">
        <w:rPr>
          <w:rFonts w:ascii="Verdana" w:hAnsi="Verdana"/>
          <w:snapToGrid w:val="0"/>
          <w:sz w:val="20"/>
          <w:szCs w:val="20"/>
          <w:lang w:eastAsia="fi-FI"/>
        </w:rPr>
        <w:t>)</w:t>
      </w:r>
      <w:r w:rsidR="00906801" w:rsidRPr="00906801">
        <w:rPr>
          <w:rFonts w:ascii="Verdana" w:hAnsi="Verdana"/>
          <w:snapToGrid w:val="0"/>
          <w:sz w:val="20"/>
          <w:szCs w:val="20"/>
          <w:lang w:eastAsia="fi-FI"/>
        </w:rPr>
        <w:t xml:space="preserve"> </w:t>
      </w:r>
      <w:r w:rsidR="00906801">
        <w:rPr>
          <w:rFonts w:ascii="Verdana" w:hAnsi="Verdana"/>
          <w:snapToGrid w:val="0"/>
          <w:sz w:val="20"/>
          <w:szCs w:val="20"/>
          <w:lang w:eastAsia="fi-FI"/>
        </w:rPr>
        <w:t>(Beliles</w:t>
      </w:r>
      <w:r w:rsidR="00F5375E">
        <w:rPr>
          <w:rFonts w:ascii="Verdana" w:hAnsi="Verdana"/>
          <w:snapToGrid w:val="0"/>
          <w:sz w:val="20"/>
          <w:szCs w:val="20"/>
          <w:lang w:eastAsia="fi-FI"/>
        </w:rPr>
        <w:t xml:space="preserve"> </w:t>
      </w:r>
      <w:r w:rsidR="00F5375E" w:rsidRPr="00F5375E">
        <w:rPr>
          <w:rFonts w:ascii="Verdana" w:hAnsi="Verdana"/>
          <w:i/>
          <w:snapToGrid w:val="0"/>
          <w:sz w:val="20"/>
          <w:szCs w:val="20"/>
          <w:lang w:eastAsia="fi-FI"/>
        </w:rPr>
        <w:t>et al</w:t>
      </w:r>
      <w:r w:rsidR="00F5375E">
        <w:rPr>
          <w:rFonts w:ascii="Verdana" w:hAnsi="Verdana"/>
          <w:snapToGrid w:val="0"/>
          <w:sz w:val="20"/>
          <w:szCs w:val="20"/>
          <w:lang w:eastAsia="fi-FI"/>
        </w:rPr>
        <w:t>.</w:t>
      </w:r>
      <w:r w:rsidR="00906801">
        <w:rPr>
          <w:rFonts w:ascii="Verdana" w:hAnsi="Verdana"/>
          <w:snapToGrid w:val="0"/>
          <w:sz w:val="20"/>
          <w:szCs w:val="20"/>
          <w:lang w:eastAsia="fi-FI"/>
        </w:rPr>
        <w:t>, 1980).</w:t>
      </w:r>
    </w:p>
    <w:p w14:paraId="642AD6B2" w14:textId="1220F591" w:rsidR="00847C8D" w:rsidRDefault="00847C8D" w:rsidP="000411A2">
      <w:pPr>
        <w:spacing w:after="120"/>
        <w:jc w:val="both"/>
        <w:rPr>
          <w:rFonts w:ascii="Verdana" w:hAnsi="Verdana"/>
          <w:snapToGrid w:val="0"/>
          <w:sz w:val="20"/>
          <w:szCs w:val="20"/>
          <w:lang w:eastAsia="fi-FI"/>
        </w:rPr>
      </w:pPr>
    </w:p>
    <w:p w14:paraId="2A199B9D" w14:textId="65E3206A" w:rsidR="002134AF" w:rsidRDefault="002134AF" w:rsidP="002134AF">
      <w:pPr>
        <w:pStyle w:val="Titre1"/>
      </w:pPr>
      <w:bookmarkStart w:id="50" w:name="_Toc117776302"/>
      <w:r>
        <w:t>Reference</w:t>
      </w:r>
      <w:bookmarkEnd w:id="50"/>
    </w:p>
    <w:p w14:paraId="60C7DB41" w14:textId="77777777" w:rsidR="000F31ED" w:rsidRPr="00BA136B" w:rsidRDefault="000F31ED" w:rsidP="00BA136B">
      <w:pPr>
        <w:spacing w:after="120"/>
        <w:ind w:firstLine="720"/>
        <w:jc w:val="both"/>
        <w:rPr>
          <w:rFonts w:ascii="Verdana" w:hAnsi="Verdana"/>
          <w:snapToGrid w:val="0"/>
          <w:sz w:val="20"/>
          <w:szCs w:val="20"/>
          <w:lang w:eastAsia="fi-FI"/>
        </w:rPr>
      </w:pPr>
      <w:r w:rsidRPr="00BA136B">
        <w:rPr>
          <w:rFonts w:ascii="Verdana" w:hAnsi="Verdana"/>
          <w:snapToGrid w:val="0"/>
          <w:sz w:val="20"/>
          <w:szCs w:val="20"/>
          <w:lang w:eastAsia="fi-FI"/>
        </w:rPr>
        <w:t xml:space="preserve">ATSDR, 1996: Toxicological profile for carbon disulfide (review article or handbook), Agency for Toxic Substances and Disease Registry (ATSDR), Atlanta, GA, US Department of Health and Human Services, Public Health Service. </w:t>
      </w:r>
    </w:p>
    <w:p w14:paraId="5EBE03D5" w14:textId="4407D7B4" w:rsidR="000F31ED" w:rsidRPr="00BA136B" w:rsidRDefault="000F31ED" w:rsidP="00BA136B">
      <w:pPr>
        <w:spacing w:after="120"/>
        <w:ind w:firstLine="720"/>
        <w:jc w:val="both"/>
        <w:rPr>
          <w:rFonts w:ascii="Verdana" w:hAnsi="Verdana"/>
          <w:snapToGrid w:val="0"/>
          <w:sz w:val="20"/>
          <w:szCs w:val="20"/>
          <w:lang w:eastAsia="fi-FI"/>
        </w:rPr>
      </w:pPr>
      <w:r w:rsidRPr="00BA136B">
        <w:rPr>
          <w:rFonts w:ascii="Verdana" w:hAnsi="Verdana"/>
          <w:snapToGrid w:val="0"/>
          <w:sz w:val="20"/>
          <w:szCs w:val="20"/>
          <w:lang w:eastAsia="fi-FI"/>
        </w:rPr>
        <w:lastRenderedPageBreak/>
        <w:t>Beliles, R.P, Brusick, D.J, Mecler, F.J, 1980. Teratogenic-mutagenic risk of workplace contaminants: Trichloroethylene, perchloroethylene and carbon disulphide. (No. NTIS Document No. PB82-185075).</w:t>
      </w:r>
    </w:p>
    <w:p w14:paraId="016E4572" w14:textId="7A82CCDA" w:rsidR="00BA136B" w:rsidRPr="00BA136B" w:rsidRDefault="00BA136B" w:rsidP="00BA136B">
      <w:pPr>
        <w:spacing w:after="120"/>
        <w:ind w:firstLine="720"/>
        <w:jc w:val="both"/>
        <w:rPr>
          <w:rFonts w:ascii="Verdana" w:hAnsi="Verdana"/>
          <w:snapToGrid w:val="0"/>
          <w:sz w:val="20"/>
          <w:szCs w:val="20"/>
          <w:lang w:eastAsia="fi-FI"/>
        </w:rPr>
      </w:pPr>
      <w:r w:rsidRPr="00BA136B">
        <w:rPr>
          <w:rFonts w:ascii="Verdana" w:hAnsi="Verdana"/>
          <w:snapToGrid w:val="0"/>
          <w:sz w:val="20"/>
          <w:szCs w:val="20"/>
          <w:lang w:eastAsia="fi-FI"/>
        </w:rPr>
        <w:t>Jones-Price, C., Tyl, Marr, Kimmel., n.d. 1984. Teratologic Evaluation of Carbon Disulphide (CAS No. 75-15-0) Administered to New Zealand White Rabbits on Gestational Days 6 through 15. National Center for Toxicological Research, Jefferson AR. Govt. Reports Announcements and Index, Issue 15. NTIS PB 84-192350.</w:t>
      </w:r>
    </w:p>
    <w:p w14:paraId="5A896A21" w14:textId="77777777" w:rsidR="00C56733" w:rsidRPr="001C6F30" w:rsidRDefault="00C56733" w:rsidP="002D0738">
      <w:pPr>
        <w:spacing w:after="120"/>
        <w:ind w:firstLine="720"/>
        <w:jc w:val="both"/>
        <w:rPr>
          <w:rFonts w:ascii="Verdana" w:hAnsi="Verdana"/>
          <w:sz w:val="20"/>
          <w:szCs w:val="20"/>
          <w:lang w:eastAsia="en-GB"/>
        </w:rPr>
      </w:pPr>
      <w:r w:rsidRPr="001C6F30">
        <w:rPr>
          <w:rFonts w:ascii="Verdana" w:hAnsi="Verdana"/>
          <w:sz w:val="20"/>
          <w:szCs w:val="20"/>
          <w:lang w:eastAsia="en-GB"/>
        </w:rPr>
        <w:t xml:space="preserve">Schramm, A., Uter, W., Brandt, M., Göen, T., Köhrmann, M., Baumeister, T., Drexler, H., 2016. Increased intima-media thickness in rayon workers after long-term exposure to </w:t>
      </w:r>
      <w:r>
        <w:rPr>
          <w:rFonts w:ascii="Verdana" w:hAnsi="Verdana"/>
          <w:sz w:val="20"/>
          <w:szCs w:val="20"/>
          <w:lang w:eastAsia="en-GB"/>
        </w:rPr>
        <w:t>carbon disulfide</w:t>
      </w:r>
      <w:r w:rsidRPr="001C6F30">
        <w:rPr>
          <w:rFonts w:ascii="Verdana" w:hAnsi="Verdana"/>
          <w:sz w:val="20"/>
          <w:szCs w:val="20"/>
          <w:lang w:eastAsia="en-GB"/>
        </w:rPr>
        <w:t xml:space="preserve">. Int Arch Occup Environ Health 89, 513–519. </w:t>
      </w:r>
      <w:hyperlink r:id="rId22" w:history="1">
        <w:r w:rsidRPr="001C6F30">
          <w:rPr>
            <w:rFonts w:ascii="Verdana" w:hAnsi="Verdana"/>
            <w:sz w:val="20"/>
            <w:szCs w:val="20"/>
            <w:lang w:eastAsia="en-GB"/>
          </w:rPr>
          <w:t>https://doi.org/10.1007/s00420-015-1091-5</w:t>
        </w:r>
      </w:hyperlink>
    </w:p>
    <w:p w14:paraId="7056A092" w14:textId="77777777" w:rsidR="00C56733" w:rsidRPr="001C6F30" w:rsidRDefault="00C56733" w:rsidP="002D0738">
      <w:pPr>
        <w:pStyle w:val="MDPI71References"/>
        <w:numPr>
          <w:ilvl w:val="0"/>
          <w:numId w:val="0"/>
        </w:numPr>
        <w:spacing w:line="240" w:lineRule="auto"/>
        <w:ind w:firstLine="720"/>
        <w:rPr>
          <w:rFonts w:ascii="Verdana" w:hAnsi="Verdana"/>
          <w:color w:val="auto"/>
          <w:sz w:val="20"/>
          <w:lang w:val="en-GB" w:eastAsia="en-GB" w:bidi="ar-SA"/>
        </w:rPr>
      </w:pPr>
      <w:r w:rsidRPr="001C6F30">
        <w:rPr>
          <w:rFonts w:ascii="Verdana" w:hAnsi="Verdana"/>
          <w:color w:val="auto"/>
          <w:sz w:val="20"/>
          <w:lang w:val="en-GB" w:eastAsia="en-GB" w:bidi="ar-SA"/>
        </w:rPr>
        <w:t xml:space="preserve">Takebayashi, Toru, Yuji Nishiwaki, Tetsuo Nomiyama, Takamoto Uemura, Tsuneyuki Yamauchi, Shigeru Tanaka, Haruhiko Sakurai, Kazuyuki Omae, and Japanese Rayon Worker’s Health Study Group. ‘Lack of Relationship between Occupational Exposure to Carbon Disulfide and Endocrine Dysfunction: A Six-Year Cohort Study of the Japanese Rayon Workers’. Journal of Occupational Health 45, no. 2 (2003): 111–18. </w:t>
      </w:r>
      <w:hyperlink r:id="rId23" w:history="1">
        <w:r w:rsidRPr="001C6F30">
          <w:rPr>
            <w:rFonts w:ascii="Verdana" w:hAnsi="Verdana"/>
            <w:color w:val="auto"/>
            <w:sz w:val="20"/>
            <w:lang w:val="en-GB" w:eastAsia="en-GB" w:bidi="ar-SA"/>
          </w:rPr>
          <w:t>https://doi.org/10.1539/joh.45.111</w:t>
        </w:r>
      </w:hyperlink>
      <w:r w:rsidRPr="001C6F30">
        <w:rPr>
          <w:rFonts w:ascii="Verdana" w:hAnsi="Verdana"/>
          <w:color w:val="auto"/>
          <w:sz w:val="20"/>
          <w:lang w:val="en-GB" w:eastAsia="en-GB" w:bidi="ar-SA"/>
        </w:rPr>
        <w:t>.</w:t>
      </w:r>
    </w:p>
    <w:p w14:paraId="465AE25F" w14:textId="77777777" w:rsidR="00C56733" w:rsidRPr="001C6F30" w:rsidRDefault="00C56733" w:rsidP="00C56733">
      <w:pPr>
        <w:pStyle w:val="MDPI71References"/>
        <w:numPr>
          <w:ilvl w:val="0"/>
          <w:numId w:val="0"/>
        </w:numPr>
        <w:rPr>
          <w:rFonts w:ascii="Verdana" w:hAnsi="Verdana"/>
          <w:color w:val="auto"/>
          <w:sz w:val="20"/>
          <w:lang w:val="en-GB" w:eastAsia="en-GB" w:bidi="ar-SA"/>
        </w:rPr>
      </w:pPr>
    </w:p>
    <w:p w14:paraId="27AB2E8E" w14:textId="77777777" w:rsidR="00C56733" w:rsidRPr="001C6F30" w:rsidRDefault="00C56733" w:rsidP="002D0738">
      <w:pPr>
        <w:spacing w:after="120"/>
        <w:ind w:firstLine="720"/>
        <w:jc w:val="both"/>
        <w:rPr>
          <w:rFonts w:ascii="Verdana" w:hAnsi="Verdana"/>
          <w:sz w:val="20"/>
          <w:szCs w:val="20"/>
          <w:lang w:eastAsia="en-GB"/>
        </w:rPr>
      </w:pPr>
      <w:r w:rsidRPr="001C6F30">
        <w:rPr>
          <w:rFonts w:ascii="Verdana" w:hAnsi="Verdana"/>
          <w:sz w:val="20"/>
          <w:szCs w:val="20"/>
          <w:lang w:eastAsia="en-GB"/>
        </w:rPr>
        <w:t xml:space="preserve">Takebayashi, T., 2004. A six year follow up study of the subclinical effects of </w:t>
      </w:r>
      <w:r>
        <w:rPr>
          <w:rFonts w:ascii="Verdana" w:hAnsi="Verdana"/>
          <w:sz w:val="20"/>
          <w:szCs w:val="20"/>
          <w:lang w:eastAsia="en-GB"/>
        </w:rPr>
        <w:t>carbon disulfide</w:t>
      </w:r>
      <w:r w:rsidRPr="001C6F30">
        <w:rPr>
          <w:rFonts w:ascii="Verdana" w:hAnsi="Verdana"/>
          <w:sz w:val="20"/>
          <w:szCs w:val="20"/>
          <w:lang w:eastAsia="en-GB"/>
        </w:rPr>
        <w:t xml:space="preserve"> exposure on the cardiovascular system. Occupational and Environmental Medicine 61, 127–134. </w:t>
      </w:r>
      <w:hyperlink r:id="rId24" w:history="1">
        <w:r w:rsidRPr="001C6F30">
          <w:rPr>
            <w:rFonts w:ascii="Verdana" w:hAnsi="Verdana"/>
            <w:sz w:val="20"/>
            <w:szCs w:val="20"/>
            <w:lang w:eastAsia="en-GB"/>
          </w:rPr>
          <w:t>https://doi.org/10.1136/oem.2002.006858</w:t>
        </w:r>
      </w:hyperlink>
    </w:p>
    <w:p w14:paraId="06F9C9A6" w14:textId="100BF03F" w:rsidR="00BA136B" w:rsidRPr="00BA136B" w:rsidRDefault="00BA136B" w:rsidP="00BA136B">
      <w:pPr>
        <w:spacing w:after="120"/>
        <w:ind w:firstLine="720"/>
        <w:jc w:val="both"/>
        <w:rPr>
          <w:rFonts w:ascii="Verdana" w:hAnsi="Verdana"/>
          <w:snapToGrid w:val="0"/>
          <w:sz w:val="20"/>
          <w:szCs w:val="20"/>
          <w:lang w:eastAsia="fi-FI"/>
        </w:rPr>
      </w:pPr>
      <w:r w:rsidRPr="00BA136B">
        <w:rPr>
          <w:rFonts w:ascii="Verdana" w:hAnsi="Verdana"/>
          <w:snapToGrid w:val="0"/>
          <w:sz w:val="20"/>
          <w:szCs w:val="20"/>
          <w:lang w:eastAsia="fi-FI"/>
        </w:rPr>
        <w:t>Unpublished report, 1991. Developmental inhalation toxicity study of carbon disulphide in the New Zealand white rabbit. (study report</w:t>
      </w:r>
      <w:r w:rsidR="00D00E04">
        <w:rPr>
          <w:rFonts w:ascii="Verdana" w:hAnsi="Verdana"/>
          <w:snapToGrid w:val="0"/>
          <w:sz w:val="20"/>
          <w:szCs w:val="20"/>
          <w:lang w:eastAsia="fi-FI"/>
        </w:rPr>
        <w:t>)</w:t>
      </w:r>
    </w:p>
    <w:p w14:paraId="4FF166A6" w14:textId="77777777" w:rsidR="00C56733" w:rsidRPr="001C6F30" w:rsidRDefault="00C56733" w:rsidP="002D0738">
      <w:pPr>
        <w:ind w:firstLine="720"/>
        <w:jc w:val="both"/>
        <w:rPr>
          <w:rFonts w:ascii="Verdana" w:hAnsi="Verdana"/>
          <w:sz w:val="20"/>
          <w:szCs w:val="20"/>
          <w:lang w:eastAsia="en-GB"/>
        </w:rPr>
      </w:pPr>
      <w:r w:rsidRPr="00D97534">
        <w:rPr>
          <w:rFonts w:ascii="Verdana" w:hAnsi="Verdana"/>
          <w:sz w:val="20"/>
          <w:szCs w:val="20"/>
          <w:lang w:eastAsia="en-GB"/>
        </w:rPr>
        <w:t>Yoshioka, N., Takebayashi, T., Nishiwaki, Y., Nomiyama, T., Iwasawa, S., Sakurai, H., Omae, K., 2017. Changes of median nerve conduction velocity in rayon manufacturing workers: A 6</w:t>
      </w:r>
      <w:r w:rsidRPr="00D97534">
        <w:rPr>
          <w:rFonts w:ascii="Cambria Math" w:hAnsi="Cambria Math" w:cs="Cambria Math"/>
          <w:sz w:val="20"/>
          <w:szCs w:val="20"/>
          <w:lang w:eastAsia="en-GB"/>
        </w:rPr>
        <w:t>‐</w:t>
      </w:r>
      <w:r w:rsidRPr="00D97534">
        <w:rPr>
          <w:rFonts w:ascii="Verdana" w:hAnsi="Verdana"/>
          <w:sz w:val="20"/>
          <w:szCs w:val="20"/>
          <w:lang w:eastAsia="en-GB"/>
        </w:rPr>
        <w:t>year cohort study. Jrnl of Occup Health 59, 187–193.</w:t>
      </w:r>
    </w:p>
    <w:p w14:paraId="1E1DBFF3" w14:textId="77777777" w:rsidR="002134AF" w:rsidRPr="00AC4891" w:rsidRDefault="002134AF" w:rsidP="000411A2">
      <w:pPr>
        <w:spacing w:after="120"/>
        <w:jc w:val="both"/>
        <w:rPr>
          <w:rFonts w:ascii="Verdana" w:hAnsi="Verdana"/>
          <w:snapToGrid w:val="0"/>
          <w:sz w:val="20"/>
          <w:szCs w:val="20"/>
          <w:lang w:eastAsia="fi-FI"/>
        </w:rPr>
      </w:pPr>
    </w:p>
    <w:sectPr w:rsidR="002134AF" w:rsidRPr="00AC4891" w:rsidSect="006D5748">
      <w:headerReference w:type="first" r:id="rId25"/>
      <w:pgSz w:w="11906" w:h="16838"/>
      <w:pgMar w:top="1418" w:right="1797" w:bottom="1134" w:left="179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DE54" w14:textId="77777777" w:rsidR="00673013" w:rsidRDefault="00673013" w:rsidP="00227D1B">
      <w:pPr>
        <w:spacing w:after="0"/>
      </w:pPr>
      <w:r>
        <w:separator/>
      </w:r>
    </w:p>
  </w:endnote>
  <w:endnote w:type="continuationSeparator" w:id="0">
    <w:p w14:paraId="227FBC5C" w14:textId="77777777" w:rsidR="00673013" w:rsidRDefault="00673013" w:rsidP="00227D1B">
      <w:pPr>
        <w:spacing w:after="0"/>
      </w:pPr>
      <w:r>
        <w:continuationSeparator/>
      </w:r>
    </w:p>
  </w:endnote>
  <w:endnote w:type="continuationNotice" w:id="1">
    <w:p w14:paraId="0C9FF676" w14:textId="77777777" w:rsidR="00673013" w:rsidRDefault="00673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97575"/>
      <w:docPartObj>
        <w:docPartGallery w:val="Page Numbers (Bottom of Page)"/>
        <w:docPartUnique/>
      </w:docPartObj>
    </w:sdtPr>
    <w:sdtEndPr>
      <w:rPr>
        <w:rFonts w:ascii="Verdana" w:hAnsi="Verdana"/>
        <w:noProof/>
        <w:sz w:val="18"/>
        <w:szCs w:val="18"/>
      </w:rPr>
    </w:sdtEndPr>
    <w:sdtContent>
      <w:p w14:paraId="048985D3" w14:textId="77777777" w:rsidR="00673013" w:rsidRDefault="00673013" w:rsidP="00AD7A3D">
        <w:pPr>
          <w:pStyle w:val="Pieddepage"/>
          <w:spacing w:after="0"/>
        </w:pPr>
      </w:p>
      <w:p w14:paraId="6B4990CB" w14:textId="16A076F4" w:rsidR="00673013" w:rsidRPr="00E86310" w:rsidRDefault="00673013" w:rsidP="00AD7A3D">
        <w:pPr>
          <w:pStyle w:val="Pieddepage"/>
          <w:spacing w:after="0"/>
          <w:rPr>
            <w:rFonts w:ascii="Verdana" w:hAnsi="Verdana"/>
            <w:sz w:val="16"/>
            <w:szCs w:val="18"/>
          </w:rPr>
        </w:pPr>
      </w:p>
      <w:p w14:paraId="6C77F52D" w14:textId="108B91B0" w:rsidR="00673013" w:rsidRPr="00E86310" w:rsidRDefault="00673013" w:rsidP="00AD7A3D">
        <w:pPr>
          <w:pStyle w:val="Pieddepage"/>
          <w:spacing w:after="0"/>
          <w:rPr>
            <w:rFonts w:ascii="Verdana" w:hAnsi="Verdana"/>
            <w:sz w:val="16"/>
            <w:szCs w:val="18"/>
          </w:rPr>
        </w:pPr>
      </w:p>
      <w:p w14:paraId="54E51B77" w14:textId="37E4BE92" w:rsidR="00673013" w:rsidRPr="00AD7A3D" w:rsidRDefault="00673013" w:rsidP="00AD7A3D">
        <w:pPr>
          <w:pStyle w:val="Pieddepage"/>
          <w:tabs>
            <w:tab w:val="left" w:pos="1541"/>
            <w:tab w:val="right" w:pos="8312"/>
          </w:tabs>
          <w:rPr>
            <w:rFonts w:ascii="Verdana" w:hAnsi="Verdana"/>
            <w:sz w:val="18"/>
            <w:szCs w:val="18"/>
          </w:rPr>
        </w:pPr>
        <w:r>
          <w:rPr>
            <w:rFonts w:ascii="Verdana" w:hAnsi="Verdana"/>
            <w:sz w:val="18"/>
            <w:szCs w:val="18"/>
          </w:rPr>
          <w:tab/>
        </w:r>
        <w:r>
          <w:rPr>
            <w:rFonts w:ascii="Verdana" w:hAnsi="Verdana"/>
            <w:sz w:val="18"/>
            <w:szCs w:val="18"/>
          </w:rPr>
          <w:tab/>
        </w:r>
        <w:r w:rsidRPr="00AD7A3D">
          <w:rPr>
            <w:rFonts w:ascii="Verdana" w:hAnsi="Verdana"/>
            <w:sz w:val="18"/>
            <w:szCs w:val="18"/>
          </w:rPr>
          <w:fldChar w:fldCharType="begin"/>
        </w:r>
        <w:r w:rsidRPr="00AD7A3D">
          <w:rPr>
            <w:rFonts w:ascii="Verdana" w:hAnsi="Verdana"/>
            <w:sz w:val="18"/>
            <w:szCs w:val="18"/>
          </w:rPr>
          <w:instrText xml:space="preserve"> PAGE   \* MERGEFORMAT </w:instrText>
        </w:r>
        <w:r w:rsidRPr="00AD7A3D">
          <w:rPr>
            <w:rFonts w:ascii="Verdana" w:hAnsi="Verdana"/>
            <w:sz w:val="18"/>
            <w:szCs w:val="18"/>
          </w:rPr>
          <w:fldChar w:fldCharType="separate"/>
        </w:r>
        <w:r w:rsidR="000E4E66">
          <w:rPr>
            <w:rFonts w:ascii="Verdana" w:hAnsi="Verdana"/>
            <w:noProof/>
            <w:sz w:val="18"/>
            <w:szCs w:val="18"/>
          </w:rPr>
          <w:t>4</w:t>
        </w:r>
        <w:r w:rsidRPr="00AD7A3D">
          <w:rPr>
            <w:rFonts w:ascii="Verdana" w:hAnsi="Verdana"/>
            <w:noProof/>
            <w:sz w:val="18"/>
            <w:szCs w:val="18"/>
          </w:rPr>
          <w:fldChar w:fldCharType="end"/>
        </w:r>
      </w:p>
    </w:sdtContent>
  </w:sdt>
  <w:p w14:paraId="580A1F63" w14:textId="7983EB41" w:rsidR="00673013" w:rsidRPr="00A81003" w:rsidRDefault="00673013" w:rsidP="006D5748">
    <w:pPr>
      <w:pStyle w:val="Pieddepage"/>
      <w:spacing w:after="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6B028" w14:textId="77777777" w:rsidR="00673013" w:rsidRDefault="00673013" w:rsidP="00227D1B">
      <w:pPr>
        <w:spacing w:after="0"/>
      </w:pPr>
      <w:r>
        <w:separator/>
      </w:r>
    </w:p>
  </w:footnote>
  <w:footnote w:type="continuationSeparator" w:id="0">
    <w:p w14:paraId="2D63C096" w14:textId="77777777" w:rsidR="00673013" w:rsidRDefault="00673013" w:rsidP="00227D1B">
      <w:pPr>
        <w:spacing w:after="0"/>
      </w:pPr>
      <w:r>
        <w:continuationSeparator/>
      </w:r>
    </w:p>
  </w:footnote>
  <w:footnote w:type="continuationNotice" w:id="1">
    <w:p w14:paraId="3DC0AF51" w14:textId="77777777" w:rsidR="00673013" w:rsidRDefault="00673013">
      <w:pPr>
        <w:spacing w:after="0"/>
      </w:pPr>
    </w:p>
  </w:footnote>
  <w:footnote w:id="2">
    <w:p w14:paraId="2E2D6932" w14:textId="77777777" w:rsidR="00673013" w:rsidRDefault="00673013" w:rsidP="00243CDA">
      <w:pPr>
        <w:pStyle w:val="Notedebasdepage"/>
      </w:pPr>
      <w:r>
        <w:rPr>
          <w:rStyle w:val="Appelnotedebasdep"/>
        </w:rPr>
        <w:footnoteRef/>
      </w:r>
      <w:r>
        <w:t xml:space="preserve"> </w:t>
      </w:r>
      <w:r w:rsidRPr="00167E71">
        <w:t>https://echa.europa.eu/understanding-assessment-regulatory-needs</w:t>
      </w:r>
    </w:p>
  </w:footnote>
  <w:footnote w:id="3">
    <w:p w14:paraId="45F26538" w14:textId="77777777" w:rsidR="00673013" w:rsidRPr="009D2827" w:rsidRDefault="00673013" w:rsidP="004539AE">
      <w:pPr>
        <w:pStyle w:val="Notedebasdepage"/>
      </w:pPr>
      <w:r>
        <w:rPr>
          <w:rStyle w:val="Appelnotedebasdep"/>
        </w:rPr>
        <w:footnoteRef/>
      </w:r>
      <w:r>
        <w:t xml:space="preserve"> Latest amendment: Directive (EU) 2022/431, published 9 March 2022</w:t>
      </w:r>
    </w:p>
  </w:footnote>
  <w:footnote w:id="4">
    <w:p w14:paraId="35FAAA53" w14:textId="77777777" w:rsidR="00673013" w:rsidRPr="006A087F" w:rsidRDefault="00673013" w:rsidP="00282180">
      <w:pPr>
        <w:pStyle w:val="Notedebasdepage"/>
      </w:pPr>
      <w:r>
        <w:rPr>
          <w:rStyle w:val="Appelnotedebasdep"/>
        </w:rPr>
        <w:footnoteRef/>
      </w:r>
      <w:r>
        <w:t xml:space="preserve"> </w:t>
      </w:r>
      <w:r w:rsidRPr="006A087F">
        <w:rPr>
          <w:rStyle w:val="markedcontent"/>
          <w:szCs w:val="18"/>
        </w:rPr>
        <w:t>Commission Directive 2009/161/EU of 17 December 2009 establishing a third list of indicative occupational exposure limit values in implementation of Council Directive 98/24/EC and amending Commission Directive 2000/39/EC</w:t>
      </w:r>
    </w:p>
  </w:footnote>
  <w:footnote w:id="5">
    <w:p w14:paraId="099C1205" w14:textId="77777777" w:rsidR="00673013" w:rsidRPr="0056458F" w:rsidRDefault="00673013" w:rsidP="008D4B75">
      <w:pPr>
        <w:pStyle w:val="Notedebasdepage"/>
      </w:pPr>
      <w:r>
        <w:rPr>
          <w:rStyle w:val="Appelnotedebasdep"/>
        </w:rPr>
        <w:footnoteRef/>
      </w:r>
      <w:r>
        <w:t xml:space="preserve"> </w:t>
      </w:r>
      <w:r>
        <w:rPr>
          <w:rStyle w:val="markedcontent"/>
          <w:szCs w:val="18"/>
        </w:rPr>
        <w:t>A skin notation assigned to the occupational exposure limit value indicates the possibility of significant uptake through the skin</w:t>
      </w:r>
    </w:p>
  </w:footnote>
  <w:footnote w:id="6">
    <w:p w14:paraId="436C005D" w14:textId="77777777" w:rsidR="00673013" w:rsidRPr="006A5538" w:rsidRDefault="00673013" w:rsidP="008D4B75">
      <w:pPr>
        <w:pStyle w:val="Notedebasdepage"/>
        <w:rPr>
          <w:lang w:val="en-US"/>
        </w:rPr>
      </w:pPr>
      <w:r>
        <w:rPr>
          <w:rStyle w:val="Appelnotedebasdep"/>
        </w:rPr>
        <w:footnoteRef/>
      </w:r>
      <w:r w:rsidRPr="006A5538">
        <w:rPr>
          <w:lang w:val="en-US"/>
        </w:rPr>
        <w:t xml:space="preserve"> </w:t>
      </w:r>
      <w:hyperlink r:id="rId1" w:history="1">
        <w:r w:rsidRPr="000B5D92">
          <w:rPr>
            <w:rStyle w:val="markedcontent"/>
            <w:szCs w:val="18"/>
          </w:rPr>
          <w:t>https://www.dguv.de/ifa/gestis/gestis-stoffdatenbank/index-2.jsp</w:t>
        </w:r>
      </w:hyperlink>
      <w:r w:rsidRPr="000B5D92">
        <w:rPr>
          <w:rStyle w:val="markedcontent"/>
          <w:szCs w:val="18"/>
        </w:rPr>
        <w:t xml:space="preserve"> (consulted</w:t>
      </w:r>
      <w:r>
        <w:rPr>
          <w:lang w:val="en-US"/>
        </w:rPr>
        <w:t xml:space="preserve"> in May 17th, 2022)</w:t>
      </w:r>
    </w:p>
  </w:footnote>
  <w:footnote w:id="7">
    <w:p w14:paraId="3DFD7175" w14:textId="08632092" w:rsidR="00673013" w:rsidRPr="006378D0" w:rsidRDefault="00673013">
      <w:pPr>
        <w:pStyle w:val="Notedebasdepage"/>
        <w:rPr>
          <w:lang w:val="en-US"/>
        </w:rPr>
      </w:pPr>
      <w:r>
        <w:rPr>
          <w:rStyle w:val="Appelnotedebasdep"/>
        </w:rPr>
        <w:footnoteRef/>
      </w:r>
      <w:r>
        <w:t xml:space="preserve"> </w:t>
      </w:r>
      <w:hyperlink r:id="rId2" w:history="1">
        <w:r w:rsidRPr="009F1568">
          <w:rPr>
            <w:rStyle w:val="Lienhypertexte"/>
            <w:rFonts w:ascii="Times New Roman" w:hAnsi="Times New Roman"/>
            <w:sz w:val="18"/>
          </w:rPr>
          <w:t>https://echa.europa.eu/documents/10162/13632/information_requirements_r12_en.pdf/ea8fa5a6-6ba1-47f4-9e47-c7216e180197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CA57" w14:textId="36435F55" w:rsidR="00673013" w:rsidRPr="00407B62" w:rsidRDefault="00673013" w:rsidP="000D11E9">
    <w:pPr>
      <w:pStyle w:val="Corpsdetexte"/>
      <w:ind w:left="3600" w:firstLine="720"/>
      <w:jc w:val="center"/>
      <w:rPr>
        <w:rFonts w:ascii="Verdana" w:hAnsi="Verdana"/>
        <w:caps/>
        <w:sz w:val="20"/>
      </w:rPr>
    </w:pPr>
    <w:r>
      <w:rPr>
        <w:rFonts w:ascii="Verdana" w:hAnsi="Verdana"/>
        <w:caps/>
        <w:sz w:val="20"/>
      </w:rPr>
      <w:t xml:space="preserve"> RMOA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6E30" w14:textId="0CC878D8" w:rsidR="00673013" w:rsidRPr="008E6142" w:rsidRDefault="00673013" w:rsidP="002275CF">
    <w:pPr>
      <w:pStyle w:val="En-tte"/>
      <w:rPr>
        <w:b/>
        <w:lang w:val="fr-FR"/>
      </w:rPr>
    </w:pPr>
    <w:r w:rsidRPr="008E6142">
      <w:rPr>
        <w:lang w:val="fr-FR"/>
      </w:rPr>
      <w:tab/>
    </w:r>
    <w:r w:rsidRPr="008E6142">
      <w:rPr>
        <w:b/>
        <w:lang w:val="fr-FR"/>
      </w:rPr>
      <w:t xml:space="preserve">             </w:t>
    </w:r>
    <w:r w:rsidRPr="008E6142">
      <w:rPr>
        <w:b/>
        <w:lang w:val="fr-FR"/>
      </w:rPr>
      <w:tab/>
      <w:t xml:space="preserve">          </w:t>
    </w:r>
    <w:r w:rsidRPr="00467CB0">
      <w:rPr>
        <w:rStyle w:val="Numrodepage"/>
        <w:szCs w:val="22"/>
      </w:rPr>
      <w:fldChar w:fldCharType="begin"/>
    </w:r>
    <w:r w:rsidRPr="008E6142">
      <w:rPr>
        <w:rStyle w:val="Numrodepage"/>
        <w:szCs w:val="22"/>
        <w:lang w:val="fr-FR"/>
      </w:rPr>
      <w:instrText xml:space="preserve"> PAGE </w:instrText>
    </w:r>
    <w:r w:rsidRPr="00467CB0">
      <w:rPr>
        <w:rStyle w:val="Numrodepage"/>
        <w:szCs w:val="22"/>
      </w:rPr>
      <w:fldChar w:fldCharType="separate"/>
    </w:r>
    <w:r w:rsidR="000E4E66">
      <w:rPr>
        <w:rStyle w:val="Numrodepage"/>
        <w:noProof/>
        <w:szCs w:val="22"/>
        <w:lang w:val="fr-FR"/>
      </w:rPr>
      <w:t>1</w:t>
    </w:r>
    <w:r w:rsidRPr="00467CB0">
      <w:rPr>
        <w:rStyle w:val="Numrodepage"/>
        <w:szCs w:val="22"/>
      </w:rPr>
      <w:fldChar w:fldCharType="end"/>
    </w:r>
    <w:r w:rsidRPr="008E6142">
      <w:rPr>
        <w:lang w:val="fr-FR"/>
      </w:rPr>
      <w:t xml:space="preserve"> (</w:t>
    </w:r>
    <w:r w:rsidRPr="00467CB0">
      <w:rPr>
        <w:rStyle w:val="Numrodepage"/>
        <w:szCs w:val="22"/>
      </w:rPr>
      <w:fldChar w:fldCharType="begin"/>
    </w:r>
    <w:r w:rsidRPr="008E6142">
      <w:rPr>
        <w:rStyle w:val="Numrodepage"/>
        <w:szCs w:val="22"/>
        <w:lang w:val="fr-FR"/>
      </w:rPr>
      <w:instrText xml:space="preserve"> NUMPAGES </w:instrText>
    </w:r>
    <w:r w:rsidRPr="00467CB0">
      <w:rPr>
        <w:rStyle w:val="Numrodepage"/>
        <w:szCs w:val="22"/>
      </w:rPr>
      <w:fldChar w:fldCharType="separate"/>
    </w:r>
    <w:r w:rsidR="000E4E66">
      <w:rPr>
        <w:rStyle w:val="Numrodepage"/>
        <w:noProof/>
        <w:szCs w:val="22"/>
        <w:lang w:val="fr-FR"/>
      </w:rPr>
      <w:t>41</w:t>
    </w:r>
    <w:r w:rsidRPr="00467CB0">
      <w:rPr>
        <w:rStyle w:val="Numrodepage"/>
        <w:szCs w:val="22"/>
      </w:rPr>
      <w:fldChar w:fldCharType="end"/>
    </w:r>
    <w:r w:rsidRPr="008E6142">
      <w:rPr>
        <w:lang w:val="fr-FR"/>
      </w:rPr>
      <w:t>)</w:t>
    </w:r>
    <w:r w:rsidRPr="008E6142">
      <w:rPr>
        <w:szCs w:val="22"/>
        <w:lang w:val="fr-FR"/>
      </w:rPr>
      <w:t xml:space="preserve">                         </w:t>
    </w:r>
  </w:p>
  <w:p w14:paraId="079D0BB2" w14:textId="741A64B9" w:rsidR="00673013" w:rsidRPr="002D61A2" w:rsidRDefault="00673013" w:rsidP="009A749D">
    <w:pPr>
      <w:pStyle w:val="En-tte"/>
      <w:rPr>
        <w:lang w:val="fr-BE"/>
      </w:rPr>
    </w:pPr>
    <w:r>
      <w:rPr>
        <w:noProof/>
        <w:lang w:val="fr-FR" w:eastAsia="fr-FR"/>
      </w:rPr>
      <w:drawing>
        <wp:inline distT="0" distB="0" distL="0" distR="0" wp14:anchorId="6E578794" wp14:editId="2EF91A2D">
          <wp:extent cx="952500" cy="800100"/>
          <wp:effectExtent l="0" t="0" r="0" b="0"/>
          <wp:docPr id="8" name="Image 7" descr="Marianne_Anses_logotype_rvb"/>
          <wp:cNvGraphicFramePr/>
          <a:graphic xmlns:a="http://schemas.openxmlformats.org/drawingml/2006/main">
            <a:graphicData uri="http://schemas.openxmlformats.org/drawingml/2006/picture">
              <pic:pic xmlns:pic="http://schemas.openxmlformats.org/drawingml/2006/picture">
                <pic:nvPicPr>
                  <pic:cNvPr id="1" name="Image 7" descr="Marianne_Anses_logotype_rvb"/>
                  <pic:cNvPicPr/>
                </pic:nvPicPr>
                <pic:blipFill rotWithShape="1">
                  <a:blip r:embed="rId1">
                    <a:extLst>
                      <a:ext uri="{28A0092B-C50C-407E-A947-70E740481C1C}">
                        <a14:useLocalDpi xmlns:a14="http://schemas.microsoft.com/office/drawing/2010/main" val="0"/>
                      </a:ext>
                    </a:extLst>
                  </a:blip>
                  <a:srcRect l="61538"/>
                  <a:stretch/>
                </pic:blipFill>
                <pic:spPr bwMode="auto">
                  <a:xfrm>
                    <a:off x="0" y="0"/>
                    <a:ext cx="954645" cy="801902"/>
                  </a:xfrm>
                  <a:prstGeom prst="rect">
                    <a:avLst/>
                  </a:prstGeom>
                  <a:noFill/>
                  <a:ln>
                    <a:noFill/>
                  </a:ln>
                  <a:extLst>
                    <a:ext uri="{53640926-AAD7-44D8-BBD7-CCE9431645EC}">
                      <a14:shadowObscured xmlns:a14="http://schemas.microsoft.com/office/drawing/2010/main"/>
                    </a:ext>
                  </a:extLst>
                </pic:spPr>
              </pic:pic>
            </a:graphicData>
          </a:graphic>
        </wp:inline>
      </w:drawing>
    </w:r>
  </w:p>
  <w:p w14:paraId="337E08AB" w14:textId="77777777" w:rsidR="00673013" w:rsidRPr="002275CF" w:rsidRDefault="00673013" w:rsidP="002275CF">
    <w:pPr>
      <w:pStyle w:val="En-tte"/>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aps/>
        <w:sz w:val="20"/>
      </w:rPr>
      <w:alias w:val="Choose the appropriate title."/>
      <w:tag w:val="Choose the appropriate title"/>
      <w:id w:val="-1126629810"/>
      <w:dropDownList>
        <w:listItem w:displayText="Choose the appropriate title from this dropdown menu." w:value="Choose the appropriate title from this dropdown menu."/>
        <w:listItem w:displayText="Justification for the selection of a substance for CoRAP inclusion" w:value="Justification for the selection of a substance for CoRAP inclusion"/>
        <w:listItem w:displayText="Justification document: Need for Harmonised Classification and Labelling (CLH)" w:value="Justification document: Need for Harmonised Classification and Labelling (CLH)"/>
        <w:listItem w:displayText="Justification document: No need for further work based on current information" w:value="Justification document: No need for further work based on current information"/>
        <w:listItem w:displayText="Justification document: Other action (please specify)" w:value="Justification document: Other action (please specify)"/>
        <w:listItem w:displayText="Justification document for the case compliance check is recommended (CCH)" w:value="Justification document for the case compliance check is recommended (CCH)"/>
        <w:listItem w:displayText="Analysis of the most appropriate risk management option (RMOA)" w:value="Analysis of the most appropriate risk management option (RMOA)"/>
      </w:dropDownList>
    </w:sdtPr>
    <w:sdtContent>
      <w:p w14:paraId="3F099C9C" w14:textId="77777777" w:rsidR="00673013" w:rsidRPr="00407B62" w:rsidRDefault="00673013" w:rsidP="006D5748">
        <w:pPr>
          <w:pStyle w:val="Corpsdetexte"/>
          <w:jc w:val="center"/>
          <w:rPr>
            <w:rFonts w:ascii="Verdana" w:hAnsi="Verdana"/>
            <w:caps/>
            <w:sz w:val="20"/>
          </w:rPr>
        </w:pPr>
        <w:r>
          <w:rPr>
            <w:rFonts w:ascii="Verdana" w:hAnsi="Verdana"/>
            <w:caps/>
            <w:sz w:val="20"/>
          </w:rPr>
          <w:t>Choose the appropriate title from this dropdown menu.</w:t>
        </w:r>
      </w:p>
    </w:sdtContent>
  </w:sdt>
  <w:p w14:paraId="6EC9D114" w14:textId="77777777" w:rsidR="00673013" w:rsidRPr="0016728F" w:rsidRDefault="00673013" w:rsidP="006D5748">
    <w:pPr>
      <w:spacing w:before="120" w:after="0"/>
      <w:ind w:right="-902"/>
      <w:rPr>
        <w:rFonts w:ascii="Verdana" w:hAnsi="Verdana"/>
        <w:i/>
        <w:color w:val="FF0000"/>
        <w:sz w:val="22"/>
        <w:szCs w:val="22"/>
        <w:lang w:eastAsia="en-GB"/>
      </w:rPr>
    </w:pPr>
    <w:r w:rsidRPr="003607CA">
      <w:rPr>
        <w:rFonts w:ascii="Verdana" w:hAnsi="Verdana"/>
        <w:b/>
        <w:bCs/>
        <w:i/>
        <w:sz w:val="22"/>
        <w:szCs w:val="22"/>
        <w:lang w:eastAsia="en-GB"/>
      </w:rPr>
      <w:t>NOTE</w:t>
    </w:r>
    <w:r w:rsidRPr="003607CA">
      <w:rPr>
        <w:rFonts w:ascii="Verdana" w:hAnsi="Verdana"/>
        <w:b/>
        <w:i/>
        <w:sz w:val="22"/>
        <w:szCs w:val="22"/>
        <w:lang w:eastAsia="en-GB"/>
      </w:rPr>
      <w:t xml:space="preserve">: </w:t>
    </w:r>
    <w:r>
      <w:rPr>
        <w:rFonts w:ascii="Verdana" w:hAnsi="Verdana"/>
        <w:b/>
        <w:i/>
        <w:sz w:val="22"/>
        <w:szCs w:val="22"/>
        <w:lang w:eastAsia="en-GB"/>
      </w:rPr>
      <w:t>This annex contains confidential information</w:t>
    </w:r>
  </w:p>
  <w:p w14:paraId="4F66E640" w14:textId="77777777" w:rsidR="00673013" w:rsidRPr="003607CA" w:rsidRDefault="00673013" w:rsidP="006D5748">
    <w:pPr>
      <w:spacing w:after="0"/>
      <w:ind w:right="26"/>
      <w:rPr>
        <w:rFonts w:ascii="Verdana" w:hAnsi="Verdana"/>
        <w:sz w:val="20"/>
        <w:szCs w:val="20"/>
        <w:lang w:eastAsia="en-GB"/>
      </w:rPr>
    </w:pPr>
    <w:r w:rsidRPr="003607CA">
      <w:rPr>
        <w:rFonts w:ascii="Verdana" w:hAnsi="Verdana"/>
        <w:sz w:val="20"/>
        <w:szCs w:val="20"/>
        <w:lang w:eastAsia="en-GB"/>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780"/>
    <w:multiLevelType w:val="hybridMultilevel"/>
    <w:tmpl w:val="2E920732"/>
    <w:lvl w:ilvl="0" w:tplc="236067F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D7ED3"/>
    <w:multiLevelType w:val="hybridMultilevel"/>
    <w:tmpl w:val="5E36D17A"/>
    <w:lvl w:ilvl="0" w:tplc="C84E037E">
      <w:start w:val="1"/>
      <w:numFmt w:val="bullet"/>
      <w:pStyle w:val="Listepuces"/>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D608F"/>
    <w:multiLevelType w:val="multilevel"/>
    <w:tmpl w:val="2CF89D2C"/>
    <w:lvl w:ilvl="0">
      <w:start w:val="1"/>
      <w:numFmt w:val="decimal"/>
      <w:pStyle w:val="Titre1"/>
      <w:lvlText w:val="%1"/>
      <w:lvlJc w:val="left"/>
      <w:pPr>
        <w:tabs>
          <w:tab w:val="num" w:pos="1219"/>
        </w:tabs>
        <w:ind w:left="1219" w:hanging="1077"/>
      </w:pPr>
      <w:rPr>
        <w:rFonts w:ascii="Verdana" w:hAnsi="Verdana" w:hint="default"/>
        <w:b/>
        <w:i w:val="0"/>
        <w:sz w:val="28"/>
        <w:szCs w:val="28"/>
        <w:lang w:val="en-US"/>
      </w:rPr>
    </w:lvl>
    <w:lvl w:ilvl="1">
      <w:start w:val="1"/>
      <w:numFmt w:val="decimal"/>
      <w:pStyle w:val="Titre2"/>
      <w:lvlText w:val="%1.%2"/>
      <w:lvlJc w:val="left"/>
      <w:pPr>
        <w:tabs>
          <w:tab w:val="num" w:pos="1928"/>
        </w:tabs>
        <w:ind w:left="1928" w:hanging="1077"/>
      </w:pPr>
      <w:rPr>
        <w:rFonts w:ascii="Verdana" w:hAnsi="Verdana" w:hint="default"/>
        <w:b/>
        <w:i w:val="0"/>
        <w:color w:val="auto"/>
        <w:sz w:val="24"/>
      </w:rPr>
    </w:lvl>
    <w:lvl w:ilvl="2">
      <w:start w:val="1"/>
      <w:numFmt w:val="decimal"/>
      <w:pStyle w:val="Titre3"/>
      <w:lvlText w:val="%1.%2.%3"/>
      <w:lvlJc w:val="left"/>
      <w:pPr>
        <w:tabs>
          <w:tab w:val="num" w:pos="1077"/>
        </w:tabs>
        <w:ind w:left="1077" w:hanging="1077"/>
      </w:pPr>
      <w:rPr>
        <w:rFonts w:ascii="Verdana" w:hAnsi="Verdana" w:hint="default"/>
        <w:b/>
        <w:i w:val="0"/>
        <w:sz w:val="24"/>
      </w:rPr>
    </w:lvl>
    <w:lvl w:ilvl="3">
      <w:start w:val="1"/>
      <w:numFmt w:val="decimal"/>
      <w:pStyle w:val="Titre4"/>
      <w:lvlText w:val="%1.%2.%3.%4"/>
      <w:lvlJc w:val="left"/>
      <w:pPr>
        <w:tabs>
          <w:tab w:val="num" w:pos="1077"/>
        </w:tabs>
        <w:ind w:left="1077" w:hanging="1077"/>
      </w:pPr>
      <w:rPr>
        <w:rFonts w:ascii="Times New Roman" w:hAnsi="Times New Roman" w:hint="default"/>
        <w:b/>
        <w:i w:val="0"/>
        <w:sz w:val="24"/>
      </w:rPr>
    </w:lvl>
    <w:lvl w:ilvl="4">
      <w:start w:val="1"/>
      <w:numFmt w:val="decimal"/>
      <w:pStyle w:val="Titre5"/>
      <w:lvlText w:val="%1.%2.%3.%4.%5"/>
      <w:lvlJc w:val="left"/>
      <w:pPr>
        <w:tabs>
          <w:tab w:val="num" w:pos="1843"/>
        </w:tabs>
        <w:ind w:left="1843" w:hanging="1843"/>
      </w:pPr>
      <w:rPr>
        <w:rFonts w:ascii="Times New Roman" w:hAnsi="Times New Roman" w:hint="default"/>
        <w:b/>
        <w:i w:val="0"/>
        <w:sz w:val="24"/>
      </w:rPr>
    </w:lvl>
    <w:lvl w:ilvl="5">
      <w:start w:val="1"/>
      <w:numFmt w:val="none"/>
      <w:pStyle w:val="Titre6"/>
      <w:lvlText w:val="%1.%2.%3.%4.%5.%61."/>
      <w:lvlJc w:val="left"/>
      <w:pPr>
        <w:tabs>
          <w:tab w:val="num" w:pos="1843"/>
        </w:tabs>
        <w:ind w:left="1843" w:hanging="1843"/>
      </w:pPr>
      <w:rPr>
        <w:rFonts w:hint="default"/>
        <w:b/>
        <w:i w:val="0"/>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 w15:restartNumberingAfterBreak="0">
    <w:nsid w:val="1ED87279"/>
    <w:multiLevelType w:val="hybridMultilevel"/>
    <w:tmpl w:val="452C0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1B62"/>
    <w:multiLevelType w:val="hybridMultilevel"/>
    <w:tmpl w:val="637AC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B328F4"/>
    <w:multiLevelType w:val="hybridMultilevel"/>
    <w:tmpl w:val="B3429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597A6A"/>
    <w:multiLevelType w:val="hybridMultilevel"/>
    <w:tmpl w:val="EFF2C254"/>
    <w:lvl w:ilvl="0" w:tplc="236067F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311EFB"/>
    <w:multiLevelType w:val="hybridMultilevel"/>
    <w:tmpl w:val="9AC29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012E46"/>
    <w:multiLevelType w:val="hybridMultilevel"/>
    <w:tmpl w:val="95649D5E"/>
    <w:lvl w:ilvl="0" w:tplc="310C1C22">
      <w:start w:val="1"/>
      <w:numFmt w:val="decimal"/>
      <w:lvlRestart w:val="0"/>
      <w:pStyle w:val="MDPI71Referenc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73D28"/>
    <w:multiLevelType w:val="hybridMultilevel"/>
    <w:tmpl w:val="935E1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6"/>
  </w:num>
  <w:num w:numId="4">
    <w:abstractNumId w:val="9"/>
  </w:num>
  <w:num w:numId="5">
    <w:abstractNumId w:val="2"/>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1"/>
  </w:num>
  <w:num w:numId="11">
    <w:abstractNumId w:val="10"/>
  </w:num>
  <w:num w:numId="12">
    <w:abstractNumId w:val="3"/>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7"/>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i-FI" w:vendorID="64" w:dllVersion="0" w:nlCheck="1" w:checkStyle="0"/>
  <w:activeWritingStyle w:appName="MSWord" w:lang="nl-B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nl-BE" w:vendorID="64" w:dllVersion="131078" w:nlCheck="1" w:checkStyle="0"/>
  <w:activeWritingStyle w:appName="MSWord" w:lang="en-US" w:vendorID="64" w:dllVersion="131078" w:nlCheck="1" w:checkStyle="1"/>
  <w:activeWritingStyle w:appName="MSWord" w:lang="de-A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1B"/>
    <w:rsid w:val="0000048A"/>
    <w:rsid w:val="000015DE"/>
    <w:rsid w:val="00002AD3"/>
    <w:rsid w:val="00003F2F"/>
    <w:rsid w:val="00004A3D"/>
    <w:rsid w:val="00005510"/>
    <w:rsid w:val="00005936"/>
    <w:rsid w:val="00005CFE"/>
    <w:rsid w:val="00010DEC"/>
    <w:rsid w:val="00010F05"/>
    <w:rsid w:val="00012657"/>
    <w:rsid w:val="0001481A"/>
    <w:rsid w:val="000206EF"/>
    <w:rsid w:val="00021783"/>
    <w:rsid w:val="00024DE1"/>
    <w:rsid w:val="00025069"/>
    <w:rsid w:val="00025D36"/>
    <w:rsid w:val="00027F70"/>
    <w:rsid w:val="00031775"/>
    <w:rsid w:val="0003440F"/>
    <w:rsid w:val="00034561"/>
    <w:rsid w:val="000358D4"/>
    <w:rsid w:val="0003795B"/>
    <w:rsid w:val="00040A3C"/>
    <w:rsid w:val="000411A2"/>
    <w:rsid w:val="00041D45"/>
    <w:rsid w:val="00045B49"/>
    <w:rsid w:val="00046905"/>
    <w:rsid w:val="000479D0"/>
    <w:rsid w:val="00050684"/>
    <w:rsid w:val="00051694"/>
    <w:rsid w:val="0005181D"/>
    <w:rsid w:val="00053E1B"/>
    <w:rsid w:val="00055A39"/>
    <w:rsid w:val="0005668E"/>
    <w:rsid w:val="000571A0"/>
    <w:rsid w:val="00057669"/>
    <w:rsid w:val="0006155E"/>
    <w:rsid w:val="0006334A"/>
    <w:rsid w:val="00064346"/>
    <w:rsid w:val="000655D7"/>
    <w:rsid w:val="00066159"/>
    <w:rsid w:val="00066957"/>
    <w:rsid w:val="00066B0F"/>
    <w:rsid w:val="00067ABD"/>
    <w:rsid w:val="00070EA2"/>
    <w:rsid w:val="00071E72"/>
    <w:rsid w:val="000723EF"/>
    <w:rsid w:val="00072F71"/>
    <w:rsid w:val="00076E41"/>
    <w:rsid w:val="000777C7"/>
    <w:rsid w:val="000805B4"/>
    <w:rsid w:val="00080A8C"/>
    <w:rsid w:val="000813EA"/>
    <w:rsid w:val="0008259C"/>
    <w:rsid w:val="00082C29"/>
    <w:rsid w:val="00082C35"/>
    <w:rsid w:val="00083BBB"/>
    <w:rsid w:val="00084DAE"/>
    <w:rsid w:val="00084FC6"/>
    <w:rsid w:val="000854BF"/>
    <w:rsid w:val="00086AAC"/>
    <w:rsid w:val="0008722A"/>
    <w:rsid w:val="00087327"/>
    <w:rsid w:val="00087479"/>
    <w:rsid w:val="0008748B"/>
    <w:rsid w:val="0008751D"/>
    <w:rsid w:val="000911DA"/>
    <w:rsid w:val="00091F0B"/>
    <w:rsid w:val="0009270B"/>
    <w:rsid w:val="00093CC5"/>
    <w:rsid w:val="0009423F"/>
    <w:rsid w:val="00095A51"/>
    <w:rsid w:val="000965CE"/>
    <w:rsid w:val="0009664A"/>
    <w:rsid w:val="00096E78"/>
    <w:rsid w:val="00097A01"/>
    <w:rsid w:val="00097DA4"/>
    <w:rsid w:val="000A0D8C"/>
    <w:rsid w:val="000A14CC"/>
    <w:rsid w:val="000A191A"/>
    <w:rsid w:val="000A25BF"/>
    <w:rsid w:val="000A34BC"/>
    <w:rsid w:val="000B0531"/>
    <w:rsid w:val="000B0728"/>
    <w:rsid w:val="000B26E5"/>
    <w:rsid w:val="000B442C"/>
    <w:rsid w:val="000B44F3"/>
    <w:rsid w:val="000B5654"/>
    <w:rsid w:val="000B5D92"/>
    <w:rsid w:val="000C0ACC"/>
    <w:rsid w:val="000C37BA"/>
    <w:rsid w:val="000C3A01"/>
    <w:rsid w:val="000C454D"/>
    <w:rsid w:val="000C5277"/>
    <w:rsid w:val="000C68F9"/>
    <w:rsid w:val="000C6BC1"/>
    <w:rsid w:val="000C7C65"/>
    <w:rsid w:val="000D11E9"/>
    <w:rsid w:val="000D270F"/>
    <w:rsid w:val="000D2921"/>
    <w:rsid w:val="000D2D3F"/>
    <w:rsid w:val="000D3578"/>
    <w:rsid w:val="000D3C1B"/>
    <w:rsid w:val="000E02DA"/>
    <w:rsid w:val="000E0476"/>
    <w:rsid w:val="000E083B"/>
    <w:rsid w:val="000E12BB"/>
    <w:rsid w:val="000E1933"/>
    <w:rsid w:val="000E2AEE"/>
    <w:rsid w:val="000E2B76"/>
    <w:rsid w:val="000E3547"/>
    <w:rsid w:val="000E4E66"/>
    <w:rsid w:val="000E5006"/>
    <w:rsid w:val="000E5FE1"/>
    <w:rsid w:val="000E69DC"/>
    <w:rsid w:val="000E738A"/>
    <w:rsid w:val="000E7D8B"/>
    <w:rsid w:val="000F18E4"/>
    <w:rsid w:val="000F1D27"/>
    <w:rsid w:val="000F21BC"/>
    <w:rsid w:val="000F31ED"/>
    <w:rsid w:val="000F3A84"/>
    <w:rsid w:val="000F427A"/>
    <w:rsid w:val="000F4C18"/>
    <w:rsid w:val="000F5A6A"/>
    <w:rsid w:val="000F5CB0"/>
    <w:rsid w:val="000F6359"/>
    <w:rsid w:val="000F6E85"/>
    <w:rsid w:val="000F755C"/>
    <w:rsid w:val="000F7B15"/>
    <w:rsid w:val="000F7C32"/>
    <w:rsid w:val="001002E1"/>
    <w:rsid w:val="0010212C"/>
    <w:rsid w:val="00102D07"/>
    <w:rsid w:val="0010350D"/>
    <w:rsid w:val="00111A90"/>
    <w:rsid w:val="00111B01"/>
    <w:rsid w:val="00111D25"/>
    <w:rsid w:val="001132E2"/>
    <w:rsid w:val="00113B73"/>
    <w:rsid w:val="00116466"/>
    <w:rsid w:val="0011725E"/>
    <w:rsid w:val="001173B7"/>
    <w:rsid w:val="001176EB"/>
    <w:rsid w:val="00117CB3"/>
    <w:rsid w:val="00120CEB"/>
    <w:rsid w:val="001217C3"/>
    <w:rsid w:val="00121E10"/>
    <w:rsid w:val="00121FAF"/>
    <w:rsid w:val="00126E59"/>
    <w:rsid w:val="001300AC"/>
    <w:rsid w:val="0013183C"/>
    <w:rsid w:val="001368A7"/>
    <w:rsid w:val="00136966"/>
    <w:rsid w:val="00136A1D"/>
    <w:rsid w:val="0013764B"/>
    <w:rsid w:val="00141082"/>
    <w:rsid w:val="00142268"/>
    <w:rsid w:val="001429A2"/>
    <w:rsid w:val="0014770F"/>
    <w:rsid w:val="001501CF"/>
    <w:rsid w:val="00150884"/>
    <w:rsid w:val="00150F83"/>
    <w:rsid w:val="0015186A"/>
    <w:rsid w:val="00154514"/>
    <w:rsid w:val="00154CDB"/>
    <w:rsid w:val="00156133"/>
    <w:rsid w:val="0015646E"/>
    <w:rsid w:val="00156903"/>
    <w:rsid w:val="001603D1"/>
    <w:rsid w:val="00160449"/>
    <w:rsid w:val="00160826"/>
    <w:rsid w:val="0016190D"/>
    <w:rsid w:val="00162CAE"/>
    <w:rsid w:val="00163295"/>
    <w:rsid w:val="00163658"/>
    <w:rsid w:val="001638F4"/>
    <w:rsid w:val="00163C14"/>
    <w:rsid w:val="0016480E"/>
    <w:rsid w:val="00165A84"/>
    <w:rsid w:val="001674C1"/>
    <w:rsid w:val="00170301"/>
    <w:rsid w:val="00170B5B"/>
    <w:rsid w:val="00175ED6"/>
    <w:rsid w:val="0017778A"/>
    <w:rsid w:val="00181341"/>
    <w:rsid w:val="00181B4B"/>
    <w:rsid w:val="00181F7F"/>
    <w:rsid w:val="001837AC"/>
    <w:rsid w:val="00183A45"/>
    <w:rsid w:val="001848B0"/>
    <w:rsid w:val="001859CC"/>
    <w:rsid w:val="00186C9A"/>
    <w:rsid w:val="00186F75"/>
    <w:rsid w:val="00187977"/>
    <w:rsid w:val="00190415"/>
    <w:rsid w:val="00190D9E"/>
    <w:rsid w:val="00191241"/>
    <w:rsid w:val="001912BD"/>
    <w:rsid w:val="00191E09"/>
    <w:rsid w:val="00193376"/>
    <w:rsid w:val="00195DF0"/>
    <w:rsid w:val="00196422"/>
    <w:rsid w:val="00197C40"/>
    <w:rsid w:val="00197EE3"/>
    <w:rsid w:val="001A1528"/>
    <w:rsid w:val="001A17C5"/>
    <w:rsid w:val="001A1C20"/>
    <w:rsid w:val="001A274F"/>
    <w:rsid w:val="001A3E51"/>
    <w:rsid w:val="001A5F6A"/>
    <w:rsid w:val="001A7825"/>
    <w:rsid w:val="001B12FA"/>
    <w:rsid w:val="001B1696"/>
    <w:rsid w:val="001B25FD"/>
    <w:rsid w:val="001B3107"/>
    <w:rsid w:val="001B3395"/>
    <w:rsid w:val="001B4542"/>
    <w:rsid w:val="001B48BF"/>
    <w:rsid w:val="001B5BBB"/>
    <w:rsid w:val="001C039C"/>
    <w:rsid w:val="001C0E73"/>
    <w:rsid w:val="001C14F1"/>
    <w:rsid w:val="001C191E"/>
    <w:rsid w:val="001C2EA5"/>
    <w:rsid w:val="001C3179"/>
    <w:rsid w:val="001C3D0B"/>
    <w:rsid w:val="001C4474"/>
    <w:rsid w:val="001C6F30"/>
    <w:rsid w:val="001C7FCE"/>
    <w:rsid w:val="001D043F"/>
    <w:rsid w:val="001D0523"/>
    <w:rsid w:val="001D0724"/>
    <w:rsid w:val="001D1253"/>
    <w:rsid w:val="001D1F40"/>
    <w:rsid w:val="001D2C0E"/>
    <w:rsid w:val="001D4AC2"/>
    <w:rsid w:val="001D5C63"/>
    <w:rsid w:val="001D606B"/>
    <w:rsid w:val="001E068D"/>
    <w:rsid w:val="001E1B46"/>
    <w:rsid w:val="001E30D7"/>
    <w:rsid w:val="001E352C"/>
    <w:rsid w:val="001E3C77"/>
    <w:rsid w:val="001E54DD"/>
    <w:rsid w:val="001E5DA0"/>
    <w:rsid w:val="001E74C5"/>
    <w:rsid w:val="001F2470"/>
    <w:rsid w:val="001F2A09"/>
    <w:rsid w:val="001F3575"/>
    <w:rsid w:val="001F4E62"/>
    <w:rsid w:val="001F75DE"/>
    <w:rsid w:val="00201554"/>
    <w:rsid w:val="002015CD"/>
    <w:rsid w:val="00201711"/>
    <w:rsid w:val="00201A77"/>
    <w:rsid w:val="00202146"/>
    <w:rsid w:val="0020301B"/>
    <w:rsid w:val="002037E3"/>
    <w:rsid w:val="00203C2F"/>
    <w:rsid w:val="002056D6"/>
    <w:rsid w:val="00211054"/>
    <w:rsid w:val="00211297"/>
    <w:rsid w:val="00211C93"/>
    <w:rsid w:val="002120D8"/>
    <w:rsid w:val="002134AF"/>
    <w:rsid w:val="00213BB6"/>
    <w:rsid w:val="00214885"/>
    <w:rsid w:val="00214B89"/>
    <w:rsid w:val="002150FE"/>
    <w:rsid w:val="00216ED6"/>
    <w:rsid w:val="00216FB7"/>
    <w:rsid w:val="00217101"/>
    <w:rsid w:val="00221F12"/>
    <w:rsid w:val="0022357B"/>
    <w:rsid w:val="002239CE"/>
    <w:rsid w:val="0022425E"/>
    <w:rsid w:val="002247F9"/>
    <w:rsid w:val="00225269"/>
    <w:rsid w:val="00225DDC"/>
    <w:rsid w:val="00227322"/>
    <w:rsid w:val="002275CF"/>
    <w:rsid w:val="00227D1B"/>
    <w:rsid w:val="00227EFC"/>
    <w:rsid w:val="00231F71"/>
    <w:rsid w:val="00232A49"/>
    <w:rsid w:val="002339E9"/>
    <w:rsid w:val="0023494B"/>
    <w:rsid w:val="002365FC"/>
    <w:rsid w:val="002376E7"/>
    <w:rsid w:val="00237CB3"/>
    <w:rsid w:val="00240B13"/>
    <w:rsid w:val="00240C20"/>
    <w:rsid w:val="002410EF"/>
    <w:rsid w:val="002411B6"/>
    <w:rsid w:val="00241483"/>
    <w:rsid w:val="0024319A"/>
    <w:rsid w:val="0024349C"/>
    <w:rsid w:val="00243CDA"/>
    <w:rsid w:val="0024567B"/>
    <w:rsid w:val="00250634"/>
    <w:rsid w:val="00252F7B"/>
    <w:rsid w:val="002534D8"/>
    <w:rsid w:val="002538B8"/>
    <w:rsid w:val="00253AE6"/>
    <w:rsid w:val="00254172"/>
    <w:rsid w:val="00254523"/>
    <w:rsid w:val="002554DB"/>
    <w:rsid w:val="002568E8"/>
    <w:rsid w:val="00257DAD"/>
    <w:rsid w:val="00257F65"/>
    <w:rsid w:val="0026108F"/>
    <w:rsid w:val="00262314"/>
    <w:rsid w:val="00262A8D"/>
    <w:rsid w:val="00264EE5"/>
    <w:rsid w:val="002650CE"/>
    <w:rsid w:val="00265412"/>
    <w:rsid w:val="0026661E"/>
    <w:rsid w:val="00266E6F"/>
    <w:rsid w:val="00270863"/>
    <w:rsid w:val="00271666"/>
    <w:rsid w:val="00272ACD"/>
    <w:rsid w:val="00273430"/>
    <w:rsid w:val="00273BD9"/>
    <w:rsid w:val="002756FE"/>
    <w:rsid w:val="002759B0"/>
    <w:rsid w:val="002761B2"/>
    <w:rsid w:val="00276C28"/>
    <w:rsid w:val="00277BDB"/>
    <w:rsid w:val="002804ED"/>
    <w:rsid w:val="00282180"/>
    <w:rsid w:val="00283063"/>
    <w:rsid w:val="0028369C"/>
    <w:rsid w:val="002838B8"/>
    <w:rsid w:val="002841F2"/>
    <w:rsid w:val="0028445F"/>
    <w:rsid w:val="00286A30"/>
    <w:rsid w:val="002877EE"/>
    <w:rsid w:val="00287A0F"/>
    <w:rsid w:val="00287CB4"/>
    <w:rsid w:val="00290FD5"/>
    <w:rsid w:val="00291183"/>
    <w:rsid w:val="00291FEA"/>
    <w:rsid w:val="00293CDB"/>
    <w:rsid w:val="00294AA4"/>
    <w:rsid w:val="0029724B"/>
    <w:rsid w:val="002A0D39"/>
    <w:rsid w:val="002A1C03"/>
    <w:rsid w:val="002A2026"/>
    <w:rsid w:val="002A2E99"/>
    <w:rsid w:val="002A5E57"/>
    <w:rsid w:val="002A6754"/>
    <w:rsid w:val="002A6A46"/>
    <w:rsid w:val="002A7286"/>
    <w:rsid w:val="002A7AEA"/>
    <w:rsid w:val="002B03AD"/>
    <w:rsid w:val="002B0B3C"/>
    <w:rsid w:val="002B0F92"/>
    <w:rsid w:val="002B1ACF"/>
    <w:rsid w:val="002B202B"/>
    <w:rsid w:val="002B2923"/>
    <w:rsid w:val="002B7626"/>
    <w:rsid w:val="002C0986"/>
    <w:rsid w:val="002C0B9A"/>
    <w:rsid w:val="002C2F8F"/>
    <w:rsid w:val="002C3873"/>
    <w:rsid w:val="002C4151"/>
    <w:rsid w:val="002C41B8"/>
    <w:rsid w:val="002C61B6"/>
    <w:rsid w:val="002C696D"/>
    <w:rsid w:val="002C7917"/>
    <w:rsid w:val="002C7D99"/>
    <w:rsid w:val="002D0738"/>
    <w:rsid w:val="002D0849"/>
    <w:rsid w:val="002D17C0"/>
    <w:rsid w:val="002D2117"/>
    <w:rsid w:val="002D2436"/>
    <w:rsid w:val="002D3593"/>
    <w:rsid w:val="002D425F"/>
    <w:rsid w:val="002D5DAE"/>
    <w:rsid w:val="002D7D0A"/>
    <w:rsid w:val="002E166D"/>
    <w:rsid w:val="002E23B0"/>
    <w:rsid w:val="002E362D"/>
    <w:rsid w:val="002E4F97"/>
    <w:rsid w:val="002E5EF2"/>
    <w:rsid w:val="002E6EAE"/>
    <w:rsid w:val="002F2AEC"/>
    <w:rsid w:val="002F3708"/>
    <w:rsid w:val="002F3E3C"/>
    <w:rsid w:val="002F4422"/>
    <w:rsid w:val="002F52BB"/>
    <w:rsid w:val="002F5D6E"/>
    <w:rsid w:val="002F60CC"/>
    <w:rsid w:val="002F774C"/>
    <w:rsid w:val="002F7AB3"/>
    <w:rsid w:val="003002F4"/>
    <w:rsid w:val="003005DD"/>
    <w:rsid w:val="003022BC"/>
    <w:rsid w:val="00302B19"/>
    <w:rsid w:val="00305C2D"/>
    <w:rsid w:val="00305EE7"/>
    <w:rsid w:val="0030669F"/>
    <w:rsid w:val="00310C45"/>
    <w:rsid w:val="00310F03"/>
    <w:rsid w:val="003120CA"/>
    <w:rsid w:val="00312CBE"/>
    <w:rsid w:val="00313000"/>
    <w:rsid w:val="003137E3"/>
    <w:rsid w:val="0031451C"/>
    <w:rsid w:val="00314581"/>
    <w:rsid w:val="00315BC0"/>
    <w:rsid w:val="00317937"/>
    <w:rsid w:val="00317A46"/>
    <w:rsid w:val="00317AF6"/>
    <w:rsid w:val="003221A7"/>
    <w:rsid w:val="00326C81"/>
    <w:rsid w:val="00327528"/>
    <w:rsid w:val="00327F06"/>
    <w:rsid w:val="00332529"/>
    <w:rsid w:val="003327A2"/>
    <w:rsid w:val="003331C7"/>
    <w:rsid w:val="00333864"/>
    <w:rsid w:val="0033412D"/>
    <w:rsid w:val="00334C72"/>
    <w:rsid w:val="00335121"/>
    <w:rsid w:val="00335B73"/>
    <w:rsid w:val="00336014"/>
    <w:rsid w:val="003374F2"/>
    <w:rsid w:val="00340B9B"/>
    <w:rsid w:val="00342C75"/>
    <w:rsid w:val="00343A7C"/>
    <w:rsid w:val="0034415C"/>
    <w:rsid w:val="003443E5"/>
    <w:rsid w:val="00344B02"/>
    <w:rsid w:val="00345B5B"/>
    <w:rsid w:val="00346672"/>
    <w:rsid w:val="00347CC9"/>
    <w:rsid w:val="00351F82"/>
    <w:rsid w:val="0035493C"/>
    <w:rsid w:val="00355E7A"/>
    <w:rsid w:val="003572E7"/>
    <w:rsid w:val="003573B2"/>
    <w:rsid w:val="00361679"/>
    <w:rsid w:val="003617D6"/>
    <w:rsid w:val="003619E9"/>
    <w:rsid w:val="00361B3B"/>
    <w:rsid w:val="00361DD8"/>
    <w:rsid w:val="00363E0B"/>
    <w:rsid w:val="003646D4"/>
    <w:rsid w:val="00365886"/>
    <w:rsid w:val="00365918"/>
    <w:rsid w:val="00365CAD"/>
    <w:rsid w:val="003665EE"/>
    <w:rsid w:val="00370F7E"/>
    <w:rsid w:val="003712A3"/>
    <w:rsid w:val="00372872"/>
    <w:rsid w:val="0037420C"/>
    <w:rsid w:val="00374401"/>
    <w:rsid w:val="003746D5"/>
    <w:rsid w:val="00376DAB"/>
    <w:rsid w:val="003800ED"/>
    <w:rsid w:val="00380D8D"/>
    <w:rsid w:val="003812C6"/>
    <w:rsid w:val="00381436"/>
    <w:rsid w:val="00381975"/>
    <w:rsid w:val="0038350F"/>
    <w:rsid w:val="003844D4"/>
    <w:rsid w:val="00384D2A"/>
    <w:rsid w:val="00385F38"/>
    <w:rsid w:val="0038638C"/>
    <w:rsid w:val="00386A5C"/>
    <w:rsid w:val="00387BB1"/>
    <w:rsid w:val="00390BAF"/>
    <w:rsid w:val="00391CF4"/>
    <w:rsid w:val="00392947"/>
    <w:rsid w:val="00393233"/>
    <w:rsid w:val="00394701"/>
    <w:rsid w:val="00396293"/>
    <w:rsid w:val="00397202"/>
    <w:rsid w:val="00397237"/>
    <w:rsid w:val="00397E87"/>
    <w:rsid w:val="003A0A6B"/>
    <w:rsid w:val="003A1527"/>
    <w:rsid w:val="003A4838"/>
    <w:rsid w:val="003A4949"/>
    <w:rsid w:val="003A4D1F"/>
    <w:rsid w:val="003B085A"/>
    <w:rsid w:val="003B2C84"/>
    <w:rsid w:val="003B3FC1"/>
    <w:rsid w:val="003B422B"/>
    <w:rsid w:val="003B6309"/>
    <w:rsid w:val="003B6734"/>
    <w:rsid w:val="003B6CD6"/>
    <w:rsid w:val="003B7789"/>
    <w:rsid w:val="003C061E"/>
    <w:rsid w:val="003C0787"/>
    <w:rsid w:val="003C0F03"/>
    <w:rsid w:val="003C4940"/>
    <w:rsid w:val="003C568E"/>
    <w:rsid w:val="003D1198"/>
    <w:rsid w:val="003D14B7"/>
    <w:rsid w:val="003D3AE4"/>
    <w:rsid w:val="003D5974"/>
    <w:rsid w:val="003D6E92"/>
    <w:rsid w:val="003E19AC"/>
    <w:rsid w:val="003E1D14"/>
    <w:rsid w:val="003E2D52"/>
    <w:rsid w:val="003E3E74"/>
    <w:rsid w:val="003E4FBB"/>
    <w:rsid w:val="003E58CA"/>
    <w:rsid w:val="003E711E"/>
    <w:rsid w:val="003E79D3"/>
    <w:rsid w:val="003F2470"/>
    <w:rsid w:val="003F3A03"/>
    <w:rsid w:val="003F4349"/>
    <w:rsid w:val="003F552A"/>
    <w:rsid w:val="003F6A59"/>
    <w:rsid w:val="003F79CB"/>
    <w:rsid w:val="004000FF"/>
    <w:rsid w:val="004020F6"/>
    <w:rsid w:val="00403C60"/>
    <w:rsid w:val="0040458F"/>
    <w:rsid w:val="00405A0A"/>
    <w:rsid w:val="00405E0F"/>
    <w:rsid w:val="0040612A"/>
    <w:rsid w:val="0040692D"/>
    <w:rsid w:val="00410284"/>
    <w:rsid w:val="004103D2"/>
    <w:rsid w:val="004105E0"/>
    <w:rsid w:val="004107C8"/>
    <w:rsid w:val="00410E68"/>
    <w:rsid w:val="004118AA"/>
    <w:rsid w:val="0041257E"/>
    <w:rsid w:val="004140FB"/>
    <w:rsid w:val="0041591C"/>
    <w:rsid w:val="00415D9D"/>
    <w:rsid w:val="00423148"/>
    <w:rsid w:val="00423966"/>
    <w:rsid w:val="00423DD8"/>
    <w:rsid w:val="0042609D"/>
    <w:rsid w:val="00426BCF"/>
    <w:rsid w:val="00430F48"/>
    <w:rsid w:val="00431A26"/>
    <w:rsid w:val="00431E9B"/>
    <w:rsid w:val="004321D7"/>
    <w:rsid w:val="00432761"/>
    <w:rsid w:val="00433E73"/>
    <w:rsid w:val="0043479E"/>
    <w:rsid w:val="00437204"/>
    <w:rsid w:val="00437E1F"/>
    <w:rsid w:val="0044210F"/>
    <w:rsid w:val="00445F15"/>
    <w:rsid w:val="004466FE"/>
    <w:rsid w:val="00446BF9"/>
    <w:rsid w:val="00446E3C"/>
    <w:rsid w:val="0044744D"/>
    <w:rsid w:val="00447A14"/>
    <w:rsid w:val="004517A5"/>
    <w:rsid w:val="004531CF"/>
    <w:rsid w:val="004539AE"/>
    <w:rsid w:val="00453D78"/>
    <w:rsid w:val="004544E6"/>
    <w:rsid w:val="004557DD"/>
    <w:rsid w:val="00456E1D"/>
    <w:rsid w:val="00457E09"/>
    <w:rsid w:val="004600E9"/>
    <w:rsid w:val="00460711"/>
    <w:rsid w:val="00461989"/>
    <w:rsid w:val="00461D59"/>
    <w:rsid w:val="004637EA"/>
    <w:rsid w:val="00463F9E"/>
    <w:rsid w:val="00464160"/>
    <w:rsid w:val="004642F3"/>
    <w:rsid w:val="0046661E"/>
    <w:rsid w:val="00466EEF"/>
    <w:rsid w:val="00467D3A"/>
    <w:rsid w:val="00470602"/>
    <w:rsid w:val="00470677"/>
    <w:rsid w:val="00470BAB"/>
    <w:rsid w:val="004714FF"/>
    <w:rsid w:val="0047225E"/>
    <w:rsid w:val="00472795"/>
    <w:rsid w:val="0047414F"/>
    <w:rsid w:val="00474FAB"/>
    <w:rsid w:val="00477680"/>
    <w:rsid w:val="00480269"/>
    <w:rsid w:val="00480A88"/>
    <w:rsid w:val="00480D3E"/>
    <w:rsid w:val="00482EE8"/>
    <w:rsid w:val="0048399F"/>
    <w:rsid w:val="00484116"/>
    <w:rsid w:val="00484938"/>
    <w:rsid w:val="00485E10"/>
    <w:rsid w:val="00487CAD"/>
    <w:rsid w:val="00487F7E"/>
    <w:rsid w:val="0049093E"/>
    <w:rsid w:val="00491033"/>
    <w:rsid w:val="004912D3"/>
    <w:rsid w:val="00491A1A"/>
    <w:rsid w:val="00491AB4"/>
    <w:rsid w:val="0049285C"/>
    <w:rsid w:val="00495243"/>
    <w:rsid w:val="00495271"/>
    <w:rsid w:val="0049759C"/>
    <w:rsid w:val="00497774"/>
    <w:rsid w:val="00497ADF"/>
    <w:rsid w:val="004A24AD"/>
    <w:rsid w:val="004A2553"/>
    <w:rsid w:val="004A53E7"/>
    <w:rsid w:val="004A5B2C"/>
    <w:rsid w:val="004A5FD8"/>
    <w:rsid w:val="004A77C9"/>
    <w:rsid w:val="004B0D8E"/>
    <w:rsid w:val="004B2301"/>
    <w:rsid w:val="004B3432"/>
    <w:rsid w:val="004B3C1E"/>
    <w:rsid w:val="004B428E"/>
    <w:rsid w:val="004B59D6"/>
    <w:rsid w:val="004B6723"/>
    <w:rsid w:val="004C1218"/>
    <w:rsid w:val="004C16DE"/>
    <w:rsid w:val="004C1E1A"/>
    <w:rsid w:val="004C248B"/>
    <w:rsid w:val="004C3686"/>
    <w:rsid w:val="004C4099"/>
    <w:rsid w:val="004C4231"/>
    <w:rsid w:val="004C4F57"/>
    <w:rsid w:val="004C5CAD"/>
    <w:rsid w:val="004C5CB7"/>
    <w:rsid w:val="004C7309"/>
    <w:rsid w:val="004C7A2A"/>
    <w:rsid w:val="004C7C4F"/>
    <w:rsid w:val="004C7FE8"/>
    <w:rsid w:val="004D0222"/>
    <w:rsid w:val="004D02E6"/>
    <w:rsid w:val="004D03F0"/>
    <w:rsid w:val="004D0FC1"/>
    <w:rsid w:val="004D1F78"/>
    <w:rsid w:val="004D3CEC"/>
    <w:rsid w:val="004D438D"/>
    <w:rsid w:val="004D4C9C"/>
    <w:rsid w:val="004D4D00"/>
    <w:rsid w:val="004D5374"/>
    <w:rsid w:val="004D5769"/>
    <w:rsid w:val="004D5D44"/>
    <w:rsid w:val="004D6F8D"/>
    <w:rsid w:val="004E003D"/>
    <w:rsid w:val="004E2300"/>
    <w:rsid w:val="004E2BBB"/>
    <w:rsid w:val="004E43A0"/>
    <w:rsid w:val="004E6F8F"/>
    <w:rsid w:val="004F051F"/>
    <w:rsid w:val="004F0F0F"/>
    <w:rsid w:val="004F273E"/>
    <w:rsid w:val="004F4173"/>
    <w:rsid w:val="004F44AF"/>
    <w:rsid w:val="004F5A85"/>
    <w:rsid w:val="004F64FF"/>
    <w:rsid w:val="00500543"/>
    <w:rsid w:val="00504831"/>
    <w:rsid w:val="00506760"/>
    <w:rsid w:val="00506CF7"/>
    <w:rsid w:val="005101EA"/>
    <w:rsid w:val="00511710"/>
    <w:rsid w:val="005118A7"/>
    <w:rsid w:val="00512E3B"/>
    <w:rsid w:val="00515BEB"/>
    <w:rsid w:val="00520596"/>
    <w:rsid w:val="00520896"/>
    <w:rsid w:val="00521799"/>
    <w:rsid w:val="00522966"/>
    <w:rsid w:val="0052474E"/>
    <w:rsid w:val="00524951"/>
    <w:rsid w:val="00525433"/>
    <w:rsid w:val="00526EB8"/>
    <w:rsid w:val="0052702E"/>
    <w:rsid w:val="0053026C"/>
    <w:rsid w:val="00530AF1"/>
    <w:rsid w:val="00532553"/>
    <w:rsid w:val="00532A77"/>
    <w:rsid w:val="00532ADF"/>
    <w:rsid w:val="00532DE1"/>
    <w:rsid w:val="0053370F"/>
    <w:rsid w:val="00533BBC"/>
    <w:rsid w:val="00533FA5"/>
    <w:rsid w:val="00535008"/>
    <w:rsid w:val="0053582F"/>
    <w:rsid w:val="0053761F"/>
    <w:rsid w:val="00537D88"/>
    <w:rsid w:val="00542BF2"/>
    <w:rsid w:val="00543449"/>
    <w:rsid w:val="00543A9B"/>
    <w:rsid w:val="00543F65"/>
    <w:rsid w:val="00545632"/>
    <w:rsid w:val="00545953"/>
    <w:rsid w:val="00547321"/>
    <w:rsid w:val="005504EA"/>
    <w:rsid w:val="00550EA3"/>
    <w:rsid w:val="00551521"/>
    <w:rsid w:val="0055186D"/>
    <w:rsid w:val="0055278B"/>
    <w:rsid w:val="00553F9E"/>
    <w:rsid w:val="00554D24"/>
    <w:rsid w:val="005553D7"/>
    <w:rsid w:val="00555901"/>
    <w:rsid w:val="00556073"/>
    <w:rsid w:val="005567C8"/>
    <w:rsid w:val="00557D0F"/>
    <w:rsid w:val="005627E2"/>
    <w:rsid w:val="00563269"/>
    <w:rsid w:val="0056458F"/>
    <w:rsid w:val="00564A92"/>
    <w:rsid w:val="005652FF"/>
    <w:rsid w:val="005657F0"/>
    <w:rsid w:val="005725D0"/>
    <w:rsid w:val="00572684"/>
    <w:rsid w:val="0057681F"/>
    <w:rsid w:val="005772A4"/>
    <w:rsid w:val="00580CAF"/>
    <w:rsid w:val="005816F8"/>
    <w:rsid w:val="00582D7C"/>
    <w:rsid w:val="00582F62"/>
    <w:rsid w:val="00583763"/>
    <w:rsid w:val="00583774"/>
    <w:rsid w:val="005844B1"/>
    <w:rsid w:val="005844CF"/>
    <w:rsid w:val="0059357C"/>
    <w:rsid w:val="00593BA2"/>
    <w:rsid w:val="00596469"/>
    <w:rsid w:val="005966AD"/>
    <w:rsid w:val="005970D6"/>
    <w:rsid w:val="005974F1"/>
    <w:rsid w:val="005A0044"/>
    <w:rsid w:val="005A0B0A"/>
    <w:rsid w:val="005A1A49"/>
    <w:rsid w:val="005A2C11"/>
    <w:rsid w:val="005A3A5E"/>
    <w:rsid w:val="005A4742"/>
    <w:rsid w:val="005A6002"/>
    <w:rsid w:val="005A705B"/>
    <w:rsid w:val="005B0E10"/>
    <w:rsid w:val="005B1581"/>
    <w:rsid w:val="005B29F6"/>
    <w:rsid w:val="005B6BA6"/>
    <w:rsid w:val="005B7311"/>
    <w:rsid w:val="005C2445"/>
    <w:rsid w:val="005C2A5C"/>
    <w:rsid w:val="005C3024"/>
    <w:rsid w:val="005C3322"/>
    <w:rsid w:val="005C4F99"/>
    <w:rsid w:val="005C6397"/>
    <w:rsid w:val="005C7336"/>
    <w:rsid w:val="005D09C3"/>
    <w:rsid w:val="005D0EE4"/>
    <w:rsid w:val="005D1674"/>
    <w:rsid w:val="005D1EDC"/>
    <w:rsid w:val="005D36D3"/>
    <w:rsid w:val="005D3DEB"/>
    <w:rsid w:val="005D544C"/>
    <w:rsid w:val="005D56D0"/>
    <w:rsid w:val="005D5C03"/>
    <w:rsid w:val="005D5C9B"/>
    <w:rsid w:val="005D7357"/>
    <w:rsid w:val="005E59BF"/>
    <w:rsid w:val="005E7018"/>
    <w:rsid w:val="005E7568"/>
    <w:rsid w:val="005E7D52"/>
    <w:rsid w:val="005F05A2"/>
    <w:rsid w:val="005F0998"/>
    <w:rsid w:val="005F2546"/>
    <w:rsid w:val="005F29EC"/>
    <w:rsid w:val="005F33BB"/>
    <w:rsid w:val="005F3E9F"/>
    <w:rsid w:val="005F3FE7"/>
    <w:rsid w:val="005F56C2"/>
    <w:rsid w:val="005F5ADF"/>
    <w:rsid w:val="005F683E"/>
    <w:rsid w:val="005F72E3"/>
    <w:rsid w:val="00600B9B"/>
    <w:rsid w:val="00600EC3"/>
    <w:rsid w:val="00601BC0"/>
    <w:rsid w:val="00602F6C"/>
    <w:rsid w:val="0060399E"/>
    <w:rsid w:val="00603C94"/>
    <w:rsid w:val="006072A5"/>
    <w:rsid w:val="0060798D"/>
    <w:rsid w:val="0061054C"/>
    <w:rsid w:val="006117C9"/>
    <w:rsid w:val="006118D7"/>
    <w:rsid w:val="006118FB"/>
    <w:rsid w:val="00614F41"/>
    <w:rsid w:val="00616839"/>
    <w:rsid w:val="006178EF"/>
    <w:rsid w:val="00617EE5"/>
    <w:rsid w:val="006202E2"/>
    <w:rsid w:val="0062058E"/>
    <w:rsid w:val="0062343B"/>
    <w:rsid w:val="0062424D"/>
    <w:rsid w:val="00626439"/>
    <w:rsid w:val="00627D64"/>
    <w:rsid w:val="00630594"/>
    <w:rsid w:val="006308C8"/>
    <w:rsid w:val="00631A44"/>
    <w:rsid w:val="00632B92"/>
    <w:rsid w:val="00632EC5"/>
    <w:rsid w:val="006352B0"/>
    <w:rsid w:val="00635A73"/>
    <w:rsid w:val="00635A90"/>
    <w:rsid w:val="00635C56"/>
    <w:rsid w:val="00636E09"/>
    <w:rsid w:val="006373EE"/>
    <w:rsid w:val="00637758"/>
    <w:rsid w:val="006378D0"/>
    <w:rsid w:val="00637938"/>
    <w:rsid w:val="006409D8"/>
    <w:rsid w:val="00642138"/>
    <w:rsid w:val="0064262E"/>
    <w:rsid w:val="00643117"/>
    <w:rsid w:val="00643164"/>
    <w:rsid w:val="00643666"/>
    <w:rsid w:val="00643BE7"/>
    <w:rsid w:val="00645862"/>
    <w:rsid w:val="00647B65"/>
    <w:rsid w:val="00650F0D"/>
    <w:rsid w:val="00651770"/>
    <w:rsid w:val="00655137"/>
    <w:rsid w:val="006551E0"/>
    <w:rsid w:val="0065549B"/>
    <w:rsid w:val="006566AF"/>
    <w:rsid w:val="00656C02"/>
    <w:rsid w:val="006602D6"/>
    <w:rsid w:val="006604D1"/>
    <w:rsid w:val="0066144E"/>
    <w:rsid w:val="0066476B"/>
    <w:rsid w:val="00664BA6"/>
    <w:rsid w:val="006650B3"/>
    <w:rsid w:val="006706BB"/>
    <w:rsid w:val="00672957"/>
    <w:rsid w:val="00673013"/>
    <w:rsid w:val="006744D9"/>
    <w:rsid w:val="00676177"/>
    <w:rsid w:val="00676607"/>
    <w:rsid w:val="00676833"/>
    <w:rsid w:val="00677EFB"/>
    <w:rsid w:val="006809BA"/>
    <w:rsid w:val="006826A4"/>
    <w:rsid w:val="0068342C"/>
    <w:rsid w:val="006847B5"/>
    <w:rsid w:val="00684F70"/>
    <w:rsid w:val="00685223"/>
    <w:rsid w:val="006908E0"/>
    <w:rsid w:val="006914F4"/>
    <w:rsid w:val="00692304"/>
    <w:rsid w:val="00694848"/>
    <w:rsid w:val="00696396"/>
    <w:rsid w:val="0069748F"/>
    <w:rsid w:val="00697CFF"/>
    <w:rsid w:val="006A087F"/>
    <w:rsid w:val="006A2AEF"/>
    <w:rsid w:val="006A3059"/>
    <w:rsid w:val="006A30CF"/>
    <w:rsid w:val="006A6360"/>
    <w:rsid w:val="006A6BA3"/>
    <w:rsid w:val="006B23F3"/>
    <w:rsid w:val="006B2E8F"/>
    <w:rsid w:val="006B51CB"/>
    <w:rsid w:val="006B7A90"/>
    <w:rsid w:val="006C07A2"/>
    <w:rsid w:val="006C47D8"/>
    <w:rsid w:val="006C4D17"/>
    <w:rsid w:val="006C6C3E"/>
    <w:rsid w:val="006C6FC0"/>
    <w:rsid w:val="006C7FE8"/>
    <w:rsid w:val="006D0553"/>
    <w:rsid w:val="006D0973"/>
    <w:rsid w:val="006D0DF3"/>
    <w:rsid w:val="006D2580"/>
    <w:rsid w:val="006D3B37"/>
    <w:rsid w:val="006D5748"/>
    <w:rsid w:val="006D5D4F"/>
    <w:rsid w:val="006D7BA5"/>
    <w:rsid w:val="006E2688"/>
    <w:rsid w:val="006E4487"/>
    <w:rsid w:val="006E49D9"/>
    <w:rsid w:val="006E5752"/>
    <w:rsid w:val="006E7862"/>
    <w:rsid w:val="006F05C9"/>
    <w:rsid w:val="006F27BC"/>
    <w:rsid w:val="006F35CC"/>
    <w:rsid w:val="006F4524"/>
    <w:rsid w:val="006F4AE0"/>
    <w:rsid w:val="006F526F"/>
    <w:rsid w:val="006F63FC"/>
    <w:rsid w:val="006F6EFD"/>
    <w:rsid w:val="006F7601"/>
    <w:rsid w:val="006F7A58"/>
    <w:rsid w:val="006F7D84"/>
    <w:rsid w:val="00701AB7"/>
    <w:rsid w:val="0070234B"/>
    <w:rsid w:val="00704348"/>
    <w:rsid w:val="00706EAF"/>
    <w:rsid w:val="00707177"/>
    <w:rsid w:val="00707250"/>
    <w:rsid w:val="00707F34"/>
    <w:rsid w:val="00710108"/>
    <w:rsid w:val="007106D5"/>
    <w:rsid w:val="0071163E"/>
    <w:rsid w:val="00712460"/>
    <w:rsid w:val="007130F7"/>
    <w:rsid w:val="0071745A"/>
    <w:rsid w:val="0072084D"/>
    <w:rsid w:val="00721042"/>
    <w:rsid w:val="00721258"/>
    <w:rsid w:val="00722561"/>
    <w:rsid w:val="00722F74"/>
    <w:rsid w:val="00724227"/>
    <w:rsid w:val="00724896"/>
    <w:rsid w:val="0072489C"/>
    <w:rsid w:val="00724BFC"/>
    <w:rsid w:val="007253AF"/>
    <w:rsid w:val="00726E40"/>
    <w:rsid w:val="0072708B"/>
    <w:rsid w:val="00727B38"/>
    <w:rsid w:val="007320C1"/>
    <w:rsid w:val="007321CE"/>
    <w:rsid w:val="00732CE2"/>
    <w:rsid w:val="00733E3E"/>
    <w:rsid w:val="00734134"/>
    <w:rsid w:val="0073413E"/>
    <w:rsid w:val="007368C5"/>
    <w:rsid w:val="00740143"/>
    <w:rsid w:val="007401A5"/>
    <w:rsid w:val="0074040F"/>
    <w:rsid w:val="00741A35"/>
    <w:rsid w:val="00741A67"/>
    <w:rsid w:val="00745123"/>
    <w:rsid w:val="00745665"/>
    <w:rsid w:val="0075017E"/>
    <w:rsid w:val="00750D1C"/>
    <w:rsid w:val="0075181E"/>
    <w:rsid w:val="00751832"/>
    <w:rsid w:val="007522BA"/>
    <w:rsid w:val="00755591"/>
    <w:rsid w:val="007562DA"/>
    <w:rsid w:val="007602EF"/>
    <w:rsid w:val="007612E9"/>
    <w:rsid w:val="00762D79"/>
    <w:rsid w:val="00762D8A"/>
    <w:rsid w:val="007634BE"/>
    <w:rsid w:val="00764FF3"/>
    <w:rsid w:val="00765B9B"/>
    <w:rsid w:val="00767A78"/>
    <w:rsid w:val="00767C7E"/>
    <w:rsid w:val="00771253"/>
    <w:rsid w:val="0077192B"/>
    <w:rsid w:val="00771E02"/>
    <w:rsid w:val="00772595"/>
    <w:rsid w:val="00772E22"/>
    <w:rsid w:val="00773CEC"/>
    <w:rsid w:val="007742F7"/>
    <w:rsid w:val="00774DFF"/>
    <w:rsid w:val="00775792"/>
    <w:rsid w:val="00776258"/>
    <w:rsid w:val="0077658E"/>
    <w:rsid w:val="00777A31"/>
    <w:rsid w:val="007854C0"/>
    <w:rsid w:val="00785624"/>
    <w:rsid w:val="00785B7D"/>
    <w:rsid w:val="00790782"/>
    <w:rsid w:val="00790972"/>
    <w:rsid w:val="0079529C"/>
    <w:rsid w:val="0079669D"/>
    <w:rsid w:val="007A1355"/>
    <w:rsid w:val="007A4C5B"/>
    <w:rsid w:val="007A66EF"/>
    <w:rsid w:val="007A6A88"/>
    <w:rsid w:val="007B08D9"/>
    <w:rsid w:val="007B1C32"/>
    <w:rsid w:val="007B3132"/>
    <w:rsid w:val="007B4E39"/>
    <w:rsid w:val="007B5669"/>
    <w:rsid w:val="007B6121"/>
    <w:rsid w:val="007B6803"/>
    <w:rsid w:val="007B69C9"/>
    <w:rsid w:val="007B736A"/>
    <w:rsid w:val="007C0730"/>
    <w:rsid w:val="007C0A41"/>
    <w:rsid w:val="007C767B"/>
    <w:rsid w:val="007D1019"/>
    <w:rsid w:val="007D2ED6"/>
    <w:rsid w:val="007D51E6"/>
    <w:rsid w:val="007D6633"/>
    <w:rsid w:val="007D7168"/>
    <w:rsid w:val="007D79ED"/>
    <w:rsid w:val="007D7BDD"/>
    <w:rsid w:val="007D7DB1"/>
    <w:rsid w:val="007E1391"/>
    <w:rsid w:val="007E19AB"/>
    <w:rsid w:val="007E27E6"/>
    <w:rsid w:val="007E3B1F"/>
    <w:rsid w:val="007E3CA6"/>
    <w:rsid w:val="007E54FF"/>
    <w:rsid w:val="007E5E68"/>
    <w:rsid w:val="007E7779"/>
    <w:rsid w:val="007E7C49"/>
    <w:rsid w:val="007F4FC2"/>
    <w:rsid w:val="007F5088"/>
    <w:rsid w:val="007F645D"/>
    <w:rsid w:val="007F6680"/>
    <w:rsid w:val="008024BB"/>
    <w:rsid w:val="008027C7"/>
    <w:rsid w:val="00802C12"/>
    <w:rsid w:val="00804F64"/>
    <w:rsid w:val="00805DB7"/>
    <w:rsid w:val="008075D7"/>
    <w:rsid w:val="00811CA4"/>
    <w:rsid w:val="0081247C"/>
    <w:rsid w:val="00813541"/>
    <w:rsid w:val="0081498D"/>
    <w:rsid w:val="0081512A"/>
    <w:rsid w:val="00817240"/>
    <w:rsid w:val="008207C9"/>
    <w:rsid w:val="008214B4"/>
    <w:rsid w:val="00821E40"/>
    <w:rsid w:val="00822472"/>
    <w:rsid w:val="00822AB2"/>
    <w:rsid w:val="00822BE4"/>
    <w:rsid w:val="00822FFB"/>
    <w:rsid w:val="00823288"/>
    <w:rsid w:val="00823EC8"/>
    <w:rsid w:val="00825A88"/>
    <w:rsid w:val="0082631F"/>
    <w:rsid w:val="00826326"/>
    <w:rsid w:val="008271EC"/>
    <w:rsid w:val="00827A2F"/>
    <w:rsid w:val="008307E1"/>
    <w:rsid w:val="00830E46"/>
    <w:rsid w:val="00831422"/>
    <w:rsid w:val="008318C2"/>
    <w:rsid w:val="00831A8E"/>
    <w:rsid w:val="00832339"/>
    <w:rsid w:val="00832C7E"/>
    <w:rsid w:val="00833142"/>
    <w:rsid w:val="0083321A"/>
    <w:rsid w:val="00833883"/>
    <w:rsid w:val="008345ED"/>
    <w:rsid w:val="00834DE0"/>
    <w:rsid w:val="008356CE"/>
    <w:rsid w:val="00837506"/>
    <w:rsid w:val="008378BE"/>
    <w:rsid w:val="008408CE"/>
    <w:rsid w:val="00842529"/>
    <w:rsid w:val="00843479"/>
    <w:rsid w:val="008436D7"/>
    <w:rsid w:val="00843A73"/>
    <w:rsid w:val="008458AD"/>
    <w:rsid w:val="00846D35"/>
    <w:rsid w:val="008470B6"/>
    <w:rsid w:val="00847C8D"/>
    <w:rsid w:val="00851D42"/>
    <w:rsid w:val="00852C6E"/>
    <w:rsid w:val="00853D5F"/>
    <w:rsid w:val="008544B5"/>
    <w:rsid w:val="00857F83"/>
    <w:rsid w:val="0086003C"/>
    <w:rsid w:val="008616B9"/>
    <w:rsid w:val="008620E9"/>
    <w:rsid w:val="008636B5"/>
    <w:rsid w:val="00863813"/>
    <w:rsid w:val="008653A2"/>
    <w:rsid w:val="00867C84"/>
    <w:rsid w:val="00870410"/>
    <w:rsid w:val="00870D79"/>
    <w:rsid w:val="00871DFA"/>
    <w:rsid w:val="00872E4E"/>
    <w:rsid w:val="00872FEF"/>
    <w:rsid w:val="008731F2"/>
    <w:rsid w:val="0087421B"/>
    <w:rsid w:val="0087489F"/>
    <w:rsid w:val="008755FC"/>
    <w:rsid w:val="00877AA8"/>
    <w:rsid w:val="00880237"/>
    <w:rsid w:val="00880CD8"/>
    <w:rsid w:val="00881C7E"/>
    <w:rsid w:val="00882C90"/>
    <w:rsid w:val="00882D5E"/>
    <w:rsid w:val="008841ED"/>
    <w:rsid w:val="008863A4"/>
    <w:rsid w:val="00887BD1"/>
    <w:rsid w:val="00890838"/>
    <w:rsid w:val="00892D32"/>
    <w:rsid w:val="0089332A"/>
    <w:rsid w:val="00893DE0"/>
    <w:rsid w:val="00894131"/>
    <w:rsid w:val="00894134"/>
    <w:rsid w:val="00894863"/>
    <w:rsid w:val="00897D01"/>
    <w:rsid w:val="008A004C"/>
    <w:rsid w:val="008A00B5"/>
    <w:rsid w:val="008A0979"/>
    <w:rsid w:val="008A2663"/>
    <w:rsid w:val="008A2AB0"/>
    <w:rsid w:val="008A2B92"/>
    <w:rsid w:val="008A2EF7"/>
    <w:rsid w:val="008A33D5"/>
    <w:rsid w:val="008A5903"/>
    <w:rsid w:val="008A751A"/>
    <w:rsid w:val="008B6593"/>
    <w:rsid w:val="008B74CC"/>
    <w:rsid w:val="008B7A9C"/>
    <w:rsid w:val="008C059D"/>
    <w:rsid w:val="008C084F"/>
    <w:rsid w:val="008C2DFB"/>
    <w:rsid w:val="008C418D"/>
    <w:rsid w:val="008C41F0"/>
    <w:rsid w:val="008C4D16"/>
    <w:rsid w:val="008C5740"/>
    <w:rsid w:val="008C6D58"/>
    <w:rsid w:val="008C7940"/>
    <w:rsid w:val="008D0ADA"/>
    <w:rsid w:val="008D12BB"/>
    <w:rsid w:val="008D159C"/>
    <w:rsid w:val="008D1D35"/>
    <w:rsid w:val="008D2163"/>
    <w:rsid w:val="008D267E"/>
    <w:rsid w:val="008D2E62"/>
    <w:rsid w:val="008D341F"/>
    <w:rsid w:val="008D40EA"/>
    <w:rsid w:val="008D4757"/>
    <w:rsid w:val="008D4B75"/>
    <w:rsid w:val="008D58CC"/>
    <w:rsid w:val="008D5BB3"/>
    <w:rsid w:val="008D6455"/>
    <w:rsid w:val="008E10E1"/>
    <w:rsid w:val="008E24B6"/>
    <w:rsid w:val="008E489B"/>
    <w:rsid w:val="008E4C82"/>
    <w:rsid w:val="008E53E9"/>
    <w:rsid w:val="008E5BAB"/>
    <w:rsid w:val="008E692D"/>
    <w:rsid w:val="008F0C98"/>
    <w:rsid w:val="008F0E76"/>
    <w:rsid w:val="008F1322"/>
    <w:rsid w:val="008F4672"/>
    <w:rsid w:val="008F51C8"/>
    <w:rsid w:val="008F6016"/>
    <w:rsid w:val="0090280F"/>
    <w:rsid w:val="0090325A"/>
    <w:rsid w:val="00906801"/>
    <w:rsid w:val="00906FAD"/>
    <w:rsid w:val="009071AD"/>
    <w:rsid w:val="00907590"/>
    <w:rsid w:val="00910408"/>
    <w:rsid w:val="00910663"/>
    <w:rsid w:val="0091113A"/>
    <w:rsid w:val="00911499"/>
    <w:rsid w:val="00912098"/>
    <w:rsid w:val="009128E0"/>
    <w:rsid w:val="009137F9"/>
    <w:rsid w:val="00914758"/>
    <w:rsid w:val="009157BF"/>
    <w:rsid w:val="00915C3E"/>
    <w:rsid w:val="0091618A"/>
    <w:rsid w:val="0091698A"/>
    <w:rsid w:val="00917341"/>
    <w:rsid w:val="009177D7"/>
    <w:rsid w:val="00917E24"/>
    <w:rsid w:val="00917E2A"/>
    <w:rsid w:val="00920274"/>
    <w:rsid w:val="009205E3"/>
    <w:rsid w:val="00920EC4"/>
    <w:rsid w:val="00930D96"/>
    <w:rsid w:val="00930F2A"/>
    <w:rsid w:val="00933F3E"/>
    <w:rsid w:val="00934EE1"/>
    <w:rsid w:val="00940AF5"/>
    <w:rsid w:val="009424C4"/>
    <w:rsid w:val="00943E43"/>
    <w:rsid w:val="00943F86"/>
    <w:rsid w:val="00944681"/>
    <w:rsid w:val="00945A7B"/>
    <w:rsid w:val="00946069"/>
    <w:rsid w:val="00946935"/>
    <w:rsid w:val="0095251C"/>
    <w:rsid w:val="0095280B"/>
    <w:rsid w:val="00954BB3"/>
    <w:rsid w:val="00954C50"/>
    <w:rsid w:val="00957B45"/>
    <w:rsid w:val="009619C7"/>
    <w:rsid w:val="009628AE"/>
    <w:rsid w:val="0096404C"/>
    <w:rsid w:val="00965762"/>
    <w:rsid w:val="00965EEF"/>
    <w:rsid w:val="00966193"/>
    <w:rsid w:val="00966568"/>
    <w:rsid w:val="00966BE8"/>
    <w:rsid w:val="00973BEB"/>
    <w:rsid w:val="009744AA"/>
    <w:rsid w:val="00977894"/>
    <w:rsid w:val="00980519"/>
    <w:rsid w:val="00980E90"/>
    <w:rsid w:val="00981C40"/>
    <w:rsid w:val="00983295"/>
    <w:rsid w:val="00983692"/>
    <w:rsid w:val="009839FC"/>
    <w:rsid w:val="00986EBD"/>
    <w:rsid w:val="00990E6F"/>
    <w:rsid w:val="00992622"/>
    <w:rsid w:val="00992931"/>
    <w:rsid w:val="00993B07"/>
    <w:rsid w:val="00993CB2"/>
    <w:rsid w:val="00993F53"/>
    <w:rsid w:val="00995654"/>
    <w:rsid w:val="009975E0"/>
    <w:rsid w:val="00997640"/>
    <w:rsid w:val="00997753"/>
    <w:rsid w:val="009A0451"/>
    <w:rsid w:val="009A1597"/>
    <w:rsid w:val="009A1E05"/>
    <w:rsid w:val="009A28DA"/>
    <w:rsid w:val="009A5F8E"/>
    <w:rsid w:val="009A749D"/>
    <w:rsid w:val="009A79AE"/>
    <w:rsid w:val="009B1DF5"/>
    <w:rsid w:val="009B2F6E"/>
    <w:rsid w:val="009B3F5A"/>
    <w:rsid w:val="009B469F"/>
    <w:rsid w:val="009B4D4D"/>
    <w:rsid w:val="009B5741"/>
    <w:rsid w:val="009B6A55"/>
    <w:rsid w:val="009C0B1B"/>
    <w:rsid w:val="009C1282"/>
    <w:rsid w:val="009C227F"/>
    <w:rsid w:val="009C2BED"/>
    <w:rsid w:val="009C3E07"/>
    <w:rsid w:val="009C434A"/>
    <w:rsid w:val="009C4365"/>
    <w:rsid w:val="009C53F9"/>
    <w:rsid w:val="009C5A5C"/>
    <w:rsid w:val="009C5C60"/>
    <w:rsid w:val="009D0B3D"/>
    <w:rsid w:val="009D2827"/>
    <w:rsid w:val="009D3EED"/>
    <w:rsid w:val="009D4140"/>
    <w:rsid w:val="009D6273"/>
    <w:rsid w:val="009D67C2"/>
    <w:rsid w:val="009E0E50"/>
    <w:rsid w:val="009E1CA9"/>
    <w:rsid w:val="009E4C97"/>
    <w:rsid w:val="009E538A"/>
    <w:rsid w:val="009E5439"/>
    <w:rsid w:val="009E5A14"/>
    <w:rsid w:val="009E7111"/>
    <w:rsid w:val="009E71E9"/>
    <w:rsid w:val="009E741F"/>
    <w:rsid w:val="009E7FA0"/>
    <w:rsid w:val="009F2CA8"/>
    <w:rsid w:val="009F35C0"/>
    <w:rsid w:val="009F42DA"/>
    <w:rsid w:val="009F4F10"/>
    <w:rsid w:val="009F5F82"/>
    <w:rsid w:val="009F7D1E"/>
    <w:rsid w:val="00A0045F"/>
    <w:rsid w:val="00A01E5D"/>
    <w:rsid w:val="00A02925"/>
    <w:rsid w:val="00A03B22"/>
    <w:rsid w:val="00A043B5"/>
    <w:rsid w:val="00A050D7"/>
    <w:rsid w:val="00A05887"/>
    <w:rsid w:val="00A074C6"/>
    <w:rsid w:val="00A07789"/>
    <w:rsid w:val="00A07EAC"/>
    <w:rsid w:val="00A07F7C"/>
    <w:rsid w:val="00A101FD"/>
    <w:rsid w:val="00A12625"/>
    <w:rsid w:val="00A13821"/>
    <w:rsid w:val="00A140BB"/>
    <w:rsid w:val="00A1549F"/>
    <w:rsid w:val="00A15819"/>
    <w:rsid w:val="00A15E70"/>
    <w:rsid w:val="00A162CF"/>
    <w:rsid w:val="00A17976"/>
    <w:rsid w:val="00A22065"/>
    <w:rsid w:val="00A2362C"/>
    <w:rsid w:val="00A24301"/>
    <w:rsid w:val="00A24ECD"/>
    <w:rsid w:val="00A25814"/>
    <w:rsid w:val="00A26B93"/>
    <w:rsid w:val="00A2786E"/>
    <w:rsid w:val="00A304D7"/>
    <w:rsid w:val="00A31A74"/>
    <w:rsid w:val="00A32ADC"/>
    <w:rsid w:val="00A32CE5"/>
    <w:rsid w:val="00A347A5"/>
    <w:rsid w:val="00A34E4C"/>
    <w:rsid w:val="00A3560A"/>
    <w:rsid w:val="00A36916"/>
    <w:rsid w:val="00A37574"/>
    <w:rsid w:val="00A4068E"/>
    <w:rsid w:val="00A43C1D"/>
    <w:rsid w:val="00A43E56"/>
    <w:rsid w:val="00A44E73"/>
    <w:rsid w:val="00A45255"/>
    <w:rsid w:val="00A46322"/>
    <w:rsid w:val="00A465B1"/>
    <w:rsid w:val="00A50958"/>
    <w:rsid w:val="00A51963"/>
    <w:rsid w:val="00A528F8"/>
    <w:rsid w:val="00A53819"/>
    <w:rsid w:val="00A53B16"/>
    <w:rsid w:val="00A56AB5"/>
    <w:rsid w:val="00A603AF"/>
    <w:rsid w:val="00A603E9"/>
    <w:rsid w:val="00A60CAB"/>
    <w:rsid w:val="00A62FF8"/>
    <w:rsid w:val="00A657E8"/>
    <w:rsid w:val="00A658B1"/>
    <w:rsid w:val="00A65D67"/>
    <w:rsid w:val="00A65D8D"/>
    <w:rsid w:val="00A70133"/>
    <w:rsid w:val="00A7093B"/>
    <w:rsid w:val="00A71466"/>
    <w:rsid w:val="00A7175D"/>
    <w:rsid w:val="00A726EB"/>
    <w:rsid w:val="00A74632"/>
    <w:rsid w:val="00A75D0A"/>
    <w:rsid w:val="00A76D7C"/>
    <w:rsid w:val="00A7764E"/>
    <w:rsid w:val="00A8032E"/>
    <w:rsid w:val="00A8055B"/>
    <w:rsid w:val="00A81C0F"/>
    <w:rsid w:val="00A81D6F"/>
    <w:rsid w:val="00A8366A"/>
    <w:rsid w:val="00A839FD"/>
    <w:rsid w:val="00A83AFB"/>
    <w:rsid w:val="00A86B25"/>
    <w:rsid w:val="00A86C2B"/>
    <w:rsid w:val="00A86D53"/>
    <w:rsid w:val="00A908B4"/>
    <w:rsid w:val="00A90D2D"/>
    <w:rsid w:val="00A90F02"/>
    <w:rsid w:val="00A927A4"/>
    <w:rsid w:val="00A92AFF"/>
    <w:rsid w:val="00A92BF8"/>
    <w:rsid w:val="00A93FFF"/>
    <w:rsid w:val="00A94020"/>
    <w:rsid w:val="00A94B19"/>
    <w:rsid w:val="00A95D4B"/>
    <w:rsid w:val="00A961AE"/>
    <w:rsid w:val="00A9770C"/>
    <w:rsid w:val="00AA026A"/>
    <w:rsid w:val="00AA0694"/>
    <w:rsid w:val="00AA0D1E"/>
    <w:rsid w:val="00AA0F2C"/>
    <w:rsid w:val="00AA2D9A"/>
    <w:rsid w:val="00AA340B"/>
    <w:rsid w:val="00AA3A38"/>
    <w:rsid w:val="00AA40D6"/>
    <w:rsid w:val="00AA45C2"/>
    <w:rsid w:val="00AA488D"/>
    <w:rsid w:val="00AA548E"/>
    <w:rsid w:val="00AB014F"/>
    <w:rsid w:val="00AB2D17"/>
    <w:rsid w:val="00AB5222"/>
    <w:rsid w:val="00AB55CB"/>
    <w:rsid w:val="00AB5FA1"/>
    <w:rsid w:val="00AB71A4"/>
    <w:rsid w:val="00AB740A"/>
    <w:rsid w:val="00AB750A"/>
    <w:rsid w:val="00AC153F"/>
    <w:rsid w:val="00AC1E74"/>
    <w:rsid w:val="00AC36BA"/>
    <w:rsid w:val="00AC4891"/>
    <w:rsid w:val="00AC4DA6"/>
    <w:rsid w:val="00AC517A"/>
    <w:rsid w:val="00AC5896"/>
    <w:rsid w:val="00AC62AD"/>
    <w:rsid w:val="00AC6941"/>
    <w:rsid w:val="00AC6E79"/>
    <w:rsid w:val="00AC7A5C"/>
    <w:rsid w:val="00AD0B28"/>
    <w:rsid w:val="00AD178B"/>
    <w:rsid w:val="00AD1794"/>
    <w:rsid w:val="00AD444B"/>
    <w:rsid w:val="00AD45B9"/>
    <w:rsid w:val="00AD5007"/>
    <w:rsid w:val="00AD6990"/>
    <w:rsid w:val="00AD7A3D"/>
    <w:rsid w:val="00AE039E"/>
    <w:rsid w:val="00AE10F2"/>
    <w:rsid w:val="00AE3C84"/>
    <w:rsid w:val="00AE3CE6"/>
    <w:rsid w:val="00AE3FC4"/>
    <w:rsid w:val="00AE729D"/>
    <w:rsid w:val="00AE7DCA"/>
    <w:rsid w:val="00AF0963"/>
    <w:rsid w:val="00AF13F9"/>
    <w:rsid w:val="00AF17F1"/>
    <w:rsid w:val="00AF35CB"/>
    <w:rsid w:val="00AF37D4"/>
    <w:rsid w:val="00AF7FB0"/>
    <w:rsid w:val="00B0111C"/>
    <w:rsid w:val="00B01155"/>
    <w:rsid w:val="00B02718"/>
    <w:rsid w:val="00B06256"/>
    <w:rsid w:val="00B06564"/>
    <w:rsid w:val="00B07619"/>
    <w:rsid w:val="00B1047A"/>
    <w:rsid w:val="00B10DAB"/>
    <w:rsid w:val="00B1101E"/>
    <w:rsid w:val="00B111D1"/>
    <w:rsid w:val="00B116B4"/>
    <w:rsid w:val="00B11D1B"/>
    <w:rsid w:val="00B12423"/>
    <w:rsid w:val="00B12553"/>
    <w:rsid w:val="00B126C8"/>
    <w:rsid w:val="00B12745"/>
    <w:rsid w:val="00B134A6"/>
    <w:rsid w:val="00B13BFB"/>
    <w:rsid w:val="00B16A1F"/>
    <w:rsid w:val="00B211EE"/>
    <w:rsid w:val="00B21884"/>
    <w:rsid w:val="00B232F1"/>
    <w:rsid w:val="00B23B40"/>
    <w:rsid w:val="00B24BFE"/>
    <w:rsid w:val="00B25B78"/>
    <w:rsid w:val="00B27F8F"/>
    <w:rsid w:val="00B306A0"/>
    <w:rsid w:val="00B31501"/>
    <w:rsid w:val="00B319BF"/>
    <w:rsid w:val="00B32A51"/>
    <w:rsid w:val="00B32AEA"/>
    <w:rsid w:val="00B348DC"/>
    <w:rsid w:val="00B34CBA"/>
    <w:rsid w:val="00B36E02"/>
    <w:rsid w:val="00B37D21"/>
    <w:rsid w:val="00B40087"/>
    <w:rsid w:val="00B40654"/>
    <w:rsid w:val="00B4366C"/>
    <w:rsid w:val="00B444DD"/>
    <w:rsid w:val="00B44BDE"/>
    <w:rsid w:val="00B45EE1"/>
    <w:rsid w:val="00B51313"/>
    <w:rsid w:val="00B52255"/>
    <w:rsid w:val="00B53246"/>
    <w:rsid w:val="00B5482E"/>
    <w:rsid w:val="00B5517B"/>
    <w:rsid w:val="00B557C8"/>
    <w:rsid w:val="00B60DB2"/>
    <w:rsid w:val="00B62664"/>
    <w:rsid w:val="00B6266A"/>
    <w:rsid w:val="00B6566E"/>
    <w:rsid w:val="00B6569F"/>
    <w:rsid w:val="00B664F9"/>
    <w:rsid w:val="00B66C81"/>
    <w:rsid w:val="00B6765A"/>
    <w:rsid w:val="00B70A40"/>
    <w:rsid w:val="00B70C1F"/>
    <w:rsid w:val="00B7176D"/>
    <w:rsid w:val="00B74528"/>
    <w:rsid w:val="00B763D1"/>
    <w:rsid w:val="00B77ADC"/>
    <w:rsid w:val="00B80652"/>
    <w:rsid w:val="00B80E2A"/>
    <w:rsid w:val="00B82846"/>
    <w:rsid w:val="00B86AE1"/>
    <w:rsid w:val="00B87243"/>
    <w:rsid w:val="00B87B37"/>
    <w:rsid w:val="00B91390"/>
    <w:rsid w:val="00B9154C"/>
    <w:rsid w:val="00B91912"/>
    <w:rsid w:val="00B92D4E"/>
    <w:rsid w:val="00B92FED"/>
    <w:rsid w:val="00B9384B"/>
    <w:rsid w:val="00B95DB6"/>
    <w:rsid w:val="00BA00F0"/>
    <w:rsid w:val="00BA130E"/>
    <w:rsid w:val="00BA136B"/>
    <w:rsid w:val="00BA16E6"/>
    <w:rsid w:val="00BA3DB1"/>
    <w:rsid w:val="00BA4A63"/>
    <w:rsid w:val="00BA60B5"/>
    <w:rsid w:val="00BB23C7"/>
    <w:rsid w:val="00BB3562"/>
    <w:rsid w:val="00BB53EE"/>
    <w:rsid w:val="00BB5851"/>
    <w:rsid w:val="00BB6421"/>
    <w:rsid w:val="00BB6B1D"/>
    <w:rsid w:val="00BB6F2D"/>
    <w:rsid w:val="00BC140D"/>
    <w:rsid w:val="00BC2272"/>
    <w:rsid w:val="00BC296E"/>
    <w:rsid w:val="00BC406E"/>
    <w:rsid w:val="00BC41CD"/>
    <w:rsid w:val="00BC69BE"/>
    <w:rsid w:val="00BC6E47"/>
    <w:rsid w:val="00BD0ACC"/>
    <w:rsid w:val="00BD0D07"/>
    <w:rsid w:val="00BD0E35"/>
    <w:rsid w:val="00BD0FAA"/>
    <w:rsid w:val="00BD1873"/>
    <w:rsid w:val="00BD2428"/>
    <w:rsid w:val="00BD2852"/>
    <w:rsid w:val="00BD44F7"/>
    <w:rsid w:val="00BD5D1D"/>
    <w:rsid w:val="00BD618F"/>
    <w:rsid w:val="00BD6C98"/>
    <w:rsid w:val="00BD7BD5"/>
    <w:rsid w:val="00BE0657"/>
    <w:rsid w:val="00BE0D06"/>
    <w:rsid w:val="00BE1689"/>
    <w:rsid w:val="00BE37CB"/>
    <w:rsid w:val="00BE539E"/>
    <w:rsid w:val="00BE7391"/>
    <w:rsid w:val="00BF2DD1"/>
    <w:rsid w:val="00BF2DF4"/>
    <w:rsid w:val="00BF4CB0"/>
    <w:rsid w:val="00BF589F"/>
    <w:rsid w:val="00BF609A"/>
    <w:rsid w:val="00C00A9C"/>
    <w:rsid w:val="00C01573"/>
    <w:rsid w:val="00C01B53"/>
    <w:rsid w:val="00C020F4"/>
    <w:rsid w:val="00C02165"/>
    <w:rsid w:val="00C025AA"/>
    <w:rsid w:val="00C02815"/>
    <w:rsid w:val="00C036D8"/>
    <w:rsid w:val="00C04641"/>
    <w:rsid w:val="00C04DE9"/>
    <w:rsid w:val="00C0526B"/>
    <w:rsid w:val="00C05C7C"/>
    <w:rsid w:val="00C069CD"/>
    <w:rsid w:val="00C075F4"/>
    <w:rsid w:val="00C10085"/>
    <w:rsid w:val="00C10640"/>
    <w:rsid w:val="00C10BF1"/>
    <w:rsid w:val="00C12D4C"/>
    <w:rsid w:val="00C134C4"/>
    <w:rsid w:val="00C13547"/>
    <w:rsid w:val="00C13640"/>
    <w:rsid w:val="00C14C16"/>
    <w:rsid w:val="00C16503"/>
    <w:rsid w:val="00C168AE"/>
    <w:rsid w:val="00C1717D"/>
    <w:rsid w:val="00C2121A"/>
    <w:rsid w:val="00C2249C"/>
    <w:rsid w:val="00C2548F"/>
    <w:rsid w:val="00C25787"/>
    <w:rsid w:val="00C2578E"/>
    <w:rsid w:val="00C265DA"/>
    <w:rsid w:val="00C27CA2"/>
    <w:rsid w:val="00C30A07"/>
    <w:rsid w:val="00C33FCC"/>
    <w:rsid w:val="00C34019"/>
    <w:rsid w:val="00C345D9"/>
    <w:rsid w:val="00C34CE3"/>
    <w:rsid w:val="00C371A0"/>
    <w:rsid w:val="00C37224"/>
    <w:rsid w:val="00C37FC6"/>
    <w:rsid w:val="00C40325"/>
    <w:rsid w:val="00C40FA0"/>
    <w:rsid w:val="00C42489"/>
    <w:rsid w:val="00C43C93"/>
    <w:rsid w:val="00C44360"/>
    <w:rsid w:val="00C44B70"/>
    <w:rsid w:val="00C45326"/>
    <w:rsid w:val="00C46BD4"/>
    <w:rsid w:val="00C46F68"/>
    <w:rsid w:val="00C4740C"/>
    <w:rsid w:val="00C47468"/>
    <w:rsid w:val="00C474FC"/>
    <w:rsid w:val="00C47993"/>
    <w:rsid w:val="00C47BC0"/>
    <w:rsid w:val="00C508FB"/>
    <w:rsid w:val="00C50AAB"/>
    <w:rsid w:val="00C51321"/>
    <w:rsid w:val="00C52184"/>
    <w:rsid w:val="00C52B26"/>
    <w:rsid w:val="00C53F4B"/>
    <w:rsid w:val="00C55AA2"/>
    <w:rsid w:val="00C56733"/>
    <w:rsid w:val="00C5685B"/>
    <w:rsid w:val="00C56EAA"/>
    <w:rsid w:val="00C577A0"/>
    <w:rsid w:val="00C609EE"/>
    <w:rsid w:val="00C615FD"/>
    <w:rsid w:val="00C620D6"/>
    <w:rsid w:val="00C62F53"/>
    <w:rsid w:val="00C633A3"/>
    <w:rsid w:val="00C64B9B"/>
    <w:rsid w:val="00C67705"/>
    <w:rsid w:val="00C6770B"/>
    <w:rsid w:val="00C67B46"/>
    <w:rsid w:val="00C709B6"/>
    <w:rsid w:val="00C70EF4"/>
    <w:rsid w:val="00C73D73"/>
    <w:rsid w:val="00C769C0"/>
    <w:rsid w:val="00C80DD2"/>
    <w:rsid w:val="00C81B06"/>
    <w:rsid w:val="00C81B5E"/>
    <w:rsid w:val="00C82F3A"/>
    <w:rsid w:val="00C8357A"/>
    <w:rsid w:val="00C83B62"/>
    <w:rsid w:val="00C83EBB"/>
    <w:rsid w:val="00C87E28"/>
    <w:rsid w:val="00C9008A"/>
    <w:rsid w:val="00C90136"/>
    <w:rsid w:val="00C91A8D"/>
    <w:rsid w:val="00C94CA4"/>
    <w:rsid w:val="00C96072"/>
    <w:rsid w:val="00C96618"/>
    <w:rsid w:val="00CA1335"/>
    <w:rsid w:val="00CA2812"/>
    <w:rsid w:val="00CA29F5"/>
    <w:rsid w:val="00CA2C6C"/>
    <w:rsid w:val="00CA353B"/>
    <w:rsid w:val="00CA3736"/>
    <w:rsid w:val="00CA3CAC"/>
    <w:rsid w:val="00CA40C9"/>
    <w:rsid w:val="00CA458E"/>
    <w:rsid w:val="00CA5D68"/>
    <w:rsid w:val="00CA6451"/>
    <w:rsid w:val="00CA6702"/>
    <w:rsid w:val="00CA7DAE"/>
    <w:rsid w:val="00CB07C1"/>
    <w:rsid w:val="00CB10E2"/>
    <w:rsid w:val="00CB1875"/>
    <w:rsid w:val="00CB1B7D"/>
    <w:rsid w:val="00CB1C2A"/>
    <w:rsid w:val="00CB2F8C"/>
    <w:rsid w:val="00CB45A3"/>
    <w:rsid w:val="00CB59E4"/>
    <w:rsid w:val="00CB7D1E"/>
    <w:rsid w:val="00CB7FBB"/>
    <w:rsid w:val="00CC1256"/>
    <w:rsid w:val="00CC1773"/>
    <w:rsid w:val="00CC1B36"/>
    <w:rsid w:val="00CC2BA4"/>
    <w:rsid w:val="00CC4091"/>
    <w:rsid w:val="00CC4B76"/>
    <w:rsid w:val="00CC75F7"/>
    <w:rsid w:val="00CD43A7"/>
    <w:rsid w:val="00CD59AD"/>
    <w:rsid w:val="00CD7422"/>
    <w:rsid w:val="00CE046B"/>
    <w:rsid w:val="00CE0A6C"/>
    <w:rsid w:val="00CE0AFE"/>
    <w:rsid w:val="00CE1DED"/>
    <w:rsid w:val="00CE60BE"/>
    <w:rsid w:val="00CE6DD5"/>
    <w:rsid w:val="00CF2141"/>
    <w:rsid w:val="00CF2E60"/>
    <w:rsid w:val="00CF3376"/>
    <w:rsid w:val="00CF5836"/>
    <w:rsid w:val="00CF739A"/>
    <w:rsid w:val="00D00855"/>
    <w:rsid w:val="00D00E04"/>
    <w:rsid w:val="00D01182"/>
    <w:rsid w:val="00D0370B"/>
    <w:rsid w:val="00D03C99"/>
    <w:rsid w:val="00D04081"/>
    <w:rsid w:val="00D0494C"/>
    <w:rsid w:val="00D04A6F"/>
    <w:rsid w:val="00D05C4B"/>
    <w:rsid w:val="00D05D51"/>
    <w:rsid w:val="00D11936"/>
    <w:rsid w:val="00D11E86"/>
    <w:rsid w:val="00D1249F"/>
    <w:rsid w:val="00D12A22"/>
    <w:rsid w:val="00D14360"/>
    <w:rsid w:val="00D14A8A"/>
    <w:rsid w:val="00D14E25"/>
    <w:rsid w:val="00D15484"/>
    <w:rsid w:val="00D15910"/>
    <w:rsid w:val="00D16B33"/>
    <w:rsid w:val="00D17268"/>
    <w:rsid w:val="00D237D8"/>
    <w:rsid w:val="00D24039"/>
    <w:rsid w:val="00D24AF2"/>
    <w:rsid w:val="00D26621"/>
    <w:rsid w:val="00D27AF7"/>
    <w:rsid w:val="00D302DB"/>
    <w:rsid w:val="00D30474"/>
    <w:rsid w:val="00D3129A"/>
    <w:rsid w:val="00D317C1"/>
    <w:rsid w:val="00D31E8D"/>
    <w:rsid w:val="00D33078"/>
    <w:rsid w:val="00D331F8"/>
    <w:rsid w:val="00D34A70"/>
    <w:rsid w:val="00D40FD9"/>
    <w:rsid w:val="00D41588"/>
    <w:rsid w:val="00D50E2B"/>
    <w:rsid w:val="00D5242E"/>
    <w:rsid w:val="00D5300D"/>
    <w:rsid w:val="00D54111"/>
    <w:rsid w:val="00D548FC"/>
    <w:rsid w:val="00D54B63"/>
    <w:rsid w:val="00D54FE2"/>
    <w:rsid w:val="00D563B9"/>
    <w:rsid w:val="00D572FB"/>
    <w:rsid w:val="00D57BCE"/>
    <w:rsid w:val="00D614FF"/>
    <w:rsid w:val="00D62024"/>
    <w:rsid w:val="00D62EB9"/>
    <w:rsid w:val="00D630D4"/>
    <w:rsid w:val="00D648EA"/>
    <w:rsid w:val="00D64D73"/>
    <w:rsid w:val="00D65CC8"/>
    <w:rsid w:val="00D70370"/>
    <w:rsid w:val="00D706AC"/>
    <w:rsid w:val="00D72D3D"/>
    <w:rsid w:val="00D741F7"/>
    <w:rsid w:val="00D74612"/>
    <w:rsid w:val="00D75A67"/>
    <w:rsid w:val="00D75AC8"/>
    <w:rsid w:val="00D76712"/>
    <w:rsid w:val="00D768D4"/>
    <w:rsid w:val="00D76F89"/>
    <w:rsid w:val="00D803D4"/>
    <w:rsid w:val="00D81DC2"/>
    <w:rsid w:val="00D838CF"/>
    <w:rsid w:val="00D83907"/>
    <w:rsid w:val="00D867A1"/>
    <w:rsid w:val="00D91183"/>
    <w:rsid w:val="00D91587"/>
    <w:rsid w:val="00D93060"/>
    <w:rsid w:val="00D934A2"/>
    <w:rsid w:val="00D936D5"/>
    <w:rsid w:val="00D94A86"/>
    <w:rsid w:val="00D96C8B"/>
    <w:rsid w:val="00DA2BD1"/>
    <w:rsid w:val="00DA41C9"/>
    <w:rsid w:val="00DA4A48"/>
    <w:rsid w:val="00DA4F40"/>
    <w:rsid w:val="00DA5A1C"/>
    <w:rsid w:val="00DB062E"/>
    <w:rsid w:val="00DB0E68"/>
    <w:rsid w:val="00DB2A18"/>
    <w:rsid w:val="00DB34BF"/>
    <w:rsid w:val="00DB43CF"/>
    <w:rsid w:val="00DB754D"/>
    <w:rsid w:val="00DB7583"/>
    <w:rsid w:val="00DB79B0"/>
    <w:rsid w:val="00DC0325"/>
    <w:rsid w:val="00DC20BC"/>
    <w:rsid w:val="00DC20D4"/>
    <w:rsid w:val="00DC2D5B"/>
    <w:rsid w:val="00DC53CB"/>
    <w:rsid w:val="00DC6B76"/>
    <w:rsid w:val="00DC7A4F"/>
    <w:rsid w:val="00DD00BE"/>
    <w:rsid w:val="00DD1CB4"/>
    <w:rsid w:val="00DD227E"/>
    <w:rsid w:val="00DD2831"/>
    <w:rsid w:val="00DD296E"/>
    <w:rsid w:val="00DD2BF0"/>
    <w:rsid w:val="00DD2C40"/>
    <w:rsid w:val="00DD37F1"/>
    <w:rsid w:val="00DD4294"/>
    <w:rsid w:val="00DD4349"/>
    <w:rsid w:val="00DD55D2"/>
    <w:rsid w:val="00DD5C24"/>
    <w:rsid w:val="00DE0316"/>
    <w:rsid w:val="00DE115F"/>
    <w:rsid w:val="00DE432A"/>
    <w:rsid w:val="00DE754A"/>
    <w:rsid w:val="00DE7978"/>
    <w:rsid w:val="00DF080B"/>
    <w:rsid w:val="00DF0836"/>
    <w:rsid w:val="00DF1F30"/>
    <w:rsid w:val="00DF288D"/>
    <w:rsid w:val="00DF553E"/>
    <w:rsid w:val="00DF75A3"/>
    <w:rsid w:val="00DF7BF6"/>
    <w:rsid w:val="00E00761"/>
    <w:rsid w:val="00E007FE"/>
    <w:rsid w:val="00E01E77"/>
    <w:rsid w:val="00E0310D"/>
    <w:rsid w:val="00E04053"/>
    <w:rsid w:val="00E045A7"/>
    <w:rsid w:val="00E04744"/>
    <w:rsid w:val="00E05D46"/>
    <w:rsid w:val="00E10418"/>
    <w:rsid w:val="00E107F1"/>
    <w:rsid w:val="00E124EC"/>
    <w:rsid w:val="00E12CB4"/>
    <w:rsid w:val="00E13918"/>
    <w:rsid w:val="00E14562"/>
    <w:rsid w:val="00E1507A"/>
    <w:rsid w:val="00E16173"/>
    <w:rsid w:val="00E20DDD"/>
    <w:rsid w:val="00E21D00"/>
    <w:rsid w:val="00E2232F"/>
    <w:rsid w:val="00E22C58"/>
    <w:rsid w:val="00E23783"/>
    <w:rsid w:val="00E23EEA"/>
    <w:rsid w:val="00E25944"/>
    <w:rsid w:val="00E278C5"/>
    <w:rsid w:val="00E27E62"/>
    <w:rsid w:val="00E3013E"/>
    <w:rsid w:val="00E3094F"/>
    <w:rsid w:val="00E3207E"/>
    <w:rsid w:val="00E32C4A"/>
    <w:rsid w:val="00E34DD4"/>
    <w:rsid w:val="00E35CEB"/>
    <w:rsid w:val="00E37ACD"/>
    <w:rsid w:val="00E40132"/>
    <w:rsid w:val="00E420C5"/>
    <w:rsid w:val="00E443AB"/>
    <w:rsid w:val="00E44515"/>
    <w:rsid w:val="00E44EE9"/>
    <w:rsid w:val="00E45538"/>
    <w:rsid w:val="00E46CC0"/>
    <w:rsid w:val="00E46F28"/>
    <w:rsid w:val="00E47F4D"/>
    <w:rsid w:val="00E525EE"/>
    <w:rsid w:val="00E5612B"/>
    <w:rsid w:val="00E56A0E"/>
    <w:rsid w:val="00E56EAD"/>
    <w:rsid w:val="00E57A2F"/>
    <w:rsid w:val="00E61ED7"/>
    <w:rsid w:val="00E62F96"/>
    <w:rsid w:val="00E633EA"/>
    <w:rsid w:val="00E6341A"/>
    <w:rsid w:val="00E63BE0"/>
    <w:rsid w:val="00E67625"/>
    <w:rsid w:val="00E7497C"/>
    <w:rsid w:val="00E75CF5"/>
    <w:rsid w:val="00E76099"/>
    <w:rsid w:val="00E80DB6"/>
    <w:rsid w:val="00E80E44"/>
    <w:rsid w:val="00E81EA7"/>
    <w:rsid w:val="00E84E4D"/>
    <w:rsid w:val="00E8617B"/>
    <w:rsid w:val="00E86310"/>
    <w:rsid w:val="00E86B9C"/>
    <w:rsid w:val="00E86F77"/>
    <w:rsid w:val="00E87E36"/>
    <w:rsid w:val="00E905C0"/>
    <w:rsid w:val="00E90776"/>
    <w:rsid w:val="00EA0AE5"/>
    <w:rsid w:val="00EA0F93"/>
    <w:rsid w:val="00EA2DD7"/>
    <w:rsid w:val="00EA2FB4"/>
    <w:rsid w:val="00EA59C1"/>
    <w:rsid w:val="00EA6326"/>
    <w:rsid w:val="00EA6447"/>
    <w:rsid w:val="00EA667C"/>
    <w:rsid w:val="00EA7019"/>
    <w:rsid w:val="00EA7A44"/>
    <w:rsid w:val="00EB1609"/>
    <w:rsid w:val="00EB16BB"/>
    <w:rsid w:val="00EB2126"/>
    <w:rsid w:val="00EB2910"/>
    <w:rsid w:val="00EB39B3"/>
    <w:rsid w:val="00EB415D"/>
    <w:rsid w:val="00EB6E1B"/>
    <w:rsid w:val="00EB70DC"/>
    <w:rsid w:val="00EB7909"/>
    <w:rsid w:val="00EB7ABC"/>
    <w:rsid w:val="00EB7B57"/>
    <w:rsid w:val="00EB7E3F"/>
    <w:rsid w:val="00EC0597"/>
    <w:rsid w:val="00EC206F"/>
    <w:rsid w:val="00EC2C07"/>
    <w:rsid w:val="00EC3AE0"/>
    <w:rsid w:val="00EC3F79"/>
    <w:rsid w:val="00EC4C62"/>
    <w:rsid w:val="00EC71AB"/>
    <w:rsid w:val="00EC73EC"/>
    <w:rsid w:val="00EC756F"/>
    <w:rsid w:val="00EC76FC"/>
    <w:rsid w:val="00EC7DCF"/>
    <w:rsid w:val="00ED03EF"/>
    <w:rsid w:val="00ED1486"/>
    <w:rsid w:val="00ED1702"/>
    <w:rsid w:val="00ED2146"/>
    <w:rsid w:val="00ED23D4"/>
    <w:rsid w:val="00ED47FC"/>
    <w:rsid w:val="00ED4F4A"/>
    <w:rsid w:val="00ED72D7"/>
    <w:rsid w:val="00EE1CD4"/>
    <w:rsid w:val="00EF01D3"/>
    <w:rsid w:val="00EF083B"/>
    <w:rsid w:val="00EF21F1"/>
    <w:rsid w:val="00EF265F"/>
    <w:rsid w:val="00EF28B4"/>
    <w:rsid w:val="00EF3722"/>
    <w:rsid w:val="00EF3976"/>
    <w:rsid w:val="00EF5C17"/>
    <w:rsid w:val="00F00758"/>
    <w:rsid w:val="00F01E7A"/>
    <w:rsid w:val="00F03988"/>
    <w:rsid w:val="00F10921"/>
    <w:rsid w:val="00F11EBA"/>
    <w:rsid w:val="00F1295E"/>
    <w:rsid w:val="00F14063"/>
    <w:rsid w:val="00F1478B"/>
    <w:rsid w:val="00F1480F"/>
    <w:rsid w:val="00F204F2"/>
    <w:rsid w:val="00F2297F"/>
    <w:rsid w:val="00F23261"/>
    <w:rsid w:val="00F24E13"/>
    <w:rsid w:val="00F279B2"/>
    <w:rsid w:val="00F32316"/>
    <w:rsid w:val="00F36D0F"/>
    <w:rsid w:val="00F37F52"/>
    <w:rsid w:val="00F408B6"/>
    <w:rsid w:val="00F41A14"/>
    <w:rsid w:val="00F43645"/>
    <w:rsid w:val="00F43C8F"/>
    <w:rsid w:val="00F444F3"/>
    <w:rsid w:val="00F44C79"/>
    <w:rsid w:val="00F45625"/>
    <w:rsid w:val="00F46FC3"/>
    <w:rsid w:val="00F4709A"/>
    <w:rsid w:val="00F47F2F"/>
    <w:rsid w:val="00F5009F"/>
    <w:rsid w:val="00F51E60"/>
    <w:rsid w:val="00F5375E"/>
    <w:rsid w:val="00F573C9"/>
    <w:rsid w:val="00F5799F"/>
    <w:rsid w:val="00F60D03"/>
    <w:rsid w:val="00F62E3B"/>
    <w:rsid w:val="00F641AD"/>
    <w:rsid w:val="00F64407"/>
    <w:rsid w:val="00F64647"/>
    <w:rsid w:val="00F64A96"/>
    <w:rsid w:val="00F65433"/>
    <w:rsid w:val="00F66158"/>
    <w:rsid w:val="00F662CA"/>
    <w:rsid w:val="00F66A8A"/>
    <w:rsid w:val="00F66D6F"/>
    <w:rsid w:val="00F67308"/>
    <w:rsid w:val="00F67841"/>
    <w:rsid w:val="00F6794E"/>
    <w:rsid w:val="00F71E67"/>
    <w:rsid w:val="00F726FB"/>
    <w:rsid w:val="00F734F5"/>
    <w:rsid w:val="00F737EB"/>
    <w:rsid w:val="00F73A91"/>
    <w:rsid w:val="00F745F2"/>
    <w:rsid w:val="00F761D4"/>
    <w:rsid w:val="00F77488"/>
    <w:rsid w:val="00F7770A"/>
    <w:rsid w:val="00F8169A"/>
    <w:rsid w:val="00F81BED"/>
    <w:rsid w:val="00F83C57"/>
    <w:rsid w:val="00F84C87"/>
    <w:rsid w:val="00F86089"/>
    <w:rsid w:val="00F903BF"/>
    <w:rsid w:val="00F90465"/>
    <w:rsid w:val="00F93250"/>
    <w:rsid w:val="00F93C67"/>
    <w:rsid w:val="00F945A6"/>
    <w:rsid w:val="00F94731"/>
    <w:rsid w:val="00F94CED"/>
    <w:rsid w:val="00F95965"/>
    <w:rsid w:val="00F973FE"/>
    <w:rsid w:val="00FA0229"/>
    <w:rsid w:val="00FA5492"/>
    <w:rsid w:val="00FA58D1"/>
    <w:rsid w:val="00FA73C8"/>
    <w:rsid w:val="00FB14ED"/>
    <w:rsid w:val="00FB1FBB"/>
    <w:rsid w:val="00FB2207"/>
    <w:rsid w:val="00FB2C56"/>
    <w:rsid w:val="00FB4ED8"/>
    <w:rsid w:val="00FB562C"/>
    <w:rsid w:val="00FB5862"/>
    <w:rsid w:val="00FB661E"/>
    <w:rsid w:val="00FB6C77"/>
    <w:rsid w:val="00FB7009"/>
    <w:rsid w:val="00FC2F08"/>
    <w:rsid w:val="00FC3A86"/>
    <w:rsid w:val="00FC5E45"/>
    <w:rsid w:val="00FC5F57"/>
    <w:rsid w:val="00FC6BCB"/>
    <w:rsid w:val="00FD07C6"/>
    <w:rsid w:val="00FD14ED"/>
    <w:rsid w:val="00FD2FA9"/>
    <w:rsid w:val="00FD4EE7"/>
    <w:rsid w:val="00FD581C"/>
    <w:rsid w:val="00FD58AE"/>
    <w:rsid w:val="00FD6B24"/>
    <w:rsid w:val="00FE01DB"/>
    <w:rsid w:val="00FE0709"/>
    <w:rsid w:val="00FE2906"/>
    <w:rsid w:val="00FE3163"/>
    <w:rsid w:val="00FE534F"/>
    <w:rsid w:val="00FE5489"/>
    <w:rsid w:val="00FE6AE9"/>
    <w:rsid w:val="00FE7B90"/>
    <w:rsid w:val="00FF025D"/>
    <w:rsid w:val="00FF0DC4"/>
    <w:rsid w:val="00FF121D"/>
    <w:rsid w:val="00FF141D"/>
    <w:rsid w:val="00FF422F"/>
    <w:rsid w:val="00FF477E"/>
    <w:rsid w:val="00FF51D1"/>
    <w:rsid w:val="00FF5BC5"/>
    <w:rsid w:val="00FF6349"/>
    <w:rsid w:val="00FF6AC9"/>
    <w:rsid w:val="00FF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0CB78B"/>
  <w15:chartTrackingRefBased/>
  <w15:docId w15:val="{17AAFC9E-3F77-4BE4-98BD-0A053004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33"/>
    <w:pPr>
      <w:spacing w:after="180" w:line="240" w:lineRule="auto"/>
    </w:pPr>
    <w:rPr>
      <w:rFonts w:ascii="Times New Roman" w:hAnsi="Times New Roman" w:cs="Times New Roman"/>
      <w:sz w:val="24"/>
      <w:szCs w:val="24"/>
    </w:rPr>
  </w:style>
  <w:style w:type="paragraph" w:styleId="Titre1">
    <w:name w:val="heading 1"/>
    <w:aliases w:val="ECHA Heading 1"/>
    <w:basedOn w:val="Normal"/>
    <w:next w:val="Corpsdetexte"/>
    <w:link w:val="Titre1Car"/>
    <w:qFormat/>
    <w:rsid w:val="00CF739A"/>
    <w:pPr>
      <w:keepNext/>
      <w:keepLines/>
      <w:numPr>
        <w:numId w:val="5"/>
      </w:numPr>
      <w:spacing w:after="240"/>
      <w:ind w:left="142" w:firstLine="0"/>
      <w:outlineLvl w:val="0"/>
    </w:pPr>
    <w:rPr>
      <w:rFonts w:ascii="Verdana" w:hAnsi="Verdana"/>
      <w:b/>
      <w:color w:val="0046AD"/>
      <w:sz w:val="28"/>
    </w:rPr>
  </w:style>
  <w:style w:type="paragraph" w:styleId="Titre2">
    <w:name w:val="heading 2"/>
    <w:aliases w:val="ECHA Heading 2"/>
    <w:basedOn w:val="Titre1"/>
    <w:next w:val="Corpsdetexte"/>
    <w:link w:val="Titre2Car"/>
    <w:qFormat/>
    <w:rsid w:val="00A05887"/>
    <w:pPr>
      <w:keepLines w:val="0"/>
      <w:numPr>
        <w:ilvl w:val="1"/>
      </w:numPr>
      <w:tabs>
        <w:tab w:val="left" w:pos="839"/>
      </w:tabs>
      <w:spacing w:before="360" w:after="200"/>
      <w:jc w:val="both"/>
      <w:outlineLvl w:val="1"/>
    </w:pPr>
    <w:rPr>
      <w:rFonts w:cs="Arial"/>
      <w:sz w:val="24"/>
      <w:szCs w:val="22"/>
    </w:rPr>
  </w:style>
  <w:style w:type="paragraph" w:styleId="Titre3">
    <w:name w:val="heading 3"/>
    <w:aliases w:val="ECHA Heading 3"/>
    <w:basedOn w:val="Titre2"/>
    <w:next w:val="Corpsdetexte"/>
    <w:link w:val="Titre3Car"/>
    <w:qFormat/>
    <w:rsid w:val="00202146"/>
    <w:pPr>
      <w:numPr>
        <w:ilvl w:val="2"/>
      </w:numPr>
      <w:outlineLvl w:val="2"/>
    </w:pPr>
    <w:rPr>
      <w:bCs/>
      <w:color w:val="000000"/>
      <w:sz w:val="22"/>
    </w:rPr>
  </w:style>
  <w:style w:type="paragraph" w:styleId="Titre4">
    <w:name w:val="heading 4"/>
    <w:aliases w:val="ECHA Heading 4"/>
    <w:basedOn w:val="Titre3"/>
    <w:next w:val="Corpsdetexte"/>
    <w:link w:val="Titre4Car"/>
    <w:autoRedefine/>
    <w:qFormat/>
    <w:rsid w:val="00AC4891"/>
    <w:pPr>
      <w:numPr>
        <w:ilvl w:val="3"/>
      </w:numPr>
      <w:outlineLvl w:val="3"/>
    </w:pPr>
    <w:rPr>
      <w:bCs w:val="0"/>
      <w:color w:val="auto"/>
      <w:szCs w:val="28"/>
    </w:rPr>
  </w:style>
  <w:style w:type="paragraph" w:styleId="Titre5">
    <w:name w:val="heading 5"/>
    <w:aliases w:val="ECHA Heading 5"/>
    <w:basedOn w:val="Titre3"/>
    <w:next w:val="Corpsdetexte"/>
    <w:link w:val="Titre5Car"/>
    <w:qFormat/>
    <w:rsid w:val="00202146"/>
    <w:pPr>
      <w:numPr>
        <w:ilvl w:val="4"/>
      </w:numPr>
      <w:outlineLvl w:val="4"/>
    </w:pPr>
    <w:rPr>
      <w:bCs w:val="0"/>
      <w:iCs/>
      <w:sz w:val="20"/>
      <w:szCs w:val="26"/>
    </w:rPr>
  </w:style>
  <w:style w:type="paragraph" w:styleId="Titre6">
    <w:name w:val="heading 6"/>
    <w:aliases w:val="ECHA Heading 6"/>
    <w:basedOn w:val="Titre5"/>
    <w:next w:val="Corpsdetexte"/>
    <w:link w:val="Titre6Car"/>
    <w:qFormat/>
    <w:rsid w:val="00202146"/>
    <w:pPr>
      <w:numPr>
        <w:ilvl w:val="5"/>
      </w:numPr>
      <w:outlineLvl w:val="5"/>
    </w:pPr>
    <w:rPr>
      <w:bCs/>
      <w:szCs w:val="22"/>
    </w:rPr>
  </w:style>
  <w:style w:type="paragraph" w:styleId="Titre7">
    <w:name w:val="heading 7"/>
    <w:aliases w:val="ECHA Heading 7"/>
    <w:basedOn w:val="Titre5"/>
    <w:next w:val="Corpsdetexte"/>
    <w:link w:val="Titre7Car"/>
    <w:qFormat/>
    <w:rsid w:val="00202146"/>
    <w:pPr>
      <w:numPr>
        <w:ilvl w:val="6"/>
      </w:numPr>
      <w:outlineLvl w:val="6"/>
    </w:pPr>
    <w:rPr>
      <w:szCs w:val="24"/>
    </w:rPr>
  </w:style>
  <w:style w:type="paragraph" w:styleId="Titre8">
    <w:name w:val="heading 8"/>
    <w:aliases w:val="ECHA Heading 8"/>
    <w:basedOn w:val="Titre5"/>
    <w:next w:val="Corpsdetexte"/>
    <w:link w:val="Titre8Car"/>
    <w:qFormat/>
    <w:rsid w:val="00202146"/>
    <w:pPr>
      <w:numPr>
        <w:ilvl w:val="7"/>
      </w:numPr>
      <w:outlineLvl w:val="7"/>
    </w:pPr>
    <w:rPr>
      <w:iCs w:val="0"/>
      <w:szCs w:val="24"/>
    </w:rPr>
  </w:style>
  <w:style w:type="paragraph" w:styleId="Titre9">
    <w:name w:val="heading 9"/>
    <w:aliases w:val="ECHA Heading 9"/>
    <w:basedOn w:val="Titre5"/>
    <w:next w:val="Corpsdetexte"/>
    <w:link w:val="Titre9Car"/>
    <w:qFormat/>
    <w:rsid w:val="00202146"/>
    <w:pPr>
      <w:numPr>
        <w:ilvl w:val="8"/>
      </w:numPr>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202146"/>
    <w:rPr>
      <w:rFonts w:ascii="Tahoma" w:hAnsi="Tahoma" w:cs="Tahoma"/>
      <w:sz w:val="16"/>
      <w:szCs w:val="16"/>
    </w:rPr>
  </w:style>
  <w:style w:type="character" w:customStyle="1" w:styleId="TextedebullesCar">
    <w:name w:val="Texte de bulles Car"/>
    <w:basedOn w:val="Policepardfaut"/>
    <w:link w:val="Textedebulles"/>
    <w:rsid w:val="00202146"/>
    <w:rPr>
      <w:rFonts w:ascii="Tahoma" w:eastAsia="Times New Roman" w:hAnsi="Tahoma" w:cs="Tahoma"/>
      <w:snapToGrid w:val="0"/>
      <w:sz w:val="16"/>
      <w:szCs w:val="16"/>
      <w:lang w:eastAsia="fi-FI"/>
    </w:rPr>
  </w:style>
  <w:style w:type="paragraph" w:styleId="Corpsdetexte">
    <w:name w:val="Body Text"/>
    <w:aliases w:val="Text, Car,Car, Char,Platte tekst Char,Body Text Char1 Char2,Platte tekst Char Char2 Char2,Platte tekst Char Char Char1 Char2,Platte tekst Char1 Char1 Char2,Body Text Char1 Char Char1,Body Text Char2 Char1"/>
    <w:basedOn w:val="Normal"/>
    <w:link w:val="CorpsdetexteCar"/>
    <w:rsid w:val="00202146"/>
    <w:pPr>
      <w:spacing w:after="240"/>
    </w:pPr>
  </w:style>
  <w:style w:type="character" w:customStyle="1" w:styleId="CorpsdetexteCar">
    <w:name w:val="Corps de texte Car"/>
    <w:aliases w:val="Text Car, Car Car,Car Car, Char Car,Platte tekst Char Car,Body Text Char1 Char2 Car,Platte tekst Char Char2 Char2 Car,Platte tekst Char Char Char1 Char2 Car,Platte tekst Char1 Char1 Char2 Car,Body Text Char1 Char Char1 Car"/>
    <w:basedOn w:val="Policepardfaut"/>
    <w:link w:val="Corpsdetexte"/>
    <w:rsid w:val="00202146"/>
    <w:rPr>
      <w:rFonts w:ascii="Verdana" w:eastAsia="Times New Roman" w:hAnsi="Verdana" w:cs="Times New Roman"/>
      <w:snapToGrid w:val="0"/>
      <w:sz w:val="20"/>
      <w:szCs w:val="20"/>
      <w:lang w:eastAsia="fi-FI"/>
    </w:rPr>
  </w:style>
  <w:style w:type="paragraph" w:styleId="Retrait1religne">
    <w:name w:val="Body Text First Indent"/>
    <w:basedOn w:val="Corpsdetexte"/>
    <w:link w:val="Retrait1religneCar"/>
    <w:semiHidden/>
    <w:rsid w:val="00202146"/>
    <w:pPr>
      <w:spacing w:after="120"/>
      <w:ind w:firstLine="210"/>
    </w:pPr>
  </w:style>
  <w:style w:type="character" w:customStyle="1" w:styleId="Retrait1religneCar">
    <w:name w:val="Retrait 1re ligne Car"/>
    <w:basedOn w:val="CorpsdetexteCar"/>
    <w:link w:val="Retrait1religne"/>
    <w:semiHidden/>
    <w:rsid w:val="00202146"/>
    <w:rPr>
      <w:rFonts w:ascii="Verdana" w:eastAsia="Times New Roman" w:hAnsi="Verdana" w:cs="Times New Roman"/>
      <w:snapToGrid w:val="0"/>
      <w:sz w:val="20"/>
      <w:szCs w:val="20"/>
      <w:lang w:eastAsia="fi-FI"/>
    </w:rPr>
  </w:style>
  <w:style w:type="paragraph" w:styleId="Retraitcorpsdetexte">
    <w:name w:val="Body Text Indent"/>
    <w:basedOn w:val="Normal"/>
    <w:link w:val="RetraitcorpsdetexteCar"/>
    <w:uiPriority w:val="99"/>
    <w:semiHidden/>
    <w:unhideWhenUsed/>
    <w:rsid w:val="00202146"/>
    <w:pPr>
      <w:spacing w:after="120"/>
      <w:ind w:left="283"/>
    </w:pPr>
  </w:style>
  <w:style w:type="character" w:customStyle="1" w:styleId="RetraitcorpsdetexteCar">
    <w:name w:val="Retrait corps de texte Car"/>
    <w:basedOn w:val="Policepardfaut"/>
    <w:link w:val="Retraitcorpsdetexte"/>
    <w:uiPriority w:val="99"/>
    <w:semiHidden/>
    <w:rsid w:val="00202146"/>
    <w:rPr>
      <w:rFonts w:ascii="Verdana" w:eastAsia="Times New Roman" w:hAnsi="Verdana" w:cs="Times New Roman"/>
      <w:snapToGrid w:val="0"/>
      <w:sz w:val="20"/>
      <w:szCs w:val="20"/>
      <w:lang w:eastAsia="fi-FI"/>
    </w:rPr>
  </w:style>
  <w:style w:type="paragraph" w:styleId="Retraitcorpset1relig">
    <w:name w:val="Body Text First Indent 2"/>
    <w:basedOn w:val="Normal"/>
    <w:link w:val="Retraitcorpset1religCar"/>
    <w:semiHidden/>
    <w:rsid w:val="00202146"/>
    <w:pPr>
      <w:spacing w:after="120"/>
      <w:ind w:left="283" w:firstLine="210"/>
    </w:pPr>
  </w:style>
  <w:style w:type="character" w:customStyle="1" w:styleId="Retraitcorpset1religCar">
    <w:name w:val="Retrait corps et 1re lig. Car"/>
    <w:basedOn w:val="RetraitcorpsdetexteCar"/>
    <w:link w:val="Retraitcorpset1relig"/>
    <w:semiHidden/>
    <w:rsid w:val="00202146"/>
    <w:rPr>
      <w:rFonts w:ascii="Verdana" w:eastAsia="Times New Roman" w:hAnsi="Verdana" w:cs="Times New Roman"/>
      <w:snapToGrid w:val="0"/>
      <w:sz w:val="20"/>
      <w:szCs w:val="20"/>
      <w:lang w:eastAsia="fi-FI"/>
    </w:rPr>
  </w:style>
  <w:style w:type="character" w:customStyle="1" w:styleId="Bold">
    <w:name w:val="Bold"/>
    <w:basedOn w:val="Policepardfaut"/>
    <w:rsid w:val="00202146"/>
    <w:rPr>
      <w:rFonts w:ascii="Verdana" w:hAnsi="Verdana"/>
      <w:b/>
      <w:sz w:val="20"/>
    </w:rPr>
  </w:style>
  <w:style w:type="paragraph" w:customStyle="1" w:styleId="BulletedList1-usermanual">
    <w:name w:val="Bulleted List 1 - user manual"/>
    <w:basedOn w:val="Normal"/>
    <w:rsid w:val="00202146"/>
    <w:pPr>
      <w:numPr>
        <w:numId w:val="1"/>
      </w:numPr>
      <w:spacing w:line="360" w:lineRule="auto"/>
    </w:pPr>
  </w:style>
  <w:style w:type="paragraph" w:styleId="Lgende">
    <w:name w:val="caption"/>
    <w:aliases w:val="Caption Table"/>
    <w:basedOn w:val="Normal"/>
    <w:next w:val="Normal"/>
    <w:link w:val="LgendeCar"/>
    <w:autoRedefine/>
    <w:unhideWhenUsed/>
    <w:qFormat/>
    <w:rsid w:val="00617EE5"/>
    <w:pPr>
      <w:keepNext/>
      <w:keepLines/>
      <w:tabs>
        <w:tab w:val="left" w:pos="960"/>
      </w:tabs>
      <w:spacing w:after="0"/>
      <w:jc w:val="center"/>
    </w:pPr>
    <w:rPr>
      <w:rFonts w:ascii="Verdana" w:hAnsi="Verdana"/>
      <w:b/>
      <w:sz w:val="20"/>
      <w:szCs w:val="18"/>
      <w:lang w:val="nl-BE" w:eastAsia="en-GB"/>
    </w:rPr>
  </w:style>
  <w:style w:type="character" w:styleId="Marquedecommentaire">
    <w:name w:val="annotation reference"/>
    <w:basedOn w:val="Policepardfaut"/>
    <w:uiPriority w:val="99"/>
    <w:rsid w:val="00202146"/>
    <w:rPr>
      <w:sz w:val="16"/>
      <w:szCs w:val="16"/>
    </w:rPr>
  </w:style>
  <w:style w:type="paragraph" w:styleId="Commentaire">
    <w:name w:val="annotation text"/>
    <w:basedOn w:val="Normal"/>
    <w:link w:val="CommentaireCar"/>
    <w:uiPriority w:val="99"/>
    <w:rsid w:val="00202146"/>
  </w:style>
  <w:style w:type="character" w:customStyle="1" w:styleId="CommentaireCar">
    <w:name w:val="Commentaire Car"/>
    <w:basedOn w:val="Policepardfaut"/>
    <w:link w:val="Commentaire"/>
    <w:uiPriority w:val="99"/>
    <w:rsid w:val="00202146"/>
    <w:rPr>
      <w:rFonts w:ascii="Verdana" w:eastAsia="Times New Roman" w:hAnsi="Verdana" w:cs="Times New Roman"/>
      <w:snapToGrid w:val="0"/>
      <w:sz w:val="20"/>
      <w:szCs w:val="20"/>
      <w:lang w:eastAsia="fi-FI"/>
    </w:rPr>
  </w:style>
  <w:style w:type="paragraph" w:styleId="Objetducommentaire">
    <w:name w:val="annotation subject"/>
    <w:basedOn w:val="Commentaire"/>
    <w:next w:val="Commentaire"/>
    <w:link w:val="ObjetducommentaireCar"/>
    <w:rsid w:val="00202146"/>
    <w:rPr>
      <w:b/>
      <w:bCs/>
    </w:rPr>
  </w:style>
  <w:style w:type="character" w:customStyle="1" w:styleId="ObjetducommentaireCar">
    <w:name w:val="Objet du commentaire Car"/>
    <w:basedOn w:val="CommentaireCar"/>
    <w:link w:val="Objetducommentaire"/>
    <w:rsid w:val="00202146"/>
    <w:rPr>
      <w:rFonts w:ascii="Verdana" w:eastAsia="Times New Roman" w:hAnsi="Verdana" w:cs="Times New Roman"/>
      <w:b/>
      <w:bCs/>
      <w:snapToGrid w:val="0"/>
      <w:sz w:val="20"/>
      <w:szCs w:val="20"/>
      <w:lang w:eastAsia="fi-FI"/>
    </w:rPr>
  </w:style>
  <w:style w:type="paragraph" w:styleId="Pieddepage">
    <w:name w:val="footer"/>
    <w:basedOn w:val="Normal"/>
    <w:link w:val="PieddepageCar"/>
    <w:uiPriority w:val="99"/>
    <w:rsid w:val="00202146"/>
    <w:pPr>
      <w:spacing w:line="160" w:lineRule="exact"/>
    </w:pPr>
    <w:rPr>
      <w:spacing w:val="2"/>
      <w:sz w:val="13"/>
    </w:rPr>
  </w:style>
  <w:style w:type="character" w:customStyle="1" w:styleId="PieddepageCar">
    <w:name w:val="Pied de page Car"/>
    <w:basedOn w:val="Policepardfaut"/>
    <w:link w:val="Pieddepage"/>
    <w:uiPriority w:val="99"/>
    <w:rsid w:val="00202146"/>
    <w:rPr>
      <w:rFonts w:ascii="Verdana" w:eastAsia="Times New Roman" w:hAnsi="Verdana" w:cs="Times New Roman"/>
      <w:snapToGrid w:val="0"/>
      <w:spacing w:val="2"/>
      <w:sz w:val="13"/>
      <w:szCs w:val="20"/>
      <w:lang w:eastAsia="fi-FI"/>
    </w:rPr>
  </w:style>
  <w:style w:type="paragraph" w:customStyle="1" w:styleId="Disclaimer">
    <w:name w:val="Disclaimer"/>
    <w:basedOn w:val="Pieddepage"/>
    <w:rsid w:val="00202146"/>
    <w:pPr>
      <w:spacing w:before="120" w:line="140" w:lineRule="exact"/>
    </w:pPr>
    <w:rPr>
      <w:spacing w:val="0"/>
      <w:sz w:val="11"/>
    </w:rPr>
  </w:style>
  <w:style w:type="numbering" w:customStyle="1" w:styleId="ECHABulletlist">
    <w:name w:val="ECHA Bullet list"/>
    <w:basedOn w:val="Aucuneliste"/>
    <w:rsid w:val="00202146"/>
    <w:pPr>
      <w:numPr>
        <w:numId w:val="2"/>
      </w:numPr>
    </w:pPr>
  </w:style>
  <w:style w:type="numbering" w:customStyle="1" w:styleId="ECHANumberlist">
    <w:name w:val="ECHA Number list"/>
    <w:basedOn w:val="Aucuneliste"/>
    <w:rsid w:val="00202146"/>
    <w:pPr>
      <w:numPr>
        <w:numId w:val="3"/>
      </w:numPr>
    </w:pPr>
  </w:style>
  <w:style w:type="paragraph" w:customStyle="1" w:styleId="Figurecaption">
    <w:name w:val="Figure caption"/>
    <w:basedOn w:val="Corpsdetexte"/>
    <w:link w:val="FigurecaptionChar"/>
    <w:autoRedefine/>
    <w:rsid w:val="00202146"/>
    <w:pPr>
      <w:spacing w:before="120" w:after="120"/>
    </w:pPr>
    <w:rPr>
      <w:b/>
    </w:rPr>
  </w:style>
  <w:style w:type="character" w:customStyle="1" w:styleId="FigurecaptionChar">
    <w:name w:val="Figure caption Char"/>
    <w:basedOn w:val="CorpsdetexteCar"/>
    <w:link w:val="Figurecaption"/>
    <w:rsid w:val="00202146"/>
    <w:rPr>
      <w:rFonts w:ascii="Verdana" w:eastAsia="Times New Roman" w:hAnsi="Verdana" w:cs="Times New Roman"/>
      <w:b/>
      <w:snapToGrid w:val="0"/>
      <w:sz w:val="20"/>
      <w:szCs w:val="20"/>
      <w:lang w:eastAsia="fi-FI"/>
    </w:rPr>
  </w:style>
  <w:style w:type="character" w:styleId="Lienhypertextesuivivisit">
    <w:name w:val="FollowedHyperlink"/>
    <w:aliases w:val="Hyperlink opened"/>
    <w:basedOn w:val="Policepardfaut"/>
    <w:rsid w:val="00202146"/>
    <w:rPr>
      <w:rFonts w:ascii="Verdana" w:hAnsi="Verdana"/>
      <w:color w:val="800080"/>
      <w:sz w:val="20"/>
      <w:u w:val="single"/>
    </w:rPr>
  </w:style>
  <w:style w:type="character" w:styleId="Appelnotedebasdep">
    <w:name w:val="footnote reference"/>
    <w:aliases w:val="Footnote,Footnote Reference/"/>
    <w:basedOn w:val="Policepardfaut"/>
    <w:uiPriority w:val="99"/>
    <w:qFormat/>
    <w:rsid w:val="00202146"/>
    <w:rPr>
      <w:rFonts w:ascii="Verdana" w:hAnsi="Verdana"/>
      <w:sz w:val="18"/>
      <w:vertAlign w:val="superscript"/>
    </w:rPr>
  </w:style>
  <w:style w:type="paragraph" w:styleId="Notedebasdepage">
    <w:name w:val="footnote text"/>
    <w:aliases w:val="Footnote Text Char Char"/>
    <w:basedOn w:val="Normal"/>
    <w:link w:val="NotedebasdepageCar"/>
    <w:uiPriority w:val="99"/>
    <w:qFormat/>
    <w:rsid w:val="00202146"/>
    <w:rPr>
      <w:sz w:val="18"/>
    </w:rPr>
  </w:style>
  <w:style w:type="character" w:customStyle="1" w:styleId="NotedebasdepageCar">
    <w:name w:val="Note de bas de page Car"/>
    <w:aliases w:val="Footnote Text Char Char Car"/>
    <w:basedOn w:val="Policepardfaut"/>
    <w:link w:val="Notedebasdepage"/>
    <w:uiPriority w:val="99"/>
    <w:rsid w:val="00202146"/>
    <w:rPr>
      <w:rFonts w:ascii="Verdana" w:eastAsia="Times New Roman" w:hAnsi="Verdana" w:cs="Times New Roman"/>
      <w:snapToGrid w:val="0"/>
      <w:sz w:val="18"/>
      <w:szCs w:val="20"/>
      <w:lang w:eastAsia="fi-FI"/>
    </w:rPr>
  </w:style>
  <w:style w:type="paragraph" w:customStyle="1" w:styleId="Footnotes">
    <w:name w:val="Footnotes"/>
    <w:basedOn w:val="Corpsdetexte"/>
    <w:autoRedefine/>
    <w:qFormat/>
    <w:rsid w:val="00202146"/>
    <w:pPr>
      <w:spacing w:after="0"/>
    </w:pPr>
    <w:rPr>
      <w:sz w:val="18"/>
    </w:rPr>
  </w:style>
  <w:style w:type="paragraph" w:styleId="En-tte">
    <w:name w:val="header"/>
    <w:basedOn w:val="Normal"/>
    <w:link w:val="En-tteCar"/>
    <w:rsid w:val="00202146"/>
    <w:pPr>
      <w:tabs>
        <w:tab w:val="left" w:pos="4536"/>
        <w:tab w:val="left" w:pos="7088"/>
        <w:tab w:val="left" w:pos="8789"/>
      </w:tabs>
    </w:pPr>
  </w:style>
  <w:style w:type="character" w:customStyle="1" w:styleId="En-tteCar">
    <w:name w:val="En-tête Car"/>
    <w:basedOn w:val="Policepardfaut"/>
    <w:link w:val="En-tte"/>
    <w:rsid w:val="00202146"/>
    <w:rPr>
      <w:rFonts w:ascii="Verdana" w:eastAsia="Times New Roman" w:hAnsi="Verdana" w:cs="Times New Roman"/>
      <w:snapToGrid w:val="0"/>
      <w:sz w:val="20"/>
      <w:szCs w:val="20"/>
      <w:lang w:eastAsia="fi-FI"/>
    </w:rPr>
  </w:style>
  <w:style w:type="character" w:customStyle="1" w:styleId="Titre1Car">
    <w:name w:val="Titre 1 Car"/>
    <w:aliases w:val="ECHA Heading 1 Car"/>
    <w:basedOn w:val="Policepardfaut"/>
    <w:link w:val="Titre1"/>
    <w:rsid w:val="00CF739A"/>
    <w:rPr>
      <w:rFonts w:ascii="Verdana" w:hAnsi="Verdana" w:cs="Times New Roman"/>
      <w:b/>
      <w:color w:val="0046AD"/>
      <w:sz w:val="28"/>
      <w:szCs w:val="24"/>
    </w:rPr>
  </w:style>
  <w:style w:type="character" w:customStyle="1" w:styleId="Titre2Car">
    <w:name w:val="Titre 2 Car"/>
    <w:aliases w:val="ECHA Heading 2 Car"/>
    <w:basedOn w:val="Policepardfaut"/>
    <w:link w:val="Titre2"/>
    <w:rsid w:val="00A05887"/>
    <w:rPr>
      <w:rFonts w:ascii="Verdana" w:hAnsi="Verdana" w:cs="Arial"/>
      <w:b/>
      <w:color w:val="0046AD"/>
      <w:sz w:val="24"/>
    </w:rPr>
  </w:style>
  <w:style w:type="character" w:customStyle="1" w:styleId="Titre3Car">
    <w:name w:val="Titre 3 Car"/>
    <w:aliases w:val="ECHA Heading 3 Car"/>
    <w:basedOn w:val="Policepardfaut"/>
    <w:link w:val="Titre3"/>
    <w:rsid w:val="00202146"/>
    <w:rPr>
      <w:rFonts w:ascii="Verdana" w:hAnsi="Verdana" w:cs="Arial"/>
      <w:b/>
      <w:bCs/>
      <w:color w:val="000000"/>
    </w:rPr>
  </w:style>
  <w:style w:type="character" w:customStyle="1" w:styleId="Titre4Car">
    <w:name w:val="Titre 4 Car"/>
    <w:aliases w:val="ECHA Heading 4 Car"/>
    <w:basedOn w:val="Policepardfaut"/>
    <w:link w:val="Titre4"/>
    <w:rsid w:val="00AC4891"/>
    <w:rPr>
      <w:rFonts w:ascii="Verdana" w:hAnsi="Verdana" w:cs="Arial"/>
      <w:b/>
      <w:szCs w:val="28"/>
    </w:rPr>
  </w:style>
  <w:style w:type="character" w:customStyle="1" w:styleId="Titre5Car">
    <w:name w:val="Titre 5 Car"/>
    <w:aliases w:val="ECHA Heading 5 Car"/>
    <w:basedOn w:val="Policepardfaut"/>
    <w:link w:val="Titre5"/>
    <w:rsid w:val="00202146"/>
    <w:rPr>
      <w:rFonts w:ascii="Verdana" w:hAnsi="Verdana" w:cs="Arial"/>
      <w:b/>
      <w:iCs/>
      <w:color w:val="000000"/>
      <w:sz w:val="20"/>
      <w:szCs w:val="26"/>
    </w:rPr>
  </w:style>
  <w:style w:type="character" w:customStyle="1" w:styleId="Titre6Car">
    <w:name w:val="Titre 6 Car"/>
    <w:aliases w:val="ECHA Heading 6 Car"/>
    <w:basedOn w:val="Policepardfaut"/>
    <w:link w:val="Titre6"/>
    <w:rsid w:val="00202146"/>
    <w:rPr>
      <w:rFonts w:ascii="Verdana" w:hAnsi="Verdana" w:cs="Arial"/>
      <w:b/>
      <w:bCs/>
      <w:iCs/>
      <w:color w:val="000000"/>
      <w:sz w:val="20"/>
    </w:rPr>
  </w:style>
  <w:style w:type="character" w:customStyle="1" w:styleId="Titre7Car">
    <w:name w:val="Titre 7 Car"/>
    <w:aliases w:val="ECHA Heading 7 Car"/>
    <w:basedOn w:val="Policepardfaut"/>
    <w:link w:val="Titre7"/>
    <w:rsid w:val="00202146"/>
    <w:rPr>
      <w:rFonts w:ascii="Verdana" w:hAnsi="Verdana" w:cs="Arial"/>
      <w:b/>
      <w:iCs/>
      <w:color w:val="000000"/>
      <w:sz w:val="20"/>
      <w:szCs w:val="24"/>
    </w:rPr>
  </w:style>
  <w:style w:type="character" w:customStyle="1" w:styleId="Titre8Car">
    <w:name w:val="Titre 8 Car"/>
    <w:aliases w:val="ECHA Heading 8 Car"/>
    <w:basedOn w:val="Policepardfaut"/>
    <w:link w:val="Titre8"/>
    <w:rsid w:val="00202146"/>
    <w:rPr>
      <w:rFonts w:ascii="Verdana" w:hAnsi="Verdana" w:cs="Arial"/>
      <w:b/>
      <w:color w:val="000000"/>
      <w:sz w:val="20"/>
      <w:szCs w:val="24"/>
    </w:rPr>
  </w:style>
  <w:style w:type="character" w:customStyle="1" w:styleId="Titre9Car">
    <w:name w:val="Titre 9 Car"/>
    <w:aliases w:val="ECHA Heading 9 Car"/>
    <w:basedOn w:val="Policepardfaut"/>
    <w:link w:val="Titre9"/>
    <w:rsid w:val="00202146"/>
    <w:rPr>
      <w:rFonts w:ascii="Verdana" w:hAnsi="Verdana" w:cs="Arial"/>
      <w:b/>
      <w:iCs/>
      <w:color w:val="000000"/>
      <w:sz w:val="20"/>
    </w:rPr>
  </w:style>
  <w:style w:type="character" w:styleId="Lienhypertexte">
    <w:name w:val="Hyperlink"/>
    <w:basedOn w:val="Policepardfaut"/>
    <w:uiPriority w:val="99"/>
    <w:rsid w:val="00202146"/>
    <w:rPr>
      <w:rFonts w:ascii="Verdana" w:hAnsi="Verdana"/>
      <w:color w:val="0000FF"/>
      <w:sz w:val="20"/>
      <w:u w:val="single"/>
    </w:rPr>
  </w:style>
  <w:style w:type="character" w:customStyle="1" w:styleId="Italic">
    <w:name w:val="Italic"/>
    <w:basedOn w:val="Policepardfaut"/>
    <w:rsid w:val="00202146"/>
    <w:rPr>
      <w:rFonts w:ascii="Verdana" w:hAnsi="Verdana"/>
      <w:i/>
      <w:sz w:val="20"/>
    </w:rPr>
  </w:style>
  <w:style w:type="paragraph" w:customStyle="1" w:styleId="Leipteksti1">
    <w:name w:val="Leipäteksti1"/>
    <w:basedOn w:val="Normal"/>
    <w:semiHidden/>
    <w:rsid w:val="00202146"/>
    <w:pPr>
      <w:ind w:left="2608"/>
    </w:pPr>
  </w:style>
  <w:style w:type="table" w:styleId="Listeclaire-Accent1">
    <w:name w:val="Light List Accent 1"/>
    <w:basedOn w:val="TableauNormal"/>
    <w:uiPriority w:val="61"/>
    <w:rsid w:val="00202146"/>
    <w:pPr>
      <w:spacing w:after="0" w:line="240" w:lineRule="auto"/>
    </w:pPr>
    <w:rPr>
      <w:rFonts w:ascii="Verdana" w:hAnsi="Verdana"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beredlist">
    <w:name w:val="Numbered list"/>
    <w:basedOn w:val="BulletedList1-usermanual"/>
    <w:next w:val="Corpsdetexte"/>
    <w:rsid w:val="00202146"/>
    <w:pPr>
      <w:numPr>
        <w:numId w:val="4"/>
      </w:numPr>
    </w:pPr>
  </w:style>
  <w:style w:type="character" w:styleId="Numrodepage">
    <w:name w:val="page number"/>
    <w:aliases w:val="Page number"/>
    <w:basedOn w:val="Policepardfaut"/>
    <w:rsid w:val="00202146"/>
    <w:rPr>
      <w:rFonts w:ascii="Verdana" w:hAnsi="Verdana"/>
      <w:sz w:val="20"/>
    </w:rPr>
  </w:style>
  <w:style w:type="character" w:styleId="Emphaseple">
    <w:name w:val="Subtle Emphasis"/>
    <w:basedOn w:val="Policepardfaut"/>
    <w:uiPriority w:val="19"/>
    <w:rsid w:val="00202146"/>
    <w:rPr>
      <w:i/>
      <w:iCs/>
      <w:color w:val="808080" w:themeColor="text1" w:themeTint="7F"/>
    </w:rPr>
  </w:style>
  <w:style w:type="paragraph" w:customStyle="1" w:styleId="Tablecaption">
    <w:name w:val="Table caption"/>
    <w:basedOn w:val="Corpsdetexte"/>
    <w:link w:val="TablecaptionChar"/>
    <w:autoRedefine/>
    <w:rsid w:val="00202146"/>
    <w:pPr>
      <w:spacing w:before="120" w:after="120"/>
    </w:pPr>
    <w:rPr>
      <w:b/>
    </w:rPr>
  </w:style>
  <w:style w:type="character" w:customStyle="1" w:styleId="TablecaptionChar">
    <w:name w:val="Table caption Char"/>
    <w:basedOn w:val="CorpsdetexteCar"/>
    <w:link w:val="Tablecaption"/>
    <w:rsid w:val="00202146"/>
    <w:rPr>
      <w:rFonts w:ascii="Verdana" w:eastAsia="Times New Roman" w:hAnsi="Verdana" w:cs="Times New Roman"/>
      <w:b/>
      <w:snapToGrid w:val="0"/>
      <w:sz w:val="20"/>
      <w:szCs w:val="20"/>
      <w:lang w:eastAsia="fi-FI"/>
    </w:rPr>
  </w:style>
  <w:style w:type="table" w:styleId="Tableaucolor1">
    <w:name w:val="Table Colorful 1"/>
    <w:basedOn w:val="TableauNormal"/>
    <w:rsid w:val="00202146"/>
    <w:pPr>
      <w:widowControl w:val="0"/>
      <w:spacing w:after="0" w:line="240" w:lineRule="auto"/>
    </w:pPr>
    <w:rPr>
      <w:rFonts w:ascii="Verdana" w:hAnsi="Verdana"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Grilledutableau">
    <w:name w:val="Table Grid"/>
    <w:aliases w:val="Document Table,Table Grid IDEA,TabelEcorys,HTG,ECORYS Tabela"/>
    <w:basedOn w:val="TableauNormal"/>
    <w:uiPriority w:val="59"/>
    <w:rsid w:val="00202146"/>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Corpsdetexte"/>
    <w:rsid w:val="00202146"/>
    <w:pPr>
      <w:spacing w:after="120"/>
    </w:pPr>
    <w:rPr>
      <w:b/>
      <w:color w:val="FFCC00"/>
      <w:sz w:val="18"/>
      <w:szCs w:val="18"/>
    </w:rPr>
  </w:style>
  <w:style w:type="paragraph" w:customStyle="1" w:styleId="Tabletext">
    <w:name w:val="Tabletext"/>
    <w:basedOn w:val="Corpsdetexte"/>
    <w:link w:val="TabletextChar"/>
    <w:rsid w:val="00202146"/>
    <w:pPr>
      <w:spacing w:after="0"/>
    </w:pPr>
    <w:rPr>
      <w:sz w:val="18"/>
    </w:rPr>
  </w:style>
  <w:style w:type="paragraph" w:styleId="TM1">
    <w:name w:val="toc 1"/>
    <w:basedOn w:val="Normal"/>
    <w:next w:val="Normal"/>
    <w:autoRedefine/>
    <w:uiPriority w:val="39"/>
    <w:qFormat/>
    <w:rsid w:val="00202146"/>
    <w:pPr>
      <w:tabs>
        <w:tab w:val="right" w:leader="dot" w:pos="9639"/>
      </w:tabs>
      <w:spacing w:after="120"/>
      <w:ind w:left="425" w:hanging="425"/>
    </w:pPr>
    <w:rPr>
      <w:b/>
      <w:noProof/>
    </w:rPr>
  </w:style>
  <w:style w:type="paragraph" w:styleId="TM2">
    <w:name w:val="toc 2"/>
    <w:basedOn w:val="Normal"/>
    <w:next w:val="Normal"/>
    <w:autoRedefine/>
    <w:uiPriority w:val="39"/>
    <w:qFormat/>
    <w:rsid w:val="00202146"/>
    <w:pPr>
      <w:tabs>
        <w:tab w:val="right" w:leader="dot" w:pos="9639"/>
      </w:tabs>
      <w:spacing w:after="120"/>
      <w:ind w:left="567" w:hanging="567"/>
    </w:pPr>
    <w:rPr>
      <w:noProof/>
      <w:sz w:val="18"/>
    </w:rPr>
  </w:style>
  <w:style w:type="paragraph" w:styleId="TM3">
    <w:name w:val="toc 3"/>
    <w:basedOn w:val="Normal"/>
    <w:next w:val="Normal"/>
    <w:autoRedefine/>
    <w:uiPriority w:val="39"/>
    <w:qFormat/>
    <w:rsid w:val="00202146"/>
    <w:pPr>
      <w:tabs>
        <w:tab w:val="right" w:leader="dot" w:pos="9639"/>
      </w:tabs>
      <w:spacing w:after="120"/>
      <w:ind w:left="851" w:hanging="851"/>
    </w:pPr>
    <w:rPr>
      <w:sz w:val="18"/>
    </w:rPr>
  </w:style>
  <w:style w:type="paragraph" w:styleId="TM4">
    <w:name w:val="toc 4"/>
    <w:basedOn w:val="Normal"/>
    <w:next w:val="Normal"/>
    <w:autoRedefine/>
    <w:uiPriority w:val="39"/>
    <w:semiHidden/>
    <w:rsid w:val="00202146"/>
    <w:pPr>
      <w:spacing w:after="100"/>
      <w:ind w:left="600"/>
    </w:pPr>
  </w:style>
  <w:style w:type="paragraph" w:styleId="TM5">
    <w:name w:val="toc 5"/>
    <w:basedOn w:val="Normal"/>
    <w:next w:val="Normal"/>
    <w:autoRedefine/>
    <w:uiPriority w:val="39"/>
    <w:semiHidden/>
    <w:rsid w:val="00202146"/>
    <w:pPr>
      <w:spacing w:after="100"/>
      <w:ind w:left="800"/>
    </w:pPr>
  </w:style>
  <w:style w:type="paragraph" w:styleId="TM6">
    <w:name w:val="toc 6"/>
    <w:basedOn w:val="Normal"/>
    <w:next w:val="Normal"/>
    <w:autoRedefine/>
    <w:uiPriority w:val="39"/>
    <w:semiHidden/>
    <w:rsid w:val="00202146"/>
    <w:pPr>
      <w:spacing w:after="100"/>
      <w:ind w:left="1000"/>
    </w:pPr>
  </w:style>
  <w:style w:type="paragraph" w:styleId="TM7">
    <w:name w:val="toc 7"/>
    <w:basedOn w:val="Normal"/>
    <w:next w:val="Normal"/>
    <w:autoRedefine/>
    <w:uiPriority w:val="39"/>
    <w:semiHidden/>
    <w:rsid w:val="00202146"/>
    <w:pPr>
      <w:spacing w:after="100"/>
      <w:ind w:left="1200"/>
    </w:pPr>
  </w:style>
  <w:style w:type="paragraph" w:styleId="TM8">
    <w:name w:val="toc 8"/>
    <w:basedOn w:val="Normal"/>
    <w:next w:val="Normal"/>
    <w:autoRedefine/>
    <w:uiPriority w:val="39"/>
    <w:semiHidden/>
    <w:rsid w:val="00202146"/>
    <w:pPr>
      <w:spacing w:after="100"/>
      <w:ind w:left="1400"/>
    </w:pPr>
  </w:style>
  <w:style w:type="paragraph" w:styleId="TM9">
    <w:name w:val="toc 9"/>
    <w:basedOn w:val="Normal"/>
    <w:next w:val="Normal"/>
    <w:autoRedefine/>
    <w:uiPriority w:val="39"/>
    <w:semiHidden/>
    <w:rsid w:val="00202146"/>
    <w:pPr>
      <w:spacing w:after="100"/>
      <w:ind w:left="1600"/>
    </w:pPr>
  </w:style>
  <w:style w:type="paragraph" w:styleId="En-ttedetabledesmatires">
    <w:name w:val="TOC Heading"/>
    <w:basedOn w:val="Titre1"/>
    <w:next w:val="Normal"/>
    <w:uiPriority w:val="39"/>
    <w:unhideWhenUsed/>
    <w:qFormat/>
    <w:rsid w:val="00202146"/>
    <w:pPr>
      <w:numPr>
        <w:numId w:val="0"/>
      </w:numPr>
      <w:spacing w:before="480" w:line="276" w:lineRule="auto"/>
      <w:outlineLvl w:val="9"/>
    </w:pPr>
    <w:rPr>
      <w:rFonts w:eastAsiaTheme="majorEastAsia" w:cstheme="majorBidi"/>
      <w:bCs/>
      <w:snapToGrid w:val="0"/>
      <w:szCs w:val="28"/>
      <w:lang w:eastAsia="en-GB"/>
    </w:rPr>
  </w:style>
  <w:style w:type="paragraph" w:customStyle="1" w:styleId="Tabletext0">
    <w:name w:val="Table text"/>
    <w:link w:val="TabletextCar"/>
    <w:rsid w:val="00227D1B"/>
    <w:pPr>
      <w:keepNext/>
      <w:keepLines/>
      <w:spacing w:before="54" w:after="54" w:line="240" w:lineRule="auto"/>
    </w:pPr>
    <w:rPr>
      <w:rFonts w:ascii="Times New Roman" w:hAnsi="Times New Roman" w:cs="Times New Roman"/>
      <w:snapToGrid w:val="0"/>
      <w:sz w:val="20"/>
      <w:szCs w:val="20"/>
      <w:lang w:val="en-US" w:eastAsia="da-DK"/>
    </w:rPr>
  </w:style>
  <w:style w:type="paragraph" w:customStyle="1" w:styleId="CoverTitle">
    <w:name w:val="Cover Title"/>
    <w:basedOn w:val="Corpsdetexte"/>
    <w:next w:val="Corpsdetexte"/>
    <w:rsid w:val="00227D1B"/>
    <w:pPr>
      <w:spacing w:before="2160"/>
      <w:jc w:val="center"/>
    </w:pPr>
    <w:rPr>
      <w:rFonts w:ascii="Times New Roman Bold" w:hAnsi="Times New Roman Bold"/>
      <w:b/>
      <w:sz w:val="32"/>
    </w:rPr>
  </w:style>
  <w:style w:type="character" w:customStyle="1" w:styleId="LgendeCar">
    <w:name w:val="Légende Car"/>
    <w:aliases w:val="Caption Table Car"/>
    <w:link w:val="Lgende"/>
    <w:rsid w:val="00617EE5"/>
    <w:rPr>
      <w:rFonts w:ascii="Verdana" w:hAnsi="Verdana" w:cs="Times New Roman"/>
      <w:b/>
      <w:sz w:val="20"/>
      <w:szCs w:val="18"/>
      <w:lang w:val="nl-BE" w:eastAsia="en-GB"/>
    </w:rPr>
  </w:style>
  <w:style w:type="character" w:customStyle="1" w:styleId="TabletextCar">
    <w:name w:val="Table text Car"/>
    <w:link w:val="Tabletext0"/>
    <w:rsid w:val="00227D1B"/>
    <w:rPr>
      <w:rFonts w:ascii="Times New Roman" w:hAnsi="Times New Roman" w:cs="Times New Roman"/>
      <w:snapToGrid w:val="0"/>
      <w:sz w:val="20"/>
      <w:szCs w:val="20"/>
      <w:lang w:val="en-US" w:eastAsia="da-DK"/>
    </w:rPr>
  </w:style>
  <w:style w:type="paragraph" w:styleId="Listepuces">
    <w:name w:val="List Bullet"/>
    <w:next w:val="Corpsdetexte"/>
    <w:rsid w:val="00227D1B"/>
    <w:pPr>
      <w:numPr>
        <w:numId w:val="6"/>
      </w:numPr>
      <w:tabs>
        <w:tab w:val="clear" w:pos="425"/>
        <w:tab w:val="left" w:pos="357"/>
      </w:tabs>
      <w:spacing w:after="0" w:line="240" w:lineRule="auto"/>
      <w:ind w:left="357" w:hanging="357"/>
      <w:jc w:val="both"/>
    </w:pPr>
    <w:rPr>
      <w:rFonts w:ascii="Times New Roman" w:hAnsi="Times New Roman" w:cs="Times New Roman"/>
      <w:sz w:val="24"/>
      <w:szCs w:val="20"/>
    </w:rPr>
  </w:style>
  <w:style w:type="paragraph" w:customStyle="1" w:styleId="Default">
    <w:name w:val="Default"/>
    <w:rsid w:val="00227D1B"/>
    <w:pPr>
      <w:autoSpaceDE w:val="0"/>
      <w:autoSpaceDN w:val="0"/>
      <w:adjustRightInd w:val="0"/>
      <w:spacing w:after="0" w:line="240" w:lineRule="auto"/>
    </w:pPr>
    <w:rPr>
      <w:rFonts w:ascii="Times New Roman" w:hAnsi="Times New Roman" w:cs="Times New Roman"/>
      <w:color w:val="000000"/>
      <w:sz w:val="24"/>
      <w:szCs w:val="24"/>
      <w:lang w:eastAsia="en-GB"/>
    </w:rPr>
  </w:style>
  <w:style w:type="paragraph" w:customStyle="1" w:styleId="NormalLeft">
    <w:name w:val="Normal Left"/>
    <w:basedOn w:val="Normal"/>
    <w:rsid w:val="00227D1B"/>
    <w:pPr>
      <w:widowControl w:val="0"/>
      <w:autoSpaceDE w:val="0"/>
      <w:autoSpaceDN w:val="0"/>
      <w:spacing w:before="120" w:after="120"/>
      <w:jc w:val="both"/>
    </w:pPr>
    <w:rPr>
      <w:rFonts w:ascii="Verdana" w:hAnsi="Verdana"/>
      <w:snapToGrid w:val="0"/>
      <w:sz w:val="20"/>
      <w:szCs w:val="20"/>
      <w:lang w:eastAsia="en-GB"/>
    </w:rPr>
  </w:style>
  <w:style w:type="paragraph" w:styleId="Paragraphedeliste">
    <w:name w:val="List Paragraph"/>
    <w:basedOn w:val="Normal"/>
    <w:uiPriority w:val="34"/>
    <w:qFormat/>
    <w:rsid w:val="00227D1B"/>
    <w:pPr>
      <w:ind w:left="720"/>
      <w:contextualSpacing/>
    </w:pPr>
  </w:style>
  <w:style w:type="character" w:styleId="Accentuation">
    <w:name w:val="Emphasis"/>
    <w:basedOn w:val="Policepardfaut"/>
    <w:uiPriority w:val="20"/>
    <w:qFormat/>
    <w:rsid w:val="00227D1B"/>
    <w:rPr>
      <w:i/>
      <w:iCs/>
    </w:rPr>
  </w:style>
  <w:style w:type="character" w:styleId="Textedelespacerserv">
    <w:name w:val="Placeholder Text"/>
    <w:basedOn w:val="Policepardfaut"/>
    <w:uiPriority w:val="99"/>
    <w:semiHidden/>
    <w:rsid w:val="00227D1B"/>
    <w:rPr>
      <w:color w:val="808080"/>
    </w:rPr>
  </w:style>
  <w:style w:type="paragraph" w:styleId="Sansinterligne">
    <w:name w:val="No Spacing"/>
    <w:link w:val="SansinterligneCar"/>
    <w:uiPriority w:val="1"/>
    <w:qFormat/>
    <w:rsid w:val="00227D1B"/>
    <w:pPr>
      <w:spacing w:after="0" w:line="240" w:lineRule="auto"/>
    </w:pPr>
    <w:rPr>
      <w:rFonts w:eastAsiaTheme="minorEastAsia"/>
      <w:lang w:val="en-US" w:eastAsia="ja-JP"/>
    </w:rPr>
  </w:style>
  <w:style w:type="character" w:customStyle="1" w:styleId="SansinterligneCar">
    <w:name w:val="Sans interligne Car"/>
    <w:basedOn w:val="Policepardfaut"/>
    <w:link w:val="Sansinterligne"/>
    <w:uiPriority w:val="1"/>
    <w:rsid w:val="00227D1B"/>
    <w:rPr>
      <w:rFonts w:eastAsiaTheme="minorEastAsia"/>
      <w:lang w:val="en-US" w:eastAsia="ja-JP"/>
    </w:rPr>
  </w:style>
  <w:style w:type="paragraph" w:customStyle="1" w:styleId="TableRowHeader">
    <w:name w:val="Table Row Header"/>
    <w:basedOn w:val="Normal"/>
    <w:rsid w:val="00227D1B"/>
    <w:pPr>
      <w:keepNext/>
      <w:keepLines/>
      <w:spacing w:before="54" w:after="54"/>
      <w:ind w:left="113"/>
      <w:jc w:val="both"/>
    </w:pPr>
    <w:rPr>
      <w:rFonts w:ascii="Verdana" w:hAnsi="Verdana"/>
      <w:b/>
      <w:bCs/>
      <w:snapToGrid w:val="0"/>
      <w:sz w:val="20"/>
      <w:szCs w:val="22"/>
      <w:lang w:eastAsia="da-DK"/>
    </w:rPr>
  </w:style>
  <w:style w:type="paragraph" w:customStyle="1" w:styleId="StyleTableRowHeaderItalic">
    <w:name w:val="Style Table Row Header + Italic"/>
    <w:basedOn w:val="TableRowHeader"/>
    <w:rsid w:val="00227D1B"/>
    <w:rPr>
      <w:i/>
      <w:iCs/>
    </w:rPr>
  </w:style>
  <w:style w:type="character" w:styleId="lev">
    <w:name w:val="Strong"/>
    <w:uiPriority w:val="22"/>
    <w:qFormat/>
    <w:rsid w:val="00227D1B"/>
    <w:rPr>
      <w:b/>
      <w:bCs/>
    </w:rPr>
  </w:style>
  <w:style w:type="paragraph" w:styleId="Rvision">
    <w:name w:val="Revision"/>
    <w:hidden/>
    <w:uiPriority w:val="99"/>
    <w:semiHidden/>
    <w:rsid w:val="00227D1B"/>
    <w:pPr>
      <w:spacing w:after="0" w:line="240" w:lineRule="auto"/>
    </w:pPr>
    <w:rPr>
      <w:rFonts w:ascii="Times New Roman" w:hAnsi="Times New Roman" w:cs="Times New Roman"/>
      <w:sz w:val="24"/>
      <w:szCs w:val="24"/>
      <w:lang w:val="en-US"/>
    </w:rPr>
  </w:style>
  <w:style w:type="table" w:customStyle="1" w:styleId="TableGrid1">
    <w:name w:val="Table Grid1"/>
    <w:basedOn w:val="TableauNormal"/>
    <w:next w:val="Grilledutableau"/>
    <w:rsid w:val="00227D1B"/>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227D1B"/>
    <w:pPr>
      <w:spacing w:after="0" w:line="240" w:lineRule="auto"/>
    </w:pPr>
    <w:rPr>
      <w:rFonts w:ascii="Times New Roman" w:hAnsi="Times New Roman" w:cs="Times New Roman"/>
      <w:sz w:val="20"/>
      <w:szCs w:val="20"/>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227D1B"/>
    <w:pPr>
      <w:spacing w:after="0" w:line="240" w:lineRule="auto"/>
    </w:pPr>
    <w:rPr>
      <w:rFonts w:ascii="Times New Roman" w:hAnsi="Times New Roman" w:cs="Times New Roman"/>
      <w:sz w:val="20"/>
      <w:szCs w:val="20"/>
      <w:lang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6">
    <w:name w:val="Grid Table 4 Accent 6"/>
    <w:basedOn w:val="TableauNormal"/>
    <w:uiPriority w:val="49"/>
    <w:rsid w:val="00227D1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4">
    <w:name w:val="Grid Table 4"/>
    <w:basedOn w:val="TableauNormal"/>
    <w:uiPriority w:val="49"/>
    <w:rsid w:val="00227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5Fonc-Accentuation1">
    <w:name w:val="Grid Table 5 Dark Accent 1"/>
    <w:basedOn w:val="TableauNormal"/>
    <w:uiPriority w:val="50"/>
    <w:rsid w:val="00F500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Liste4-Accentuation1">
    <w:name w:val="List Table 4 Accent 1"/>
    <w:basedOn w:val="TableauNormal"/>
    <w:uiPriority w:val="49"/>
    <w:rsid w:val="000B053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Policepardfaut"/>
    <w:uiPriority w:val="99"/>
    <w:semiHidden/>
    <w:unhideWhenUsed/>
    <w:rsid w:val="00A92AFF"/>
    <w:rPr>
      <w:color w:val="605E5C"/>
      <w:shd w:val="clear" w:color="auto" w:fill="E1DFDD"/>
    </w:rPr>
  </w:style>
  <w:style w:type="character" w:customStyle="1" w:styleId="TabletextChar">
    <w:name w:val="Tabletext Char"/>
    <w:basedOn w:val="Policepardfaut"/>
    <w:link w:val="Tabletext"/>
    <w:locked/>
    <w:rsid w:val="00A81C0F"/>
    <w:rPr>
      <w:rFonts w:ascii="Times New Roman" w:hAnsi="Times New Roman" w:cs="Times New Roman"/>
      <w:sz w:val="18"/>
      <w:szCs w:val="24"/>
    </w:rPr>
  </w:style>
  <w:style w:type="character" w:customStyle="1" w:styleId="i6value">
    <w:name w:val="i6value"/>
    <w:basedOn w:val="Policepardfaut"/>
    <w:rsid w:val="003B6734"/>
  </w:style>
  <w:style w:type="character" w:customStyle="1" w:styleId="markedcontent">
    <w:name w:val="markedcontent"/>
    <w:basedOn w:val="Policepardfaut"/>
    <w:rsid w:val="006178EF"/>
  </w:style>
  <w:style w:type="character" w:customStyle="1" w:styleId="fieldnamehastooltip">
    <w:name w:val="fieldnamehastooltip"/>
    <w:basedOn w:val="Policepardfaut"/>
    <w:rsid w:val="00DD227E"/>
  </w:style>
  <w:style w:type="paragraph" w:styleId="NormalWeb">
    <w:name w:val="Normal (Web)"/>
    <w:basedOn w:val="Normal"/>
    <w:uiPriority w:val="99"/>
    <w:semiHidden/>
    <w:unhideWhenUsed/>
    <w:rsid w:val="002E4F97"/>
    <w:pPr>
      <w:spacing w:before="100" w:beforeAutospacing="1" w:after="100" w:afterAutospacing="1"/>
    </w:pPr>
    <w:rPr>
      <w:lang w:val="fr-FR" w:eastAsia="fr-FR"/>
    </w:rPr>
  </w:style>
  <w:style w:type="character" w:customStyle="1" w:styleId="highlight-module1p2so">
    <w:name w:val="highlight-module__1p2so"/>
    <w:basedOn w:val="Policepardfaut"/>
    <w:rsid w:val="003C0787"/>
  </w:style>
  <w:style w:type="paragraph" w:customStyle="1" w:styleId="MDPI35textbeforelist">
    <w:name w:val="MDPI_3.5_text_before_list"/>
    <w:qFormat/>
    <w:rsid w:val="005652FF"/>
    <w:pPr>
      <w:adjustRightInd w:val="0"/>
      <w:snapToGrid w:val="0"/>
      <w:spacing w:after="0" w:line="228" w:lineRule="auto"/>
      <w:ind w:left="2608" w:firstLine="425"/>
      <w:jc w:val="both"/>
    </w:pPr>
    <w:rPr>
      <w:rFonts w:ascii="Palatino Linotype" w:hAnsi="Palatino Linotype" w:cs="Times New Roman"/>
      <w:snapToGrid w:val="0"/>
      <w:color w:val="000000"/>
      <w:sz w:val="20"/>
      <w:lang w:val="en-US" w:eastAsia="de-DE" w:bidi="en-US"/>
    </w:rPr>
  </w:style>
  <w:style w:type="paragraph" w:customStyle="1" w:styleId="MDPI71References">
    <w:name w:val="MDPI_7.1_References"/>
    <w:qFormat/>
    <w:rsid w:val="00A95D4B"/>
    <w:pPr>
      <w:numPr>
        <w:numId w:val="10"/>
      </w:numPr>
      <w:adjustRightInd w:val="0"/>
      <w:snapToGrid w:val="0"/>
      <w:spacing w:after="0" w:line="228" w:lineRule="auto"/>
      <w:jc w:val="both"/>
    </w:pPr>
    <w:rPr>
      <w:rFonts w:ascii="Palatino Linotype" w:hAnsi="Palatino Linotype" w:cs="Times New Roman"/>
      <w:color w:val="000000"/>
      <w:sz w:val="18"/>
      <w:szCs w:val="20"/>
      <w:lang w:val="en-US" w:eastAsia="de-DE" w:bidi="en-US"/>
    </w:rPr>
  </w:style>
  <w:style w:type="character" w:customStyle="1" w:styleId="userentry">
    <w:name w:val="userentry"/>
    <w:basedOn w:val="Policepardfaut"/>
    <w:rsid w:val="004F4173"/>
  </w:style>
  <w:style w:type="paragraph" w:customStyle="1" w:styleId="Para">
    <w:name w:val="Para"/>
    <w:rsid w:val="00D14A8A"/>
    <w:pPr>
      <w:autoSpaceDE w:val="0"/>
      <w:autoSpaceDN w:val="0"/>
      <w:adjustRightInd w:val="0"/>
      <w:spacing w:after="0" w:line="260" w:lineRule="atLeast"/>
      <w:ind w:firstLine="560"/>
      <w:jc w:val="both"/>
    </w:pPr>
    <w:rPr>
      <w:rFonts w:ascii="Times New Roman" w:hAnsi="Times New Roman" w:cs="Times New Roman"/>
      <w:color w:val="000000"/>
      <w:w w:val="0"/>
      <w:lang w:eastAsia="nl-NL"/>
    </w:rPr>
  </w:style>
  <w:style w:type="paragraph" w:customStyle="1" w:styleId="ReportHeading3">
    <w:name w:val="Report Heading 3"/>
    <w:basedOn w:val="Normal"/>
    <w:next w:val="Normal"/>
    <w:uiPriority w:val="1"/>
    <w:qFormat/>
    <w:rsid w:val="008E4C82"/>
    <w:pPr>
      <w:widowControl w:val="0"/>
      <w:autoSpaceDE w:val="0"/>
      <w:autoSpaceDN w:val="0"/>
      <w:adjustRightInd w:val="0"/>
      <w:spacing w:before="200" w:after="0"/>
      <w:outlineLvl w:val="2"/>
    </w:pPr>
    <w:rPr>
      <w:rFonts w:ascii="Times" w:eastAsiaTheme="minorEastAsia" w:hAnsi="Times" w:cs="Times"/>
      <w:b/>
      <w:bCs/>
      <w:sz w:val="29"/>
      <w:szCs w:val="29"/>
      <w:lang w:val="de-DE" w:eastAsia="de-DE"/>
    </w:rPr>
  </w:style>
  <w:style w:type="character" w:customStyle="1" w:styleId="bold0">
    <w:name w:val="bold"/>
    <w:basedOn w:val="Policepardfaut"/>
    <w:rsid w:val="00EE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7630">
      <w:bodyDiv w:val="1"/>
      <w:marLeft w:val="0"/>
      <w:marRight w:val="0"/>
      <w:marTop w:val="0"/>
      <w:marBottom w:val="0"/>
      <w:divBdr>
        <w:top w:val="none" w:sz="0" w:space="0" w:color="auto"/>
        <w:left w:val="none" w:sz="0" w:space="0" w:color="auto"/>
        <w:bottom w:val="none" w:sz="0" w:space="0" w:color="auto"/>
        <w:right w:val="none" w:sz="0" w:space="0" w:color="auto"/>
      </w:divBdr>
    </w:div>
    <w:div w:id="343559665">
      <w:bodyDiv w:val="1"/>
      <w:marLeft w:val="0"/>
      <w:marRight w:val="0"/>
      <w:marTop w:val="0"/>
      <w:marBottom w:val="0"/>
      <w:divBdr>
        <w:top w:val="none" w:sz="0" w:space="0" w:color="auto"/>
        <w:left w:val="none" w:sz="0" w:space="0" w:color="auto"/>
        <w:bottom w:val="none" w:sz="0" w:space="0" w:color="auto"/>
        <w:right w:val="none" w:sz="0" w:space="0" w:color="auto"/>
      </w:divBdr>
    </w:div>
    <w:div w:id="437061633">
      <w:bodyDiv w:val="1"/>
      <w:marLeft w:val="0"/>
      <w:marRight w:val="0"/>
      <w:marTop w:val="0"/>
      <w:marBottom w:val="0"/>
      <w:divBdr>
        <w:top w:val="none" w:sz="0" w:space="0" w:color="auto"/>
        <w:left w:val="none" w:sz="0" w:space="0" w:color="auto"/>
        <w:bottom w:val="none" w:sz="0" w:space="0" w:color="auto"/>
        <w:right w:val="none" w:sz="0" w:space="0" w:color="auto"/>
      </w:divBdr>
    </w:div>
    <w:div w:id="531725027">
      <w:bodyDiv w:val="1"/>
      <w:marLeft w:val="0"/>
      <w:marRight w:val="0"/>
      <w:marTop w:val="0"/>
      <w:marBottom w:val="0"/>
      <w:divBdr>
        <w:top w:val="none" w:sz="0" w:space="0" w:color="auto"/>
        <w:left w:val="none" w:sz="0" w:space="0" w:color="auto"/>
        <w:bottom w:val="none" w:sz="0" w:space="0" w:color="auto"/>
        <w:right w:val="none" w:sz="0" w:space="0" w:color="auto"/>
      </w:divBdr>
      <w:divsChild>
        <w:div w:id="1182279541">
          <w:marLeft w:val="547"/>
          <w:marRight w:val="0"/>
          <w:marTop w:val="96"/>
          <w:marBottom w:val="0"/>
          <w:divBdr>
            <w:top w:val="none" w:sz="0" w:space="0" w:color="auto"/>
            <w:left w:val="none" w:sz="0" w:space="0" w:color="auto"/>
            <w:bottom w:val="none" w:sz="0" w:space="0" w:color="auto"/>
            <w:right w:val="none" w:sz="0" w:space="0" w:color="auto"/>
          </w:divBdr>
        </w:div>
        <w:div w:id="1680696177">
          <w:marLeft w:val="547"/>
          <w:marRight w:val="0"/>
          <w:marTop w:val="96"/>
          <w:marBottom w:val="0"/>
          <w:divBdr>
            <w:top w:val="none" w:sz="0" w:space="0" w:color="auto"/>
            <w:left w:val="none" w:sz="0" w:space="0" w:color="auto"/>
            <w:bottom w:val="none" w:sz="0" w:space="0" w:color="auto"/>
            <w:right w:val="none" w:sz="0" w:space="0" w:color="auto"/>
          </w:divBdr>
        </w:div>
        <w:div w:id="2018267996">
          <w:marLeft w:val="547"/>
          <w:marRight w:val="0"/>
          <w:marTop w:val="96"/>
          <w:marBottom w:val="0"/>
          <w:divBdr>
            <w:top w:val="none" w:sz="0" w:space="0" w:color="auto"/>
            <w:left w:val="none" w:sz="0" w:space="0" w:color="auto"/>
            <w:bottom w:val="none" w:sz="0" w:space="0" w:color="auto"/>
            <w:right w:val="none" w:sz="0" w:space="0" w:color="auto"/>
          </w:divBdr>
        </w:div>
      </w:divsChild>
    </w:div>
    <w:div w:id="625503543">
      <w:bodyDiv w:val="1"/>
      <w:marLeft w:val="0"/>
      <w:marRight w:val="0"/>
      <w:marTop w:val="0"/>
      <w:marBottom w:val="0"/>
      <w:divBdr>
        <w:top w:val="none" w:sz="0" w:space="0" w:color="auto"/>
        <w:left w:val="none" w:sz="0" w:space="0" w:color="auto"/>
        <w:bottom w:val="none" w:sz="0" w:space="0" w:color="auto"/>
        <w:right w:val="none" w:sz="0" w:space="0" w:color="auto"/>
      </w:divBdr>
    </w:div>
    <w:div w:id="778452293">
      <w:bodyDiv w:val="1"/>
      <w:marLeft w:val="0"/>
      <w:marRight w:val="0"/>
      <w:marTop w:val="0"/>
      <w:marBottom w:val="0"/>
      <w:divBdr>
        <w:top w:val="none" w:sz="0" w:space="0" w:color="auto"/>
        <w:left w:val="none" w:sz="0" w:space="0" w:color="auto"/>
        <w:bottom w:val="none" w:sz="0" w:space="0" w:color="auto"/>
        <w:right w:val="none" w:sz="0" w:space="0" w:color="auto"/>
      </w:divBdr>
    </w:div>
    <w:div w:id="848257830">
      <w:bodyDiv w:val="1"/>
      <w:marLeft w:val="0"/>
      <w:marRight w:val="0"/>
      <w:marTop w:val="0"/>
      <w:marBottom w:val="0"/>
      <w:divBdr>
        <w:top w:val="none" w:sz="0" w:space="0" w:color="auto"/>
        <w:left w:val="none" w:sz="0" w:space="0" w:color="auto"/>
        <w:bottom w:val="none" w:sz="0" w:space="0" w:color="auto"/>
        <w:right w:val="none" w:sz="0" w:space="0" w:color="auto"/>
      </w:divBdr>
    </w:div>
    <w:div w:id="901064147">
      <w:bodyDiv w:val="1"/>
      <w:marLeft w:val="0"/>
      <w:marRight w:val="0"/>
      <w:marTop w:val="0"/>
      <w:marBottom w:val="0"/>
      <w:divBdr>
        <w:top w:val="none" w:sz="0" w:space="0" w:color="auto"/>
        <w:left w:val="none" w:sz="0" w:space="0" w:color="auto"/>
        <w:bottom w:val="none" w:sz="0" w:space="0" w:color="auto"/>
        <w:right w:val="none" w:sz="0" w:space="0" w:color="auto"/>
      </w:divBdr>
    </w:div>
    <w:div w:id="1154031627">
      <w:bodyDiv w:val="1"/>
      <w:marLeft w:val="0"/>
      <w:marRight w:val="0"/>
      <w:marTop w:val="0"/>
      <w:marBottom w:val="0"/>
      <w:divBdr>
        <w:top w:val="none" w:sz="0" w:space="0" w:color="auto"/>
        <w:left w:val="none" w:sz="0" w:space="0" w:color="auto"/>
        <w:bottom w:val="none" w:sz="0" w:space="0" w:color="auto"/>
        <w:right w:val="none" w:sz="0" w:space="0" w:color="auto"/>
      </w:divBdr>
    </w:div>
    <w:div w:id="1339576655">
      <w:bodyDiv w:val="1"/>
      <w:marLeft w:val="0"/>
      <w:marRight w:val="0"/>
      <w:marTop w:val="0"/>
      <w:marBottom w:val="0"/>
      <w:divBdr>
        <w:top w:val="none" w:sz="0" w:space="0" w:color="auto"/>
        <w:left w:val="none" w:sz="0" w:space="0" w:color="auto"/>
        <w:bottom w:val="none" w:sz="0" w:space="0" w:color="auto"/>
        <w:right w:val="none" w:sz="0" w:space="0" w:color="auto"/>
      </w:divBdr>
    </w:div>
    <w:div w:id="1577858831">
      <w:bodyDiv w:val="1"/>
      <w:marLeft w:val="0"/>
      <w:marRight w:val="0"/>
      <w:marTop w:val="0"/>
      <w:marBottom w:val="0"/>
      <w:divBdr>
        <w:top w:val="none" w:sz="0" w:space="0" w:color="auto"/>
        <w:left w:val="none" w:sz="0" w:space="0" w:color="auto"/>
        <w:bottom w:val="none" w:sz="0" w:space="0" w:color="auto"/>
        <w:right w:val="none" w:sz="0" w:space="0" w:color="auto"/>
      </w:divBdr>
    </w:div>
    <w:div w:id="1647932583">
      <w:bodyDiv w:val="1"/>
      <w:marLeft w:val="0"/>
      <w:marRight w:val="0"/>
      <w:marTop w:val="0"/>
      <w:marBottom w:val="0"/>
      <w:divBdr>
        <w:top w:val="none" w:sz="0" w:space="0" w:color="auto"/>
        <w:left w:val="none" w:sz="0" w:space="0" w:color="auto"/>
        <w:bottom w:val="none" w:sz="0" w:space="0" w:color="auto"/>
        <w:right w:val="none" w:sz="0" w:space="0" w:color="auto"/>
      </w:divBdr>
      <w:divsChild>
        <w:div w:id="1845783263">
          <w:marLeft w:val="0"/>
          <w:marRight w:val="0"/>
          <w:marTop w:val="0"/>
          <w:marBottom w:val="0"/>
          <w:divBdr>
            <w:top w:val="none" w:sz="0" w:space="0" w:color="auto"/>
            <w:left w:val="none" w:sz="0" w:space="0" w:color="auto"/>
            <w:bottom w:val="none" w:sz="0" w:space="0" w:color="auto"/>
            <w:right w:val="none" w:sz="0" w:space="0" w:color="auto"/>
          </w:divBdr>
          <w:divsChild>
            <w:div w:id="293339539">
              <w:marLeft w:val="0"/>
              <w:marRight w:val="0"/>
              <w:marTop w:val="0"/>
              <w:marBottom w:val="0"/>
              <w:divBdr>
                <w:top w:val="none" w:sz="0" w:space="0" w:color="auto"/>
                <w:left w:val="none" w:sz="0" w:space="0" w:color="auto"/>
                <w:bottom w:val="none" w:sz="0" w:space="0" w:color="auto"/>
                <w:right w:val="none" w:sz="0" w:space="0" w:color="auto"/>
              </w:divBdr>
              <w:divsChild>
                <w:div w:id="1080057543">
                  <w:marLeft w:val="0"/>
                  <w:marRight w:val="0"/>
                  <w:marTop w:val="0"/>
                  <w:marBottom w:val="0"/>
                  <w:divBdr>
                    <w:top w:val="none" w:sz="0" w:space="0" w:color="auto"/>
                    <w:left w:val="none" w:sz="0" w:space="0" w:color="auto"/>
                    <w:bottom w:val="none" w:sz="0" w:space="0" w:color="auto"/>
                    <w:right w:val="none" w:sz="0" w:space="0" w:color="auto"/>
                  </w:divBdr>
                  <w:divsChild>
                    <w:div w:id="893278142">
                      <w:marLeft w:val="0"/>
                      <w:marRight w:val="0"/>
                      <w:marTop w:val="0"/>
                      <w:marBottom w:val="0"/>
                      <w:divBdr>
                        <w:top w:val="none" w:sz="0" w:space="0" w:color="auto"/>
                        <w:left w:val="none" w:sz="0" w:space="0" w:color="auto"/>
                        <w:bottom w:val="none" w:sz="0" w:space="0" w:color="auto"/>
                        <w:right w:val="none" w:sz="0" w:space="0" w:color="auto"/>
                      </w:divBdr>
                      <w:divsChild>
                        <w:div w:id="2023896506">
                          <w:marLeft w:val="0"/>
                          <w:marRight w:val="0"/>
                          <w:marTop w:val="0"/>
                          <w:marBottom w:val="0"/>
                          <w:divBdr>
                            <w:top w:val="none" w:sz="0" w:space="0" w:color="auto"/>
                            <w:left w:val="none" w:sz="0" w:space="0" w:color="auto"/>
                            <w:bottom w:val="none" w:sz="0" w:space="0" w:color="auto"/>
                            <w:right w:val="none" w:sz="0" w:space="0" w:color="auto"/>
                          </w:divBdr>
                          <w:divsChild>
                            <w:div w:id="389767525">
                              <w:marLeft w:val="0"/>
                              <w:marRight w:val="0"/>
                              <w:marTop w:val="0"/>
                              <w:marBottom w:val="0"/>
                              <w:divBdr>
                                <w:top w:val="none" w:sz="0" w:space="0" w:color="auto"/>
                                <w:left w:val="none" w:sz="0" w:space="0" w:color="auto"/>
                                <w:bottom w:val="none" w:sz="0" w:space="0" w:color="auto"/>
                                <w:right w:val="none" w:sz="0" w:space="0" w:color="auto"/>
                              </w:divBdr>
                              <w:divsChild>
                                <w:div w:id="1261596941">
                                  <w:marLeft w:val="0"/>
                                  <w:marRight w:val="0"/>
                                  <w:marTop w:val="0"/>
                                  <w:marBottom w:val="0"/>
                                  <w:divBdr>
                                    <w:top w:val="none" w:sz="0" w:space="0" w:color="auto"/>
                                    <w:left w:val="none" w:sz="0" w:space="0" w:color="auto"/>
                                    <w:bottom w:val="none" w:sz="0" w:space="0" w:color="auto"/>
                                    <w:right w:val="none" w:sz="0" w:space="0" w:color="auto"/>
                                  </w:divBdr>
                                  <w:divsChild>
                                    <w:div w:id="506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171816">
          <w:marLeft w:val="0"/>
          <w:marRight w:val="0"/>
          <w:marTop w:val="0"/>
          <w:marBottom w:val="0"/>
          <w:divBdr>
            <w:top w:val="none" w:sz="0" w:space="0" w:color="auto"/>
            <w:left w:val="none" w:sz="0" w:space="0" w:color="auto"/>
            <w:bottom w:val="none" w:sz="0" w:space="0" w:color="auto"/>
            <w:right w:val="none" w:sz="0" w:space="0" w:color="auto"/>
          </w:divBdr>
          <w:divsChild>
            <w:div w:id="1762990453">
              <w:marLeft w:val="0"/>
              <w:marRight w:val="0"/>
              <w:marTop w:val="0"/>
              <w:marBottom w:val="0"/>
              <w:divBdr>
                <w:top w:val="none" w:sz="0" w:space="0" w:color="auto"/>
                <w:left w:val="none" w:sz="0" w:space="0" w:color="auto"/>
                <w:bottom w:val="none" w:sz="0" w:space="0" w:color="auto"/>
                <w:right w:val="none" w:sz="0" w:space="0" w:color="auto"/>
              </w:divBdr>
              <w:divsChild>
                <w:div w:id="666178444">
                  <w:marLeft w:val="0"/>
                  <w:marRight w:val="0"/>
                  <w:marTop w:val="0"/>
                  <w:marBottom w:val="0"/>
                  <w:divBdr>
                    <w:top w:val="none" w:sz="0" w:space="0" w:color="auto"/>
                    <w:left w:val="none" w:sz="0" w:space="0" w:color="auto"/>
                    <w:bottom w:val="none" w:sz="0" w:space="0" w:color="auto"/>
                    <w:right w:val="none" w:sz="0" w:space="0" w:color="auto"/>
                  </w:divBdr>
                  <w:divsChild>
                    <w:div w:id="745952943">
                      <w:marLeft w:val="0"/>
                      <w:marRight w:val="0"/>
                      <w:marTop w:val="0"/>
                      <w:marBottom w:val="0"/>
                      <w:divBdr>
                        <w:top w:val="none" w:sz="0" w:space="0" w:color="auto"/>
                        <w:left w:val="none" w:sz="0" w:space="0" w:color="auto"/>
                        <w:bottom w:val="none" w:sz="0" w:space="0" w:color="auto"/>
                        <w:right w:val="none" w:sz="0" w:space="0" w:color="auto"/>
                      </w:divBdr>
                      <w:divsChild>
                        <w:div w:id="298656221">
                          <w:marLeft w:val="0"/>
                          <w:marRight w:val="0"/>
                          <w:marTop w:val="0"/>
                          <w:marBottom w:val="0"/>
                          <w:divBdr>
                            <w:top w:val="none" w:sz="0" w:space="0" w:color="auto"/>
                            <w:left w:val="none" w:sz="0" w:space="0" w:color="auto"/>
                            <w:bottom w:val="none" w:sz="0" w:space="0" w:color="auto"/>
                            <w:right w:val="none" w:sz="0" w:space="0" w:color="auto"/>
                          </w:divBdr>
                          <w:divsChild>
                            <w:div w:id="803161317">
                              <w:marLeft w:val="0"/>
                              <w:marRight w:val="0"/>
                              <w:marTop w:val="0"/>
                              <w:marBottom w:val="0"/>
                              <w:divBdr>
                                <w:top w:val="none" w:sz="0" w:space="0" w:color="auto"/>
                                <w:left w:val="none" w:sz="0" w:space="0" w:color="auto"/>
                                <w:bottom w:val="none" w:sz="0" w:space="0" w:color="auto"/>
                                <w:right w:val="none" w:sz="0" w:space="0" w:color="auto"/>
                              </w:divBdr>
                              <w:divsChild>
                                <w:div w:id="1118840689">
                                  <w:marLeft w:val="0"/>
                                  <w:marRight w:val="0"/>
                                  <w:marTop w:val="0"/>
                                  <w:marBottom w:val="0"/>
                                  <w:divBdr>
                                    <w:top w:val="none" w:sz="0" w:space="0" w:color="auto"/>
                                    <w:left w:val="none" w:sz="0" w:space="0" w:color="auto"/>
                                    <w:bottom w:val="none" w:sz="0" w:space="0" w:color="auto"/>
                                    <w:right w:val="none" w:sz="0" w:space="0" w:color="auto"/>
                                  </w:divBdr>
                                  <w:divsChild>
                                    <w:div w:id="744687621">
                                      <w:marLeft w:val="0"/>
                                      <w:marRight w:val="0"/>
                                      <w:marTop w:val="0"/>
                                      <w:marBottom w:val="0"/>
                                      <w:divBdr>
                                        <w:top w:val="none" w:sz="0" w:space="0" w:color="auto"/>
                                        <w:left w:val="none" w:sz="0" w:space="0" w:color="auto"/>
                                        <w:bottom w:val="none" w:sz="0" w:space="0" w:color="auto"/>
                                        <w:right w:val="none" w:sz="0" w:space="0" w:color="auto"/>
                                      </w:divBdr>
                                      <w:divsChild>
                                        <w:div w:id="1566866585">
                                          <w:marLeft w:val="0"/>
                                          <w:marRight w:val="0"/>
                                          <w:marTop w:val="0"/>
                                          <w:marBottom w:val="0"/>
                                          <w:divBdr>
                                            <w:top w:val="none" w:sz="0" w:space="0" w:color="auto"/>
                                            <w:left w:val="none" w:sz="0" w:space="0" w:color="auto"/>
                                            <w:bottom w:val="none" w:sz="0" w:space="0" w:color="auto"/>
                                            <w:right w:val="none" w:sz="0" w:space="0" w:color="auto"/>
                                          </w:divBdr>
                                          <w:divsChild>
                                            <w:div w:id="1445806374">
                                              <w:marLeft w:val="0"/>
                                              <w:marRight w:val="0"/>
                                              <w:marTop w:val="0"/>
                                              <w:marBottom w:val="0"/>
                                              <w:divBdr>
                                                <w:top w:val="none" w:sz="0" w:space="0" w:color="auto"/>
                                                <w:left w:val="none" w:sz="0" w:space="0" w:color="auto"/>
                                                <w:bottom w:val="none" w:sz="0" w:space="0" w:color="auto"/>
                                                <w:right w:val="none" w:sz="0" w:space="0" w:color="auto"/>
                                              </w:divBdr>
                                              <w:divsChild>
                                                <w:div w:id="972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916580">
      <w:bodyDiv w:val="1"/>
      <w:marLeft w:val="0"/>
      <w:marRight w:val="0"/>
      <w:marTop w:val="0"/>
      <w:marBottom w:val="0"/>
      <w:divBdr>
        <w:top w:val="none" w:sz="0" w:space="0" w:color="auto"/>
        <w:left w:val="none" w:sz="0" w:space="0" w:color="auto"/>
        <w:bottom w:val="none" w:sz="0" w:space="0" w:color="auto"/>
        <w:right w:val="none" w:sz="0" w:space="0" w:color="auto"/>
      </w:divBdr>
    </w:div>
    <w:div w:id="1721978826">
      <w:bodyDiv w:val="1"/>
      <w:marLeft w:val="0"/>
      <w:marRight w:val="0"/>
      <w:marTop w:val="0"/>
      <w:marBottom w:val="0"/>
      <w:divBdr>
        <w:top w:val="none" w:sz="0" w:space="0" w:color="auto"/>
        <w:left w:val="none" w:sz="0" w:space="0" w:color="auto"/>
        <w:bottom w:val="none" w:sz="0" w:space="0" w:color="auto"/>
        <w:right w:val="none" w:sz="0" w:space="0" w:color="auto"/>
      </w:divBdr>
    </w:div>
    <w:div w:id="1756705469">
      <w:bodyDiv w:val="1"/>
      <w:marLeft w:val="0"/>
      <w:marRight w:val="0"/>
      <w:marTop w:val="0"/>
      <w:marBottom w:val="0"/>
      <w:divBdr>
        <w:top w:val="none" w:sz="0" w:space="0" w:color="auto"/>
        <w:left w:val="none" w:sz="0" w:space="0" w:color="auto"/>
        <w:bottom w:val="none" w:sz="0" w:space="0" w:color="auto"/>
        <w:right w:val="none" w:sz="0" w:space="0" w:color="auto"/>
      </w:divBdr>
    </w:div>
    <w:div w:id="1879975101">
      <w:bodyDiv w:val="1"/>
      <w:marLeft w:val="0"/>
      <w:marRight w:val="0"/>
      <w:marTop w:val="0"/>
      <w:marBottom w:val="0"/>
      <w:divBdr>
        <w:top w:val="none" w:sz="0" w:space="0" w:color="auto"/>
        <w:left w:val="none" w:sz="0" w:space="0" w:color="auto"/>
        <w:bottom w:val="none" w:sz="0" w:space="0" w:color="auto"/>
        <w:right w:val="none" w:sz="0" w:space="0" w:color="auto"/>
      </w:divBdr>
    </w:div>
    <w:div w:id="2065984217">
      <w:bodyDiv w:val="1"/>
      <w:marLeft w:val="0"/>
      <w:marRight w:val="0"/>
      <w:marTop w:val="0"/>
      <w:marBottom w:val="0"/>
      <w:divBdr>
        <w:top w:val="none" w:sz="0" w:space="0" w:color="auto"/>
        <w:left w:val="none" w:sz="0" w:space="0" w:color="auto"/>
        <w:bottom w:val="none" w:sz="0" w:space="0" w:color="auto"/>
        <w:right w:val="none" w:sz="0" w:space="0" w:color="auto"/>
      </w:divBdr>
    </w:div>
    <w:div w:id="21206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i.org/10.1539/joh.45.11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ha.europa.e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07/s00420-015-1091-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council.nl" TargetMode="External"/><Relationship Id="rId20" Type="http://schemas.openxmlformats.org/officeDocument/2006/relationships/hyperlink" Target="https://ech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36/oem.2002.006858"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i.org/10.1539/joh.45.111"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i.org/10.1136/oem.2002.00685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oi.org/10.1007/s00420-015-1091-5"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documents/10162/13632/information_requirements_r12_en.pdf/ea8fa5a6-6ba1-47f4-9e47-c7216e180197" TargetMode="External"/><Relationship Id="rId1" Type="http://schemas.openxmlformats.org/officeDocument/2006/relationships/hyperlink" Target="https://www.dguv.de/ifa/gestis/gestis-stoffdatenbank/index-2.j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ACE6EBE68A454A896C3890DF266F0A"/>
        <w:category>
          <w:name w:val="General"/>
          <w:gallery w:val="placeholder"/>
        </w:category>
        <w:types>
          <w:type w:val="bbPlcHdr"/>
        </w:types>
        <w:behaviors>
          <w:behavior w:val="content"/>
        </w:behaviors>
        <w:guid w:val="{965EB421-BD6E-4ABD-834E-C10CD6365F70}"/>
      </w:docPartPr>
      <w:docPartBody>
        <w:p w:rsidR="004E3D2B" w:rsidRDefault="001D0CA7" w:rsidP="001D0CA7">
          <w:pPr>
            <w:pStyle w:val="9BACE6EBE68A454A896C3890DF266F0A"/>
          </w:pPr>
          <w:r w:rsidRPr="0049122F">
            <w:rPr>
              <w:rStyle w:val="Textedelespacerserv"/>
            </w:rPr>
            <w:t>Choose an item.</w:t>
          </w:r>
        </w:p>
      </w:docPartBody>
    </w:docPart>
    <w:docPart>
      <w:docPartPr>
        <w:name w:val="C6EC9020F46A413DB260D2B3FAF5F806"/>
        <w:category>
          <w:name w:val="General"/>
          <w:gallery w:val="placeholder"/>
        </w:category>
        <w:types>
          <w:type w:val="bbPlcHdr"/>
        </w:types>
        <w:behaviors>
          <w:behavior w:val="content"/>
        </w:behaviors>
        <w:guid w:val="{AEF273C3-82F1-4B5F-B48F-3CD6C7D3A9E7}"/>
      </w:docPartPr>
      <w:docPartBody>
        <w:p w:rsidR="004E3D2B" w:rsidRDefault="001D0CA7" w:rsidP="001D0CA7">
          <w:pPr>
            <w:pStyle w:val="C6EC9020F46A413DB260D2B3FAF5F806"/>
          </w:pPr>
          <w:r w:rsidRPr="0049122F">
            <w:rPr>
              <w:rStyle w:val="Textedelespacerserv"/>
            </w:rPr>
            <w:t>Choose an item.</w:t>
          </w:r>
        </w:p>
      </w:docPartBody>
    </w:docPart>
    <w:docPart>
      <w:docPartPr>
        <w:name w:val="18DB9D92DB1D48C994631EF344E09FBC"/>
        <w:category>
          <w:name w:val="General"/>
          <w:gallery w:val="placeholder"/>
        </w:category>
        <w:types>
          <w:type w:val="bbPlcHdr"/>
        </w:types>
        <w:behaviors>
          <w:behavior w:val="content"/>
        </w:behaviors>
        <w:guid w:val="{8FE520C9-2918-44E2-9728-886C1B453CEC}"/>
      </w:docPartPr>
      <w:docPartBody>
        <w:p w:rsidR="00480692" w:rsidRDefault="00480692" w:rsidP="00480692">
          <w:pPr>
            <w:pStyle w:val="18DB9D92DB1D48C994631EF344E09FBC"/>
          </w:pPr>
          <w:r w:rsidRPr="0049122F">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9"/>
    <w:rsid w:val="000667D8"/>
    <w:rsid w:val="000906CD"/>
    <w:rsid w:val="000A6EC6"/>
    <w:rsid w:val="000B7B5A"/>
    <w:rsid w:val="000F00CD"/>
    <w:rsid w:val="000F7979"/>
    <w:rsid w:val="00147A67"/>
    <w:rsid w:val="001544B4"/>
    <w:rsid w:val="001871F7"/>
    <w:rsid w:val="001B34D7"/>
    <w:rsid w:val="001B7EB8"/>
    <w:rsid w:val="001C2D63"/>
    <w:rsid w:val="001D0CA7"/>
    <w:rsid w:val="001F39FD"/>
    <w:rsid w:val="002220DC"/>
    <w:rsid w:val="002838C1"/>
    <w:rsid w:val="00292403"/>
    <w:rsid w:val="00297C11"/>
    <w:rsid w:val="002B1951"/>
    <w:rsid w:val="002B5D0D"/>
    <w:rsid w:val="002C0B8A"/>
    <w:rsid w:val="002C2961"/>
    <w:rsid w:val="002C7C6A"/>
    <w:rsid w:val="002D2E52"/>
    <w:rsid w:val="002D42E6"/>
    <w:rsid w:val="002D5BFE"/>
    <w:rsid w:val="002E0134"/>
    <w:rsid w:val="002E107B"/>
    <w:rsid w:val="0031099B"/>
    <w:rsid w:val="003239BA"/>
    <w:rsid w:val="00327355"/>
    <w:rsid w:val="00336685"/>
    <w:rsid w:val="003410C9"/>
    <w:rsid w:val="003539D5"/>
    <w:rsid w:val="003540AF"/>
    <w:rsid w:val="00371E26"/>
    <w:rsid w:val="003776F6"/>
    <w:rsid w:val="00380819"/>
    <w:rsid w:val="00382E27"/>
    <w:rsid w:val="00391499"/>
    <w:rsid w:val="003A4B89"/>
    <w:rsid w:val="003A6470"/>
    <w:rsid w:val="003B0589"/>
    <w:rsid w:val="003D4D65"/>
    <w:rsid w:val="003F40FD"/>
    <w:rsid w:val="003F48D7"/>
    <w:rsid w:val="003F4B88"/>
    <w:rsid w:val="00406A90"/>
    <w:rsid w:val="00414349"/>
    <w:rsid w:val="0045652E"/>
    <w:rsid w:val="004625FD"/>
    <w:rsid w:val="00470342"/>
    <w:rsid w:val="00480692"/>
    <w:rsid w:val="004E0701"/>
    <w:rsid w:val="004E3D2B"/>
    <w:rsid w:val="00501E2B"/>
    <w:rsid w:val="00505C4D"/>
    <w:rsid w:val="0058630E"/>
    <w:rsid w:val="00592557"/>
    <w:rsid w:val="00596EA1"/>
    <w:rsid w:val="005A4D61"/>
    <w:rsid w:val="005D7BEF"/>
    <w:rsid w:val="005F34A3"/>
    <w:rsid w:val="0062628B"/>
    <w:rsid w:val="006311BD"/>
    <w:rsid w:val="00653435"/>
    <w:rsid w:val="006736F0"/>
    <w:rsid w:val="00676CA9"/>
    <w:rsid w:val="006877DA"/>
    <w:rsid w:val="0069248A"/>
    <w:rsid w:val="006A0D61"/>
    <w:rsid w:val="006B1535"/>
    <w:rsid w:val="006C79B6"/>
    <w:rsid w:val="006D1ABC"/>
    <w:rsid w:val="006F1049"/>
    <w:rsid w:val="006F168D"/>
    <w:rsid w:val="006F1865"/>
    <w:rsid w:val="006F25BE"/>
    <w:rsid w:val="006F344F"/>
    <w:rsid w:val="00724FEE"/>
    <w:rsid w:val="00725FBA"/>
    <w:rsid w:val="00744810"/>
    <w:rsid w:val="007458DB"/>
    <w:rsid w:val="00762C74"/>
    <w:rsid w:val="00781124"/>
    <w:rsid w:val="007842B2"/>
    <w:rsid w:val="007B6295"/>
    <w:rsid w:val="007C4FFE"/>
    <w:rsid w:val="007D1230"/>
    <w:rsid w:val="007D5673"/>
    <w:rsid w:val="007E4231"/>
    <w:rsid w:val="00824E86"/>
    <w:rsid w:val="0083616D"/>
    <w:rsid w:val="008667CC"/>
    <w:rsid w:val="008D4A67"/>
    <w:rsid w:val="009065B8"/>
    <w:rsid w:val="009118C1"/>
    <w:rsid w:val="0091757E"/>
    <w:rsid w:val="00930815"/>
    <w:rsid w:val="00932BA5"/>
    <w:rsid w:val="00944C48"/>
    <w:rsid w:val="0095761F"/>
    <w:rsid w:val="009A15E9"/>
    <w:rsid w:val="009A73CC"/>
    <w:rsid w:val="009D0DBF"/>
    <w:rsid w:val="009D1C2A"/>
    <w:rsid w:val="009D4B54"/>
    <w:rsid w:val="009F127F"/>
    <w:rsid w:val="00A00AD4"/>
    <w:rsid w:val="00A072D8"/>
    <w:rsid w:val="00A115B0"/>
    <w:rsid w:val="00A639A3"/>
    <w:rsid w:val="00A6589B"/>
    <w:rsid w:val="00A932A4"/>
    <w:rsid w:val="00AC0BD5"/>
    <w:rsid w:val="00AC31AD"/>
    <w:rsid w:val="00B22DDA"/>
    <w:rsid w:val="00B3264D"/>
    <w:rsid w:val="00B833D9"/>
    <w:rsid w:val="00B904CD"/>
    <w:rsid w:val="00BA2808"/>
    <w:rsid w:val="00BA7855"/>
    <w:rsid w:val="00BB2F70"/>
    <w:rsid w:val="00BB5412"/>
    <w:rsid w:val="00BB784F"/>
    <w:rsid w:val="00BD19FB"/>
    <w:rsid w:val="00BD7EEC"/>
    <w:rsid w:val="00C0638A"/>
    <w:rsid w:val="00C310BF"/>
    <w:rsid w:val="00C34D33"/>
    <w:rsid w:val="00CB2C2B"/>
    <w:rsid w:val="00CD3D5B"/>
    <w:rsid w:val="00CE3760"/>
    <w:rsid w:val="00CF5AF0"/>
    <w:rsid w:val="00D36C8E"/>
    <w:rsid w:val="00D725DA"/>
    <w:rsid w:val="00DA310C"/>
    <w:rsid w:val="00DC0DB3"/>
    <w:rsid w:val="00E75E60"/>
    <w:rsid w:val="00E856BA"/>
    <w:rsid w:val="00E91487"/>
    <w:rsid w:val="00EA5A9C"/>
    <w:rsid w:val="00ED2DC5"/>
    <w:rsid w:val="00EE1F57"/>
    <w:rsid w:val="00EE5838"/>
    <w:rsid w:val="00EF06F9"/>
    <w:rsid w:val="00EF0C84"/>
    <w:rsid w:val="00EF6623"/>
    <w:rsid w:val="00F0339F"/>
    <w:rsid w:val="00F04DED"/>
    <w:rsid w:val="00F14429"/>
    <w:rsid w:val="00F167F6"/>
    <w:rsid w:val="00F27DDD"/>
    <w:rsid w:val="00F53024"/>
    <w:rsid w:val="00F54D2D"/>
    <w:rsid w:val="00F557F6"/>
    <w:rsid w:val="00F61E25"/>
    <w:rsid w:val="00F90819"/>
    <w:rsid w:val="00FC2D03"/>
    <w:rsid w:val="00FC4D57"/>
    <w:rsid w:val="00FF2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55B5B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838C1"/>
    <w:rPr>
      <w:color w:val="808080"/>
    </w:rPr>
  </w:style>
  <w:style w:type="paragraph" w:customStyle="1" w:styleId="BD994F8D819F42C6821CF5A8E3A66105">
    <w:name w:val="BD994F8D819F42C6821CF5A8E3A66105"/>
    <w:rsid w:val="001D0CA7"/>
  </w:style>
  <w:style w:type="paragraph" w:customStyle="1" w:styleId="1FE623F2B3AC49E38379133468FADE2E">
    <w:name w:val="1FE623F2B3AC49E38379133468FADE2E"/>
    <w:rsid w:val="001D0CA7"/>
  </w:style>
  <w:style w:type="paragraph" w:customStyle="1" w:styleId="9BACE6EBE68A454A896C3890DF266F0A">
    <w:name w:val="9BACE6EBE68A454A896C3890DF266F0A"/>
    <w:rsid w:val="001D0CA7"/>
  </w:style>
  <w:style w:type="paragraph" w:customStyle="1" w:styleId="C6EC9020F46A413DB260D2B3FAF5F806">
    <w:name w:val="C6EC9020F46A413DB260D2B3FAF5F806"/>
    <w:rsid w:val="001D0CA7"/>
  </w:style>
  <w:style w:type="paragraph" w:customStyle="1" w:styleId="FA831FCBB64C44F49F7F1890B168F97A">
    <w:name w:val="FA831FCBB64C44F49F7F1890B168F97A"/>
    <w:rsid w:val="001D0CA7"/>
  </w:style>
  <w:style w:type="paragraph" w:customStyle="1" w:styleId="FC0FB97E899B42DA8C55B5CE57C49958">
    <w:name w:val="FC0FB97E899B42DA8C55B5CE57C49958"/>
    <w:rsid w:val="001D0CA7"/>
  </w:style>
  <w:style w:type="paragraph" w:customStyle="1" w:styleId="1E22B088F7044AFB8B2A02438D171784">
    <w:name w:val="1E22B088F7044AFB8B2A02438D171784"/>
    <w:rsid w:val="001D0CA7"/>
  </w:style>
  <w:style w:type="paragraph" w:customStyle="1" w:styleId="AE931C404E224E36B82E6AEF801C758D">
    <w:name w:val="AE931C404E224E36B82E6AEF801C758D"/>
    <w:rsid w:val="001D0CA7"/>
  </w:style>
  <w:style w:type="paragraph" w:customStyle="1" w:styleId="1BEBD2D35FF34DC9B10A624B83C8CCC7">
    <w:name w:val="1BEBD2D35FF34DC9B10A624B83C8CCC7"/>
    <w:rsid w:val="001D0CA7"/>
  </w:style>
  <w:style w:type="paragraph" w:customStyle="1" w:styleId="DE07689E9ED54E7AB0E83B0856228F38">
    <w:name w:val="DE07689E9ED54E7AB0E83B0856228F38"/>
    <w:rsid w:val="001D0CA7"/>
  </w:style>
  <w:style w:type="paragraph" w:customStyle="1" w:styleId="3D18F1B13A62433AAB94E2CC9487CBB7">
    <w:name w:val="3D18F1B13A62433AAB94E2CC9487CBB7"/>
  </w:style>
  <w:style w:type="paragraph" w:customStyle="1" w:styleId="F5E140F242264D5499DC487A937E5570">
    <w:name w:val="F5E140F242264D5499DC487A937E5570"/>
  </w:style>
  <w:style w:type="paragraph" w:customStyle="1" w:styleId="18DB9D92DB1D48C994631EF344E09FBC">
    <w:name w:val="18DB9D92DB1D48C994631EF344E09FBC"/>
    <w:rsid w:val="00480692"/>
  </w:style>
  <w:style w:type="paragraph" w:customStyle="1" w:styleId="5C89F612D26848E68EAF8A361F1EB94D">
    <w:name w:val="5C89F612D26848E68EAF8A361F1EB94D"/>
    <w:rsid w:val="00480692"/>
  </w:style>
  <w:style w:type="paragraph" w:customStyle="1" w:styleId="F6F62DF7CBD14C9A852BB108515221E2">
    <w:name w:val="F6F62DF7CBD14C9A852BB108515221E2"/>
    <w:rsid w:val="00480692"/>
  </w:style>
  <w:style w:type="paragraph" w:customStyle="1" w:styleId="51A3826F3D054AFEA5B40691B17BA86C">
    <w:name w:val="51A3826F3D054AFEA5B40691B17BA86C"/>
    <w:rsid w:val="00480692"/>
  </w:style>
  <w:style w:type="paragraph" w:customStyle="1" w:styleId="153E53E3CD374F1B8A09ED6D4C531057">
    <w:name w:val="153E53E3CD374F1B8A09ED6D4C531057"/>
    <w:rsid w:val="00480692"/>
  </w:style>
  <w:style w:type="paragraph" w:customStyle="1" w:styleId="FAA573FC3E034278B6F1EC06DB14EC35">
    <w:name w:val="FAA573FC3E034278B6F1EC06DB14EC35"/>
    <w:rsid w:val="002838C1"/>
  </w:style>
  <w:style w:type="paragraph" w:customStyle="1" w:styleId="F0CB391F8B284B63B55EFE5B68CA6659">
    <w:name w:val="F0CB391F8B284B63B55EFE5B68CA6659"/>
    <w:rsid w:val="002838C1"/>
  </w:style>
  <w:style w:type="paragraph" w:customStyle="1" w:styleId="44B4D8CCBA194BC685C0B07AEB355B77">
    <w:name w:val="44B4D8CCBA194BC685C0B07AEB355B77"/>
    <w:rsid w:val="002838C1"/>
  </w:style>
  <w:style w:type="paragraph" w:customStyle="1" w:styleId="F4CA8A6B9A3647AF81EBE2FEC07911FA">
    <w:name w:val="F4CA8A6B9A3647AF81EBE2FEC07911FA"/>
    <w:rsid w:val="00283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HAProcessTaxHTField0 xmlns="4811b924-dee2-413a-bdc8-2cc023473c17" xsi:nil="true"/>
    <ECHACategoryTaxHTField0 xmlns="4811b924-dee2-413a-bdc8-2cc023473c17" xsi:nil="true"/>
    <TaxCatchAll xmlns="b80ede5c-af4c-4bf2-9a87-706a3579dc11">
      <Value>1</Value>
    </TaxCatchAll>
    <ECHADocumentTypeTaxHTField0 xmlns="4811b924-dee2-413a-bdc8-2cc023473c17" xsi:nil="true"/>
    <ECHASecClassTaxHTField0 xmlns="4811b924-dee2-413a-bdc8-2cc023473c17">Internal|a0307bc2-faf9-4068-8aeb-b713e4fa2a0f</ECHASecClassTaxHTField0>
    <_dlc_DocId xmlns="b80ede5c-af4c-4bf2-9a87-706a3579dc11">ACTV3-2031409557-73535</_dlc_DocId>
    <_dlc_DocIdUrl xmlns="b80ede5c-af4c-4bf2-9a87-706a3579dc11">
      <Url>https://activity.echa.europa.eu/sites/act-3/process-3-10/_layouts/15/DocIdRedir.aspx?ID=ACTV3-2031409557-73535</Url>
      <Description>ACTV3-2031409557-73535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F83ADF725FEC40B954A0C574AB2C64" ma:contentTypeVersion="6" ma:contentTypeDescription="Create a new document." ma:contentTypeScope="" ma:versionID="fc08ee29ccd7add25442fc0a69d3747e">
  <xsd:schema xmlns:xsd="http://www.w3.org/2001/XMLSchema" xmlns:xs="http://www.w3.org/2001/XMLSchema" xmlns:p="http://schemas.microsoft.com/office/2006/metadata/properties" xmlns:ns2="b80ede5c-af4c-4bf2-9a87-706a3579dc11" xmlns:ns3="03956ed6-227c-4b07-8ccf-696c57f91a1e" xmlns:ns4="4811b924-dee2-413a-bdc8-2cc023473c17" targetNamespace="http://schemas.microsoft.com/office/2006/metadata/properties" ma:root="true" ma:fieldsID="bc0f4aeb1d351832a52a33d1f28c79a4" ns2:_="" ns3:_="" ns4:_="">
    <xsd:import namespace="b80ede5c-af4c-4bf2-9a87-706a3579dc11"/>
    <xsd:import namespace="03956ed6-227c-4b07-8ccf-696c57f91a1e"/>
    <xsd:import namespace="4811b924-dee2-413a-bdc8-2cc023473c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ECHAProcessTaxHTField0" minOccurs="0"/>
                <xsd:element ref="ns2:TaxCatchAll" minOccurs="0"/>
                <xsd:element ref="ns4:ECHASecClassTaxHTField0" minOccurs="0"/>
                <xsd:element ref="ns4:ECHADocumentTypeTaxHTField0" minOccurs="0"/>
                <xsd:element ref="ns4: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56ed6-227c-4b07-8ccf-696c57f91a1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ProcessTaxHTField0" ma:index="12" nillable="true" ma:displayName="Process_0" ma:hidden="true" ma:internalName="ECHAProcessTaxHTField0">
      <xsd:simpleType>
        <xsd:restriction base="dms:Note"/>
      </xsd:simpleType>
    </xsd:element>
    <xsd:element name="ECHASecClassTaxHTField0" ma:index="14" nillable="true" ma:displayName="Security classification_0" ma:hidden="true" ma:internalName="ECHASecClassTaxHTField0">
      <xsd:simpleType>
        <xsd:restriction base="dms:Note"/>
      </xsd:simpleType>
    </xsd:element>
    <xsd:element name="ECHADocumentTypeTaxHTField0" ma:index="15" nillable="true" ma:displayName="Document type_0" ma:hidden="true" ma:internalName="ECHADocumentTypeTaxHTField0">
      <xsd:simpleType>
        <xsd:restriction base="dms:Note"/>
      </xsd:simpleType>
    </xsd:element>
    <xsd:element name="ECHACategoryTaxHTField0" ma:index="16" nillable="true" ma:displayName="Category_0" ma:hidden="true" ma:internalName="ECHACategoryTaxHTField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11BB-BA80-430B-957C-B5DA81F539C1}">
  <ds:schemaRefs>
    <ds:schemaRef ds:uri="http://schemas.microsoft.com/sharepoint/v3/contenttype/forms"/>
  </ds:schemaRefs>
</ds:datastoreItem>
</file>

<file path=customXml/itemProps2.xml><?xml version="1.0" encoding="utf-8"?>
<ds:datastoreItem xmlns:ds="http://schemas.openxmlformats.org/officeDocument/2006/customXml" ds:itemID="{D5E8A5F7-E49C-49B2-B51F-AD4ABA89A5FF}">
  <ds:schemaRefs>
    <ds:schemaRef ds:uri="http://schemas.openxmlformats.org/package/2006/metadata/core-properties"/>
    <ds:schemaRef ds:uri="http://purl.org/dc/terms/"/>
    <ds:schemaRef ds:uri="03956ed6-227c-4b07-8ccf-696c57f91a1e"/>
    <ds:schemaRef ds:uri="http://schemas.microsoft.com/office/2006/documentManagement/types"/>
    <ds:schemaRef ds:uri="http://purl.org/dc/dcmitype/"/>
    <ds:schemaRef ds:uri="http://www.w3.org/XML/1998/namespace"/>
    <ds:schemaRef ds:uri="4811b924-dee2-413a-bdc8-2cc023473c17"/>
    <ds:schemaRef ds:uri="http://schemas.microsoft.com/office/infopath/2007/PartnerControls"/>
    <ds:schemaRef ds:uri="b80ede5c-af4c-4bf2-9a87-706a3579dc1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5DEFC31-9280-43DB-8494-1A9104EA97EC}">
  <ds:schemaRefs>
    <ds:schemaRef ds:uri="http://schemas.microsoft.com/sharepoint/events"/>
  </ds:schemaRefs>
</ds:datastoreItem>
</file>

<file path=customXml/itemProps4.xml><?xml version="1.0" encoding="utf-8"?>
<ds:datastoreItem xmlns:ds="http://schemas.openxmlformats.org/officeDocument/2006/customXml" ds:itemID="{DF134D63-7575-4570-A116-C6CFC92D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03956ed6-227c-4b07-8ccf-696c57f91a1e"/>
    <ds:schemaRef ds:uri="4811b924-dee2-413a-bdc8-2cc02347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A187CD-49F6-4F86-958B-3BF2A7A1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13897</Words>
  <Characters>76434</Characters>
  <Application>Microsoft Office Word</Application>
  <DocSecurity>0</DocSecurity>
  <Lines>636</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90151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KUSTER Jonathan</dc:creator>
  <cp:keywords/>
  <dc:description/>
  <cp:lastModifiedBy>CHARLES Sandrine</cp:lastModifiedBy>
  <cp:revision>3</cp:revision>
  <cp:lastPrinted>2022-07-29T08:48:00Z</cp:lastPrinted>
  <dcterms:created xsi:type="dcterms:W3CDTF">2022-10-27T13:05:00Z</dcterms:created>
  <dcterms:modified xsi:type="dcterms:W3CDTF">2022-10-27T13:17:00Z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0x010100ADF83ADF725FEC40B954A0C574AB2C64</vt:lpwstr>
  </property>
  <property fmtid="{D5CDD505-2E9C-101B-9397-08002B2CF9AE}" pid="3" name="_dlc_DocIdItemGuid">
    <vt:lpwstr>9ec43b85-b406-4c44-b24e-74d6dbffc41d</vt:lpwstr>
  </property>
  <property fmtid="{D5CDD505-2E9C-101B-9397-08002B2CF9AE}" pid="4" name="ECHAProcess">
    <vt:lpwstr/>
  </property>
  <property fmtid="{D5CDD505-2E9C-101B-9397-08002B2CF9AE}" pid="5" name="ECHADocumentType">
    <vt:lpwstr/>
  </property>
  <property fmtid="{D5CDD505-2E9C-101B-9397-08002B2CF9AE}" pid="6" name="ECHACategory">
    <vt:lpwstr/>
  </property>
  <property fmtid="{D5CDD505-2E9C-101B-9397-08002B2CF9AE}" pid="7" name="ECHASecClass">
    <vt:lpwstr>1;#Internal|a0307bc2-faf9-4068-8aeb-b713e4fa2a0f</vt:lpwstr>
  </property>
</Properties>
</file>