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C6250" w14:textId="77777777" w:rsidR="00CF2D55" w:rsidRPr="00CF2D55" w:rsidRDefault="00CF2D55" w:rsidP="00CF2D55">
      <w:pPr>
        <w:ind w:left="-11" w:firstLine="11"/>
        <w:jc w:val="center"/>
      </w:pPr>
      <w:r w:rsidRPr="00CF2D55">
        <w:rPr>
          <w:b/>
          <w:bCs/>
          <w:sz w:val="28"/>
          <w:szCs w:val="28"/>
        </w:rPr>
        <w:t>RAPPORT DE PRESENTATION</w:t>
      </w:r>
    </w:p>
    <w:p w14:paraId="123463E7" w14:textId="77777777" w:rsidR="00CF2D55" w:rsidRPr="00CF2D55" w:rsidRDefault="00CF2D55" w:rsidP="00CF2D55">
      <w:pPr>
        <w:ind w:left="-11" w:firstLine="11"/>
        <w:jc w:val="center"/>
        <w:rPr>
          <w:b/>
          <w:bCs/>
          <w:sz w:val="20"/>
          <w:szCs w:val="20"/>
        </w:rPr>
      </w:pPr>
    </w:p>
    <w:p w14:paraId="0DD08192" w14:textId="4C5525B4" w:rsidR="00CF2D55" w:rsidRDefault="00CF2D55" w:rsidP="00CF2D55">
      <w:pPr>
        <w:ind w:left="-11" w:firstLine="11"/>
        <w:jc w:val="center"/>
        <w:rPr>
          <w:b/>
          <w:sz w:val="26"/>
          <w:szCs w:val="26"/>
        </w:rPr>
      </w:pPr>
      <w:r>
        <w:rPr>
          <w:b/>
          <w:sz w:val="26"/>
          <w:szCs w:val="26"/>
        </w:rPr>
        <w:t>P</w:t>
      </w:r>
      <w:r w:rsidRPr="00CF2D55">
        <w:rPr>
          <w:b/>
          <w:sz w:val="26"/>
          <w:szCs w:val="26"/>
        </w:rPr>
        <w:t>rojet d’arrêté portant création et modification de fiches d’opérations standardisées du dispositif des certificats d’économies d’énergie</w:t>
      </w:r>
    </w:p>
    <w:p w14:paraId="7994529D" w14:textId="77777777" w:rsidR="00CF2D55" w:rsidRPr="00CF2D55" w:rsidRDefault="00CF2D55" w:rsidP="00CF2D55">
      <w:pPr>
        <w:ind w:left="-11" w:firstLine="11"/>
        <w:jc w:val="center"/>
        <w:rPr>
          <w:b/>
          <w:sz w:val="26"/>
          <w:szCs w:val="26"/>
        </w:rPr>
      </w:pPr>
    </w:p>
    <w:p w14:paraId="5123909C" w14:textId="03BEEF58" w:rsidR="00CF2D55" w:rsidRPr="00B1250E" w:rsidRDefault="00CF2D55" w:rsidP="00B1250E">
      <w:pPr>
        <w:ind w:left="-11" w:firstLine="11"/>
        <w:jc w:val="center"/>
      </w:pPr>
      <w:r w:rsidRPr="00CF2D55">
        <w:rPr>
          <w:i/>
          <w:sz w:val="22"/>
          <w:szCs w:val="22"/>
        </w:rPr>
        <w:t>****</w:t>
      </w:r>
    </w:p>
    <w:p w14:paraId="559CE437" w14:textId="6D71B989" w:rsidR="00ED149E" w:rsidRDefault="00ED149E" w:rsidP="00840759">
      <w:pPr>
        <w:jc w:val="both"/>
        <w:rPr>
          <w:color w:val="000000"/>
          <w:sz w:val="22"/>
          <w:szCs w:val="22"/>
        </w:rPr>
      </w:pPr>
      <w:bookmarkStart w:id="0" w:name="_GoBack"/>
      <w:bookmarkEnd w:id="0"/>
    </w:p>
    <w:p w14:paraId="2F7FF5B2" w14:textId="77777777" w:rsidR="00F040C1" w:rsidRDefault="00F040C1" w:rsidP="005C0659">
      <w:pPr>
        <w:pStyle w:val="NormalWeb"/>
        <w:tabs>
          <w:tab w:val="right" w:pos="9637"/>
        </w:tabs>
        <w:spacing w:before="0" w:after="0"/>
        <w:jc w:val="both"/>
        <w:rPr>
          <w:rFonts w:ascii="Times New Roman" w:hAnsi="Times New Roman" w:cs="Times New Roman"/>
          <w:sz w:val="22"/>
          <w:szCs w:val="22"/>
        </w:rPr>
      </w:pPr>
    </w:p>
    <w:tbl>
      <w:tblPr>
        <w:tblW w:w="10552" w:type="dxa"/>
        <w:jc w:val="center"/>
        <w:tblLayout w:type="fixed"/>
        <w:tblCellMar>
          <w:top w:w="55" w:type="dxa"/>
          <w:left w:w="55" w:type="dxa"/>
          <w:bottom w:w="55" w:type="dxa"/>
          <w:right w:w="55" w:type="dxa"/>
        </w:tblCellMar>
        <w:tblLook w:val="0000" w:firstRow="0" w:lastRow="0" w:firstColumn="0" w:lastColumn="0" w:noHBand="0" w:noVBand="0"/>
      </w:tblPr>
      <w:tblGrid>
        <w:gridCol w:w="2972"/>
        <w:gridCol w:w="1701"/>
        <w:gridCol w:w="5879"/>
      </w:tblGrid>
      <w:tr w:rsidR="00580BF8" w:rsidRPr="00580BF8" w14:paraId="60CC63C8" w14:textId="77777777" w:rsidTr="00580BF8">
        <w:trPr>
          <w:trHeight w:val="361"/>
          <w:tblHeader/>
          <w:jc w:val="center"/>
        </w:trPr>
        <w:tc>
          <w:tcPr>
            <w:tcW w:w="10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D48BE" w14:textId="77777777" w:rsidR="00580BF8" w:rsidRPr="00580BF8" w:rsidRDefault="00580BF8" w:rsidP="004F6AF6">
            <w:pPr>
              <w:jc w:val="center"/>
              <w:rPr>
                <w:b/>
                <w:bCs/>
                <w:sz w:val="20"/>
                <w:szCs w:val="20"/>
              </w:rPr>
            </w:pPr>
            <w:r w:rsidRPr="00580BF8">
              <w:rPr>
                <w:b/>
                <w:bCs/>
                <w:sz w:val="20"/>
                <w:szCs w:val="20"/>
              </w:rPr>
              <w:t>Modification de fiches déjà publiées</w:t>
            </w:r>
          </w:p>
        </w:tc>
      </w:tr>
      <w:tr w:rsidR="00580BF8" w:rsidRPr="00580BF8" w14:paraId="75506A78" w14:textId="77777777" w:rsidTr="00580BF8">
        <w:trPr>
          <w:trHeight w:val="386"/>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C1CE9CB" w14:textId="77777777" w:rsidR="00580BF8" w:rsidRPr="00580BF8" w:rsidRDefault="00580BF8" w:rsidP="004F6AF6">
            <w:pPr>
              <w:jc w:val="center"/>
              <w:rPr>
                <w:b/>
                <w:bCs/>
                <w:sz w:val="20"/>
                <w:szCs w:val="20"/>
              </w:rPr>
            </w:pPr>
            <w:r w:rsidRPr="00580BF8">
              <w:rPr>
                <w:b/>
                <w:bCs/>
                <w:sz w:val="20"/>
                <w:szCs w:val="20"/>
              </w:rPr>
              <w:t>Intitulé de la fiche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41C712" w14:textId="77777777" w:rsidR="00580BF8" w:rsidRPr="00580BF8" w:rsidRDefault="00580BF8" w:rsidP="004F6AF6">
            <w:pPr>
              <w:jc w:val="center"/>
              <w:rPr>
                <w:b/>
                <w:bCs/>
                <w:sz w:val="20"/>
                <w:szCs w:val="20"/>
              </w:rPr>
            </w:pPr>
            <w:r w:rsidRPr="00580BF8">
              <w:rPr>
                <w:b/>
                <w:bCs/>
                <w:sz w:val="20"/>
                <w:szCs w:val="20"/>
              </w:rPr>
              <w:t>N° de référence</w:t>
            </w:r>
          </w:p>
        </w:tc>
        <w:tc>
          <w:tcPr>
            <w:tcW w:w="5879" w:type="dxa"/>
            <w:tcBorders>
              <w:top w:val="single" w:sz="4" w:space="0" w:color="auto"/>
              <w:left w:val="single" w:sz="4" w:space="0" w:color="auto"/>
              <w:bottom w:val="single" w:sz="4" w:space="0" w:color="auto"/>
              <w:right w:val="single" w:sz="4" w:space="0" w:color="auto"/>
            </w:tcBorders>
            <w:vAlign w:val="center"/>
          </w:tcPr>
          <w:p w14:paraId="227ECB77" w14:textId="77777777" w:rsidR="00580BF8" w:rsidRPr="00580BF8" w:rsidRDefault="00580BF8" w:rsidP="004F6AF6">
            <w:pPr>
              <w:jc w:val="center"/>
              <w:rPr>
                <w:b/>
                <w:bCs/>
                <w:sz w:val="20"/>
                <w:szCs w:val="20"/>
              </w:rPr>
            </w:pPr>
            <w:r w:rsidRPr="00580BF8">
              <w:rPr>
                <w:b/>
                <w:sz w:val="20"/>
                <w:szCs w:val="20"/>
              </w:rPr>
              <w:t>Commentaires</w:t>
            </w:r>
          </w:p>
        </w:tc>
      </w:tr>
      <w:tr w:rsidR="00580BF8" w:rsidRPr="00580BF8" w14:paraId="345CDC63" w14:textId="77777777" w:rsidTr="00580BF8">
        <w:trPr>
          <w:trHeight w:val="772"/>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911806C" w14:textId="77777777" w:rsidR="00580BF8" w:rsidRPr="00580BF8" w:rsidRDefault="00580BF8" w:rsidP="004F6AF6">
            <w:pPr>
              <w:jc w:val="center"/>
              <w:rPr>
                <w:sz w:val="20"/>
                <w:szCs w:val="20"/>
              </w:rPr>
            </w:pPr>
            <w:r w:rsidRPr="00580BF8">
              <w:rPr>
                <w:sz w:val="20"/>
                <w:szCs w:val="20"/>
              </w:rPr>
              <w:t>Double paroi gonflable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786868" w14:textId="77777777" w:rsidR="00580BF8" w:rsidRPr="00580BF8" w:rsidRDefault="00580BF8" w:rsidP="004F6AF6">
            <w:pPr>
              <w:jc w:val="center"/>
              <w:rPr>
                <w:sz w:val="20"/>
                <w:szCs w:val="20"/>
              </w:rPr>
            </w:pPr>
            <w:r w:rsidRPr="00580BF8">
              <w:rPr>
                <w:sz w:val="20"/>
                <w:szCs w:val="20"/>
              </w:rPr>
              <w:t>AGRI-EQ-112</w:t>
            </w:r>
          </w:p>
        </w:tc>
        <w:tc>
          <w:tcPr>
            <w:tcW w:w="5879" w:type="dxa"/>
            <w:tcBorders>
              <w:top w:val="single" w:sz="4" w:space="0" w:color="auto"/>
              <w:left w:val="single" w:sz="4" w:space="0" w:color="auto"/>
              <w:bottom w:val="single" w:sz="4" w:space="0" w:color="auto"/>
              <w:right w:val="single" w:sz="4" w:space="0" w:color="auto"/>
            </w:tcBorders>
            <w:vAlign w:val="center"/>
          </w:tcPr>
          <w:p w14:paraId="694A27F5" w14:textId="77777777" w:rsidR="00580BF8" w:rsidRPr="00580BF8" w:rsidRDefault="00580BF8" w:rsidP="004F6AF6">
            <w:pPr>
              <w:jc w:val="both"/>
              <w:rPr>
                <w:sz w:val="20"/>
                <w:szCs w:val="20"/>
              </w:rPr>
            </w:pPr>
            <w:r w:rsidRPr="00580BF8">
              <w:rPr>
                <w:sz w:val="20"/>
                <w:szCs w:val="20"/>
              </w:rPr>
              <w:t xml:space="preserve">Ajout de la mention « neuve » pour limiter les dérives sur la fiche. </w:t>
            </w:r>
          </w:p>
          <w:p w14:paraId="5CEBDB76" w14:textId="77777777" w:rsidR="00580BF8" w:rsidRPr="00580BF8" w:rsidRDefault="00580BF8" w:rsidP="004F6AF6">
            <w:pPr>
              <w:jc w:val="both"/>
              <w:rPr>
                <w:sz w:val="20"/>
                <w:szCs w:val="20"/>
              </w:rPr>
            </w:pPr>
            <w:r w:rsidRPr="00580BF8">
              <w:rPr>
                <w:sz w:val="20"/>
                <w:szCs w:val="20"/>
              </w:rPr>
              <w:t>Ajout du non cumul avec l’AGRI-EQ-108 « Stockage d’eau pour une serre bioclimatique » car les situations de références ne sont pas les mêmes.</w:t>
            </w:r>
          </w:p>
          <w:p w14:paraId="5F4F2890" w14:textId="77777777" w:rsidR="00580BF8" w:rsidRPr="00580BF8" w:rsidRDefault="00580BF8" w:rsidP="004F6AF6">
            <w:pPr>
              <w:jc w:val="both"/>
              <w:rPr>
                <w:sz w:val="20"/>
                <w:szCs w:val="20"/>
              </w:rPr>
            </w:pPr>
            <w:r w:rsidRPr="00580BF8">
              <w:rPr>
                <w:sz w:val="20"/>
                <w:szCs w:val="20"/>
              </w:rPr>
              <w:t>Correction de la durée de vie qui est ramenée à 5 ans au lieu de 8 ans conformément au calcul des économies d’énergie.</w:t>
            </w:r>
          </w:p>
          <w:p w14:paraId="7AD40F53" w14:textId="77777777" w:rsidR="00580BF8" w:rsidRPr="00580BF8" w:rsidRDefault="00580BF8" w:rsidP="004F6AF6">
            <w:pPr>
              <w:jc w:val="both"/>
              <w:rPr>
                <w:sz w:val="20"/>
                <w:szCs w:val="20"/>
              </w:rPr>
            </w:pPr>
            <w:r w:rsidRPr="00580BF8">
              <w:rPr>
                <w:bCs/>
                <w:sz w:val="20"/>
                <w:szCs w:val="20"/>
              </w:rPr>
              <w:t>Précision dans l’AH que *l</w:t>
            </w:r>
            <w:r w:rsidRPr="00580BF8">
              <w:rPr>
                <w:sz w:val="20"/>
                <w:szCs w:val="20"/>
              </w:rPr>
              <w:t>e dispositif est installé au-dessus des cultures et sur les parois :  □ Oui      □ Non</w:t>
            </w:r>
          </w:p>
        </w:tc>
      </w:tr>
      <w:tr w:rsidR="00580BF8" w:rsidRPr="00580BF8" w14:paraId="0E139D97" w14:textId="77777777" w:rsidTr="00580BF8">
        <w:trPr>
          <w:trHeight w:val="772"/>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697F97E8" w14:textId="77777777" w:rsidR="00580BF8" w:rsidRPr="00580BF8" w:rsidRDefault="00580BF8" w:rsidP="004F6AF6">
            <w:pPr>
              <w:jc w:val="center"/>
              <w:rPr>
                <w:sz w:val="20"/>
                <w:szCs w:val="20"/>
              </w:rPr>
            </w:pPr>
            <w:r w:rsidRPr="00580BF8">
              <w:rPr>
                <w:sz w:val="20"/>
                <w:szCs w:val="20"/>
              </w:rPr>
              <w:t>Déshumidificateur thermodynamique pour serres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F3863B" w14:textId="77777777" w:rsidR="00580BF8" w:rsidRPr="00580BF8" w:rsidRDefault="00580BF8" w:rsidP="004F6AF6">
            <w:pPr>
              <w:jc w:val="center"/>
              <w:rPr>
                <w:sz w:val="20"/>
                <w:szCs w:val="20"/>
              </w:rPr>
            </w:pPr>
            <w:r w:rsidRPr="00580BF8">
              <w:rPr>
                <w:sz w:val="20"/>
                <w:szCs w:val="20"/>
              </w:rPr>
              <w:t>AGRI-TH-117</w:t>
            </w:r>
          </w:p>
        </w:tc>
        <w:tc>
          <w:tcPr>
            <w:tcW w:w="5879" w:type="dxa"/>
            <w:tcBorders>
              <w:top w:val="single" w:sz="4" w:space="0" w:color="auto"/>
              <w:left w:val="single" w:sz="4" w:space="0" w:color="auto"/>
              <w:bottom w:val="single" w:sz="4" w:space="0" w:color="auto"/>
              <w:right w:val="single" w:sz="4" w:space="0" w:color="auto"/>
            </w:tcBorders>
            <w:vAlign w:val="center"/>
          </w:tcPr>
          <w:p w14:paraId="3F71754D" w14:textId="77777777" w:rsidR="00580BF8" w:rsidRPr="00580BF8" w:rsidRDefault="00580BF8" w:rsidP="004F6AF6">
            <w:pPr>
              <w:jc w:val="both"/>
              <w:rPr>
                <w:sz w:val="20"/>
                <w:szCs w:val="20"/>
              </w:rPr>
            </w:pPr>
            <w:r w:rsidRPr="00580BF8">
              <w:rPr>
                <w:sz w:val="20"/>
                <w:szCs w:val="20"/>
              </w:rPr>
              <w:t>Ajout d’une définition précise d’une serre chauffée.</w:t>
            </w:r>
          </w:p>
          <w:p w14:paraId="7EADEC14" w14:textId="77777777" w:rsidR="00580BF8" w:rsidRPr="00580BF8" w:rsidRDefault="00580BF8" w:rsidP="004F6AF6">
            <w:pPr>
              <w:jc w:val="both"/>
              <w:rPr>
                <w:sz w:val="20"/>
                <w:szCs w:val="20"/>
              </w:rPr>
            </w:pPr>
            <w:r w:rsidRPr="00580BF8">
              <w:rPr>
                <w:sz w:val="20"/>
                <w:szCs w:val="20"/>
              </w:rPr>
              <w:t>Renfort que le système de déshumidification thermodynamique fixe soit piloté via un ordinateur climatique.</w:t>
            </w:r>
          </w:p>
          <w:p w14:paraId="7146A4B0" w14:textId="77777777" w:rsidR="00580BF8" w:rsidRPr="00580BF8" w:rsidRDefault="00580BF8" w:rsidP="004F6AF6">
            <w:pPr>
              <w:jc w:val="both"/>
              <w:rPr>
                <w:sz w:val="20"/>
                <w:szCs w:val="20"/>
              </w:rPr>
            </w:pPr>
            <w:r w:rsidRPr="00580BF8">
              <w:rPr>
                <w:sz w:val="20"/>
                <w:szCs w:val="20"/>
              </w:rPr>
              <w:t>Exclusion des équipements mobiles ou sur roulettes.</w:t>
            </w:r>
          </w:p>
          <w:p w14:paraId="3E28E3A8" w14:textId="77777777" w:rsidR="00580BF8" w:rsidRPr="00580BF8" w:rsidRDefault="00580BF8" w:rsidP="004F6AF6">
            <w:pPr>
              <w:jc w:val="both"/>
              <w:rPr>
                <w:sz w:val="20"/>
                <w:szCs w:val="20"/>
              </w:rPr>
            </w:pPr>
            <w:r w:rsidRPr="00580BF8">
              <w:rPr>
                <w:sz w:val="20"/>
                <w:szCs w:val="20"/>
              </w:rPr>
              <w:t xml:space="preserve">Ajout d'une étude préalable de dimensionnement, datée et signée par un professionnel qualifié ou un bureau d’études spécialisé. </w:t>
            </w:r>
          </w:p>
          <w:p w14:paraId="41B27747" w14:textId="77777777" w:rsidR="00580BF8" w:rsidRPr="00580BF8" w:rsidRDefault="00580BF8" w:rsidP="004F6AF6">
            <w:pPr>
              <w:jc w:val="both"/>
              <w:rPr>
                <w:sz w:val="20"/>
                <w:szCs w:val="20"/>
              </w:rPr>
            </w:pPr>
            <w:r w:rsidRPr="00580BF8">
              <w:rPr>
                <w:sz w:val="20"/>
                <w:szCs w:val="20"/>
              </w:rPr>
              <w:t xml:space="preserve">Renfort des exigences techniques en introduisant un seuil de dimensionnement minimal (D), exprimé pour une surface de référence de 1 000 m² de serre chauffée. </w:t>
            </w:r>
          </w:p>
          <w:p w14:paraId="7696B110" w14:textId="77777777" w:rsidR="00580BF8" w:rsidRPr="00580BF8" w:rsidRDefault="00580BF8" w:rsidP="004F6AF6">
            <w:pPr>
              <w:jc w:val="both"/>
              <w:rPr>
                <w:sz w:val="20"/>
                <w:szCs w:val="20"/>
              </w:rPr>
            </w:pPr>
            <w:r w:rsidRPr="00580BF8">
              <w:rPr>
                <w:sz w:val="20"/>
                <w:szCs w:val="20"/>
              </w:rPr>
              <w:t>Ajout d’un rapport d’essai délivré par un laboratoire garantissant ainsi la fiabilité et la traçabilité des résultats.</w:t>
            </w:r>
          </w:p>
        </w:tc>
      </w:tr>
      <w:tr w:rsidR="00580BF8" w:rsidRPr="00580BF8" w14:paraId="3229B7FC" w14:textId="77777777" w:rsidTr="00580BF8">
        <w:trPr>
          <w:trHeight w:val="772"/>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1915730" w14:textId="77777777" w:rsidR="00580BF8" w:rsidRPr="00580BF8" w:rsidRDefault="00580BF8" w:rsidP="004F6AF6">
            <w:pPr>
              <w:jc w:val="center"/>
              <w:rPr>
                <w:sz w:val="20"/>
                <w:szCs w:val="20"/>
              </w:rPr>
            </w:pPr>
            <w:r w:rsidRPr="00580BF8">
              <w:rPr>
                <w:sz w:val="20"/>
                <w:szCs w:val="20"/>
              </w:rPr>
              <w:t>Système de stockage de chaleur fatale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CAA227" w14:textId="77777777" w:rsidR="00580BF8" w:rsidRPr="00580BF8" w:rsidRDefault="00580BF8" w:rsidP="004F6AF6">
            <w:pPr>
              <w:jc w:val="center"/>
              <w:rPr>
                <w:sz w:val="20"/>
                <w:szCs w:val="20"/>
              </w:rPr>
            </w:pPr>
            <w:r w:rsidRPr="00580BF8">
              <w:rPr>
                <w:sz w:val="20"/>
                <w:szCs w:val="20"/>
              </w:rPr>
              <w:t>IND-UT-139</w:t>
            </w:r>
          </w:p>
        </w:tc>
        <w:tc>
          <w:tcPr>
            <w:tcW w:w="5879" w:type="dxa"/>
            <w:tcBorders>
              <w:top w:val="single" w:sz="4" w:space="0" w:color="auto"/>
              <w:left w:val="single" w:sz="4" w:space="0" w:color="auto"/>
              <w:bottom w:val="single" w:sz="4" w:space="0" w:color="auto"/>
              <w:right w:val="single" w:sz="4" w:space="0" w:color="auto"/>
            </w:tcBorders>
            <w:vAlign w:val="center"/>
          </w:tcPr>
          <w:p w14:paraId="7BBBAA93" w14:textId="1F09466C" w:rsidR="00580BF8" w:rsidRPr="00580BF8" w:rsidRDefault="00580BF8" w:rsidP="004F6AF6">
            <w:pPr>
              <w:jc w:val="both"/>
              <w:rPr>
                <w:sz w:val="20"/>
                <w:szCs w:val="20"/>
              </w:rPr>
            </w:pPr>
            <w:r w:rsidRPr="00580BF8">
              <w:rPr>
                <w:sz w:val="20"/>
                <w:szCs w:val="20"/>
              </w:rPr>
              <w:t xml:space="preserve">Correction, la fiche est applicable aux installations existantes et neuves, </w:t>
            </w:r>
            <w:r w:rsidR="006D5BD7">
              <w:rPr>
                <w:sz w:val="20"/>
                <w:szCs w:val="20"/>
              </w:rPr>
              <w:t>(</w:t>
            </w:r>
            <w:r w:rsidRPr="00580BF8">
              <w:rPr>
                <w:sz w:val="20"/>
                <w:szCs w:val="20"/>
              </w:rPr>
              <w:t>confusion dans la précédente version</w:t>
            </w:r>
            <w:r w:rsidR="006D5BD7">
              <w:rPr>
                <w:sz w:val="20"/>
                <w:szCs w:val="20"/>
              </w:rPr>
              <w:t>)</w:t>
            </w:r>
            <w:r w:rsidRPr="00580BF8">
              <w:rPr>
                <w:sz w:val="20"/>
                <w:szCs w:val="20"/>
              </w:rPr>
              <w:t>.</w:t>
            </w:r>
          </w:p>
          <w:p w14:paraId="698BC5A2" w14:textId="77777777" w:rsidR="00580BF8" w:rsidRPr="00580BF8" w:rsidRDefault="00580BF8" w:rsidP="004F6AF6">
            <w:pPr>
              <w:jc w:val="both"/>
              <w:rPr>
                <w:sz w:val="20"/>
                <w:szCs w:val="20"/>
              </w:rPr>
            </w:pPr>
            <w:r w:rsidRPr="00580BF8">
              <w:rPr>
                <w:sz w:val="20"/>
                <w:szCs w:val="20"/>
              </w:rPr>
              <w:t>Suppression de la mention du non cumul avec les fiches IND-BA-112 et IND-UT-117 car elles ont été abrogées au 71</w:t>
            </w:r>
            <w:r w:rsidRPr="00580BF8">
              <w:rPr>
                <w:sz w:val="20"/>
                <w:szCs w:val="20"/>
                <w:vertAlign w:val="superscript"/>
              </w:rPr>
              <w:t>ème</w:t>
            </w:r>
            <w:r w:rsidRPr="00580BF8">
              <w:rPr>
                <w:sz w:val="20"/>
                <w:szCs w:val="20"/>
              </w:rPr>
              <w:t xml:space="preserve"> arrêté.</w:t>
            </w:r>
          </w:p>
        </w:tc>
      </w:tr>
      <w:tr w:rsidR="00580BF8" w:rsidRPr="00580BF8" w14:paraId="32093F82" w14:textId="77777777" w:rsidTr="00580BF8">
        <w:trPr>
          <w:trHeight w:val="772"/>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5841A1D" w14:textId="77777777" w:rsidR="00580BF8" w:rsidRPr="00580BF8" w:rsidRDefault="00580BF8" w:rsidP="004F6AF6">
            <w:pPr>
              <w:jc w:val="center"/>
              <w:rPr>
                <w:sz w:val="20"/>
                <w:szCs w:val="20"/>
              </w:rPr>
            </w:pPr>
            <w:r w:rsidRPr="00580BF8">
              <w:rPr>
                <w:sz w:val="20"/>
                <w:szCs w:val="20"/>
              </w:rPr>
              <w:t>Chauffe-eau thermodynamique à accumulation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EA7CAA" w14:textId="77777777" w:rsidR="00580BF8" w:rsidRPr="00580BF8" w:rsidRDefault="00580BF8" w:rsidP="004F6AF6">
            <w:pPr>
              <w:jc w:val="center"/>
              <w:rPr>
                <w:sz w:val="20"/>
                <w:szCs w:val="20"/>
              </w:rPr>
            </w:pPr>
            <w:r w:rsidRPr="00580BF8">
              <w:rPr>
                <w:sz w:val="20"/>
                <w:szCs w:val="20"/>
              </w:rPr>
              <w:t>BAR-TH-148</w:t>
            </w:r>
          </w:p>
        </w:tc>
        <w:tc>
          <w:tcPr>
            <w:tcW w:w="5879" w:type="dxa"/>
            <w:tcBorders>
              <w:top w:val="single" w:sz="4" w:space="0" w:color="auto"/>
              <w:left w:val="single" w:sz="4" w:space="0" w:color="auto"/>
              <w:bottom w:val="single" w:sz="4" w:space="0" w:color="auto"/>
              <w:right w:val="single" w:sz="4" w:space="0" w:color="auto"/>
            </w:tcBorders>
            <w:vAlign w:val="center"/>
          </w:tcPr>
          <w:p w14:paraId="39BD4D17" w14:textId="59FD70A3" w:rsidR="00580BF8" w:rsidRPr="00580BF8" w:rsidRDefault="00580BF8" w:rsidP="004F6AF6">
            <w:pPr>
              <w:jc w:val="both"/>
              <w:rPr>
                <w:sz w:val="20"/>
                <w:szCs w:val="20"/>
              </w:rPr>
            </w:pPr>
            <w:r w:rsidRPr="00580BF8">
              <w:rPr>
                <w:sz w:val="20"/>
                <w:szCs w:val="20"/>
              </w:rPr>
              <w:t>Actualisation du forfait de CEE avec mise à jour de la situation de référence</w:t>
            </w:r>
            <w:r w:rsidR="006A47D8">
              <w:rPr>
                <w:rStyle w:val="Appelnotedebasdep"/>
                <w:sz w:val="20"/>
                <w:szCs w:val="20"/>
              </w:rPr>
              <w:footnoteReference w:id="1"/>
            </w:r>
          </w:p>
          <w:p w14:paraId="2E434233" w14:textId="77777777" w:rsidR="00580BF8" w:rsidRPr="00580BF8" w:rsidRDefault="00580BF8" w:rsidP="004F6AF6">
            <w:pPr>
              <w:jc w:val="both"/>
              <w:rPr>
                <w:sz w:val="20"/>
                <w:szCs w:val="20"/>
              </w:rPr>
            </w:pPr>
            <w:r w:rsidRPr="00580BF8">
              <w:rPr>
                <w:sz w:val="20"/>
                <w:szCs w:val="20"/>
              </w:rPr>
              <w:t>Harmonisation des exigences d’efficacité énergétique avec MaPrimeRénov’</w:t>
            </w:r>
          </w:p>
          <w:p w14:paraId="654F6602" w14:textId="77777777" w:rsidR="00580BF8" w:rsidRPr="00580BF8" w:rsidRDefault="00580BF8" w:rsidP="004F6AF6">
            <w:pPr>
              <w:jc w:val="both"/>
              <w:rPr>
                <w:sz w:val="20"/>
                <w:szCs w:val="20"/>
              </w:rPr>
            </w:pPr>
            <w:r w:rsidRPr="00580BF8">
              <w:rPr>
                <w:sz w:val="20"/>
                <w:szCs w:val="20"/>
              </w:rPr>
              <w:lastRenderedPageBreak/>
              <w:t>Introduction d’une exigence de qualification du professionnel</w:t>
            </w:r>
          </w:p>
        </w:tc>
      </w:tr>
      <w:tr w:rsidR="00580BF8" w:rsidRPr="00580BF8" w14:paraId="1699A7F6" w14:textId="77777777" w:rsidTr="00580BF8">
        <w:trPr>
          <w:trHeight w:val="772"/>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7D61D78" w14:textId="77777777" w:rsidR="00580BF8" w:rsidRPr="00580BF8" w:rsidRDefault="00580BF8" w:rsidP="004F6AF6">
            <w:pPr>
              <w:jc w:val="center"/>
              <w:rPr>
                <w:sz w:val="20"/>
                <w:szCs w:val="20"/>
              </w:rPr>
            </w:pPr>
            <w:r w:rsidRPr="00580BF8">
              <w:rPr>
                <w:sz w:val="20"/>
                <w:szCs w:val="20"/>
              </w:rPr>
              <w:lastRenderedPageBreak/>
              <w:t>Émetteur électrique à régulation électronique à fonctions avancées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3543C2" w14:textId="77777777" w:rsidR="00580BF8" w:rsidRPr="00580BF8" w:rsidRDefault="00580BF8" w:rsidP="004F6AF6">
            <w:pPr>
              <w:jc w:val="center"/>
              <w:rPr>
                <w:sz w:val="20"/>
                <w:szCs w:val="20"/>
              </w:rPr>
            </w:pPr>
            <w:r w:rsidRPr="00580BF8">
              <w:rPr>
                <w:sz w:val="20"/>
                <w:szCs w:val="20"/>
              </w:rPr>
              <w:t>BAR-TH-158</w:t>
            </w:r>
          </w:p>
        </w:tc>
        <w:tc>
          <w:tcPr>
            <w:tcW w:w="5879" w:type="dxa"/>
            <w:tcBorders>
              <w:top w:val="single" w:sz="4" w:space="0" w:color="auto"/>
              <w:left w:val="single" w:sz="4" w:space="0" w:color="auto"/>
              <w:bottom w:val="single" w:sz="4" w:space="0" w:color="auto"/>
              <w:right w:val="single" w:sz="4" w:space="0" w:color="auto"/>
            </w:tcBorders>
            <w:vAlign w:val="center"/>
          </w:tcPr>
          <w:p w14:paraId="0275480A" w14:textId="77777777" w:rsidR="00580BF8" w:rsidRPr="00580BF8" w:rsidRDefault="00580BF8" w:rsidP="004F6AF6">
            <w:pPr>
              <w:jc w:val="both"/>
              <w:rPr>
                <w:sz w:val="20"/>
                <w:szCs w:val="20"/>
              </w:rPr>
            </w:pPr>
            <w:r w:rsidRPr="00580BF8">
              <w:rPr>
                <w:sz w:val="20"/>
                <w:szCs w:val="20"/>
              </w:rPr>
              <w:t>Mise en conformité des exigences avec le règlement écoconception n° 2024/1103 applicable pour les équipements mis sur le marché à partir du 1er juillet 2025</w:t>
            </w:r>
          </w:p>
          <w:p w14:paraId="685963F3" w14:textId="77777777" w:rsidR="00580BF8" w:rsidRPr="00580BF8" w:rsidRDefault="00580BF8" w:rsidP="004F6AF6">
            <w:pPr>
              <w:jc w:val="both"/>
              <w:rPr>
                <w:sz w:val="20"/>
                <w:szCs w:val="20"/>
              </w:rPr>
            </w:pPr>
            <w:r w:rsidRPr="00580BF8">
              <w:rPr>
                <w:sz w:val="20"/>
                <w:szCs w:val="20"/>
              </w:rPr>
              <w:t>Actualisation du forfait de CEE avec mise à jour de la situation de référence</w:t>
            </w:r>
          </w:p>
          <w:p w14:paraId="485C4396" w14:textId="77777777" w:rsidR="00580BF8" w:rsidRPr="00580BF8" w:rsidRDefault="00580BF8" w:rsidP="004F6AF6">
            <w:pPr>
              <w:jc w:val="both"/>
              <w:rPr>
                <w:sz w:val="20"/>
                <w:szCs w:val="20"/>
              </w:rPr>
            </w:pPr>
            <w:r w:rsidRPr="00580BF8">
              <w:rPr>
                <w:sz w:val="20"/>
                <w:szCs w:val="20"/>
              </w:rPr>
              <w:t>Introduction d’une exigence de qualification du professionnel</w:t>
            </w:r>
          </w:p>
        </w:tc>
      </w:tr>
      <w:tr w:rsidR="00580BF8" w:rsidRPr="00580BF8" w14:paraId="67163820" w14:textId="77777777" w:rsidTr="00580BF8">
        <w:trPr>
          <w:trHeight w:val="772"/>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FCD535F" w14:textId="77777777" w:rsidR="00580BF8" w:rsidRPr="00580BF8" w:rsidRDefault="00580BF8" w:rsidP="004F6AF6">
            <w:pPr>
              <w:jc w:val="center"/>
              <w:rPr>
                <w:sz w:val="20"/>
                <w:szCs w:val="20"/>
              </w:rPr>
            </w:pPr>
            <w:r w:rsidRPr="00580BF8">
              <w:rPr>
                <w:sz w:val="20"/>
                <w:szCs w:val="20"/>
              </w:rPr>
              <w:t>Désembouage d’un réseau hydraulique de chauffage collectif en France métropolitaine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043689" w14:textId="77777777" w:rsidR="00580BF8" w:rsidRPr="00580BF8" w:rsidRDefault="00580BF8" w:rsidP="004F6AF6">
            <w:pPr>
              <w:jc w:val="center"/>
              <w:rPr>
                <w:sz w:val="20"/>
                <w:szCs w:val="20"/>
              </w:rPr>
            </w:pPr>
            <w:r w:rsidRPr="00580BF8">
              <w:rPr>
                <w:sz w:val="20"/>
                <w:szCs w:val="20"/>
              </w:rPr>
              <w:t>BAR-SE-109</w:t>
            </w:r>
          </w:p>
        </w:tc>
        <w:tc>
          <w:tcPr>
            <w:tcW w:w="5879" w:type="dxa"/>
            <w:tcBorders>
              <w:top w:val="single" w:sz="4" w:space="0" w:color="auto"/>
              <w:left w:val="single" w:sz="4" w:space="0" w:color="auto"/>
              <w:bottom w:val="single" w:sz="4" w:space="0" w:color="auto"/>
              <w:right w:val="single" w:sz="4" w:space="0" w:color="auto"/>
            </w:tcBorders>
            <w:vAlign w:val="center"/>
          </w:tcPr>
          <w:p w14:paraId="73ACE322" w14:textId="77777777" w:rsidR="00580BF8" w:rsidRPr="00580BF8" w:rsidRDefault="00580BF8" w:rsidP="004F6AF6">
            <w:pPr>
              <w:jc w:val="both"/>
              <w:rPr>
                <w:sz w:val="20"/>
                <w:szCs w:val="20"/>
              </w:rPr>
            </w:pPr>
            <w:r w:rsidRPr="00580BF8">
              <w:rPr>
                <w:sz w:val="20"/>
                <w:szCs w:val="20"/>
              </w:rPr>
              <w:t>Harmonisation de l’exigence de la qualification du professionnel avec la fiche BAR-SE-108. Il est ainsi prévu que la liste exhaustive des qualifications ou certifications répondant aux exigences de ces fiches soit publiée sur le site du ministère chargé de l'énergie.</w:t>
            </w:r>
          </w:p>
          <w:p w14:paraId="4A92867D" w14:textId="77777777" w:rsidR="00580BF8" w:rsidRPr="00580BF8" w:rsidRDefault="00580BF8" w:rsidP="004F6AF6">
            <w:pPr>
              <w:jc w:val="both"/>
              <w:rPr>
                <w:sz w:val="20"/>
                <w:szCs w:val="20"/>
              </w:rPr>
            </w:pPr>
            <w:r w:rsidRPr="00580BF8">
              <w:rPr>
                <w:sz w:val="20"/>
                <w:szCs w:val="20"/>
              </w:rPr>
              <w:t>Cette liste pourra inclure, à la date de publication de l’arrêté, la certification QB 22 et les qualifications Qualibat 526, 527, 528.</w:t>
            </w:r>
          </w:p>
          <w:p w14:paraId="723E3C0E" w14:textId="77777777" w:rsidR="00580BF8" w:rsidRPr="00580BF8" w:rsidRDefault="00580BF8" w:rsidP="004F6AF6">
            <w:pPr>
              <w:jc w:val="both"/>
              <w:rPr>
                <w:sz w:val="20"/>
                <w:szCs w:val="20"/>
              </w:rPr>
            </w:pPr>
            <w:r w:rsidRPr="00580BF8">
              <w:rPr>
                <w:sz w:val="20"/>
                <w:szCs w:val="20"/>
              </w:rPr>
              <w:t>Pour que la qualification Qualibat 521 et la démarche QUALISAV intègrent cette liste, il conviendra que :</w:t>
            </w:r>
          </w:p>
          <w:p w14:paraId="5892CC56" w14:textId="77777777" w:rsidR="00580BF8" w:rsidRPr="00580BF8" w:rsidRDefault="00580BF8" w:rsidP="004F6AF6">
            <w:pPr>
              <w:jc w:val="both"/>
              <w:rPr>
                <w:sz w:val="20"/>
                <w:szCs w:val="20"/>
              </w:rPr>
            </w:pPr>
            <w:r w:rsidRPr="00580BF8">
              <w:rPr>
                <w:sz w:val="20"/>
                <w:szCs w:val="20"/>
              </w:rPr>
              <w:t>- Qualibat démontre que la qualification Qualibat 521 couvre le désembouage ;</w:t>
            </w:r>
          </w:p>
          <w:p w14:paraId="12B5E4C6" w14:textId="77777777" w:rsidR="00580BF8" w:rsidRPr="00580BF8" w:rsidRDefault="00580BF8" w:rsidP="004F6AF6">
            <w:pPr>
              <w:jc w:val="both"/>
              <w:rPr>
                <w:sz w:val="20"/>
                <w:szCs w:val="20"/>
              </w:rPr>
            </w:pPr>
            <w:r w:rsidRPr="00580BF8">
              <w:rPr>
                <w:sz w:val="20"/>
                <w:szCs w:val="20"/>
              </w:rPr>
              <w:t>- la démarche QUALISAV devienne une qualification ou certification accréditée ou qu'elle présente des caractéristiques d'indépendance, d'impartialité et de compétence équivalentes.</w:t>
            </w:r>
          </w:p>
        </w:tc>
      </w:tr>
      <w:tr w:rsidR="00580BF8" w:rsidRPr="00580BF8" w14:paraId="3AB81EDA" w14:textId="77777777" w:rsidTr="00580BF8">
        <w:trPr>
          <w:trHeight w:val="772"/>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A74064E" w14:textId="77777777" w:rsidR="00580BF8" w:rsidRPr="00580BF8" w:rsidRDefault="00580BF8" w:rsidP="004F6AF6">
            <w:pPr>
              <w:jc w:val="center"/>
              <w:rPr>
                <w:sz w:val="20"/>
                <w:szCs w:val="20"/>
              </w:rPr>
            </w:pPr>
            <w:r w:rsidRPr="00580BF8">
              <w:rPr>
                <w:sz w:val="20"/>
                <w:szCs w:val="20"/>
              </w:rPr>
              <w:t>Achat ou location d’un véhicule lourd électrique neuf de transport de marchandises ou issu d’une opération de rétrofit électrique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22C0A5" w14:textId="77777777" w:rsidR="00580BF8" w:rsidRPr="00580BF8" w:rsidRDefault="00580BF8" w:rsidP="004F6AF6">
            <w:pPr>
              <w:jc w:val="center"/>
              <w:rPr>
                <w:sz w:val="20"/>
                <w:szCs w:val="20"/>
              </w:rPr>
            </w:pPr>
            <w:r w:rsidRPr="00580BF8">
              <w:rPr>
                <w:sz w:val="20"/>
                <w:szCs w:val="20"/>
              </w:rPr>
              <w:t>TRA-EQ-129</w:t>
            </w:r>
          </w:p>
        </w:tc>
        <w:tc>
          <w:tcPr>
            <w:tcW w:w="5879" w:type="dxa"/>
            <w:tcBorders>
              <w:top w:val="single" w:sz="4" w:space="0" w:color="auto"/>
              <w:left w:val="single" w:sz="4" w:space="0" w:color="auto"/>
              <w:bottom w:val="single" w:sz="4" w:space="0" w:color="auto"/>
              <w:right w:val="single" w:sz="4" w:space="0" w:color="auto"/>
            </w:tcBorders>
            <w:vAlign w:val="center"/>
          </w:tcPr>
          <w:p w14:paraId="40453968" w14:textId="77777777" w:rsidR="00580BF8" w:rsidRPr="00580BF8" w:rsidRDefault="00580BF8" w:rsidP="004F6AF6">
            <w:pPr>
              <w:jc w:val="both"/>
              <w:rPr>
                <w:sz w:val="20"/>
                <w:szCs w:val="20"/>
              </w:rPr>
            </w:pPr>
            <w:r w:rsidRPr="00580BF8">
              <w:rPr>
                <w:sz w:val="20"/>
                <w:szCs w:val="20"/>
              </w:rPr>
              <w:t xml:space="preserve">Modification du seuil de poids de 12 tonnes pour mise en cohérence avec le code de la route. </w:t>
            </w:r>
          </w:p>
        </w:tc>
      </w:tr>
      <w:tr w:rsidR="00580BF8" w:rsidRPr="00580BF8" w14:paraId="74656617" w14:textId="77777777" w:rsidTr="00580BF8">
        <w:trPr>
          <w:trHeight w:val="772"/>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4846364" w14:textId="77777777" w:rsidR="00580BF8" w:rsidRPr="00580BF8" w:rsidRDefault="00580BF8" w:rsidP="004F6AF6">
            <w:pPr>
              <w:jc w:val="center"/>
              <w:rPr>
                <w:sz w:val="20"/>
                <w:szCs w:val="20"/>
              </w:rPr>
            </w:pPr>
            <w:r w:rsidRPr="00580BF8">
              <w:rPr>
                <w:sz w:val="20"/>
                <w:szCs w:val="20"/>
              </w:rPr>
              <w:t>Achat ou location d’un quadricycle électrique neuf</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E5D722" w14:textId="77777777" w:rsidR="00580BF8" w:rsidRPr="00580BF8" w:rsidRDefault="00580BF8" w:rsidP="004F6AF6">
            <w:pPr>
              <w:jc w:val="center"/>
              <w:rPr>
                <w:sz w:val="20"/>
                <w:szCs w:val="20"/>
              </w:rPr>
            </w:pPr>
            <w:r w:rsidRPr="00580BF8">
              <w:rPr>
                <w:sz w:val="20"/>
                <w:szCs w:val="20"/>
              </w:rPr>
              <w:t>TRA-EQ-130</w:t>
            </w:r>
          </w:p>
        </w:tc>
        <w:tc>
          <w:tcPr>
            <w:tcW w:w="5879" w:type="dxa"/>
            <w:tcBorders>
              <w:top w:val="single" w:sz="4" w:space="0" w:color="auto"/>
              <w:left w:val="single" w:sz="4" w:space="0" w:color="auto"/>
              <w:bottom w:val="single" w:sz="4" w:space="0" w:color="auto"/>
              <w:right w:val="single" w:sz="4" w:space="0" w:color="auto"/>
            </w:tcBorders>
            <w:vAlign w:val="center"/>
          </w:tcPr>
          <w:p w14:paraId="7D7B0B17" w14:textId="77777777" w:rsidR="00580BF8" w:rsidRPr="00580BF8" w:rsidRDefault="00580BF8" w:rsidP="004F6AF6">
            <w:pPr>
              <w:jc w:val="both"/>
              <w:rPr>
                <w:sz w:val="20"/>
                <w:szCs w:val="20"/>
              </w:rPr>
            </w:pPr>
            <w:r w:rsidRPr="00580BF8">
              <w:rPr>
                <w:sz w:val="20"/>
                <w:szCs w:val="20"/>
              </w:rPr>
              <w:t>Restriction des véhicules éligibles à la fiche pour éviter les dévoiements.</w:t>
            </w:r>
          </w:p>
        </w:tc>
      </w:tr>
    </w:tbl>
    <w:p w14:paraId="01F5A33E" w14:textId="77777777" w:rsidR="009B7215" w:rsidRDefault="009B7215" w:rsidP="00866115">
      <w:pPr>
        <w:pStyle w:val="NormalWeb"/>
        <w:tabs>
          <w:tab w:val="right" w:pos="9637"/>
        </w:tabs>
        <w:spacing w:before="0" w:after="0"/>
        <w:jc w:val="both"/>
        <w:rPr>
          <w:rFonts w:ascii="Times New Roman" w:hAnsi="Times New Roman" w:cs="Times New Roman"/>
          <w:sz w:val="20"/>
          <w:szCs w:val="20"/>
        </w:rPr>
      </w:pPr>
    </w:p>
    <w:p w14:paraId="47843B4B" w14:textId="77777777" w:rsidR="00866115" w:rsidRDefault="00866115" w:rsidP="00866115">
      <w:pPr>
        <w:pStyle w:val="NormalWeb"/>
        <w:tabs>
          <w:tab w:val="right" w:pos="9637"/>
        </w:tabs>
        <w:spacing w:before="0" w:after="0"/>
        <w:jc w:val="both"/>
        <w:rPr>
          <w:rFonts w:ascii="Times New Roman" w:hAnsi="Times New Roman" w:cs="Times New Roman"/>
          <w:sz w:val="20"/>
          <w:szCs w:val="20"/>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733"/>
        <w:gridCol w:w="1559"/>
        <w:gridCol w:w="5292"/>
      </w:tblGrid>
      <w:tr w:rsidR="00AB4DB9" w14:paraId="4CA70DEE" w14:textId="77777777" w:rsidTr="00AB4DB9">
        <w:trPr>
          <w:cantSplit/>
          <w:tblHeader/>
          <w:jc w:val="center"/>
        </w:trPr>
        <w:tc>
          <w:tcPr>
            <w:tcW w:w="10584" w:type="dxa"/>
            <w:gridSpan w:val="3"/>
            <w:shd w:val="clear" w:color="auto" w:fill="auto"/>
          </w:tcPr>
          <w:p w14:paraId="36E387D0" w14:textId="2BB9F750" w:rsidR="00AB4DB9" w:rsidRDefault="0025028D" w:rsidP="006072E1">
            <w:pPr>
              <w:pStyle w:val="Contenudetableau"/>
              <w:keepNext/>
              <w:ind w:left="90" w:hanging="90"/>
              <w:jc w:val="center"/>
              <w:rPr>
                <w:b/>
                <w:bCs/>
                <w:sz w:val="20"/>
                <w:szCs w:val="20"/>
              </w:rPr>
            </w:pPr>
            <w:r>
              <w:rPr>
                <w:b/>
                <w:bCs/>
                <w:sz w:val="20"/>
                <w:szCs w:val="20"/>
              </w:rPr>
              <w:t>Fiche nouvelle</w:t>
            </w:r>
          </w:p>
          <w:p w14:paraId="51DDFFB1" w14:textId="4C615CBB" w:rsidR="00AB4DB9" w:rsidRPr="00AB4DB9" w:rsidRDefault="008C1903" w:rsidP="00A720CB">
            <w:pPr>
              <w:pStyle w:val="Contenudetableau"/>
              <w:keepNext/>
              <w:ind w:left="90" w:hanging="90"/>
              <w:jc w:val="center"/>
              <w:rPr>
                <w:bCs/>
                <w:sz w:val="20"/>
                <w:szCs w:val="20"/>
              </w:rPr>
            </w:pPr>
            <w:r>
              <w:rPr>
                <w:bCs/>
                <w:sz w:val="20"/>
                <w:szCs w:val="20"/>
              </w:rPr>
              <w:t xml:space="preserve">(applicable à compter du </w:t>
            </w:r>
            <w:r w:rsidR="000D11A8">
              <w:rPr>
                <w:bCs/>
                <w:sz w:val="20"/>
                <w:szCs w:val="20"/>
              </w:rPr>
              <w:t>01/09/2025</w:t>
            </w:r>
            <w:r>
              <w:rPr>
                <w:bCs/>
                <w:sz w:val="20"/>
                <w:szCs w:val="20"/>
              </w:rPr>
              <w:t>)</w:t>
            </w:r>
          </w:p>
        </w:tc>
      </w:tr>
      <w:tr w:rsidR="006072E1" w14:paraId="77EA8039" w14:textId="77777777" w:rsidTr="00AB4DB9">
        <w:trPr>
          <w:cantSplit/>
          <w:trHeight w:val="391"/>
          <w:tblHeader/>
          <w:jc w:val="center"/>
        </w:trPr>
        <w:tc>
          <w:tcPr>
            <w:tcW w:w="3733" w:type="dxa"/>
            <w:shd w:val="clear" w:color="auto" w:fill="auto"/>
            <w:vAlign w:val="center"/>
          </w:tcPr>
          <w:p w14:paraId="3FCE3B21" w14:textId="77777777" w:rsidR="006072E1" w:rsidRDefault="006072E1">
            <w:pPr>
              <w:pStyle w:val="Contenudetableau"/>
              <w:keepNext/>
              <w:jc w:val="center"/>
              <w:rPr>
                <w:b/>
                <w:bCs/>
                <w:sz w:val="20"/>
                <w:szCs w:val="20"/>
              </w:rPr>
            </w:pPr>
            <w:r>
              <w:rPr>
                <w:b/>
                <w:bCs/>
                <w:sz w:val="20"/>
                <w:szCs w:val="20"/>
              </w:rPr>
              <w:t>Intitulé de la fiche</w:t>
            </w:r>
          </w:p>
        </w:tc>
        <w:tc>
          <w:tcPr>
            <w:tcW w:w="1559" w:type="dxa"/>
            <w:shd w:val="clear" w:color="auto" w:fill="auto"/>
            <w:vAlign w:val="center"/>
          </w:tcPr>
          <w:p w14:paraId="65BF2865" w14:textId="77777777" w:rsidR="006072E1" w:rsidRDefault="006072E1">
            <w:pPr>
              <w:pStyle w:val="Contenudetableau"/>
              <w:keepNext/>
              <w:jc w:val="center"/>
              <w:rPr>
                <w:b/>
                <w:bCs/>
                <w:sz w:val="20"/>
                <w:szCs w:val="20"/>
              </w:rPr>
            </w:pPr>
            <w:r>
              <w:rPr>
                <w:b/>
                <w:bCs/>
                <w:sz w:val="20"/>
                <w:szCs w:val="20"/>
              </w:rPr>
              <w:t>N° de référence</w:t>
            </w:r>
          </w:p>
        </w:tc>
        <w:tc>
          <w:tcPr>
            <w:tcW w:w="5292" w:type="dxa"/>
            <w:vAlign w:val="center"/>
          </w:tcPr>
          <w:p w14:paraId="717D8880" w14:textId="4DBCD535" w:rsidR="006072E1" w:rsidRDefault="0025028D" w:rsidP="006072E1">
            <w:pPr>
              <w:pStyle w:val="Contenudetableau"/>
              <w:keepNext/>
              <w:ind w:left="90" w:hanging="90"/>
              <w:jc w:val="center"/>
              <w:rPr>
                <w:b/>
                <w:bCs/>
                <w:sz w:val="20"/>
                <w:szCs w:val="20"/>
              </w:rPr>
            </w:pPr>
            <w:r>
              <w:rPr>
                <w:b/>
                <w:bCs/>
                <w:sz w:val="20"/>
                <w:szCs w:val="20"/>
              </w:rPr>
              <w:t>Commentaire</w:t>
            </w:r>
            <w:r w:rsidR="006072E1">
              <w:rPr>
                <w:b/>
                <w:bCs/>
                <w:sz w:val="20"/>
                <w:szCs w:val="20"/>
              </w:rPr>
              <w:t xml:space="preserve"> </w:t>
            </w:r>
          </w:p>
        </w:tc>
      </w:tr>
      <w:tr w:rsidR="006300F4" w14:paraId="74E507A6" w14:textId="77777777" w:rsidTr="00753B6D">
        <w:trPr>
          <w:cantSplit/>
          <w:trHeight w:val="682"/>
          <w:jc w:val="center"/>
        </w:trPr>
        <w:tc>
          <w:tcPr>
            <w:tcW w:w="3733" w:type="dxa"/>
            <w:shd w:val="clear" w:color="auto" w:fill="auto"/>
            <w:vAlign w:val="center"/>
          </w:tcPr>
          <w:p w14:paraId="3548B1CD" w14:textId="04CC5953" w:rsidR="006300F4" w:rsidRDefault="0025028D" w:rsidP="0025028D">
            <w:pPr>
              <w:jc w:val="both"/>
              <w:rPr>
                <w:color w:val="000000"/>
                <w:sz w:val="20"/>
                <w:szCs w:val="20"/>
              </w:rPr>
            </w:pPr>
            <w:r w:rsidRPr="0025028D">
              <w:rPr>
                <w:color w:val="000000"/>
                <w:sz w:val="20"/>
                <w:szCs w:val="20"/>
              </w:rPr>
              <w:t>Achat ou location longue durée, par une personne morale,</w:t>
            </w:r>
            <w:r>
              <w:rPr>
                <w:color w:val="000000"/>
                <w:sz w:val="20"/>
                <w:szCs w:val="20"/>
              </w:rPr>
              <w:t xml:space="preserve"> </w:t>
            </w:r>
            <w:r w:rsidRPr="0025028D">
              <w:rPr>
                <w:color w:val="000000"/>
                <w:sz w:val="20"/>
                <w:szCs w:val="20"/>
              </w:rPr>
              <w:t>de vélos-cargos à assistance électrique neufs</w:t>
            </w:r>
          </w:p>
        </w:tc>
        <w:tc>
          <w:tcPr>
            <w:tcW w:w="1559" w:type="dxa"/>
            <w:shd w:val="clear" w:color="auto" w:fill="auto"/>
            <w:vAlign w:val="center"/>
          </w:tcPr>
          <w:p w14:paraId="40D9D92B" w14:textId="675DCB62" w:rsidR="006300F4" w:rsidRDefault="0025028D" w:rsidP="002251C6">
            <w:pPr>
              <w:jc w:val="center"/>
              <w:rPr>
                <w:sz w:val="20"/>
                <w:szCs w:val="20"/>
              </w:rPr>
            </w:pPr>
            <w:r>
              <w:rPr>
                <w:sz w:val="20"/>
                <w:szCs w:val="20"/>
              </w:rPr>
              <w:t>TRA-EQ-131</w:t>
            </w:r>
          </w:p>
        </w:tc>
        <w:tc>
          <w:tcPr>
            <w:tcW w:w="5292" w:type="dxa"/>
            <w:vAlign w:val="center"/>
          </w:tcPr>
          <w:p w14:paraId="5CC141BF" w14:textId="686C1B76" w:rsidR="006300F4" w:rsidRDefault="0025028D" w:rsidP="002251C6">
            <w:pPr>
              <w:jc w:val="both"/>
              <w:rPr>
                <w:sz w:val="20"/>
                <w:szCs w:val="20"/>
              </w:rPr>
            </w:pPr>
            <w:r>
              <w:rPr>
                <w:sz w:val="20"/>
                <w:szCs w:val="20"/>
              </w:rPr>
              <w:t xml:space="preserve">Cette nouvelle fiche </w:t>
            </w:r>
            <w:r w:rsidR="00971F39">
              <w:rPr>
                <w:sz w:val="20"/>
                <w:szCs w:val="20"/>
              </w:rPr>
              <w:t>fait suite</w:t>
            </w:r>
            <w:r>
              <w:rPr>
                <w:sz w:val="20"/>
                <w:szCs w:val="20"/>
              </w:rPr>
              <w:t xml:space="preserve"> à une précédente fiche TRA-EQ-131 supprimée du catalogue compte tenu des utilisations inadaptées constatées.</w:t>
            </w:r>
          </w:p>
          <w:p w14:paraId="13C001F1" w14:textId="4699D58A" w:rsidR="0025028D" w:rsidRDefault="0025028D" w:rsidP="002251C6">
            <w:pPr>
              <w:jc w:val="both"/>
              <w:rPr>
                <w:sz w:val="20"/>
                <w:szCs w:val="20"/>
              </w:rPr>
            </w:pPr>
            <w:r>
              <w:rPr>
                <w:sz w:val="20"/>
                <w:szCs w:val="20"/>
              </w:rPr>
              <w:t>La fiche est restreinte aux vélos-cargos à assistance électrique neufs.</w:t>
            </w:r>
          </w:p>
          <w:p w14:paraId="3922DA52" w14:textId="77777777" w:rsidR="001D3ABB" w:rsidRDefault="0025028D" w:rsidP="002251C6">
            <w:pPr>
              <w:jc w:val="both"/>
              <w:rPr>
                <w:sz w:val="20"/>
                <w:szCs w:val="20"/>
              </w:rPr>
            </w:pPr>
            <w:r>
              <w:rPr>
                <w:sz w:val="20"/>
                <w:szCs w:val="20"/>
              </w:rPr>
              <w:t>Elle prévoit</w:t>
            </w:r>
            <w:r w:rsidR="00950233">
              <w:rPr>
                <w:sz w:val="20"/>
                <w:szCs w:val="20"/>
              </w:rPr>
              <w:t>, par ailleurs,</w:t>
            </w:r>
            <w:r>
              <w:rPr>
                <w:sz w:val="20"/>
                <w:szCs w:val="20"/>
              </w:rPr>
              <w:t xml:space="preserve"> un renforcement des conditions d’éligibilité.</w:t>
            </w:r>
            <w:r w:rsidR="001D3ABB">
              <w:rPr>
                <w:sz w:val="20"/>
                <w:szCs w:val="20"/>
              </w:rPr>
              <w:t xml:space="preserve"> </w:t>
            </w:r>
          </w:p>
          <w:p w14:paraId="006D1C58" w14:textId="1BF90FF6" w:rsidR="0025028D" w:rsidRPr="0057097E" w:rsidRDefault="001D3ABB" w:rsidP="002251C6">
            <w:pPr>
              <w:jc w:val="both"/>
              <w:rPr>
                <w:sz w:val="20"/>
                <w:szCs w:val="20"/>
              </w:rPr>
            </w:pPr>
            <w:r>
              <w:rPr>
                <w:sz w:val="20"/>
                <w:szCs w:val="20"/>
              </w:rPr>
              <w:t>Un référentiel de contrôle est également créé, avec une exigence minimale de 75%</w:t>
            </w:r>
            <w:r w:rsidRPr="001D3ABB">
              <w:rPr>
                <w:b/>
                <w:bCs/>
                <w:sz w:val="20"/>
                <w:szCs w:val="20"/>
              </w:rPr>
              <w:t xml:space="preserve"> </w:t>
            </w:r>
            <w:r w:rsidRPr="001D3ABB">
              <w:rPr>
                <w:sz w:val="20"/>
                <w:szCs w:val="20"/>
              </w:rPr>
              <w:t xml:space="preserve">de contrôles </w:t>
            </w:r>
            <w:r w:rsidR="00DF31A0">
              <w:rPr>
                <w:sz w:val="20"/>
                <w:szCs w:val="20"/>
              </w:rPr>
              <w:t xml:space="preserve">par contact </w:t>
            </w:r>
            <w:r w:rsidRPr="001D3ABB">
              <w:rPr>
                <w:sz w:val="20"/>
                <w:szCs w:val="20"/>
              </w:rPr>
              <w:t>satisfaisants.</w:t>
            </w:r>
          </w:p>
        </w:tc>
      </w:tr>
    </w:tbl>
    <w:p w14:paraId="3B985B2C" w14:textId="16154C52" w:rsidR="00376DCF" w:rsidRDefault="00376DCF" w:rsidP="00BB2065">
      <w:pPr>
        <w:rPr>
          <w:sz w:val="22"/>
          <w:szCs w:val="22"/>
        </w:rPr>
      </w:pPr>
    </w:p>
    <w:p w14:paraId="4A677D85" w14:textId="77777777" w:rsidR="00866115" w:rsidRDefault="00866115" w:rsidP="00BB2065">
      <w:pPr>
        <w:rPr>
          <w:sz w:val="22"/>
          <w:szCs w:val="22"/>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733"/>
        <w:gridCol w:w="1559"/>
        <w:gridCol w:w="5292"/>
      </w:tblGrid>
      <w:tr w:rsidR="00866115" w14:paraId="529D5BD0" w14:textId="77777777" w:rsidTr="001B2E6A">
        <w:trPr>
          <w:cantSplit/>
          <w:tblHeader/>
          <w:jc w:val="center"/>
        </w:trPr>
        <w:tc>
          <w:tcPr>
            <w:tcW w:w="10584" w:type="dxa"/>
            <w:gridSpan w:val="3"/>
            <w:shd w:val="clear" w:color="auto" w:fill="auto"/>
          </w:tcPr>
          <w:p w14:paraId="7F4734E6" w14:textId="77777777" w:rsidR="00866115" w:rsidRDefault="00CA7910" w:rsidP="001B2E6A">
            <w:pPr>
              <w:pStyle w:val="Contenudetableau"/>
              <w:keepNext/>
              <w:ind w:left="90" w:hanging="90"/>
              <w:jc w:val="center"/>
              <w:rPr>
                <w:b/>
                <w:bCs/>
                <w:sz w:val="20"/>
                <w:szCs w:val="20"/>
              </w:rPr>
            </w:pPr>
            <w:r>
              <w:rPr>
                <w:b/>
                <w:bCs/>
                <w:sz w:val="20"/>
                <w:szCs w:val="20"/>
              </w:rPr>
              <w:t>Fiche</w:t>
            </w:r>
            <w:r w:rsidR="00A720CB">
              <w:rPr>
                <w:b/>
                <w:bCs/>
                <w:sz w:val="20"/>
                <w:szCs w:val="20"/>
              </w:rPr>
              <w:t>s</w:t>
            </w:r>
            <w:r w:rsidR="00866115">
              <w:rPr>
                <w:b/>
                <w:bCs/>
                <w:sz w:val="20"/>
                <w:szCs w:val="20"/>
              </w:rPr>
              <w:t xml:space="preserve"> </w:t>
            </w:r>
            <w:r>
              <w:rPr>
                <w:b/>
                <w:bCs/>
                <w:sz w:val="20"/>
                <w:szCs w:val="20"/>
              </w:rPr>
              <w:t>supprimée</w:t>
            </w:r>
            <w:r w:rsidR="00A720CB">
              <w:rPr>
                <w:b/>
                <w:bCs/>
                <w:sz w:val="20"/>
                <w:szCs w:val="20"/>
              </w:rPr>
              <w:t>s</w:t>
            </w:r>
          </w:p>
          <w:p w14:paraId="69C556BC" w14:textId="1E7C7488" w:rsidR="00866115" w:rsidRPr="00AB4DB9" w:rsidRDefault="00866115" w:rsidP="00AD73A0">
            <w:pPr>
              <w:pStyle w:val="Contenudetableau"/>
              <w:keepNext/>
              <w:ind w:left="90" w:hanging="90"/>
              <w:jc w:val="center"/>
              <w:rPr>
                <w:bCs/>
                <w:sz w:val="20"/>
                <w:szCs w:val="20"/>
              </w:rPr>
            </w:pPr>
            <w:r w:rsidRPr="00AB4DB9">
              <w:rPr>
                <w:bCs/>
                <w:sz w:val="20"/>
                <w:szCs w:val="20"/>
              </w:rPr>
              <w:t>(</w:t>
            </w:r>
            <w:r w:rsidR="00A720CB">
              <w:rPr>
                <w:sz w:val="20"/>
                <w:szCs w:val="20"/>
              </w:rPr>
              <w:t>les</w:t>
            </w:r>
            <w:r w:rsidR="00297931">
              <w:rPr>
                <w:sz w:val="20"/>
                <w:szCs w:val="20"/>
              </w:rPr>
              <w:t xml:space="preserve"> fiche</w:t>
            </w:r>
            <w:r w:rsidR="00A720CB">
              <w:rPr>
                <w:sz w:val="20"/>
                <w:szCs w:val="20"/>
              </w:rPr>
              <w:t>s</w:t>
            </w:r>
            <w:r w:rsidR="00297931">
              <w:rPr>
                <w:sz w:val="20"/>
                <w:szCs w:val="20"/>
              </w:rPr>
              <w:t xml:space="preserve"> </w:t>
            </w:r>
            <w:r w:rsidR="00A720CB">
              <w:rPr>
                <w:sz w:val="20"/>
                <w:szCs w:val="20"/>
              </w:rPr>
              <w:t>suivantes sont supprimées</w:t>
            </w:r>
            <w:r w:rsidR="00297931">
              <w:rPr>
                <w:sz w:val="20"/>
                <w:szCs w:val="20"/>
              </w:rPr>
              <w:t xml:space="preserve"> à compter du </w:t>
            </w:r>
            <w:r w:rsidR="00AB7FA3">
              <w:rPr>
                <w:sz w:val="20"/>
                <w:szCs w:val="20"/>
              </w:rPr>
              <w:t>01/0</w:t>
            </w:r>
            <w:r w:rsidR="00AD73A0">
              <w:rPr>
                <w:sz w:val="20"/>
                <w:szCs w:val="20"/>
              </w:rPr>
              <w:t>9</w:t>
            </w:r>
            <w:r w:rsidR="00AB7FA3">
              <w:rPr>
                <w:sz w:val="20"/>
                <w:szCs w:val="20"/>
              </w:rPr>
              <w:t>/2025</w:t>
            </w:r>
            <w:r>
              <w:rPr>
                <w:sz w:val="20"/>
                <w:szCs w:val="20"/>
              </w:rPr>
              <w:t>)</w:t>
            </w:r>
          </w:p>
        </w:tc>
      </w:tr>
      <w:tr w:rsidR="00866115" w14:paraId="658FBCD1" w14:textId="77777777" w:rsidTr="001B2E6A">
        <w:trPr>
          <w:cantSplit/>
          <w:trHeight w:val="391"/>
          <w:tblHeader/>
          <w:jc w:val="center"/>
        </w:trPr>
        <w:tc>
          <w:tcPr>
            <w:tcW w:w="3733" w:type="dxa"/>
            <w:shd w:val="clear" w:color="auto" w:fill="auto"/>
            <w:vAlign w:val="center"/>
          </w:tcPr>
          <w:p w14:paraId="79D81B84" w14:textId="77777777" w:rsidR="00866115" w:rsidRDefault="00866115" w:rsidP="001B2E6A">
            <w:pPr>
              <w:pStyle w:val="Contenudetableau"/>
              <w:keepNext/>
              <w:jc w:val="center"/>
              <w:rPr>
                <w:b/>
                <w:bCs/>
                <w:sz w:val="20"/>
                <w:szCs w:val="20"/>
              </w:rPr>
            </w:pPr>
            <w:r>
              <w:rPr>
                <w:b/>
                <w:bCs/>
                <w:sz w:val="20"/>
                <w:szCs w:val="20"/>
              </w:rPr>
              <w:t>Intitulé de la fiche</w:t>
            </w:r>
          </w:p>
        </w:tc>
        <w:tc>
          <w:tcPr>
            <w:tcW w:w="1559" w:type="dxa"/>
            <w:shd w:val="clear" w:color="auto" w:fill="auto"/>
            <w:vAlign w:val="center"/>
          </w:tcPr>
          <w:p w14:paraId="72A498CD" w14:textId="77777777" w:rsidR="00866115" w:rsidRDefault="00866115" w:rsidP="001B2E6A">
            <w:pPr>
              <w:pStyle w:val="Contenudetableau"/>
              <w:keepNext/>
              <w:jc w:val="center"/>
              <w:rPr>
                <w:b/>
                <w:bCs/>
                <w:sz w:val="20"/>
                <w:szCs w:val="20"/>
              </w:rPr>
            </w:pPr>
            <w:r>
              <w:rPr>
                <w:b/>
                <w:bCs/>
                <w:sz w:val="20"/>
                <w:szCs w:val="20"/>
              </w:rPr>
              <w:t>N° de référence</w:t>
            </w:r>
          </w:p>
        </w:tc>
        <w:tc>
          <w:tcPr>
            <w:tcW w:w="5292" w:type="dxa"/>
            <w:vAlign w:val="center"/>
          </w:tcPr>
          <w:p w14:paraId="2F86E86F" w14:textId="77777777" w:rsidR="00866115" w:rsidRDefault="00866115" w:rsidP="001B2E6A">
            <w:pPr>
              <w:pStyle w:val="Contenudetableau"/>
              <w:keepNext/>
              <w:ind w:left="90" w:hanging="90"/>
              <w:jc w:val="center"/>
              <w:rPr>
                <w:b/>
                <w:bCs/>
                <w:sz w:val="20"/>
                <w:szCs w:val="20"/>
              </w:rPr>
            </w:pPr>
            <w:r>
              <w:rPr>
                <w:b/>
                <w:bCs/>
                <w:sz w:val="20"/>
                <w:szCs w:val="20"/>
              </w:rPr>
              <w:t xml:space="preserve">Dénomination de l’opération </w:t>
            </w:r>
          </w:p>
        </w:tc>
      </w:tr>
      <w:tr w:rsidR="00925517" w14:paraId="634DE8D3" w14:textId="77777777" w:rsidTr="00D50704">
        <w:trPr>
          <w:cantSplit/>
          <w:trHeight w:val="591"/>
          <w:jc w:val="center"/>
        </w:trPr>
        <w:tc>
          <w:tcPr>
            <w:tcW w:w="3733" w:type="dxa"/>
            <w:shd w:val="clear" w:color="auto" w:fill="auto"/>
            <w:vAlign w:val="center"/>
          </w:tcPr>
          <w:p w14:paraId="564B9D9A" w14:textId="5F140B27" w:rsidR="00925517" w:rsidRPr="002C3E36" w:rsidRDefault="00A03F2A" w:rsidP="00A03F2A">
            <w:pPr>
              <w:rPr>
                <w:sz w:val="20"/>
                <w:szCs w:val="20"/>
              </w:rPr>
            </w:pPr>
            <w:r w:rsidRPr="00A03F2A">
              <w:rPr>
                <w:sz w:val="20"/>
                <w:szCs w:val="20"/>
              </w:rPr>
              <w:t>Pompe à chaleur collective à absorption</w:t>
            </w:r>
            <w:r>
              <w:rPr>
                <w:sz w:val="20"/>
                <w:szCs w:val="20"/>
              </w:rPr>
              <w:t xml:space="preserve"> </w:t>
            </w:r>
            <w:r w:rsidRPr="00A03F2A">
              <w:rPr>
                <w:sz w:val="20"/>
                <w:szCs w:val="20"/>
              </w:rPr>
              <w:t>de type air/eau ou eau/eau</w:t>
            </w:r>
          </w:p>
        </w:tc>
        <w:tc>
          <w:tcPr>
            <w:tcW w:w="1559" w:type="dxa"/>
            <w:shd w:val="clear" w:color="auto" w:fill="auto"/>
            <w:vAlign w:val="center"/>
          </w:tcPr>
          <w:p w14:paraId="2DEA0A91" w14:textId="0868510D" w:rsidR="00925517" w:rsidRDefault="00EA1F48" w:rsidP="001B2E6A">
            <w:pPr>
              <w:jc w:val="center"/>
              <w:rPr>
                <w:sz w:val="20"/>
                <w:szCs w:val="20"/>
              </w:rPr>
            </w:pPr>
            <w:r w:rsidRPr="00EA1F48">
              <w:rPr>
                <w:sz w:val="20"/>
                <w:szCs w:val="20"/>
              </w:rPr>
              <w:t>BAR-TH-150</w:t>
            </w:r>
          </w:p>
        </w:tc>
        <w:tc>
          <w:tcPr>
            <w:tcW w:w="5292" w:type="dxa"/>
            <w:vAlign w:val="center"/>
          </w:tcPr>
          <w:p w14:paraId="06A42C8E" w14:textId="1486D1D8" w:rsidR="00925517" w:rsidRPr="002C3E36" w:rsidRDefault="00A03F2A" w:rsidP="00A03F2A">
            <w:pPr>
              <w:jc w:val="both"/>
              <w:rPr>
                <w:sz w:val="20"/>
                <w:szCs w:val="20"/>
              </w:rPr>
            </w:pPr>
            <w:r w:rsidRPr="00A03F2A">
              <w:rPr>
                <w:sz w:val="20"/>
                <w:szCs w:val="20"/>
              </w:rPr>
              <w:t>Mise en place d’une pompe à chaleur (PAC) à absorption de type air/eau ou eau/eau fonctionnant au gaz naturel ou</w:t>
            </w:r>
            <w:r>
              <w:rPr>
                <w:sz w:val="20"/>
                <w:szCs w:val="20"/>
              </w:rPr>
              <w:t xml:space="preserve"> </w:t>
            </w:r>
            <w:r w:rsidRPr="00A03F2A">
              <w:rPr>
                <w:sz w:val="20"/>
                <w:szCs w:val="20"/>
              </w:rPr>
              <w:t>au propane pour un système de chauffage collectif.</w:t>
            </w:r>
          </w:p>
        </w:tc>
      </w:tr>
      <w:tr w:rsidR="00AB7FA3" w14:paraId="10029AA8" w14:textId="77777777" w:rsidTr="00D50704">
        <w:trPr>
          <w:cantSplit/>
          <w:trHeight w:val="591"/>
          <w:jc w:val="center"/>
        </w:trPr>
        <w:tc>
          <w:tcPr>
            <w:tcW w:w="3733" w:type="dxa"/>
            <w:shd w:val="clear" w:color="auto" w:fill="auto"/>
            <w:vAlign w:val="center"/>
          </w:tcPr>
          <w:p w14:paraId="3EE9CB0F" w14:textId="3AFFAFDC" w:rsidR="00AB7FA3" w:rsidRPr="002C3E36" w:rsidRDefault="00282B96" w:rsidP="00E4710E">
            <w:pPr>
              <w:rPr>
                <w:sz w:val="20"/>
                <w:szCs w:val="20"/>
              </w:rPr>
            </w:pPr>
            <w:r w:rsidRPr="00282B96">
              <w:rPr>
                <w:sz w:val="20"/>
                <w:szCs w:val="20"/>
              </w:rPr>
              <w:lastRenderedPageBreak/>
              <w:t>Chauffe-bain individuel à haut rendement ou à condensation (France métropolitaine)</w:t>
            </w:r>
          </w:p>
        </w:tc>
        <w:tc>
          <w:tcPr>
            <w:tcW w:w="1559" w:type="dxa"/>
            <w:shd w:val="clear" w:color="auto" w:fill="auto"/>
            <w:vAlign w:val="center"/>
          </w:tcPr>
          <w:p w14:paraId="2A1FC136" w14:textId="375B9F25" w:rsidR="00AB7FA3" w:rsidRDefault="00EA1F48" w:rsidP="00AB7FA3">
            <w:pPr>
              <w:jc w:val="center"/>
              <w:rPr>
                <w:sz w:val="20"/>
                <w:szCs w:val="20"/>
              </w:rPr>
            </w:pPr>
            <w:r w:rsidRPr="00EA1F48">
              <w:rPr>
                <w:sz w:val="20"/>
                <w:szCs w:val="20"/>
              </w:rPr>
              <w:t>BAR-TH-167</w:t>
            </w:r>
          </w:p>
        </w:tc>
        <w:tc>
          <w:tcPr>
            <w:tcW w:w="5292" w:type="dxa"/>
            <w:vAlign w:val="center"/>
          </w:tcPr>
          <w:p w14:paraId="1F440864" w14:textId="1DFFBC55" w:rsidR="00AB7FA3" w:rsidRPr="002C3E36" w:rsidRDefault="00282B96" w:rsidP="00AB7FA3">
            <w:pPr>
              <w:jc w:val="both"/>
              <w:rPr>
                <w:sz w:val="20"/>
                <w:szCs w:val="20"/>
              </w:rPr>
            </w:pPr>
            <w:r w:rsidRPr="00282B96">
              <w:rPr>
                <w:sz w:val="20"/>
                <w:szCs w:val="20"/>
              </w:rPr>
              <w:t>Mise en place d’un chauffe-bain individuel à haut rendement ou d’un chauffe-bain individuel à condensation, en remplacement d’un chauffe-bain au gaz mural à combustion atmosphérique.</w:t>
            </w:r>
          </w:p>
        </w:tc>
      </w:tr>
      <w:tr w:rsidR="00AB7FA3" w14:paraId="6A26180C" w14:textId="77777777" w:rsidTr="00D50704">
        <w:trPr>
          <w:cantSplit/>
          <w:trHeight w:val="591"/>
          <w:jc w:val="center"/>
        </w:trPr>
        <w:tc>
          <w:tcPr>
            <w:tcW w:w="3733" w:type="dxa"/>
            <w:shd w:val="clear" w:color="auto" w:fill="auto"/>
            <w:vAlign w:val="center"/>
          </w:tcPr>
          <w:p w14:paraId="4EF3C698" w14:textId="4376C54A" w:rsidR="00AB7FA3" w:rsidRPr="002C3E36" w:rsidRDefault="009953C9" w:rsidP="00E4710E">
            <w:pPr>
              <w:rPr>
                <w:sz w:val="20"/>
                <w:szCs w:val="20"/>
              </w:rPr>
            </w:pPr>
            <w:r w:rsidRPr="009953C9">
              <w:rPr>
                <w:sz w:val="20"/>
                <w:szCs w:val="20"/>
              </w:rPr>
              <w:t>Pompe à chaleur à absorption de type air/eau ou eau/eau</w:t>
            </w:r>
          </w:p>
        </w:tc>
        <w:tc>
          <w:tcPr>
            <w:tcW w:w="1559" w:type="dxa"/>
            <w:shd w:val="clear" w:color="auto" w:fill="auto"/>
            <w:vAlign w:val="center"/>
          </w:tcPr>
          <w:p w14:paraId="79168B75" w14:textId="7D10DD70" w:rsidR="00AB7FA3" w:rsidRDefault="00EA1F48" w:rsidP="00AB7FA3">
            <w:pPr>
              <w:jc w:val="center"/>
              <w:rPr>
                <w:sz w:val="20"/>
                <w:szCs w:val="20"/>
              </w:rPr>
            </w:pPr>
            <w:r w:rsidRPr="00EA1F48">
              <w:rPr>
                <w:sz w:val="20"/>
                <w:szCs w:val="20"/>
              </w:rPr>
              <w:t>BAT-TH-140</w:t>
            </w:r>
          </w:p>
        </w:tc>
        <w:tc>
          <w:tcPr>
            <w:tcW w:w="5292" w:type="dxa"/>
            <w:vAlign w:val="center"/>
          </w:tcPr>
          <w:p w14:paraId="70F10A53" w14:textId="09CF0C18" w:rsidR="00AB7FA3" w:rsidRPr="002C3E36" w:rsidRDefault="009953C9" w:rsidP="009953C9">
            <w:pPr>
              <w:jc w:val="both"/>
              <w:rPr>
                <w:sz w:val="20"/>
                <w:szCs w:val="20"/>
              </w:rPr>
            </w:pPr>
            <w:r w:rsidRPr="009953C9">
              <w:rPr>
                <w:sz w:val="20"/>
                <w:szCs w:val="20"/>
              </w:rPr>
              <w:t>Mise en place d’une pompe à chaleur (PAC) à absorption de type air/eau ou eau/eau fonctionnant au gaz naturel</w:t>
            </w:r>
            <w:r>
              <w:rPr>
                <w:sz w:val="20"/>
                <w:szCs w:val="20"/>
              </w:rPr>
              <w:t xml:space="preserve"> </w:t>
            </w:r>
            <w:r w:rsidRPr="009953C9">
              <w:rPr>
                <w:sz w:val="20"/>
                <w:szCs w:val="20"/>
              </w:rPr>
              <w:t>ou au propane.</w:t>
            </w:r>
          </w:p>
        </w:tc>
      </w:tr>
      <w:tr w:rsidR="00521F4A" w14:paraId="71CCC62D" w14:textId="77777777" w:rsidTr="00D50704">
        <w:trPr>
          <w:cantSplit/>
          <w:trHeight w:val="591"/>
          <w:jc w:val="center"/>
        </w:trPr>
        <w:tc>
          <w:tcPr>
            <w:tcW w:w="3733" w:type="dxa"/>
            <w:shd w:val="clear" w:color="auto" w:fill="auto"/>
            <w:vAlign w:val="center"/>
          </w:tcPr>
          <w:p w14:paraId="52BA2F80" w14:textId="57E20E8A" w:rsidR="00521F4A" w:rsidRPr="00AB7FA3" w:rsidRDefault="00EB415B" w:rsidP="00EB415B">
            <w:pPr>
              <w:jc w:val="both"/>
              <w:rPr>
                <w:sz w:val="20"/>
                <w:szCs w:val="20"/>
              </w:rPr>
            </w:pPr>
            <w:r w:rsidRPr="00EB415B">
              <w:rPr>
                <w:sz w:val="20"/>
                <w:szCs w:val="20"/>
              </w:rPr>
              <w:t>Pompe à chaleur à moteur gaz de type air/eau</w:t>
            </w:r>
          </w:p>
        </w:tc>
        <w:tc>
          <w:tcPr>
            <w:tcW w:w="1559" w:type="dxa"/>
            <w:shd w:val="clear" w:color="auto" w:fill="auto"/>
            <w:vAlign w:val="center"/>
          </w:tcPr>
          <w:p w14:paraId="4BBD168B" w14:textId="53D8415E" w:rsidR="00521F4A" w:rsidRDefault="00EA1F48" w:rsidP="00AB7FA3">
            <w:pPr>
              <w:jc w:val="center"/>
              <w:rPr>
                <w:sz w:val="20"/>
                <w:szCs w:val="20"/>
              </w:rPr>
            </w:pPr>
            <w:r w:rsidRPr="00EA1F48">
              <w:rPr>
                <w:sz w:val="20"/>
                <w:szCs w:val="20"/>
              </w:rPr>
              <w:t>BAT-TH-141</w:t>
            </w:r>
          </w:p>
        </w:tc>
        <w:tc>
          <w:tcPr>
            <w:tcW w:w="5292" w:type="dxa"/>
            <w:vAlign w:val="center"/>
          </w:tcPr>
          <w:p w14:paraId="3016B28E" w14:textId="656B7265" w:rsidR="00521F4A" w:rsidRDefault="00EB415B" w:rsidP="00521F4A">
            <w:pPr>
              <w:jc w:val="both"/>
              <w:rPr>
                <w:sz w:val="20"/>
                <w:szCs w:val="20"/>
              </w:rPr>
            </w:pPr>
            <w:r w:rsidRPr="00EB415B">
              <w:rPr>
                <w:sz w:val="20"/>
                <w:szCs w:val="20"/>
              </w:rPr>
              <w:t>Mise en place d’une pompe à chaleur (PAC) à moteur gaz de type air/eau.</w:t>
            </w:r>
          </w:p>
        </w:tc>
      </w:tr>
      <w:tr w:rsidR="006D5BD7" w14:paraId="54CC9C8A" w14:textId="77777777" w:rsidTr="006D1548">
        <w:trPr>
          <w:cantSplit/>
          <w:trHeight w:val="591"/>
          <w:jc w:val="center"/>
        </w:trPr>
        <w:tc>
          <w:tcPr>
            <w:tcW w:w="10584" w:type="dxa"/>
            <w:gridSpan w:val="3"/>
            <w:shd w:val="clear" w:color="auto" w:fill="auto"/>
            <w:vAlign w:val="center"/>
          </w:tcPr>
          <w:p w14:paraId="6DCC61B0" w14:textId="67995FC5" w:rsidR="006D5BD7" w:rsidRPr="006D5BD7" w:rsidRDefault="006D5BD7" w:rsidP="007B3DC0">
            <w:pPr>
              <w:jc w:val="both"/>
              <w:rPr>
                <w:b/>
                <w:sz w:val="20"/>
                <w:szCs w:val="20"/>
              </w:rPr>
            </w:pPr>
            <w:r>
              <w:rPr>
                <w:b/>
                <w:sz w:val="20"/>
                <w:szCs w:val="20"/>
              </w:rPr>
              <w:t xml:space="preserve">Commentaire : Ces fiches sont supprimées en cohérence avec les dispositions </w:t>
            </w:r>
            <w:r w:rsidR="007B3DC0">
              <w:rPr>
                <w:b/>
                <w:sz w:val="20"/>
                <w:szCs w:val="20"/>
              </w:rPr>
              <w:t>prévues par le</w:t>
            </w:r>
            <w:r w:rsidRPr="006D5BD7">
              <w:rPr>
                <w:b/>
                <w:sz w:val="20"/>
                <w:szCs w:val="20"/>
              </w:rPr>
              <w:t xml:space="preserve"> 3° de l’article 25 de la loi n°2025-391 du 30 avril 2025</w:t>
            </w:r>
            <w:r>
              <w:rPr>
                <w:b/>
                <w:sz w:val="20"/>
                <w:szCs w:val="20"/>
              </w:rPr>
              <w:t xml:space="preserve">, </w:t>
            </w:r>
            <w:r w:rsidRPr="006D5BD7">
              <w:rPr>
                <w:b/>
                <w:sz w:val="20"/>
                <w:szCs w:val="20"/>
              </w:rPr>
              <w:t xml:space="preserve">qui prévoit que « </w:t>
            </w:r>
            <w:r w:rsidRPr="006D5BD7">
              <w:rPr>
                <w:b/>
                <w:i/>
                <w:sz w:val="20"/>
                <w:szCs w:val="20"/>
              </w:rPr>
              <w:t>Pour les secteurs résidentiel et tertiaire, les opérations d'économies d'énergie comprenant l'installation d'un équipement de chauffage des locaux ou de production d'eau chaude sanitaire utilisant un combustible fossile ne donnent pas lieu à la délivrance de certificats d'économies d'énergie, sauf lorsqu'il s'agit d'une énergie d'appoint</w:t>
            </w:r>
            <w:r w:rsidRPr="006D5BD7">
              <w:rPr>
                <w:b/>
                <w:sz w:val="20"/>
                <w:szCs w:val="20"/>
              </w:rPr>
              <w:t xml:space="preserve"> ». </w:t>
            </w:r>
            <w:r>
              <w:rPr>
                <w:b/>
                <w:sz w:val="20"/>
                <w:szCs w:val="20"/>
              </w:rPr>
              <w:t xml:space="preserve"> </w:t>
            </w:r>
          </w:p>
        </w:tc>
      </w:tr>
    </w:tbl>
    <w:p w14:paraId="31EF5B75" w14:textId="77777777" w:rsidR="00866115" w:rsidRDefault="00866115" w:rsidP="00BB2065">
      <w:pPr>
        <w:rPr>
          <w:sz w:val="22"/>
          <w:szCs w:val="22"/>
        </w:rPr>
      </w:pPr>
    </w:p>
    <w:sectPr w:rsidR="00866115" w:rsidSect="00C12F2C">
      <w:footerReference w:type="even" r:id="rId8"/>
      <w:footerReference w:type="default" r:id="rId9"/>
      <w:pgSz w:w="11906" w:h="16838" w:code="9"/>
      <w:pgMar w:top="964" w:right="1276" w:bottom="96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46876" w14:textId="77777777" w:rsidR="00780808" w:rsidRDefault="00780808">
      <w:r>
        <w:separator/>
      </w:r>
    </w:p>
  </w:endnote>
  <w:endnote w:type="continuationSeparator" w:id="0">
    <w:p w14:paraId="29471006" w14:textId="77777777" w:rsidR="00780808" w:rsidRDefault="0078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71599" w14:textId="77777777" w:rsidR="004414F3" w:rsidRDefault="004414F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DD47E4C" w14:textId="77777777" w:rsidR="004414F3" w:rsidRDefault="004414F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9EDB1" w14:textId="34EE758A" w:rsidR="004414F3" w:rsidRDefault="004414F3">
    <w:pPr>
      <w:pStyle w:val="Pieddepage"/>
      <w:ind w:right="-2"/>
      <w:jc w:val="right"/>
    </w:pPr>
    <w:r>
      <w:fldChar w:fldCharType="begin"/>
    </w:r>
    <w:r>
      <w:instrText xml:space="preserve"> page </w:instrText>
    </w:r>
    <w:r>
      <w:fldChar w:fldCharType="separate"/>
    </w:r>
    <w:r w:rsidR="0056615B">
      <w:rPr>
        <w:noProof/>
      </w:rPr>
      <w:t>2</w:t>
    </w:r>
    <w:r>
      <w:fldChar w:fldCharType="end"/>
    </w:r>
    <w:r>
      <w:t>/</w:t>
    </w:r>
    <w:fldSimple w:instr=" numpages ">
      <w:r w:rsidR="0056615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3CDBD" w14:textId="77777777" w:rsidR="00780808" w:rsidRDefault="00780808">
      <w:r>
        <w:separator/>
      </w:r>
    </w:p>
  </w:footnote>
  <w:footnote w:type="continuationSeparator" w:id="0">
    <w:p w14:paraId="596CCEEA" w14:textId="77777777" w:rsidR="00780808" w:rsidRDefault="00780808">
      <w:r>
        <w:continuationSeparator/>
      </w:r>
    </w:p>
  </w:footnote>
  <w:footnote w:id="1">
    <w:p w14:paraId="2707786E" w14:textId="1F21497E" w:rsidR="006A47D8" w:rsidRPr="006A47D8" w:rsidRDefault="006A47D8" w:rsidP="006A47D8">
      <w:pPr>
        <w:jc w:val="both"/>
        <w:rPr>
          <w:color w:val="000000"/>
          <w:sz w:val="20"/>
          <w:szCs w:val="22"/>
        </w:rPr>
      </w:pPr>
      <w:r>
        <w:rPr>
          <w:rStyle w:val="Appelnotedebasdep"/>
        </w:rPr>
        <w:footnoteRef/>
      </w:r>
      <w:r>
        <w:t xml:space="preserve"> </w:t>
      </w:r>
      <w:r w:rsidRPr="006A47D8">
        <w:rPr>
          <w:color w:val="000000"/>
          <w:sz w:val="20"/>
          <w:szCs w:val="22"/>
        </w:rPr>
        <w:t>Le forfait de CEE utilisé pour le calcul des fiches d’opérations standardisées est exprimé en « énergie finale intégrale », c’est-à-dire que l’économie d’énergie finale est égale à la différence entre la consommation d’énergie finale de la situation de référence et celle de la situation après réalisation de l’opération, y compris dans le cas où le type d’énergie finale de la situation de référence est différent du type d’énergie finale de la situation après réalisation de l’opération. Ce type de calcul sera désormais appliqué à toutes les fiches révisées ou créées</w:t>
      </w:r>
      <w:r>
        <w:rPr>
          <w:color w:val="000000"/>
          <w:sz w:val="20"/>
          <w:szCs w:val="22"/>
        </w:rPr>
        <w:t xml:space="preserve">. </w:t>
      </w:r>
    </w:p>
    <w:p w14:paraId="6AD6F5C7" w14:textId="33C6D4CD" w:rsidR="006A47D8" w:rsidRDefault="006A47D8">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765"/>
        </w:tabs>
        <w:ind w:left="1765" w:hanging="360"/>
      </w:pPr>
      <w:rPr>
        <w:rFonts w:ascii="Symbol" w:eastAsia="Arial Unicode MS" w:hAnsi="Symbol" w:cs="Times New Roman"/>
        <w:color w:val="000000"/>
        <w:sz w:val="18"/>
        <w:szCs w:val="18"/>
      </w:rPr>
    </w:lvl>
    <w:lvl w:ilvl="1">
      <w:start w:val="1"/>
      <w:numFmt w:val="decimal"/>
      <w:lvlText w:val="%2."/>
      <w:lvlJc w:val="left"/>
      <w:pPr>
        <w:tabs>
          <w:tab w:val="num" w:pos="2125"/>
        </w:tabs>
        <w:ind w:left="2125" w:hanging="360"/>
      </w:pPr>
      <w:rPr>
        <w:rFonts w:ascii="Courier New" w:hAnsi="Courier New" w:cs="Courier New"/>
      </w:rPr>
    </w:lvl>
    <w:lvl w:ilvl="2">
      <w:start w:val="1"/>
      <w:numFmt w:val="decimal"/>
      <w:lvlText w:val="%3."/>
      <w:lvlJc w:val="left"/>
      <w:pPr>
        <w:tabs>
          <w:tab w:val="num" w:pos="2485"/>
        </w:tabs>
        <w:ind w:left="2485" w:hanging="360"/>
      </w:pPr>
      <w:rPr>
        <w:rFonts w:ascii="Wingdings" w:hAnsi="Wingdings" w:cs="Wingdings"/>
      </w:rPr>
    </w:lvl>
    <w:lvl w:ilvl="3">
      <w:start w:val="1"/>
      <w:numFmt w:val="decimal"/>
      <w:lvlText w:val="%4."/>
      <w:lvlJc w:val="left"/>
      <w:pPr>
        <w:tabs>
          <w:tab w:val="num" w:pos="2845"/>
        </w:tabs>
        <w:ind w:left="2845" w:hanging="360"/>
      </w:pPr>
      <w:rPr>
        <w:rFonts w:ascii="Symbol" w:hAnsi="Symbol" w:cs="Symbol"/>
      </w:rPr>
    </w:lvl>
    <w:lvl w:ilvl="4">
      <w:start w:val="1"/>
      <w:numFmt w:val="decimal"/>
      <w:lvlText w:val="%5."/>
      <w:lvlJc w:val="left"/>
      <w:pPr>
        <w:tabs>
          <w:tab w:val="num" w:pos="3205"/>
        </w:tabs>
        <w:ind w:left="3205" w:hanging="360"/>
      </w:pPr>
    </w:lvl>
    <w:lvl w:ilvl="5">
      <w:start w:val="1"/>
      <w:numFmt w:val="decimal"/>
      <w:lvlText w:val="%6."/>
      <w:lvlJc w:val="left"/>
      <w:pPr>
        <w:tabs>
          <w:tab w:val="num" w:pos="3565"/>
        </w:tabs>
        <w:ind w:left="3565" w:hanging="360"/>
      </w:pPr>
    </w:lvl>
    <w:lvl w:ilvl="6">
      <w:start w:val="1"/>
      <w:numFmt w:val="decimal"/>
      <w:lvlText w:val="%7."/>
      <w:lvlJc w:val="left"/>
      <w:pPr>
        <w:tabs>
          <w:tab w:val="num" w:pos="3925"/>
        </w:tabs>
        <w:ind w:left="3925" w:hanging="360"/>
      </w:pPr>
    </w:lvl>
    <w:lvl w:ilvl="7">
      <w:start w:val="1"/>
      <w:numFmt w:val="decimal"/>
      <w:pStyle w:val="Titre8"/>
      <w:lvlText w:val="%8."/>
      <w:lvlJc w:val="left"/>
      <w:pPr>
        <w:tabs>
          <w:tab w:val="num" w:pos="4285"/>
        </w:tabs>
        <w:ind w:left="4285" w:hanging="360"/>
      </w:pPr>
    </w:lvl>
    <w:lvl w:ilvl="8">
      <w:start w:val="1"/>
      <w:numFmt w:val="decimal"/>
      <w:lvlText w:val="%9."/>
      <w:lvlJc w:val="left"/>
      <w:pPr>
        <w:tabs>
          <w:tab w:val="num" w:pos="4645"/>
        </w:tabs>
        <w:ind w:left="4645"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sz w:val="18"/>
        <w:szCs w:val="18"/>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A52071"/>
    <w:multiLevelType w:val="hybridMultilevel"/>
    <w:tmpl w:val="6DB664DC"/>
    <w:lvl w:ilvl="0" w:tplc="3866F298">
      <w:start w:val="49"/>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8B4E44"/>
    <w:multiLevelType w:val="hybridMultilevel"/>
    <w:tmpl w:val="C570049C"/>
    <w:lvl w:ilvl="0" w:tplc="D7CE8116">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F6C0B"/>
    <w:multiLevelType w:val="hybridMultilevel"/>
    <w:tmpl w:val="E86894E8"/>
    <w:lvl w:ilvl="0" w:tplc="EC5ABACE">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F0A67"/>
    <w:multiLevelType w:val="hybridMultilevel"/>
    <w:tmpl w:val="D8FE2198"/>
    <w:lvl w:ilvl="0" w:tplc="3866F298">
      <w:start w:val="49"/>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A3ECC"/>
    <w:multiLevelType w:val="hybridMultilevel"/>
    <w:tmpl w:val="D0F87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6A0B7D"/>
    <w:multiLevelType w:val="hybridMultilevel"/>
    <w:tmpl w:val="AE4C4EB0"/>
    <w:lvl w:ilvl="0" w:tplc="E1200678">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F315C1"/>
    <w:multiLevelType w:val="hybridMultilevel"/>
    <w:tmpl w:val="61DEE348"/>
    <w:lvl w:ilvl="0" w:tplc="3866F298">
      <w:start w:val="49"/>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D74833"/>
    <w:multiLevelType w:val="hybridMultilevel"/>
    <w:tmpl w:val="A008D796"/>
    <w:lvl w:ilvl="0" w:tplc="FBDE304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8"/>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8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B6"/>
    <w:rsid w:val="000039B9"/>
    <w:rsid w:val="00003C11"/>
    <w:rsid w:val="00004DCD"/>
    <w:rsid w:val="000059C1"/>
    <w:rsid w:val="00007F41"/>
    <w:rsid w:val="00010880"/>
    <w:rsid w:val="00024943"/>
    <w:rsid w:val="000331DE"/>
    <w:rsid w:val="0003502E"/>
    <w:rsid w:val="00035D79"/>
    <w:rsid w:val="00036848"/>
    <w:rsid w:val="00037C21"/>
    <w:rsid w:val="0004197B"/>
    <w:rsid w:val="00051D9D"/>
    <w:rsid w:val="00057E29"/>
    <w:rsid w:val="00060663"/>
    <w:rsid w:val="00064798"/>
    <w:rsid w:val="00070895"/>
    <w:rsid w:val="00090149"/>
    <w:rsid w:val="000915FF"/>
    <w:rsid w:val="00096231"/>
    <w:rsid w:val="000B4EEE"/>
    <w:rsid w:val="000C004F"/>
    <w:rsid w:val="000D0324"/>
    <w:rsid w:val="000D11A8"/>
    <w:rsid w:val="000D1F5C"/>
    <w:rsid w:val="000F3250"/>
    <w:rsid w:val="000F609B"/>
    <w:rsid w:val="000F7C35"/>
    <w:rsid w:val="00100401"/>
    <w:rsid w:val="00103ADF"/>
    <w:rsid w:val="00117DD9"/>
    <w:rsid w:val="00125EFD"/>
    <w:rsid w:val="00141BB0"/>
    <w:rsid w:val="00143E60"/>
    <w:rsid w:val="00150BF8"/>
    <w:rsid w:val="00150E76"/>
    <w:rsid w:val="0015630A"/>
    <w:rsid w:val="00161BA9"/>
    <w:rsid w:val="0017091E"/>
    <w:rsid w:val="00172D27"/>
    <w:rsid w:val="00187574"/>
    <w:rsid w:val="00191F6B"/>
    <w:rsid w:val="00192164"/>
    <w:rsid w:val="00197772"/>
    <w:rsid w:val="001A523D"/>
    <w:rsid w:val="001B0786"/>
    <w:rsid w:val="001B73C4"/>
    <w:rsid w:val="001D3A08"/>
    <w:rsid w:val="001D3ABB"/>
    <w:rsid w:val="001D4AD0"/>
    <w:rsid w:val="001E5B85"/>
    <w:rsid w:val="001F1CB6"/>
    <w:rsid w:val="001F7355"/>
    <w:rsid w:val="00203B2B"/>
    <w:rsid w:val="00205565"/>
    <w:rsid w:val="002056F9"/>
    <w:rsid w:val="002079C6"/>
    <w:rsid w:val="0021523D"/>
    <w:rsid w:val="00216B17"/>
    <w:rsid w:val="00223962"/>
    <w:rsid w:val="002251C6"/>
    <w:rsid w:val="0023433A"/>
    <w:rsid w:val="00237E1E"/>
    <w:rsid w:val="00240C70"/>
    <w:rsid w:val="00246E9B"/>
    <w:rsid w:val="00247B54"/>
    <w:rsid w:val="0025028D"/>
    <w:rsid w:val="00252778"/>
    <w:rsid w:val="00256EF8"/>
    <w:rsid w:val="00257DEA"/>
    <w:rsid w:val="0026276C"/>
    <w:rsid w:val="00265A64"/>
    <w:rsid w:val="00267177"/>
    <w:rsid w:val="002752FC"/>
    <w:rsid w:val="0028102D"/>
    <w:rsid w:val="00282B96"/>
    <w:rsid w:val="00286DC7"/>
    <w:rsid w:val="00297931"/>
    <w:rsid w:val="002A04C0"/>
    <w:rsid w:val="002A2D5F"/>
    <w:rsid w:val="002A3363"/>
    <w:rsid w:val="002A3A2D"/>
    <w:rsid w:val="002B0CF8"/>
    <w:rsid w:val="002B2A2D"/>
    <w:rsid w:val="002C0610"/>
    <w:rsid w:val="002C3E36"/>
    <w:rsid w:val="002D553E"/>
    <w:rsid w:val="002E3E32"/>
    <w:rsid w:val="002E449F"/>
    <w:rsid w:val="002F45F2"/>
    <w:rsid w:val="00307860"/>
    <w:rsid w:val="00311F7D"/>
    <w:rsid w:val="00314849"/>
    <w:rsid w:val="0033077A"/>
    <w:rsid w:val="00345730"/>
    <w:rsid w:val="00346760"/>
    <w:rsid w:val="0034677F"/>
    <w:rsid w:val="00351E71"/>
    <w:rsid w:val="00353A6E"/>
    <w:rsid w:val="00371185"/>
    <w:rsid w:val="00376DCF"/>
    <w:rsid w:val="00385D19"/>
    <w:rsid w:val="00386034"/>
    <w:rsid w:val="003A3F5B"/>
    <w:rsid w:val="003A4E78"/>
    <w:rsid w:val="003A5613"/>
    <w:rsid w:val="003B69DE"/>
    <w:rsid w:val="003B7F92"/>
    <w:rsid w:val="003C71ED"/>
    <w:rsid w:val="003E34BF"/>
    <w:rsid w:val="003F67A7"/>
    <w:rsid w:val="00402566"/>
    <w:rsid w:val="00403507"/>
    <w:rsid w:val="00412613"/>
    <w:rsid w:val="004166EB"/>
    <w:rsid w:val="0043755C"/>
    <w:rsid w:val="004414F3"/>
    <w:rsid w:val="004440F0"/>
    <w:rsid w:val="00445202"/>
    <w:rsid w:val="004612B8"/>
    <w:rsid w:val="00470460"/>
    <w:rsid w:val="00474C55"/>
    <w:rsid w:val="00493A6D"/>
    <w:rsid w:val="004A0145"/>
    <w:rsid w:val="004A5408"/>
    <w:rsid w:val="004A6374"/>
    <w:rsid w:val="004B5832"/>
    <w:rsid w:val="004C2E6D"/>
    <w:rsid w:val="004E22EC"/>
    <w:rsid w:val="004F3DE9"/>
    <w:rsid w:val="005015D7"/>
    <w:rsid w:val="0050292B"/>
    <w:rsid w:val="00502942"/>
    <w:rsid w:val="00504AE2"/>
    <w:rsid w:val="00521F4A"/>
    <w:rsid w:val="0053126A"/>
    <w:rsid w:val="005425F7"/>
    <w:rsid w:val="00545A8D"/>
    <w:rsid w:val="0054758C"/>
    <w:rsid w:val="00553C79"/>
    <w:rsid w:val="005626E0"/>
    <w:rsid w:val="00565DF2"/>
    <w:rsid w:val="0056615B"/>
    <w:rsid w:val="00575AD3"/>
    <w:rsid w:val="00580BF8"/>
    <w:rsid w:val="005816F5"/>
    <w:rsid w:val="00590AD3"/>
    <w:rsid w:val="005949AE"/>
    <w:rsid w:val="005B00C0"/>
    <w:rsid w:val="005B1ED4"/>
    <w:rsid w:val="005B3248"/>
    <w:rsid w:val="005C0659"/>
    <w:rsid w:val="005C3099"/>
    <w:rsid w:val="005C4159"/>
    <w:rsid w:val="005D2877"/>
    <w:rsid w:val="005D3990"/>
    <w:rsid w:val="005D3E58"/>
    <w:rsid w:val="005D7742"/>
    <w:rsid w:val="005E4584"/>
    <w:rsid w:val="00601107"/>
    <w:rsid w:val="0060119F"/>
    <w:rsid w:val="00602EC6"/>
    <w:rsid w:val="00606976"/>
    <w:rsid w:val="006072E1"/>
    <w:rsid w:val="006143B8"/>
    <w:rsid w:val="00623C67"/>
    <w:rsid w:val="00626F8A"/>
    <w:rsid w:val="006300F4"/>
    <w:rsid w:val="0064071C"/>
    <w:rsid w:val="00641CD1"/>
    <w:rsid w:val="00643720"/>
    <w:rsid w:val="006478BA"/>
    <w:rsid w:val="00657128"/>
    <w:rsid w:val="00674D77"/>
    <w:rsid w:val="006960DA"/>
    <w:rsid w:val="00696AA7"/>
    <w:rsid w:val="006A4565"/>
    <w:rsid w:val="006A47D8"/>
    <w:rsid w:val="006B127F"/>
    <w:rsid w:val="006B3E66"/>
    <w:rsid w:val="006D446C"/>
    <w:rsid w:val="006D4D45"/>
    <w:rsid w:val="006D5BD7"/>
    <w:rsid w:val="006D6605"/>
    <w:rsid w:val="006E03B9"/>
    <w:rsid w:val="006F6111"/>
    <w:rsid w:val="00706A68"/>
    <w:rsid w:val="007177EA"/>
    <w:rsid w:val="00725841"/>
    <w:rsid w:val="00742E2E"/>
    <w:rsid w:val="00746148"/>
    <w:rsid w:val="00753B6D"/>
    <w:rsid w:val="00763158"/>
    <w:rsid w:val="00765C5B"/>
    <w:rsid w:val="00771E59"/>
    <w:rsid w:val="007765D6"/>
    <w:rsid w:val="00780808"/>
    <w:rsid w:val="00781F16"/>
    <w:rsid w:val="00783768"/>
    <w:rsid w:val="00785DC8"/>
    <w:rsid w:val="0079038A"/>
    <w:rsid w:val="00792EDF"/>
    <w:rsid w:val="007A4BDF"/>
    <w:rsid w:val="007A7B17"/>
    <w:rsid w:val="007B3DC0"/>
    <w:rsid w:val="007B5E89"/>
    <w:rsid w:val="007C4AA3"/>
    <w:rsid w:val="007C547B"/>
    <w:rsid w:val="007D44AC"/>
    <w:rsid w:val="007D4B9C"/>
    <w:rsid w:val="007D7B5A"/>
    <w:rsid w:val="007E167C"/>
    <w:rsid w:val="007F3984"/>
    <w:rsid w:val="007F4BDC"/>
    <w:rsid w:val="007F7523"/>
    <w:rsid w:val="00803E2D"/>
    <w:rsid w:val="0082611C"/>
    <w:rsid w:val="00833C92"/>
    <w:rsid w:val="00840759"/>
    <w:rsid w:val="0085349C"/>
    <w:rsid w:val="008616F1"/>
    <w:rsid w:val="00864473"/>
    <w:rsid w:val="00864A57"/>
    <w:rsid w:val="00866115"/>
    <w:rsid w:val="008759F0"/>
    <w:rsid w:val="008848FE"/>
    <w:rsid w:val="00894187"/>
    <w:rsid w:val="00895346"/>
    <w:rsid w:val="008A7306"/>
    <w:rsid w:val="008B0633"/>
    <w:rsid w:val="008B47F8"/>
    <w:rsid w:val="008B5C9A"/>
    <w:rsid w:val="008C1903"/>
    <w:rsid w:val="008C22AC"/>
    <w:rsid w:val="008D571E"/>
    <w:rsid w:val="008F65F2"/>
    <w:rsid w:val="0090566E"/>
    <w:rsid w:val="00906043"/>
    <w:rsid w:val="00913051"/>
    <w:rsid w:val="00915684"/>
    <w:rsid w:val="00915C16"/>
    <w:rsid w:val="0091618F"/>
    <w:rsid w:val="00925517"/>
    <w:rsid w:val="009275E0"/>
    <w:rsid w:val="00946592"/>
    <w:rsid w:val="00950233"/>
    <w:rsid w:val="0095487B"/>
    <w:rsid w:val="00960605"/>
    <w:rsid w:val="00971F39"/>
    <w:rsid w:val="00984944"/>
    <w:rsid w:val="00990871"/>
    <w:rsid w:val="00994246"/>
    <w:rsid w:val="009953C9"/>
    <w:rsid w:val="009A30CE"/>
    <w:rsid w:val="009A3313"/>
    <w:rsid w:val="009A7076"/>
    <w:rsid w:val="009B7215"/>
    <w:rsid w:val="009F1E0C"/>
    <w:rsid w:val="009F3A75"/>
    <w:rsid w:val="00A03F2A"/>
    <w:rsid w:val="00A13A2F"/>
    <w:rsid w:val="00A15273"/>
    <w:rsid w:val="00A30986"/>
    <w:rsid w:val="00A31F67"/>
    <w:rsid w:val="00A50B2A"/>
    <w:rsid w:val="00A62B68"/>
    <w:rsid w:val="00A63398"/>
    <w:rsid w:val="00A720CB"/>
    <w:rsid w:val="00A748D5"/>
    <w:rsid w:val="00A77C4D"/>
    <w:rsid w:val="00A92961"/>
    <w:rsid w:val="00A94A36"/>
    <w:rsid w:val="00AA5DC9"/>
    <w:rsid w:val="00AB012D"/>
    <w:rsid w:val="00AB2208"/>
    <w:rsid w:val="00AB40FF"/>
    <w:rsid w:val="00AB4DB9"/>
    <w:rsid w:val="00AB589E"/>
    <w:rsid w:val="00AB5A63"/>
    <w:rsid w:val="00AB6E5A"/>
    <w:rsid w:val="00AB7FA3"/>
    <w:rsid w:val="00AD1F76"/>
    <w:rsid w:val="00AD73A0"/>
    <w:rsid w:val="00AE1F0B"/>
    <w:rsid w:val="00AF0B19"/>
    <w:rsid w:val="00AF1A00"/>
    <w:rsid w:val="00B0407E"/>
    <w:rsid w:val="00B05254"/>
    <w:rsid w:val="00B1250E"/>
    <w:rsid w:val="00B2107A"/>
    <w:rsid w:val="00B354F2"/>
    <w:rsid w:val="00B35B22"/>
    <w:rsid w:val="00B67A6C"/>
    <w:rsid w:val="00B70881"/>
    <w:rsid w:val="00B8331A"/>
    <w:rsid w:val="00B91807"/>
    <w:rsid w:val="00BA21A4"/>
    <w:rsid w:val="00BA232B"/>
    <w:rsid w:val="00BB061F"/>
    <w:rsid w:val="00BB2065"/>
    <w:rsid w:val="00BD1ADB"/>
    <w:rsid w:val="00BD2C39"/>
    <w:rsid w:val="00BD5628"/>
    <w:rsid w:val="00BF36D6"/>
    <w:rsid w:val="00C03D4A"/>
    <w:rsid w:val="00C07C00"/>
    <w:rsid w:val="00C12F2C"/>
    <w:rsid w:val="00C2321B"/>
    <w:rsid w:val="00C243A5"/>
    <w:rsid w:val="00C37EC7"/>
    <w:rsid w:val="00C57860"/>
    <w:rsid w:val="00C57B9B"/>
    <w:rsid w:val="00C66A2D"/>
    <w:rsid w:val="00C7190F"/>
    <w:rsid w:val="00C73105"/>
    <w:rsid w:val="00C80446"/>
    <w:rsid w:val="00C83632"/>
    <w:rsid w:val="00C84F6F"/>
    <w:rsid w:val="00C90E77"/>
    <w:rsid w:val="00C948D2"/>
    <w:rsid w:val="00C954D0"/>
    <w:rsid w:val="00C96D09"/>
    <w:rsid w:val="00CA357D"/>
    <w:rsid w:val="00CA4AF0"/>
    <w:rsid w:val="00CA52B9"/>
    <w:rsid w:val="00CA7910"/>
    <w:rsid w:val="00CB14EA"/>
    <w:rsid w:val="00CB211F"/>
    <w:rsid w:val="00CB24B9"/>
    <w:rsid w:val="00CB420A"/>
    <w:rsid w:val="00CD0484"/>
    <w:rsid w:val="00CE028F"/>
    <w:rsid w:val="00CF2D55"/>
    <w:rsid w:val="00D14BA8"/>
    <w:rsid w:val="00D15ABA"/>
    <w:rsid w:val="00D17B57"/>
    <w:rsid w:val="00D23B4C"/>
    <w:rsid w:val="00D31921"/>
    <w:rsid w:val="00D33C17"/>
    <w:rsid w:val="00D465B5"/>
    <w:rsid w:val="00D50704"/>
    <w:rsid w:val="00D60CC4"/>
    <w:rsid w:val="00D6493A"/>
    <w:rsid w:val="00D77FD7"/>
    <w:rsid w:val="00D969E5"/>
    <w:rsid w:val="00DA0E70"/>
    <w:rsid w:val="00DA110A"/>
    <w:rsid w:val="00DA4D40"/>
    <w:rsid w:val="00DA4F17"/>
    <w:rsid w:val="00DC2689"/>
    <w:rsid w:val="00DF31A0"/>
    <w:rsid w:val="00DF406F"/>
    <w:rsid w:val="00E04BE5"/>
    <w:rsid w:val="00E17F9D"/>
    <w:rsid w:val="00E219AF"/>
    <w:rsid w:val="00E3090E"/>
    <w:rsid w:val="00E31C25"/>
    <w:rsid w:val="00E35243"/>
    <w:rsid w:val="00E37A64"/>
    <w:rsid w:val="00E40AC2"/>
    <w:rsid w:val="00E42471"/>
    <w:rsid w:val="00E4710E"/>
    <w:rsid w:val="00E50948"/>
    <w:rsid w:val="00E72474"/>
    <w:rsid w:val="00E74547"/>
    <w:rsid w:val="00E74911"/>
    <w:rsid w:val="00E755DB"/>
    <w:rsid w:val="00E75606"/>
    <w:rsid w:val="00E80D1A"/>
    <w:rsid w:val="00E813C0"/>
    <w:rsid w:val="00E90F15"/>
    <w:rsid w:val="00E913D4"/>
    <w:rsid w:val="00E9613A"/>
    <w:rsid w:val="00E972D0"/>
    <w:rsid w:val="00EA1F48"/>
    <w:rsid w:val="00EA32E7"/>
    <w:rsid w:val="00EB3598"/>
    <w:rsid w:val="00EB415B"/>
    <w:rsid w:val="00EB57A0"/>
    <w:rsid w:val="00EB5E8E"/>
    <w:rsid w:val="00EB7875"/>
    <w:rsid w:val="00EC568F"/>
    <w:rsid w:val="00EC6FF4"/>
    <w:rsid w:val="00ED149E"/>
    <w:rsid w:val="00ED7495"/>
    <w:rsid w:val="00EF4FFF"/>
    <w:rsid w:val="00EF7902"/>
    <w:rsid w:val="00F00977"/>
    <w:rsid w:val="00F031CF"/>
    <w:rsid w:val="00F040C1"/>
    <w:rsid w:val="00F05858"/>
    <w:rsid w:val="00F05D8F"/>
    <w:rsid w:val="00F13FAB"/>
    <w:rsid w:val="00F153FD"/>
    <w:rsid w:val="00F2180D"/>
    <w:rsid w:val="00F23C07"/>
    <w:rsid w:val="00F26410"/>
    <w:rsid w:val="00F30372"/>
    <w:rsid w:val="00F4030A"/>
    <w:rsid w:val="00F46706"/>
    <w:rsid w:val="00F5034F"/>
    <w:rsid w:val="00F51AD7"/>
    <w:rsid w:val="00F64DFC"/>
    <w:rsid w:val="00F66784"/>
    <w:rsid w:val="00F667C1"/>
    <w:rsid w:val="00F708D8"/>
    <w:rsid w:val="00F711CF"/>
    <w:rsid w:val="00F719FD"/>
    <w:rsid w:val="00F81971"/>
    <w:rsid w:val="00F96D52"/>
    <w:rsid w:val="00FA679E"/>
    <w:rsid w:val="00FB0B0C"/>
    <w:rsid w:val="00FB10A6"/>
    <w:rsid w:val="00FB3DE4"/>
    <w:rsid w:val="00FF4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7422C"/>
  <w15:chartTrackingRefBased/>
  <w15:docId w15:val="{57633AD6-6517-461A-A374-E785F9CA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15"/>
    <w:pPr>
      <w:suppressAutoHyphens/>
    </w:pPr>
    <w:rPr>
      <w:sz w:val="24"/>
      <w:szCs w:val="24"/>
      <w:lang w:eastAsia="zh-CN"/>
    </w:rPr>
  </w:style>
  <w:style w:type="paragraph" w:styleId="Titre8">
    <w:name w:val="heading 8"/>
    <w:basedOn w:val="Normal"/>
    <w:next w:val="Normal"/>
    <w:qFormat/>
    <w:pPr>
      <w:keepNext/>
      <w:numPr>
        <w:ilvl w:val="7"/>
        <w:numId w:val="1"/>
      </w:numPr>
      <w:jc w:val="center"/>
      <w:outlineLvl w:val="7"/>
    </w:pPr>
    <w:rPr>
      <w:b/>
      <w:bCs/>
      <w:kern w:val="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Arial Unicode MS" w:hAnsi="Symbol" w:cs="Times New Roman"/>
      <w:color w:val="000000"/>
      <w:sz w:val="18"/>
      <w:szCs w:val="1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18"/>
      <w:szCs w:val="1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3z1">
    <w:name w:val="WW8Num3z1"/>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Arial Unicode MS"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Policepardfaut3">
    <w:name w:val="Police par défaut3"/>
  </w:style>
  <w:style w:type="character" w:customStyle="1" w:styleId="Absatz-Standardschriftart">
    <w:name w:val="Absatz-Standardschriftart"/>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Policepardfaut1">
    <w:name w:val="Police par défaut1"/>
  </w:style>
  <w:style w:type="character" w:styleId="lev">
    <w:name w:val="Strong"/>
    <w:qFormat/>
    <w:rPr>
      <w:b/>
      <w:bCs/>
    </w:rPr>
  </w:style>
  <w:style w:type="character" w:customStyle="1" w:styleId="Caractresdenotedebasdepage">
    <w:name w:val="Caractères de note de bas de page"/>
    <w:rPr>
      <w:vertAlign w:val="superscript"/>
    </w:rPr>
  </w:style>
  <w:style w:type="character" w:styleId="Numrodepage">
    <w:name w:val="page number"/>
    <w:basedOn w:val="Policepardfaut1"/>
  </w:style>
  <w:style w:type="character" w:customStyle="1" w:styleId="WW-Caractresdenotedebasdepage">
    <w:name w:val="WW-Caractères de note de bas de page"/>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1">
    <w:name w:val="Appel note de bas de p.1"/>
    <w:rPr>
      <w:vertAlign w:val="superscript"/>
    </w:rPr>
  </w:style>
  <w:style w:type="character" w:customStyle="1" w:styleId="Appeldenotedefin1">
    <w:name w:val="Appel de note de fin1"/>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WW8Num22z0">
    <w:name w:val="WW8Num22z0"/>
    <w:rPr>
      <w:rFonts w:ascii="Symbol" w:hAnsi="Symbol" w:cs="Symbol"/>
    </w:rPr>
  </w:style>
  <w:style w:type="character" w:customStyle="1" w:styleId="Appelnotedebasdep2">
    <w:name w:val="Appel note de bas de p.2"/>
    <w:rPr>
      <w:vertAlign w:val="superscript"/>
    </w:rPr>
  </w:style>
  <w:style w:type="character" w:customStyle="1" w:styleId="Policepardfaut2">
    <w:name w:val="Police par défaut2"/>
  </w:style>
  <w:style w:type="character" w:styleId="Lienhypertexte">
    <w:name w:val="Hyperlink"/>
    <w:rPr>
      <w:color w:val="0000FF"/>
      <w:u w:val="single"/>
    </w:rPr>
  </w:style>
  <w:style w:type="paragraph" w:customStyle="1" w:styleId="Titre2">
    <w:name w:val="Titre2"/>
    <w:basedOn w:val="Titre1"/>
    <w:next w:val="Corpsdetexte"/>
    <w:pPr>
      <w:jc w:val="center"/>
    </w:pPr>
    <w:rPr>
      <w:b/>
      <w:bCs/>
      <w:sz w:val="36"/>
      <w:szCs w:val="36"/>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Titre1">
    <w:name w:val="Titre1"/>
    <w:basedOn w:val="Normal"/>
    <w:next w:val="Corpsdetexte"/>
    <w:pPr>
      <w:keepNext/>
      <w:spacing w:before="240" w:after="120"/>
    </w:pPr>
    <w:rPr>
      <w:rFonts w:ascii="Liberation Sans" w:eastAsia="SimSun" w:hAnsi="Liberation Sans" w:cs="Mangal"/>
      <w:sz w:val="28"/>
      <w:szCs w:val="28"/>
    </w:rPr>
  </w:style>
  <w:style w:type="paragraph" w:styleId="NormalWeb">
    <w:name w:val="Normal (Web)"/>
    <w:basedOn w:val="Normal"/>
    <w:pPr>
      <w:spacing w:before="280" w:after="119"/>
    </w:pPr>
    <w:rPr>
      <w:rFonts w:ascii="Arial Unicode MS" w:eastAsia="Arial Unicode MS" w:hAnsi="Arial Unicode MS" w:cs="Arial Unicode MS"/>
    </w:rPr>
  </w:style>
  <w:style w:type="paragraph" w:customStyle="1" w:styleId="Retraitcorpsdetexte21">
    <w:name w:val="Retrait corps de texte 21"/>
    <w:basedOn w:val="Normal"/>
    <w:pPr>
      <w:overflowPunct w:val="0"/>
      <w:autoSpaceDE w:val="0"/>
      <w:spacing w:before="120"/>
      <w:ind w:firstLine="851"/>
      <w:jc w:val="both"/>
      <w:textAlignment w:val="baseline"/>
    </w:pPr>
    <w:rPr>
      <w:szCs w:val="20"/>
    </w:rPr>
  </w:style>
  <w:style w:type="paragraph" w:styleId="Notedebasdepage">
    <w:name w:val="footnote text"/>
    <w:basedOn w:val="Normal"/>
    <w:pPr>
      <w:suppressLineNumbers/>
      <w:ind w:left="339" w:hanging="339"/>
    </w:pPr>
    <w:rPr>
      <w:sz w:val="20"/>
      <w:szCs w:val="20"/>
    </w:rPr>
  </w:style>
  <w:style w:type="paragraph" w:styleId="Pieddepage">
    <w:name w:val="footer"/>
    <w:basedOn w:val="Normal"/>
    <w:pPr>
      <w:tabs>
        <w:tab w:val="center" w:pos="4536"/>
        <w:tab w:val="right" w:pos="9072"/>
      </w:tabs>
    </w:pPr>
  </w:style>
  <w:style w:type="paragraph" w:styleId="Sous-titre">
    <w:name w:val="Subtitle"/>
    <w:basedOn w:val="Titre1"/>
    <w:next w:val="Corpsdetexte"/>
    <w:qFormat/>
    <w:pPr>
      <w:jc w:val="center"/>
    </w:pPr>
    <w:rPr>
      <w:i/>
      <w:iCs/>
    </w:rPr>
  </w:style>
  <w:style w:type="paragraph" w:customStyle="1" w:styleId="OK">
    <w:name w:val="OK"/>
    <w:basedOn w:val="Normal"/>
    <w:pPr>
      <w:spacing w:after="120"/>
    </w:pPr>
    <w:rPr>
      <w:lang w:val="x-none"/>
    </w:rPr>
  </w:style>
  <w:style w:type="paragraph" w:styleId="Paragraphedeliste">
    <w:name w:val="List Paragraph"/>
    <w:basedOn w:val="Normal"/>
    <w:qFormat/>
    <w:pPr>
      <w:ind w:left="720"/>
    </w:pPr>
  </w:style>
  <w:style w:type="paragraph" w:customStyle="1" w:styleId="m-corpstexte">
    <w:name w:val="m-corps texte"/>
    <w:basedOn w:val="Normal"/>
    <w:pPr>
      <w:spacing w:after="261"/>
      <w:jc w:val="both"/>
    </w:pPr>
  </w:style>
  <w:style w:type="paragraph" w:customStyle="1" w:styleId="m-InterTitre1">
    <w:name w:val="m-InterTitre1"/>
    <w:basedOn w:val="Normal"/>
    <w:next w:val="Normal"/>
    <w:pPr>
      <w:spacing w:after="261"/>
    </w:pPr>
    <w:rPr>
      <w:b/>
    </w:rPr>
  </w:style>
  <w:style w:type="paragraph" w:customStyle="1" w:styleId="m-corpstexte2">
    <w:name w:val="m-corps texte2"/>
    <w:basedOn w:val="m-corpstexte"/>
    <w:pPr>
      <w:spacing w:after="5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xl25">
    <w:name w:val="xl25"/>
    <w:basedOn w:val="Normal"/>
    <w:pPr>
      <w:pBdr>
        <w:bottom w:val="single" w:sz="8" w:space="0" w:color="000000"/>
      </w:pBdr>
      <w:spacing w:before="280" w:after="280"/>
      <w:jc w:val="center"/>
    </w:pPr>
    <w:rPr>
      <w:rFonts w:ascii="Arial Unicode MS" w:eastAsia="Arial Unicode MS" w:hAnsi="Arial Unicode MS" w:cs="Arial Unicode MS"/>
      <w:sz w:val="22"/>
    </w:rPr>
  </w:style>
  <w:style w:type="paragraph" w:styleId="Textedebulles">
    <w:name w:val="Balloon Text"/>
    <w:basedOn w:val="Normal"/>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link w:val="CommentaireCar"/>
    <w:semiHidden/>
    <w:rPr>
      <w:sz w:val="20"/>
      <w:szCs w:val="20"/>
    </w:rPr>
  </w:style>
  <w:style w:type="character" w:customStyle="1" w:styleId="WW-Absatz-Standardschriftart11111111111111111111111111111111111111">
    <w:name w:val="WW-Absatz-Standardschriftart11111111111111111111111111111111111111"/>
  </w:style>
  <w:style w:type="paragraph" w:styleId="Objetducommentaire">
    <w:name w:val="annotation subject"/>
    <w:basedOn w:val="Commentaire"/>
    <w:next w:val="Commentaire"/>
    <w:semiHidden/>
    <w:rPr>
      <w:b/>
      <w:bCs/>
    </w:rPr>
  </w:style>
  <w:style w:type="character" w:customStyle="1" w:styleId="CommentaireCar">
    <w:name w:val="Commentaire Car"/>
    <w:link w:val="Commentaire"/>
    <w:semiHidden/>
    <w:rPr>
      <w:lang w:val="fr-FR" w:eastAsia="zh-CN" w:bidi="ar-SA"/>
    </w:rPr>
  </w:style>
  <w:style w:type="paragraph" w:customStyle="1" w:styleId="Base">
    <w:name w:val="Base"/>
    <w:basedOn w:val="Normal"/>
    <w:pPr>
      <w:ind w:firstLine="284"/>
      <w:jc w:val="both"/>
    </w:pPr>
    <w:rPr>
      <w:rFonts w:ascii="Arial" w:hAnsi="Arial" w:cs="Arial"/>
      <w:kern w:val="1"/>
      <w:sz w:val="22"/>
      <w:szCs w:val="22"/>
    </w:rPr>
  </w:style>
  <w:style w:type="paragraph" w:customStyle="1" w:styleId="Standard">
    <w:name w:val="Standard"/>
    <w:pPr>
      <w:suppressAutoHyphens/>
      <w:spacing w:after="170"/>
      <w:jc w:val="both"/>
      <w:textAlignment w:val="baseline"/>
    </w:pPr>
    <w:rPr>
      <w:rFonts w:ascii="Arial" w:eastAsia="SimSun" w:hAnsi="Arial" w:cs="Mangal"/>
      <w:kern w:val="1"/>
      <w:sz w:val="22"/>
      <w:szCs w:val="24"/>
      <w:lang w:eastAsia="zh-CN" w:bidi="hi-IN"/>
    </w:rPr>
  </w:style>
  <w:style w:type="paragraph" w:styleId="En-tte">
    <w:name w:val="header"/>
    <w:basedOn w:val="Normal"/>
    <w:link w:val="En-tteCar"/>
    <w:pPr>
      <w:tabs>
        <w:tab w:val="center" w:pos="4536"/>
        <w:tab w:val="right" w:pos="9072"/>
      </w:tabs>
    </w:pPr>
  </w:style>
  <w:style w:type="character" w:customStyle="1" w:styleId="En-tteCar">
    <w:name w:val="En-tête Car"/>
    <w:link w:val="En-tt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6808">
      <w:bodyDiv w:val="1"/>
      <w:marLeft w:val="0"/>
      <w:marRight w:val="0"/>
      <w:marTop w:val="0"/>
      <w:marBottom w:val="0"/>
      <w:divBdr>
        <w:top w:val="none" w:sz="0" w:space="0" w:color="auto"/>
        <w:left w:val="none" w:sz="0" w:space="0" w:color="auto"/>
        <w:bottom w:val="none" w:sz="0" w:space="0" w:color="auto"/>
        <w:right w:val="none" w:sz="0" w:space="0" w:color="auto"/>
      </w:divBdr>
    </w:div>
    <w:div w:id="550579595">
      <w:bodyDiv w:val="1"/>
      <w:marLeft w:val="0"/>
      <w:marRight w:val="0"/>
      <w:marTop w:val="0"/>
      <w:marBottom w:val="0"/>
      <w:divBdr>
        <w:top w:val="none" w:sz="0" w:space="0" w:color="auto"/>
        <w:left w:val="none" w:sz="0" w:space="0" w:color="auto"/>
        <w:bottom w:val="none" w:sz="0" w:space="0" w:color="auto"/>
        <w:right w:val="none" w:sz="0" w:space="0" w:color="auto"/>
      </w:divBdr>
    </w:div>
    <w:div w:id="947348875">
      <w:bodyDiv w:val="1"/>
      <w:marLeft w:val="0"/>
      <w:marRight w:val="0"/>
      <w:marTop w:val="0"/>
      <w:marBottom w:val="0"/>
      <w:divBdr>
        <w:top w:val="none" w:sz="0" w:space="0" w:color="auto"/>
        <w:left w:val="none" w:sz="0" w:space="0" w:color="auto"/>
        <w:bottom w:val="none" w:sz="0" w:space="0" w:color="auto"/>
        <w:right w:val="none" w:sz="0" w:space="0" w:color="auto"/>
      </w:divBdr>
    </w:div>
    <w:div w:id="1479610297">
      <w:bodyDiv w:val="1"/>
      <w:marLeft w:val="0"/>
      <w:marRight w:val="0"/>
      <w:marTop w:val="0"/>
      <w:marBottom w:val="0"/>
      <w:divBdr>
        <w:top w:val="none" w:sz="0" w:space="0" w:color="auto"/>
        <w:left w:val="none" w:sz="0" w:space="0" w:color="auto"/>
        <w:bottom w:val="none" w:sz="0" w:space="0" w:color="auto"/>
        <w:right w:val="none" w:sz="0" w:space="0" w:color="auto"/>
      </w:divBdr>
    </w:div>
    <w:div w:id="188347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02B0-3F62-41B4-AEE8-BA8575E5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4849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Rapport pour le Conseil supérieur de l’énergie du 6 avruil</vt:lpstr>
    </vt:vector>
  </TitlesOfParts>
  <Company>MEDDTL</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pour le Conseil supérieur de l’énergie du 6 avruil</dc:title>
  <dc:subject/>
  <dc:creator>eric.dodemand</dc:creator>
  <cp:keywords/>
  <cp:lastModifiedBy>QUATREBOEUFS Charles</cp:lastModifiedBy>
  <cp:revision>2</cp:revision>
  <cp:lastPrinted>2019-06-26T07:46:00Z</cp:lastPrinted>
  <dcterms:created xsi:type="dcterms:W3CDTF">2025-07-18T06:05:00Z</dcterms:created>
  <dcterms:modified xsi:type="dcterms:W3CDTF">2025-07-18T06:05:00Z</dcterms:modified>
</cp:coreProperties>
</file>