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5719A" w14:textId="77777777" w:rsidR="00BC1D4B" w:rsidRDefault="00ED1F84">
      <w:pPr>
        <w:pStyle w:val="Corpsdetexte"/>
        <w:jc w:val="right"/>
      </w:pPr>
      <w:bookmarkStart w:id="0" w:name="_GoBack"/>
      <w:bookmarkEnd w:id="0"/>
      <w:r>
        <w:rPr>
          <w:rFonts w:ascii="Verdana" w:hAnsi="Verdana"/>
          <w:b/>
          <w:noProof/>
          <w:sz w:val="28"/>
          <w:szCs w:val="28"/>
          <w:lang w:val="fr-FR" w:eastAsia="fr-FR"/>
        </w:rPr>
        <w:drawing>
          <wp:inline distT="0" distB="0" distL="0" distR="0">
            <wp:extent cx="1924050" cy="14859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2"/>
                    <a:stretch/>
                  </pic:blipFill>
                  <pic:spPr bwMode="auto">
                    <a:xfrm>
                      <a:off x="0" y="0"/>
                      <a:ext cx="1924050" cy="1485900"/>
                    </a:xfrm>
                    <a:prstGeom prst="rect">
                      <a:avLst/>
                    </a:prstGeom>
                    <a:noFill/>
                  </pic:spPr>
                </pic:pic>
              </a:graphicData>
            </a:graphic>
          </wp:inline>
        </w:drawing>
      </w:r>
    </w:p>
    <w:p w14:paraId="036427E5" w14:textId="77777777" w:rsidR="00BC1D4B" w:rsidRDefault="00BC1D4B">
      <w:pPr>
        <w:pStyle w:val="En-ttedetabledesmatires"/>
      </w:pPr>
    </w:p>
    <w:p w14:paraId="345B34EA" w14:textId="6B13104D" w:rsidR="00BC1D4B" w:rsidRDefault="009104B8">
      <w:pPr>
        <w:pStyle w:val="En-ttedetabledesmatires"/>
      </w:pPr>
      <w:r>
        <w:t xml:space="preserve">Draft </w:t>
      </w:r>
      <w:r w:rsidR="007566FE">
        <w:t>a</w:t>
      </w:r>
      <w:r w:rsidR="00ED1F84">
        <w:t>nalysis of the most appropriate risk management option (RMOA)</w:t>
      </w:r>
    </w:p>
    <w:p w14:paraId="2A09BBBE" w14:textId="77777777" w:rsidR="00BC1D4B" w:rsidRDefault="00BC1D4B">
      <w:pPr>
        <w:pStyle w:val="Corpsdetexte"/>
        <w:rPr>
          <w:rFonts w:ascii="Verdana" w:hAnsi="Verdana"/>
          <w:b/>
          <w:sz w:val="20"/>
          <w:szCs w:val="20"/>
        </w:rPr>
      </w:pPr>
    </w:p>
    <w:p w14:paraId="52742D7B" w14:textId="77777777" w:rsidR="00BC1D4B" w:rsidRDefault="00BC1D4B">
      <w:pPr>
        <w:pStyle w:val="Corpsdetexte"/>
        <w:rPr>
          <w:rFonts w:ascii="Verdana" w:hAnsi="Verdana"/>
          <w:b/>
          <w:sz w:val="20"/>
          <w:szCs w:val="20"/>
        </w:rPr>
      </w:pPr>
    </w:p>
    <w:p w14:paraId="4E01B022" w14:textId="77777777" w:rsidR="00BC1D4B" w:rsidRDefault="00ED1F84">
      <w:pPr>
        <w:pStyle w:val="Corpsdetexte"/>
        <w:rPr>
          <w:rFonts w:ascii="Verdana" w:hAnsi="Verdana"/>
          <w:b/>
          <w:sz w:val="20"/>
          <w:szCs w:val="20"/>
        </w:rPr>
      </w:pPr>
      <w:r>
        <w:rPr>
          <w:rFonts w:ascii="Verdana" w:hAnsi="Verdana"/>
          <w:b/>
          <w:sz w:val="20"/>
          <w:szCs w:val="20"/>
        </w:rPr>
        <w:t>Substance name: 1,3-diphenylguanidine (DPG)</w:t>
      </w:r>
    </w:p>
    <w:p w14:paraId="31CEEA22" w14:textId="77777777" w:rsidR="00BC1D4B" w:rsidRDefault="00ED1F84">
      <w:pPr>
        <w:pStyle w:val="Corpsdetexte"/>
        <w:rPr>
          <w:rFonts w:ascii="Verdana" w:hAnsi="Verdana"/>
          <w:b/>
          <w:sz w:val="20"/>
          <w:szCs w:val="20"/>
        </w:rPr>
      </w:pPr>
      <w:r>
        <w:rPr>
          <w:rFonts w:ascii="Verdana" w:hAnsi="Verdana"/>
          <w:b/>
          <w:sz w:val="20"/>
          <w:szCs w:val="20"/>
        </w:rPr>
        <w:t>EC number: 203-002-1</w:t>
      </w:r>
    </w:p>
    <w:p w14:paraId="69F8F5C3" w14:textId="77777777" w:rsidR="00BC1D4B" w:rsidRDefault="00ED1F84">
      <w:pPr>
        <w:pStyle w:val="Corpsdetexte"/>
        <w:rPr>
          <w:rFonts w:ascii="Verdana" w:hAnsi="Verdana"/>
          <w:b/>
          <w:sz w:val="20"/>
          <w:szCs w:val="20"/>
        </w:rPr>
      </w:pPr>
      <w:r>
        <w:rPr>
          <w:rFonts w:ascii="Verdana" w:hAnsi="Verdana"/>
          <w:b/>
          <w:sz w:val="20"/>
          <w:szCs w:val="20"/>
        </w:rPr>
        <w:t>CAS number: 102-06-7</w:t>
      </w:r>
    </w:p>
    <w:p w14:paraId="0EF92AC3" w14:textId="77777777" w:rsidR="00BC1D4B" w:rsidRDefault="00BC1D4B">
      <w:pPr>
        <w:pStyle w:val="Corpsdetexte"/>
        <w:rPr>
          <w:rFonts w:ascii="Verdana" w:hAnsi="Verdana"/>
          <w:b/>
          <w:sz w:val="20"/>
          <w:szCs w:val="20"/>
        </w:rPr>
      </w:pPr>
    </w:p>
    <w:p w14:paraId="07EA240E" w14:textId="77777777" w:rsidR="00BC1D4B" w:rsidRDefault="00ED1F84">
      <w:pPr>
        <w:pStyle w:val="Corpsdetexte"/>
        <w:rPr>
          <w:rFonts w:ascii="Verdana" w:hAnsi="Verdana"/>
          <w:b/>
          <w:sz w:val="20"/>
          <w:szCs w:val="20"/>
        </w:rPr>
      </w:pPr>
      <w:r>
        <w:rPr>
          <w:rFonts w:ascii="Verdana" w:hAnsi="Verdana"/>
          <w:b/>
          <w:sz w:val="20"/>
          <w:szCs w:val="20"/>
        </w:rPr>
        <w:t>Authority: FR CA (aMSCA)</w:t>
      </w:r>
    </w:p>
    <w:p w14:paraId="3C75DCD1" w14:textId="31723A21" w:rsidR="00BC1D4B" w:rsidRDefault="00ED1F84">
      <w:pPr>
        <w:pStyle w:val="Corpsdetexte"/>
        <w:rPr>
          <w:rFonts w:ascii="Verdana" w:hAnsi="Verdana"/>
          <w:b/>
          <w:sz w:val="20"/>
          <w:szCs w:val="20"/>
        </w:rPr>
      </w:pPr>
      <w:r>
        <w:rPr>
          <w:rFonts w:ascii="Verdana" w:hAnsi="Verdana"/>
          <w:b/>
          <w:sz w:val="20"/>
          <w:szCs w:val="20"/>
        </w:rPr>
        <w:t xml:space="preserve">Date: </w:t>
      </w:r>
      <w:r w:rsidR="00A21496">
        <w:rPr>
          <w:rFonts w:ascii="Verdana" w:hAnsi="Verdana"/>
          <w:b/>
          <w:sz w:val="20"/>
          <w:szCs w:val="20"/>
        </w:rPr>
        <w:t>28</w:t>
      </w:r>
      <w:r>
        <w:rPr>
          <w:rFonts w:ascii="Verdana" w:hAnsi="Verdana"/>
          <w:b/>
          <w:sz w:val="20"/>
          <w:szCs w:val="20"/>
        </w:rPr>
        <w:t>.0</w:t>
      </w:r>
      <w:r w:rsidR="006900E2">
        <w:rPr>
          <w:rFonts w:ascii="Verdana" w:hAnsi="Verdana"/>
          <w:b/>
          <w:sz w:val="20"/>
          <w:szCs w:val="20"/>
        </w:rPr>
        <w:t>6</w:t>
      </w:r>
      <w:r>
        <w:rPr>
          <w:rFonts w:ascii="Verdana" w:hAnsi="Verdana"/>
          <w:b/>
          <w:sz w:val="20"/>
          <w:szCs w:val="20"/>
        </w:rPr>
        <w:t>.2023</w:t>
      </w:r>
    </w:p>
    <w:p w14:paraId="10A50C74" w14:textId="77777777" w:rsidR="00BC1D4B" w:rsidRDefault="00BC1D4B">
      <w:pPr>
        <w:pStyle w:val="Corpsdetexte"/>
        <w:rPr>
          <w:rFonts w:ascii="Verdana" w:hAnsi="Verdana"/>
          <w:b/>
          <w:sz w:val="20"/>
          <w:szCs w:val="20"/>
        </w:rPr>
      </w:pPr>
    </w:p>
    <w:p w14:paraId="26DB7F68" w14:textId="77777777" w:rsidR="00BC1D4B" w:rsidRDefault="00ED1F84">
      <w:pPr>
        <w:spacing w:after="0"/>
        <w:ind w:left="2160" w:firstLine="720"/>
        <w:rPr>
          <w:rFonts w:ascii="Verdana" w:hAnsi="Verdana"/>
          <w:b/>
          <w:bCs/>
          <w:sz w:val="20"/>
          <w:szCs w:val="20"/>
          <w:lang w:eastAsia="en-GB"/>
        </w:rPr>
      </w:pPr>
      <w:r>
        <w:rPr>
          <w:rFonts w:ascii="Verdana" w:hAnsi="Verdana"/>
          <w:b/>
          <w:bCs/>
          <w:sz w:val="20"/>
          <w:szCs w:val="20"/>
          <w:lang w:eastAsia="en-GB"/>
        </w:rPr>
        <w:t>Cover Note</w:t>
      </w:r>
    </w:p>
    <w:p w14:paraId="4DB37446" w14:textId="77777777" w:rsidR="00BC1D4B" w:rsidRDefault="00BC1D4B">
      <w:pPr>
        <w:spacing w:after="0"/>
        <w:rPr>
          <w:rFonts w:ascii="Verdana" w:hAnsi="Verdana"/>
          <w:b/>
          <w:bCs/>
          <w:sz w:val="20"/>
          <w:szCs w:val="20"/>
          <w:lang w:eastAsia="en-GB"/>
        </w:rPr>
      </w:pPr>
    </w:p>
    <w:p w14:paraId="788083CF" w14:textId="77777777" w:rsidR="00BC1D4B" w:rsidRDefault="00BC1D4B">
      <w:pPr>
        <w:spacing w:after="0"/>
        <w:rPr>
          <w:rFonts w:ascii="Verdana" w:hAnsi="Verdana"/>
          <w:b/>
          <w:bCs/>
          <w:sz w:val="20"/>
          <w:szCs w:val="20"/>
          <w:lang w:eastAsia="en-GB"/>
        </w:rPr>
      </w:pPr>
    </w:p>
    <w:p w14:paraId="754D88FE" w14:textId="77777777" w:rsidR="00BC1D4B" w:rsidRDefault="00ED1F84">
      <w:pPr>
        <w:spacing w:after="0"/>
        <w:jc w:val="both"/>
        <w:rPr>
          <w:rFonts w:ascii="Verdana" w:hAnsi="Verdana"/>
          <w:i/>
          <w:sz w:val="20"/>
          <w:szCs w:val="20"/>
          <w:lang w:eastAsia="en-GB"/>
        </w:rPr>
      </w:pPr>
      <w:r>
        <w:rPr>
          <w:rFonts w:ascii="Verdana" w:hAnsi="Verdana"/>
          <w:i/>
          <w:sz w:val="20"/>
          <w:szCs w:val="20"/>
          <w:lang w:eastAsia="en-GB"/>
        </w:rPr>
        <w:t xml:space="preserve">FRANCE CA registered his intention to revise the current Annex VI entry and a dossier proposal for a revised harmonised classification and labelling for DPG is ongoing. In this RMOA, the need for further regulatory action on DPG is investigated. Exposition of this hazardous substance to consumers and workers, and subsequent risk assessment, are analysed. In addition, emissions to water and the conditions of release of DPG into the environment (limit value) are discussed. </w:t>
      </w:r>
    </w:p>
    <w:p w14:paraId="3A8D6E96" w14:textId="77777777" w:rsidR="00BC1D4B" w:rsidRDefault="00BC1D4B">
      <w:pPr>
        <w:spacing w:after="0"/>
        <w:jc w:val="both"/>
        <w:rPr>
          <w:rFonts w:ascii="Verdana" w:hAnsi="Verdana"/>
          <w:i/>
          <w:sz w:val="20"/>
          <w:szCs w:val="20"/>
          <w:lang w:eastAsia="en-GB"/>
        </w:rPr>
      </w:pPr>
    </w:p>
    <w:p w14:paraId="5ED84323" w14:textId="77777777" w:rsidR="00BC1D4B" w:rsidRDefault="00ED1F84">
      <w:pPr>
        <w:spacing w:after="0"/>
        <w:jc w:val="both"/>
        <w:rPr>
          <w:rFonts w:ascii="Verdana" w:hAnsi="Verdana"/>
          <w:b/>
          <w:sz w:val="20"/>
          <w:szCs w:val="20"/>
          <w:lang w:eastAsia="en-GB"/>
        </w:rPr>
      </w:pPr>
      <w:r>
        <w:rPr>
          <w:rFonts w:ascii="Verdana" w:hAnsi="Verdana"/>
          <w:b/>
          <w:sz w:val="20"/>
          <w:szCs w:val="20"/>
          <w:lang w:eastAsia="en-GB"/>
        </w:rPr>
        <w:t xml:space="preserve">General Comments and additional relevant information are invited on this RMOA by </w:t>
      </w:r>
      <w:r>
        <w:rPr>
          <w:rFonts w:ascii="Verdana" w:hAnsi="Verdana"/>
          <w:b/>
          <w:sz w:val="20"/>
          <w:szCs w:val="20"/>
          <w:highlight w:val="yellow"/>
          <w:lang w:eastAsia="en-GB"/>
        </w:rPr>
        <w:t>Month Date Year</w:t>
      </w:r>
      <w:r>
        <w:rPr>
          <w:rFonts w:ascii="Verdana" w:hAnsi="Verdana"/>
          <w:b/>
          <w:sz w:val="20"/>
          <w:szCs w:val="20"/>
          <w:lang w:eastAsia="en-GB"/>
        </w:rPr>
        <w:t>.</w:t>
      </w:r>
    </w:p>
    <w:p w14:paraId="29947CF8" w14:textId="77777777" w:rsidR="00BC1D4B" w:rsidRDefault="00BC1D4B">
      <w:pPr>
        <w:spacing w:after="0"/>
        <w:jc w:val="both"/>
        <w:rPr>
          <w:rFonts w:ascii="Verdana" w:hAnsi="Verdana"/>
          <w:b/>
          <w:sz w:val="20"/>
          <w:szCs w:val="20"/>
          <w:lang w:eastAsia="en-GB"/>
        </w:rPr>
      </w:pPr>
    </w:p>
    <w:p w14:paraId="408AF51C" w14:textId="5D46D4CA" w:rsidR="00BC1D4B" w:rsidRDefault="00ED1F84">
      <w:pPr>
        <w:spacing w:after="0"/>
        <w:jc w:val="both"/>
        <w:rPr>
          <w:rFonts w:ascii="Verdana" w:hAnsi="Verdana"/>
          <w:b/>
          <w:sz w:val="20"/>
          <w:szCs w:val="20"/>
          <w:lang w:eastAsia="en-GB"/>
        </w:rPr>
      </w:pPr>
      <w:r>
        <w:rPr>
          <w:rFonts w:ascii="Verdana" w:hAnsi="Verdana"/>
          <w:b/>
          <w:sz w:val="20"/>
          <w:szCs w:val="20"/>
          <w:lang w:eastAsia="en-GB"/>
        </w:rPr>
        <w:t>Additional specific questions:</w:t>
      </w:r>
    </w:p>
    <w:p w14:paraId="05A06DAC" w14:textId="3E605C15" w:rsidR="00BC1D4B" w:rsidRDefault="00ED1F84" w:rsidP="0074729A">
      <w:pPr>
        <w:pStyle w:val="Paragraphedeliste"/>
        <w:numPr>
          <w:ilvl w:val="0"/>
          <w:numId w:val="11"/>
        </w:numPr>
        <w:spacing w:after="0"/>
        <w:jc w:val="both"/>
        <w:rPr>
          <w:rFonts w:ascii="Verdana" w:hAnsi="Verdana"/>
          <w:bCs/>
          <w:sz w:val="20"/>
          <w:szCs w:val="20"/>
          <w:lang w:eastAsia="en-GB"/>
        </w:rPr>
      </w:pPr>
      <w:r>
        <w:rPr>
          <w:rFonts w:ascii="Verdana" w:hAnsi="Verdana"/>
          <w:bCs/>
          <w:sz w:val="20"/>
          <w:szCs w:val="20"/>
          <w:lang w:eastAsia="en-GB"/>
        </w:rPr>
        <w:t xml:space="preserve">Do you have further </w:t>
      </w:r>
      <w:r w:rsidR="000322F5">
        <w:rPr>
          <w:rFonts w:ascii="Verdana" w:hAnsi="Verdana"/>
          <w:bCs/>
          <w:sz w:val="20"/>
          <w:szCs w:val="20"/>
          <w:lang w:eastAsia="en-GB"/>
        </w:rPr>
        <w:t xml:space="preserve">information </w:t>
      </w:r>
      <w:r>
        <w:rPr>
          <w:rFonts w:ascii="Verdana" w:hAnsi="Verdana"/>
          <w:bCs/>
          <w:sz w:val="20"/>
          <w:szCs w:val="20"/>
          <w:lang w:eastAsia="en-GB"/>
        </w:rPr>
        <w:t>related to degradation products</w:t>
      </w:r>
      <w:r>
        <w:t xml:space="preserve"> </w:t>
      </w:r>
      <w:r>
        <w:rPr>
          <w:rFonts w:ascii="Verdana" w:hAnsi="Verdana"/>
          <w:bCs/>
          <w:sz w:val="20"/>
          <w:szCs w:val="20"/>
          <w:lang w:eastAsia="en-GB"/>
        </w:rPr>
        <w:t xml:space="preserve">aniline, N-nitroso-diphenylurea and phenyl guanidine? </w:t>
      </w:r>
    </w:p>
    <w:p w14:paraId="769C1AAD" w14:textId="77777777" w:rsidR="00BC1D4B" w:rsidRDefault="00ED1F84" w:rsidP="0074729A">
      <w:pPr>
        <w:pStyle w:val="Paragraphedeliste"/>
        <w:numPr>
          <w:ilvl w:val="0"/>
          <w:numId w:val="11"/>
        </w:numPr>
        <w:spacing w:after="0"/>
        <w:jc w:val="both"/>
        <w:rPr>
          <w:rFonts w:ascii="Verdana" w:hAnsi="Verdana"/>
          <w:bCs/>
          <w:sz w:val="20"/>
          <w:szCs w:val="20"/>
          <w:lang w:eastAsia="en-GB"/>
        </w:rPr>
      </w:pPr>
      <w:r>
        <w:rPr>
          <w:rFonts w:ascii="Verdana" w:hAnsi="Verdana"/>
          <w:bCs/>
          <w:sz w:val="20"/>
          <w:szCs w:val="20"/>
          <w:lang w:eastAsia="en-GB"/>
        </w:rPr>
        <w:t>Do you have additional information on the concentration of DPG and/or its degradation products in articles?</w:t>
      </w:r>
    </w:p>
    <w:p w14:paraId="023DA8D7" w14:textId="77777777" w:rsidR="00BC1D4B" w:rsidRDefault="00ED1F84">
      <w:pPr>
        <w:spacing w:after="200" w:line="276" w:lineRule="auto"/>
        <w:rPr>
          <w:rFonts w:ascii="Verdana" w:hAnsi="Verdana"/>
          <w:bCs/>
          <w:sz w:val="20"/>
          <w:szCs w:val="20"/>
          <w:lang w:eastAsia="en-GB"/>
        </w:rPr>
      </w:pPr>
      <w:r>
        <w:rPr>
          <w:rFonts w:ascii="Verdana" w:hAnsi="Verdana"/>
          <w:bCs/>
          <w:sz w:val="20"/>
          <w:szCs w:val="20"/>
          <w:lang w:eastAsia="en-GB"/>
        </w:rPr>
        <w:br w:type="page" w:clear="all"/>
      </w:r>
    </w:p>
    <w:p w14:paraId="1282EF2A" w14:textId="77777777" w:rsidR="00BC1D4B" w:rsidRDefault="00BC1D4B">
      <w:pPr>
        <w:pStyle w:val="Paragraphedeliste"/>
        <w:spacing w:after="0"/>
        <w:jc w:val="both"/>
        <w:rPr>
          <w:rFonts w:ascii="Verdana" w:hAnsi="Verdana"/>
          <w:bCs/>
          <w:sz w:val="20"/>
          <w:szCs w:val="20"/>
          <w:lang w:eastAsia="en-GB"/>
        </w:rPr>
      </w:pPr>
    </w:p>
    <w:sdt>
      <w:sdtPr>
        <w:rPr>
          <w:rFonts w:ascii="Times New Roman" w:eastAsia="Times New Roman" w:hAnsi="Times New Roman" w:cs="Times New Roman"/>
          <w:b w:val="0"/>
          <w:bCs w:val="0"/>
          <w:color w:val="auto"/>
          <w:sz w:val="24"/>
          <w:szCs w:val="24"/>
          <w:lang w:eastAsia="en-US"/>
        </w:rPr>
        <w:id w:val="867024997"/>
        <w:docPartObj>
          <w:docPartGallery w:val="Table of Contents"/>
          <w:docPartUnique/>
        </w:docPartObj>
      </w:sdtPr>
      <w:sdtEndPr/>
      <w:sdtContent>
        <w:p w14:paraId="441DD46F" w14:textId="77777777" w:rsidR="00BC1D4B" w:rsidRDefault="00ED1F84">
          <w:pPr>
            <w:pStyle w:val="En-ttedetabledesmatires"/>
          </w:pPr>
          <w:r>
            <w:t>Contents</w:t>
          </w:r>
        </w:p>
        <w:p w14:paraId="6B7BC5F7" w14:textId="66ADC87C" w:rsidR="00485022" w:rsidRDefault="00ED1F84">
          <w:pPr>
            <w:pStyle w:val="TM1"/>
            <w:rPr>
              <w:rFonts w:asciiTheme="minorHAnsi" w:eastAsiaTheme="minorEastAsia" w:hAnsiTheme="minorHAnsi" w:cstheme="minorBidi"/>
              <w:b w:val="0"/>
              <w:noProof/>
              <w:sz w:val="22"/>
              <w:szCs w:val="22"/>
              <w:lang w:val="fr-FR" w:eastAsia="fr-FR"/>
            </w:rPr>
          </w:pPr>
          <w:r>
            <w:rPr>
              <w:b w:val="0"/>
              <w:bCs/>
            </w:rPr>
            <w:fldChar w:fldCharType="begin"/>
          </w:r>
          <w:r>
            <w:rPr>
              <w:b w:val="0"/>
              <w:bCs/>
            </w:rPr>
            <w:instrText xml:space="preserve"> TOC \o "1-3" \h \z \u </w:instrText>
          </w:r>
          <w:r>
            <w:rPr>
              <w:b w:val="0"/>
              <w:bCs/>
            </w:rPr>
            <w:fldChar w:fldCharType="separate"/>
          </w:r>
          <w:hyperlink w:anchor="_Toc137044463" w:history="1">
            <w:r w:rsidR="00485022" w:rsidRPr="00EB4A5E">
              <w:rPr>
                <w:rStyle w:val="Lienhypertexte"/>
                <w:noProof/>
                <w:lang w:eastAsia="fi-FI"/>
              </w:rPr>
              <w:t>Foreword</w:t>
            </w:r>
            <w:r w:rsidR="00485022">
              <w:rPr>
                <w:noProof/>
                <w:webHidden/>
              </w:rPr>
              <w:tab/>
            </w:r>
            <w:r w:rsidR="00485022">
              <w:rPr>
                <w:noProof/>
                <w:webHidden/>
              </w:rPr>
              <w:fldChar w:fldCharType="begin"/>
            </w:r>
            <w:r w:rsidR="00485022">
              <w:rPr>
                <w:noProof/>
                <w:webHidden/>
              </w:rPr>
              <w:instrText xml:space="preserve"> PAGEREF _Toc137044463 \h </w:instrText>
            </w:r>
            <w:r w:rsidR="00485022">
              <w:rPr>
                <w:noProof/>
                <w:webHidden/>
              </w:rPr>
            </w:r>
            <w:r w:rsidR="00485022">
              <w:rPr>
                <w:noProof/>
                <w:webHidden/>
              </w:rPr>
              <w:fldChar w:fldCharType="separate"/>
            </w:r>
            <w:r w:rsidR="00485022">
              <w:rPr>
                <w:noProof/>
                <w:webHidden/>
              </w:rPr>
              <w:t>7</w:t>
            </w:r>
            <w:r w:rsidR="00485022">
              <w:rPr>
                <w:noProof/>
                <w:webHidden/>
              </w:rPr>
              <w:fldChar w:fldCharType="end"/>
            </w:r>
          </w:hyperlink>
        </w:p>
        <w:p w14:paraId="06669550" w14:textId="32B4998E" w:rsidR="00485022" w:rsidRDefault="009E2E72">
          <w:pPr>
            <w:pStyle w:val="TM1"/>
            <w:rPr>
              <w:rFonts w:asciiTheme="minorHAnsi" w:eastAsiaTheme="minorEastAsia" w:hAnsiTheme="minorHAnsi" w:cstheme="minorBidi"/>
              <w:b w:val="0"/>
              <w:noProof/>
              <w:sz w:val="22"/>
              <w:szCs w:val="22"/>
              <w:lang w:val="fr-FR" w:eastAsia="fr-FR"/>
            </w:rPr>
          </w:pPr>
          <w:hyperlink w:anchor="_Toc137044464" w:history="1">
            <w:r w:rsidR="00485022" w:rsidRPr="00EB4A5E">
              <w:rPr>
                <w:rStyle w:val="Lienhypertexte"/>
                <w:noProof/>
                <w:lang w:eastAsia="fi-FI"/>
              </w:rPr>
              <w:t>Glossary</w:t>
            </w:r>
            <w:r w:rsidR="00485022">
              <w:rPr>
                <w:noProof/>
                <w:webHidden/>
              </w:rPr>
              <w:tab/>
            </w:r>
            <w:r w:rsidR="00485022">
              <w:rPr>
                <w:noProof/>
                <w:webHidden/>
              </w:rPr>
              <w:fldChar w:fldCharType="begin"/>
            </w:r>
            <w:r w:rsidR="00485022">
              <w:rPr>
                <w:noProof/>
                <w:webHidden/>
              </w:rPr>
              <w:instrText xml:space="preserve"> PAGEREF _Toc137044464 \h </w:instrText>
            </w:r>
            <w:r w:rsidR="00485022">
              <w:rPr>
                <w:noProof/>
                <w:webHidden/>
              </w:rPr>
            </w:r>
            <w:r w:rsidR="00485022">
              <w:rPr>
                <w:noProof/>
                <w:webHidden/>
              </w:rPr>
              <w:fldChar w:fldCharType="separate"/>
            </w:r>
            <w:r w:rsidR="00485022">
              <w:rPr>
                <w:noProof/>
                <w:webHidden/>
              </w:rPr>
              <w:t>8</w:t>
            </w:r>
            <w:r w:rsidR="00485022">
              <w:rPr>
                <w:noProof/>
                <w:webHidden/>
              </w:rPr>
              <w:fldChar w:fldCharType="end"/>
            </w:r>
          </w:hyperlink>
        </w:p>
        <w:p w14:paraId="287AC5DA" w14:textId="345E2FC9" w:rsidR="00485022" w:rsidRDefault="009E2E72">
          <w:pPr>
            <w:pStyle w:val="TM1"/>
            <w:rPr>
              <w:rFonts w:asciiTheme="minorHAnsi" w:eastAsiaTheme="minorEastAsia" w:hAnsiTheme="minorHAnsi" w:cstheme="minorBidi"/>
              <w:b w:val="0"/>
              <w:noProof/>
              <w:sz w:val="22"/>
              <w:szCs w:val="22"/>
              <w:lang w:val="fr-FR" w:eastAsia="fr-FR"/>
            </w:rPr>
          </w:pPr>
          <w:hyperlink w:anchor="_Toc137044465" w:history="1">
            <w:r w:rsidR="00485022" w:rsidRPr="00EB4A5E">
              <w:rPr>
                <w:rStyle w:val="Lienhypertexte"/>
                <w:noProof/>
                <w:lang w:val="en-US"/>
              </w:rPr>
              <w:t>1</w:t>
            </w:r>
            <w:r w:rsidR="00485022">
              <w:rPr>
                <w:rFonts w:asciiTheme="minorHAnsi" w:eastAsiaTheme="minorEastAsia" w:hAnsiTheme="minorHAnsi" w:cstheme="minorBidi"/>
                <w:b w:val="0"/>
                <w:noProof/>
                <w:sz w:val="22"/>
                <w:szCs w:val="22"/>
                <w:lang w:val="fr-FR" w:eastAsia="fr-FR"/>
              </w:rPr>
              <w:tab/>
            </w:r>
            <w:r w:rsidR="00485022" w:rsidRPr="00EB4A5E">
              <w:rPr>
                <w:rStyle w:val="Lienhypertexte"/>
                <w:noProof/>
              </w:rPr>
              <w:t>Overview of the substance</w:t>
            </w:r>
            <w:r w:rsidR="00485022">
              <w:rPr>
                <w:noProof/>
                <w:webHidden/>
              </w:rPr>
              <w:tab/>
            </w:r>
            <w:r w:rsidR="00485022">
              <w:rPr>
                <w:noProof/>
                <w:webHidden/>
              </w:rPr>
              <w:fldChar w:fldCharType="begin"/>
            </w:r>
            <w:r w:rsidR="00485022">
              <w:rPr>
                <w:noProof/>
                <w:webHidden/>
              </w:rPr>
              <w:instrText xml:space="preserve"> PAGEREF _Toc137044465 \h </w:instrText>
            </w:r>
            <w:r w:rsidR="00485022">
              <w:rPr>
                <w:noProof/>
                <w:webHidden/>
              </w:rPr>
            </w:r>
            <w:r w:rsidR="00485022">
              <w:rPr>
                <w:noProof/>
                <w:webHidden/>
              </w:rPr>
              <w:fldChar w:fldCharType="separate"/>
            </w:r>
            <w:r w:rsidR="00485022">
              <w:rPr>
                <w:noProof/>
                <w:webHidden/>
              </w:rPr>
              <w:t>10</w:t>
            </w:r>
            <w:r w:rsidR="00485022">
              <w:rPr>
                <w:noProof/>
                <w:webHidden/>
              </w:rPr>
              <w:fldChar w:fldCharType="end"/>
            </w:r>
          </w:hyperlink>
        </w:p>
        <w:p w14:paraId="090500FC" w14:textId="55EC4FC9" w:rsidR="00485022" w:rsidRDefault="009E2E72">
          <w:pPr>
            <w:pStyle w:val="TM2"/>
            <w:rPr>
              <w:rFonts w:asciiTheme="minorHAnsi" w:eastAsiaTheme="minorEastAsia" w:hAnsiTheme="minorHAnsi" w:cstheme="minorBidi"/>
              <w:noProof/>
              <w:sz w:val="22"/>
              <w:szCs w:val="22"/>
              <w:lang w:val="fr-FR" w:eastAsia="fr-FR"/>
            </w:rPr>
          </w:pPr>
          <w:hyperlink w:anchor="_Toc137044466" w:history="1">
            <w:r w:rsidR="00485022" w:rsidRPr="00EB4A5E">
              <w:rPr>
                <w:rStyle w:val="Lienhypertexte"/>
                <w:noProof/>
              </w:rPr>
              <w:t>1.1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Substance identifiers</w:t>
            </w:r>
            <w:r w:rsidR="00485022">
              <w:rPr>
                <w:noProof/>
                <w:webHidden/>
              </w:rPr>
              <w:tab/>
            </w:r>
            <w:r w:rsidR="00485022">
              <w:rPr>
                <w:noProof/>
                <w:webHidden/>
              </w:rPr>
              <w:fldChar w:fldCharType="begin"/>
            </w:r>
            <w:r w:rsidR="00485022">
              <w:rPr>
                <w:noProof/>
                <w:webHidden/>
              </w:rPr>
              <w:instrText xml:space="preserve"> PAGEREF _Toc137044466 \h </w:instrText>
            </w:r>
            <w:r w:rsidR="00485022">
              <w:rPr>
                <w:noProof/>
                <w:webHidden/>
              </w:rPr>
            </w:r>
            <w:r w:rsidR="00485022">
              <w:rPr>
                <w:noProof/>
                <w:webHidden/>
              </w:rPr>
              <w:fldChar w:fldCharType="separate"/>
            </w:r>
            <w:r w:rsidR="00485022">
              <w:rPr>
                <w:noProof/>
                <w:webHidden/>
              </w:rPr>
              <w:t>11</w:t>
            </w:r>
            <w:r w:rsidR="00485022">
              <w:rPr>
                <w:noProof/>
                <w:webHidden/>
              </w:rPr>
              <w:fldChar w:fldCharType="end"/>
            </w:r>
          </w:hyperlink>
        </w:p>
        <w:p w14:paraId="20036D49" w14:textId="0413E0BF" w:rsidR="00485022" w:rsidRDefault="009E2E72">
          <w:pPr>
            <w:pStyle w:val="TM2"/>
            <w:rPr>
              <w:rFonts w:asciiTheme="minorHAnsi" w:eastAsiaTheme="minorEastAsia" w:hAnsiTheme="minorHAnsi" w:cstheme="minorBidi"/>
              <w:noProof/>
              <w:sz w:val="22"/>
              <w:szCs w:val="22"/>
              <w:lang w:val="fr-FR" w:eastAsia="fr-FR"/>
            </w:rPr>
          </w:pPr>
          <w:hyperlink w:anchor="_Toc137044467" w:history="1">
            <w:r w:rsidR="00485022" w:rsidRPr="00EB4A5E">
              <w:rPr>
                <w:rStyle w:val="Lienhypertexte"/>
                <w:noProof/>
              </w:rPr>
              <w:t>1.2</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Completed or ongoing process</w:t>
            </w:r>
            <w:r w:rsidR="00485022">
              <w:rPr>
                <w:noProof/>
                <w:webHidden/>
              </w:rPr>
              <w:tab/>
            </w:r>
            <w:r w:rsidR="00485022">
              <w:rPr>
                <w:noProof/>
                <w:webHidden/>
              </w:rPr>
              <w:fldChar w:fldCharType="begin"/>
            </w:r>
            <w:r w:rsidR="00485022">
              <w:rPr>
                <w:noProof/>
                <w:webHidden/>
              </w:rPr>
              <w:instrText xml:space="preserve"> PAGEREF _Toc137044467 \h </w:instrText>
            </w:r>
            <w:r w:rsidR="00485022">
              <w:rPr>
                <w:noProof/>
                <w:webHidden/>
              </w:rPr>
            </w:r>
            <w:r w:rsidR="00485022">
              <w:rPr>
                <w:noProof/>
                <w:webHidden/>
              </w:rPr>
              <w:fldChar w:fldCharType="separate"/>
            </w:r>
            <w:r w:rsidR="00485022">
              <w:rPr>
                <w:noProof/>
                <w:webHidden/>
              </w:rPr>
              <w:t>12</w:t>
            </w:r>
            <w:r w:rsidR="00485022">
              <w:rPr>
                <w:noProof/>
                <w:webHidden/>
              </w:rPr>
              <w:fldChar w:fldCharType="end"/>
            </w:r>
          </w:hyperlink>
        </w:p>
        <w:p w14:paraId="3E8443AA" w14:textId="66386882" w:rsidR="00485022" w:rsidRDefault="009E2E72">
          <w:pPr>
            <w:pStyle w:val="TM2"/>
            <w:rPr>
              <w:rFonts w:asciiTheme="minorHAnsi" w:eastAsiaTheme="minorEastAsia" w:hAnsiTheme="minorHAnsi" w:cstheme="minorBidi"/>
              <w:noProof/>
              <w:sz w:val="22"/>
              <w:szCs w:val="22"/>
              <w:lang w:val="fr-FR" w:eastAsia="fr-FR"/>
            </w:rPr>
          </w:pPr>
          <w:hyperlink w:anchor="_Toc137044468" w:history="1">
            <w:r w:rsidR="00485022" w:rsidRPr="00EB4A5E">
              <w:rPr>
                <w:rStyle w:val="Lienhypertexte"/>
                <w:noProof/>
              </w:rPr>
              <w:t>1.3</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Information on tonnage and uses</w:t>
            </w:r>
            <w:r w:rsidR="00485022">
              <w:rPr>
                <w:noProof/>
                <w:webHidden/>
              </w:rPr>
              <w:tab/>
            </w:r>
            <w:r w:rsidR="00485022">
              <w:rPr>
                <w:noProof/>
                <w:webHidden/>
              </w:rPr>
              <w:fldChar w:fldCharType="begin"/>
            </w:r>
            <w:r w:rsidR="00485022">
              <w:rPr>
                <w:noProof/>
                <w:webHidden/>
              </w:rPr>
              <w:instrText xml:space="preserve"> PAGEREF _Toc137044468 \h </w:instrText>
            </w:r>
            <w:r w:rsidR="00485022">
              <w:rPr>
                <w:noProof/>
                <w:webHidden/>
              </w:rPr>
            </w:r>
            <w:r w:rsidR="00485022">
              <w:rPr>
                <w:noProof/>
                <w:webHidden/>
              </w:rPr>
              <w:fldChar w:fldCharType="separate"/>
            </w:r>
            <w:r w:rsidR="00485022">
              <w:rPr>
                <w:noProof/>
                <w:webHidden/>
              </w:rPr>
              <w:t>14</w:t>
            </w:r>
            <w:r w:rsidR="00485022">
              <w:rPr>
                <w:noProof/>
                <w:webHidden/>
              </w:rPr>
              <w:fldChar w:fldCharType="end"/>
            </w:r>
          </w:hyperlink>
        </w:p>
        <w:p w14:paraId="7324A8CC" w14:textId="7791C428" w:rsidR="00485022" w:rsidRDefault="009E2E72">
          <w:pPr>
            <w:pStyle w:val="TM2"/>
            <w:rPr>
              <w:rFonts w:asciiTheme="minorHAnsi" w:eastAsiaTheme="minorEastAsia" w:hAnsiTheme="minorHAnsi" w:cstheme="minorBidi"/>
              <w:noProof/>
              <w:sz w:val="22"/>
              <w:szCs w:val="22"/>
              <w:lang w:val="fr-FR" w:eastAsia="fr-FR"/>
            </w:rPr>
          </w:pPr>
          <w:hyperlink w:anchor="_Toc137044469" w:history="1">
            <w:r w:rsidR="00485022" w:rsidRPr="00EB4A5E">
              <w:rPr>
                <w:rStyle w:val="Lienhypertexte"/>
                <w:noProof/>
                <w:lang w:val="en-US"/>
              </w:rPr>
              <w:t>1.4</w:t>
            </w:r>
            <w:r w:rsidR="00485022">
              <w:rPr>
                <w:rFonts w:asciiTheme="minorHAnsi" w:eastAsiaTheme="minorEastAsia" w:hAnsiTheme="minorHAnsi" w:cstheme="minorBidi"/>
                <w:noProof/>
                <w:sz w:val="22"/>
                <w:szCs w:val="22"/>
                <w:lang w:val="fr-FR" w:eastAsia="fr-FR"/>
              </w:rPr>
              <w:tab/>
            </w:r>
            <w:r w:rsidR="00485022" w:rsidRPr="00EB4A5E">
              <w:rPr>
                <w:rStyle w:val="Lienhypertexte"/>
                <w:noProof/>
                <w:lang w:val="en-US"/>
              </w:rPr>
              <w:t xml:space="preserve">Hazard </w:t>
            </w:r>
            <w:r w:rsidR="00485022" w:rsidRPr="00EB4A5E">
              <w:rPr>
                <w:rStyle w:val="Lienhypertexte"/>
                <w:noProof/>
              </w:rPr>
              <w:t>information</w:t>
            </w:r>
            <w:r w:rsidR="00485022" w:rsidRPr="00EB4A5E">
              <w:rPr>
                <w:rStyle w:val="Lienhypertexte"/>
                <w:noProof/>
                <w:lang w:val="en-US"/>
              </w:rPr>
              <w:t xml:space="preserve"> (including classification)</w:t>
            </w:r>
            <w:r w:rsidR="00485022">
              <w:rPr>
                <w:noProof/>
                <w:webHidden/>
              </w:rPr>
              <w:tab/>
            </w:r>
            <w:r w:rsidR="00485022">
              <w:rPr>
                <w:noProof/>
                <w:webHidden/>
              </w:rPr>
              <w:fldChar w:fldCharType="begin"/>
            </w:r>
            <w:r w:rsidR="00485022">
              <w:rPr>
                <w:noProof/>
                <w:webHidden/>
              </w:rPr>
              <w:instrText xml:space="preserve"> PAGEREF _Toc137044469 \h </w:instrText>
            </w:r>
            <w:r w:rsidR="00485022">
              <w:rPr>
                <w:noProof/>
                <w:webHidden/>
              </w:rPr>
            </w:r>
            <w:r w:rsidR="00485022">
              <w:rPr>
                <w:noProof/>
                <w:webHidden/>
              </w:rPr>
              <w:fldChar w:fldCharType="separate"/>
            </w:r>
            <w:r w:rsidR="00485022">
              <w:rPr>
                <w:noProof/>
                <w:webHidden/>
              </w:rPr>
              <w:t>15</w:t>
            </w:r>
            <w:r w:rsidR="00485022">
              <w:rPr>
                <w:noProof/>
                <w:webHidden/>
              </w:rPr>
              <w:fldChar w:fldCharType="end"/>
            </w:r>
          </w:hyperlink>
        </w:p>
        <w:p w14:paraId="606C845B" w14:textId="130E8583" w:rsidR="00485022" w:rsidRDefault="009E2E72">
          <w:pPr>
            <w:pStyle w:val="TM3"/>
            <w:rPr>
              <w:rFonts w:asciiTheme="minorHAnsi" w:eastAsiaTheme="minorEastAsia" w:hAnsiTheme="minorHAnsi" w:cstheme="minorBidi"/>
              <w:noProof/>
              <w:sz w:val="22"/>
              <w:szCs w:val="22"/>
              <w:lang w:val="fr-FR" w:eastAsia="fr-FR"/>
            </w:rPr>
          </w:pPr>
          <w:hyperlink w:anchor="_Toc137044470" w:history="1">
            <w:r w:rsidR="00485022" w:rsidRPr="00EB4A5E">
              <w:rPr>
                <w:rStyle w:val="Lienhypertexte"/>
                <w:noProof/>
                <w:lang w:val="en-US"/>
              </w:rPr>
              <w:t>1.4.1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Classification</w:t>
            </w:r>
            <w:r w:rsidR="00485022">
              <w:rPr>
                <w:noProof/>
                <w:webHidden/>
              </w:rPr>
              <w:tab/>
            </w:r>
            <w:r w:rsidR="00485022">
              <w:rPr>
                <w:noProof/>
                <w:webHidden/>
              </w:rPr>
              <w:fldChar w:fldCharType="begin"/>
            </w:r>
            <w:r w:rsidR="00485022">
              <w:rPr>
                <w:noProof/>
                <w:webHidden/>
              </w:rPr>
              <w:instrText xml:space="preserve"> PAGEREF _Toc137044470 \h </w:instrText>
            </w:r>
            <w:r w:rsidR="00485022">
              <w:rPr>
                <w:noProof/>
                <w:webHidden/>
              </w:rPr>
            </w:r>
            <w:r w:rsidR="00485022">
              <w:rPr>
                <w:noProof/>
                <w:webHidden/>
              </w:rPr>
              <w:fldChar w:fldCharType="separate"/>
            </w:r>
            <w:r w:rsidR="00485022">
              <w:rPr>
                <w:noProof/>
                <w:webHidden/>
              </w:rPr>
              <w:t>15</w:t>
            </w:r>
            <w:r w:rsidR="00485022">
              <w:rPr>
                <w:noProof/>
                <w:webHidden/>
              </w:rPr>
              <w:fldChar w:fldCharType="end"/>
            </w:r>
          </w:hyperlink>
        </w:p>
        <w:p w14:paraId="3E1E86C7" w14:textId="39AF1ACC" w:rsidR="00485022" w:rsidRDefault="009E2E72">
          <w:pPr>
            <w:pStyle w:val="TM3"/>
            <w:rPr>
              <w:rFonts w:asciiTheme="minorHAnsi" w:eastAsiaTheme="minorEastAsia" w:hAnsiTheme="minorHAnsi" w:cstheme="minorBidi"/>
              <w:noProof/>
              <w:sz w:val="22"/>
              <w:szCs w:val="22"/>
              <w:lang w:val="fr-FR" w:eastAsia="fr-FR"/>
            </w:rPr>
          </w:pPr>
          <w:hyperlink w:anchor="_Toc137044471" w:history="1">
            <w:r w:rsidR="00485022" w:rsidRPr="00EB4A5E">
              <w:rPr>
                <w:rStyle w:val="Lienhypertexte"/>
                <w:noProof/>
                <w:lang w:val="nl-BE"/>
              </w:rPr>
              <w:t>1.4.2</w:t>
            </w:r>
            <w:r w:rsidR="00485022">
              <w:rPr>
                <w:rFonts w:asciiTheme="minorHAnsi" w:eastAsiaTheme="minorEastAsia" w:hAnsiTheme="minorHAnsi" w:cstheme="minorBidi"/>
                <w:noProof/>
                <w:sz w:val="22"/>
                <w:szCs w:val="22"/>
                <w:lang w:val="fr-FR" w:eastAsia="fr-FR"/>
              </w:rPr>
              <w:tab/>
            </w:r>
            <w:r w:rsidR="00485022" w:rsidRPr="00EB4A5E">
              <w:rPr>
                <w:rStyle w:val="Lienhypertexte"/>
                <w:noProof/>
                <w:lang w:val="nl-BE"/>
              </w:rPr>
              <w:t xml:space="preserve">Setting of DNELs </w:t>
            </w:r>
            <w:r w:rsidR="00485022" w:rsidRPr="00EB4A5E">
              <w:rPr>
                <w:rStyle w:val="Lienhypertexte"/>
                <w:noProof/>
              </w:rPr>
              <w:t>considering</w:t>
            </w:r>
            <w:r w:rsidR="00485022" w:rsidRPr="00EB4A5E">
              <w:rPr>
                <w:rStyle w:val="Lienhypertexte"/>
                <w:noProof/>
                <w:lang w:val="nl-BE"/>
              </w:rPr>
              <w:t xml:space="preserve"> the recent EOGRTS study</w:t>
            </w:r>
            <w:r w:rsidR="00485022">
              <w:rPr>
                <w:noProof/>
                <w:webHidden/>
              </w:rPr>
              <w:tab/>
            </w:r>
            <w:r w:rsidR="00485022">
              <w:rPr>
                <w:noProof/>
                <w:webHidden/>
              </w:rPr>
              <w:fldChar w:fldCharType="begin"/>
            </w:r>
            <w:r w:rsidR="00485022">
              <w:rPr>
                <w:noProof/>
                <w:webHidden/>
              </w:rPr>
              <w:instrText xml:space="preserve"> PAGEREF _Toc137044471 \h </w:instrText>
            </w:r>
            <w:r w:rsidR="00485022">
              <w:rPr>
                <w:noProof/>
                <w:webHidden/>
              </w:rPr>
            </w:r>
            <w:r w:rsidR="00485022">
              <w:rPr>
                <w:noProof/>
                <w:webHidden/>
              </w:rPr>
              <w:fldChar w:fldCharType="separate"/>
            </w:r>
            <w:r w:rsidR="00485022">
              <w:rPr>
                <w:noProof/>
                <w:webHidden/>
              </w:rPr>
              <w:t>17</w:t>
            </w:r>
            <w:r w:rsidR="00485022">
              <w:rPr>
                <w:noProof/>
                <w:webHidden/>
              </w:rPr>
              <w:fldChar w:fldCharType="end"/>
            </w:r>
          </w:hyperlink>
        </w:p>
        <w:p w14:paraId="34255377" w14:textId="012035E6" w:rsidR="00485022" w:rsidRDefault="009E2E72">
          <w:pPr>
            <w:pStyle w:val="TM3"/>
            <w:rPr>
              <w:rFonts w:asciiTheme="minorHAnsi" w:eastAsiaTheme="minorEastAsia" w:hAnsiTheme="minorHAnsi" w:cstheme="minorBidi"/>
              <w:noProof/>
              <w:sz w:val="22"/>
              <w:szCs w:val="22"/>
              <w:lang w:val="fr-FR" w:eastAsia="fr-FR"/>
            </w:rPr>
          </w:pPr>
          <w:hyperlink w:anchor="_Toc137044472" w:history="1">
            <w:r w:rsidR="00485022" w:rsidRPr="00EB4A5E">
              <w:rPr>
                <w:rStyle w:val="Lienhypertexte"/>
                <w:rFonts w:eastAsia="Calibri"/>
                <w:noProof/>
                <w:lang w:val="en-US"/>
              </w:rPr>
              <w:t>1.4.3</w:t>
            </w:r>
            <w:r w:rsidR="00485022">
              <w:rPr>
                <w:rFonts w:asciiTheme="minorHAnsi" w:eastAsiaTheme="minorEastAsia" w:hAnsiTheme="minorHAnsi" w:cstheme="minorBidi"/>
                <w:noProof/>
                <w:sz w:val="22"/>
                <w:szCs w:val="22"/>
                <w:lang w:val="fr-FR" w:eastAsia="fr-FR"/>
              </w:rPr>
              <w:tab/>
            </w:r>
            <w:r w:rsidR="00485022" w:rsidRPr="00EB4A5E">
              <w:rPr>
                <w:rStyle w:val="Lienhypertexte"/>
                <w:rFonts w:eastAsia="Calibri"/>
                <w:noProof/>
                <w:lang w:val="en-US"/>
              </w:rPr>
              <w:t xml:space="preserve">Endocrine disruption </w:t>
            </w:r>
            <w:r w:rsidR="00485022" w:rsidRPr="00EB4A5E">
              <w:rPr>
                <w:rStyle w:val="Lienhypertexte"/>
                <w:rFonts w:eastAsia="Calibri"/>
                <w:noProof/>
              </w:rPr>
              <w:t>properties</w:t>
            </w:r>
            <w:r w:rsidR="00485022" w:rsidRPr="00EB4A5E">
              <w:rPr>
                <w:rStyle w:val="Lienhypertexte"/>
                <w:rFonts w:eastAsia="Calibri"/>
                <w:noProof/>
                <w:lang w:val="en-US"/>
              </w:rPr>
              <w:t xml:space="preserve"> assessment</w:t>
            </w:r>
            <w:r w:rsidR="00485022">
              <w:rPr>
                <w:noProof/>
                <w:webHidden/>
              </w:rPr>
              <w:tab/>
            </w:r>
            <w:r w:rsidR="00485022">
              <w:rPr>
                <w:noProof/>
                <w:webHidden/>
              </w:rPr>
              <w:fldChar w:fldCharType="begin"/>
            </w:r>
            <w:r w:rsidR="00485022">
              <w:rPr>
                <w:noProof/>
                <w:webHidden/>
              </w:rPr>
              <w:instrText xml:space="preserve"> PAGEREF _Toc137044472 \h </w:instrText>
            </w:r>
            <w:r w:rsidR="00485022">
              <w:rPr>
                <w:noProof/>
                <w:webHidden/>
              </w:rPr>
            </w:r>
            <w:r w:rsidR="00485022">
              <w:rPr>
                <w:noProof/>
                <w:webHidden/>
              </w:rPr>
              <w:fldChar w:fldCharType="separate"/>
            </w:r>
            <w:r w:rsidR="00485022">
              <w:rPr>
                <w:noProof/>
                <w:webHidden/>
              </w:rPr>
              <w:t>18</w:t>
            </w:r>
            <w:r w:rsidR="00485022">
              <w:rPr>
                <w:noProof/>
                <w:webHidden/>
              </w:rPr>
              <w:fldChar w:fldCharType="end"/>
            </w:r>
          </w:hyperlink>
        </w:p>
        <w:p w14:paraId="16FFC789" w14:textId="2B7C5FFA" w:rsidR="00485022" w:rsidRDefault="009E2E72">
          <w:pPr>
            <w:pStyle w:val="TM3"/>
            <w:rPr>
              <w:rFonts w:asciiTheme="minorHAnsi" w:eastAsiaTheme="minorEastAsia" w:hAnsiTheme="minorHAnsi" w:cstheme="minorBidi"/>
              <w:noProof/>
              <w:sz w:val="22"/>
              <w:szCs w:val="22"/>
              <w:lang w:val="fr-FR" w:eastAsia="fr-FR"/>
            </w:rPr>
          </w:pPr>
          <w:hyperlink w:anchor="_Toc137044473" w:history="1">
            <w:r w:rsidR="00485022" w:rsidRPr="00EB4A5E">
              <w:rPr>
                <w:rStyle w:val="Lienhypertexte"/>
                <w:rFonts w:eastAsia="Calibri"/>
                <w:noProof/>
                <w:lang w:val="en-US"/>
              </w:rPr>
              <w:t>1.4.4</w:t>
            </w:r>
            <w:r w:rsidR="00485022">
              <w:rPr>
                <w:rFonts w:asciiTheme="minorHAnsi" w:eastAsiaTheme="minorEastAsia" w:hAnsiTheme="minorHAnsi" w:cstheme="minorBidi"/>
                <w:noProof/>
                <w:sz w:val="22"/>
                <w:szCs w:val="22"/>
                <w:lang w:val="fr-FR" w:eastAsia="fr-FR"/>
              </w:rPr>
              <w:tab/>
            </w:r>
            <w:r w:rsidR="00485022" w:rsidRPr="00EB4A5E">
              <w:rPr>
                <w:rStyle w:val="Lienhypertexte"/>
                <w:rFonts w:eastAsia="Calibri"/>
                <w:noProof/>
                <w:lang w:val="en-US"/>
              </w:rPr>
              <w:t xml:space="preserve">Hazards </w:t>
            </w:r>
            <w:r w:rsidR="00485022" w:rsidRPr="00EB4A5E">
              <w:rPr>
                <w:rStyle w:val="Lienhypertexte"/>
                <w:rFonts w:eastAsia="Calibri"/>
                <w:noProof/>
              </w:rPr>
              <w:t>related</w:t>
            </w:r>
            <w:r w:rsidR="00485022" w:rsidRPr="00EB4A5E">
              <w:rPr>
                <w:rStyle w:val="Lienhypertexte"/>
                <w:rFonts w:eastAsia="Calibri"/>
                <w:noProof/>
                <w:lang w:val="en-US"/>
              </w:rPr>
              <w:t xml:space="preserve"> to degradation products and impurities</w:t>
            </w:r>
            <w:r w:rsidR="00485022">
              <w:rPr>
                <w:noProof/>
                <w:webHidden/>
              </w:rPr>
              <w:tab/>
            </w:r>
            <w:r w:rsidR="00485022">
              <w:rPr>
                <w:noProof/>
                <w:webHidden/>
              </w:rPr>
              <w:fldChar w:fldCharType="begin"/>
            </w:r>
            <w:r w:rsidR="00485022">
              <w:rPr>
                <w:noProof/>
                <w:webHidden/>
              </w:rPr>
              <w:instrText xml:space="preserve"> PAGEREF _Toc137044473 \h </w:instrText>
            </w:r>
            <w:r w:rsidR="00485022">
              <w:rPr>
                <w:noProof/>
                <w:webHidden/>
              </w:rPr>
            </w:r>
            <w:r w:rsidR="00485022">
              <w:rPr>
                <w:noProof/>
                <w:webHidden/>
              </w:rPr>
              <w:fldChar w:fldCharType="separate"/>
            </w:r>
            <w:r w:rsidR="00485022">
              <w:rPr>
                <w:noProof/>
                <w:webHidden/>
              </w:rPr>
              <w:t>19</w:t>
            </w:r>
            <w:r w:rsidR="00485022">
              <w:rPr>
                <w:noProof/>
                <w:webHidden/>
              </w:rPr>
              <w:fldChar w:fldCharType="end"/>
            </w:r>
          </w:hyperlink>
        </w:p>
        <w:p w14:paraId="6D969B4C" w14:textId="495D5FB8" w:rsidR="00485022" w:rsidRDefault="009E2E72">
          <w:pPr>
            <w:pStyle w:val="TM2"/>
            <w:rPr>
              <w:rFonts w:asciiTheme="minorHAnsi" w:eastAsiaTheme="minorEastAsia" w:hAnsiTheme="minorHAnsi" w:cstheme="minorBidi"/>
              <w:noProof/>
              <w:sz w:val="22"/>
              <w:szCs w:val="22"/>
              <w:lang w:val="fr-FR" w:eastAsia="fr-FR"/>
            </w:rPr>
          </w:pPr>
          <w:hyperlink w:anchor="_Toc137044474" w:history="1">
            <w:r w:rsidR="00485022" w:rsidRPr="00EB4A5E">
              <w:rPr>
                <w:rStyle w:val="Lienhypertexte"/>
                <w:noProof/>
                <w:lang w:val="en-US"/>
              </w:rPr>
              <w:t>1.5</w:t>
            </w:r>
            <w:r w:rsidR="00485022">
              <w:rPr>
                <w:rFonts w:asciiTheme="minorHAnsi" w:eastAsiaTheme="minorEastAsia" w:hAnsiTheme="minorHAnsi" w:cstheme="minorBidi"/>
                <w:noProof/>
                <w:sz w:val="22"/>
                <w:szCs w:val="22"/>
                <w:lang w:val="fr-FR" w:eastAsia="fr-FR"/>
              </w:rPr>
              <w:tab/>
            </w:r>
            <w:r w:rsidR="00485022" w:rsidRPr="00EB4A5E">
              <w:rPr>
                <w:rStyle w:val="Lienhypertexte"/>
                <w:noProof/>
                <w:lang w:val="en-US"/>
              </w:rPr>
              <w:t xml:space="preserve">Exposure and risk </w:t>
            </w:r>
            <w:r w:rsidR="00485022" w:rsidRPr="00EB4A5E">
              <w:rPr>
                <w:rStyle w:val="Lienhypertexte"/>
                <w:noProof/>
              </w:rPr>
              <w:t>characterisation</w:t>
            </w:r>
            <w:r w:rsidR="00485022">
              <w:rPr>
                <w:noProof/>
                <w:webHidden/>
              </w:rPr>
              <w:tab/>
            </w:r>
            <w:r w:rsidR="00485022">
              <w:rPr>
                <w:noProof/>
                <w:webHidden/>
              </w:rPr>
              <w:fldChar w:fldCharType="begin"/>
            </w:r>
            <w:r w:rsidR="00485022">
              <w:rPr>
                <w:noProof/>
                <w:webHidden/>
              </w:rPr>
              <w:instrText xml:space="preserve"> PAGEREF _Toc137044474 \h </w:instrText>
            </w:r>
            <w:r w:rsidR="00485022">
              <w:rPr>
                <w:noProof/>
                <w:webHidden/>
              </w:rPr>
            </w:r>
            <w:r w:rsidR="00485022">
              <w:rPr>
                <w:noProof/>
                <w:webHidden/>
              </w:rPr>
              <w:fldChar w:fldCharType="separate"/>
            </w:r>
            <w:r w:rsidR="00485022">
              <w:rPr>
                <w:noProof/>
                <w:webHidden/>
              </w:rPr>
              <w:t>20</w:t>
            </w:r>
            <w:r w:rsidR="00485022">
              <w:rPr>
                <w:noProof/>
                <w:webHidden/>
              </w:rPr>
              <w:fldChar w:fldCharType="end"/>
            </w:r>
          </w:hyperlink>
        </w:p>
        <w:p w14:paraId="45D0AC38" w14:textId="19E8A278" w:rsidR="00485022" w:rsidRDefault="009E2E72">
          <w:pPr>
            <w:pStyle w:val="TM3"/>
            <w:rPr>
              <w:rFonts w:asciiTheme="minorHAnsi" w:eastAsiaTheme="minorEastAsia" w:hAnsiTheme="minorHAnsi" w:cstheme="minorBidi"/>
              <w:noProof/>
              <w:sz w:val="22"/>
              <w:szCs w:val="22"/>
              <w:lang w:val="fr-FR" w:eastAsia="fr-FR"/>
            </w:rPr>
          </w:pPr>
          <w:hyperlink w:anchor="_Toc137044475" w:history="1">
            <w:r w:rsidR="00485022" w:rsidRPr="00EB4A5E">
              <w:rPr>
                <w:rStyle w:val="Lienhypertexte"/>
                <w:rFonts w:eastAsia="Calibri"/>
                <w:noProof/>
              </w:rPr>
              <w:t>1.5.1</w:t>
            </w:r>
            <w:r w:rsidR="00485022">
              <w:rPr>
                <w:rFonts w:asciiTheme="minorHAnsi" w:eastAsiaTheme="minorEastAsia" w:hAnsiTheme="minorHAnsi" w:cstheme="minorBidi"/>
                <w:noProof/>
                <w:sz w:val="22"/>
                <w:szCs w:val="22"/>
                <w:lang w:val="fr-FR" w:eastAsia="fr-FR"/>
              </w:rPr>
              <w:tab/>
            </w:r>
            <w:r w:rsidR="00485022" w:rsidRPr="00EB4A5E">
              <w:rPr>
                <w:rStyle w:val="Lienhypertexte"/>
                <w:rFonts w:eastAsia="Calibri"/>
                <w:noProof/>
              </w:rPr>
              <w:t>Exposure and risk characterisation for Human Health</w:t>
            </w:r>
            <w:r w:rsidR="00485022">
              <w:rPr>
                <w:noProof/>
                <w:webHidden/>
              </w:rPr>
              <w:tab/>
            </w:r>
            <w:r w:rsidR="00485022">
              <w:rPr>
                <w:noProof/>
                <w:webHidden/>
              </w:rPr>
              <w:fldChar w:fldCharType="begin"/>
            </w:r>
            <w:r w:rsidR="00485022">
              <w:rPr>
                <w:noProof/>
                <w:webHidden/>
              </w:rPr>
              <w:instrText xml:space="preserve"> PAGEREF _Toc137044475 \h </w:instrText>
            </w:r>
            <w:r w:rsidR="00485022">
              <w:rPr>
                <w:noProof/>
                <w:webHidden/>
              </w:rPr>
            </w:r>
            <w:r w:rsidR="00485022">
              <w:rPr>
                <w:noProof/>
                <w:webHidden/>
              </w:rPr>
              <w:fldChar w:fldCharType="separate"/>
            </w:r>
            <w:r w:rsidR="00485022">
              <w:rPr>
                <w:noProof/>
                <w:webHidden/>
              </w:rPr>
              <w:t>20</w:t>
            </w:r>
            <w:r w:rsidR="00485022">
              <w:rPr>
                <w:noProof/>
                <w:webHidden/>
              </w:rPr>
              <w:fldChar w:fldCharType="end"/>
            </w:r>
          </w:hyperlink>
        </w:p>
        <w:p w14:paraId="716BB2B0" w14:textId="60B22C57" w:rsidR="00485022" w:rsidRDefault="009E2E72">
          <w:pPr>
            <w:pStyle w:val="TM3"/>
            <w:rPr>
              <w:rFonts w:asciiTheme="minorHAnsi" w:eastAsiaTheme="minorEastAsia" w:hAnsiTheme="minorHAnsi" w:cstheme="minorBidi"/>
              <w:noProof/>
              <w:sz w:val="22"/>
              <w:szCs w:val="22"/>
              <w:lang w:val="fr-FR" w:eastAsia="fr-FR"/>
            </w:rPr>
          </w:pPr>
          <w:hyperlink w:anchor="_Toc137044476" w:history="1">
            <w:r w:rsidR="00485022" w:rsidRPr="00EB4A5E">
              <w:rPr>
                <w:rStyle w:val="Lienhypertexte"/>
                <w:rFonts w:eastAsia="Calibri"/>
                <w:noProof/>
                <w:lang w:val="en-US"/>
              </w:rPr>
              <w:t>1.5.2</w:t>
            </w:r>
            <w:r w:rsidR="00485022">
              <w:rPr>
                <w:rFonts w:asciiTheme="minorHAnsi" w:eastAsiaTheme="minorEastAsia" w:hAnsiTheme="minorHAnsi" w:cstheme="minorBidi"/>
                <w:noProof/>
                <w:sz w:val="22"/>
                <w:szCs w:val="22"/>
                <w:lang w:val="fr-FR" w:eastAsia="fr-FR"/>
              </w:rPr>
              <w:tab/>
            </w:r>
            <w:r w:rsidR="00485022" w:rsidRPr="00EB4A5E">
              <w:rPr>
                <w:rStyle w:val="Lienhypertexte"/>
                <w:rFonts w:eastAsia="Calibri"/>
                <w:noProof/>
                <w:lang w:val="en-US"/>
              </w:rPr>
              <w:t xml:space="preserve">Exposure and risk </w:t>
            </w:r>
            <w:r w:rsidR="00485022" w:rsidRPr="00EB4A5E">
              <w:rPr>
                <w:rStyle w:val="Lienhypertexte"/>
                <w:rFonts w:eastAsia="Calibri"/>
                <w:noProof/>
              </w:rPr>
              <w:t>characterisation</w:t>
            </w:r>
            <w:r w:rsidR="00485022" w:rsidRPr="00EB4A5E">
              <w:rPr>
                <w:rStyle w:val="Lienhypertexte"/>
                <w:rFonts w:eastAsia="Calibri"/>
                <w:noProof/>
                <w:lang w:val="en-US"/>
              </w:rPr>
              <w:t xml:space="preserve"> for the environment</w:t>
            </w:r>
            <w:r w:rsidR="00485022">
              <w:rPr>
                <w:noProof/>
                <w:webHidden/>
              </w:rPr>
              <w:tab/>
            </w:r>
            <w:r w:rsidR="00485022">
              <w:rPr>
                <w:noProof/>
                <w:webHidden/>
              </w:rPr>
              <w:fldChar w:fldCharType="begin"/>
            </w:r>
            <w:r w:rsidR="00485022">
              <w:rPr>
                <w:noProof/>
                <w:webHidden/>
              </w:rPr>
              <w:instrText xml:space="preserve"> PAGEREF _Toc137044476 \h </w:instrText>
            </w:r>
            <w:r w:rsidR="00485022">
              <w:rPr>
                <w:noProof/>
                <w:webHidden/>
              </w:rPr>
            </w:r>
            <w:r w:rsidR="00485022">
              <w:rPr>
                <w:noProof/>
                <w:webHidden/>
              </w:rPr>
              <w:fldChar w:fldCharType="separate"/>
            </w:r>
            <w:r w:rsidR="00485022">
              <w:rPr>
                <w:noProof/>
                <w:webHidden/>
              </w:rPr>
              <w:t>25</w:t>
            </w:r>
            <w:r w:rsidR="00485022">
              <w:rPr>
                <w:noProof/>
                <w:webHidden/>
              </w:rPr>
              <w:fldChar w:fldCharType="end"/>
            </w:r>
          </w:hyperlink>
        </w:p>
        <w:p w14:paraId="4BB2FBAE" w14:textId="300ECB1B" w:rsidR="00485022" w:rsidRDefault="009E2E72">
          <w:pPr>
            <w:pStyle w:val="TM2"/>
            <w:rPr>
              <w:rFonts w:asciiTheme="minorHAnsi" w:eastAsiaTheme="minorEastAsia" w:hAnsiTheme="minorHAnsi" w:cstheme="minorBidi"/>
              <w:noProof/>
              <w:sz w:val="22"/>
              <w:szCs w:val="22"/>
              <w:lang w:val="fr-FR" w:eastAsia="fr-FR"/>
            </w:rPr>
          </w:pPr>
          <w:hyperlink w:anchor="_Toc137044477" w:history="1">
            <w:r w:rsidR="00485022" w:rsidRPr="00EB4A5E">
              <w:rPr>
                <w:rStyle w:val="Lienhypertexte"/>
                <w:noProof/>
                <w:lang w:val="en-US"/>
              </w:rPr>
              <w:t>1.6</w:t>
            </w:r>
            <w:r w:rsidR="00485022">
              <w:rPr>
                <w:rFonts w:asciiTheme="minorHAnsi" w:eastAsiaTheme="minorEastAsia" w:hAnsiTheme="minorHAnsi" w:cstheme="minorBidi"/>
                <w:noProof/>
                <w:sz w:val="22"/>
                <w:szCs w:val="22"/>
                <w:lang w:val="fr-FR" w:eastAsia="fr-FR"/>
              </w:rPr>
              <w:tab/>
            </w:r>
            <w:r w:rsidR="00485022" w:rsidRPr="00EB4A5E">
              <w:rPr>
                <w:rStyle w:val="Lienhypertexte"/>
                <w:noProof/>
                <w:lang w:val="en-US"/>
              </w:rPr>
              <w:t xml:space="preserve">Information on vulcanization by-products and </w:t>
            </w:r>
            <w:r w:rsidR="00485022" w:rsidRPr="00EB4A5E">
              <w:rPr>
                <w:rStyle w:val="Lienhypertexte"/>
                <w:noProof/>
              </w:rPr>
              <w:t>alternatives</w:t>
            </w:r>
            <w:r w:rsidR="00485022">
              <w:rPr>
                <w:noProof/>
                <w:webHidden/>
              </w:rPr>
              <w:tab/>
            </w:r>
            <w:r w:rsidR="00485022">
              <w:rPr>
                <w:noProof/>
                <w:webHidden/>
              </w:rPr>
              <w:fldChar w:fldCharType="begin"/>
            </w:r>
            <w:r w:rsidR="00485022">
              <w:rPr>
                <w:noProof/>
                <w:webHidden/>
              </w:rPr>
              <w:instrText xml:space="preserve"> PAGEREF _Toc137044477 \h </w:instrText>
            </w:r>
            <w:r w:rsidR="00485022">
              <w:rPr>
                <w:noProof/>
                <w:webHidden/>
              </w:rPr>
            </w:r>
            <w:r w:rsidR="00485022">
              <w:rPr>
                <w:noProof/>
                <w:webHidden/>
              </w:rPr>
              <w:fldChar w:fldCharType="separate"/>
            </w:r>
            <w:r w:rsidR="00485022">
              <w:rPr>
                <w:noProof/>
                <w:webHidden/>
              </w:rPr>
              <w:t>28</w:t>
            </w:r>
            <w:r w:rsidR="00485022">
              <w:rPr>
                <w:noProof/>
                <w:webHidden/>
              </w:rPr>
              <w:fldChar w:fldCharType="end"/>
            </w:r>
          </w:hyperlink>
        </w:p>
        <w:p w14:paraId="2C6E11DC" w14:textId="3E333675" w:rsidR="00485022" w:rsidRDefault="009E2E72">
          <w:pPr>
            <w:pStyle w:val="TM1"/>
            <w:rPr>
              <w:rFonts w:asciiTheme="minorHAnsi" w:eastAsiaTheme="minorEastAsia" w:hAnsiTheme="minorHAnsi" w:cstheme="minorBidi"/>
              <w:b w:val="0"/>
              <w:noProof/>
              <w:sz w:val="22"/>
              <w:szCs w:val="22"/>
              <w:lang w:val="fr-FR" w:eastAsia="fr-FR"/>
            </w:rPr>
          </w:pPr>
          <w:hyperlink w:anchor="_Toc137044478" w:history="1">
            <w:r w:rsidR="00485022" w:rsidRPr="00EB4A5E">
              <w:rPr>
                <w:rStyle w:val="Lienhypertexte"/>
                <w:noProof/>
                <w:lang w:val="en-US"/>
              </w:rPr>
              <w:t>2</w:t>
            </w:r>
            <w:r w:rsidR="00485022">
              <w:rPr>
                <w:rFonts w:asciiTheme="minorHAnsi" w:eastAsiaTheme="minorEastAsia" w:hAnsiTheme="minorHAnsi" w:cstheme="minorBidi"/>
                <w:b w:val="0"/>
                <w:noProof/>
                <w:sz w:val="22"/>
                <w:szCs w:val="22"/>
                <w:lang w:val="fr-FR" w:eastAsia="fr-FR"/>
              </w:rPr>
              <w:tab/>
            </w:r>
            <w:r w:rsidR="00485022" w:rsidRPr="00EB4A5E">
              <w:rPr>
                <w:rStyle w:val="Lienhypertexte"/>
                <w:noProof/>
              </w:rPr>
              <w:t>Justification for the need for regulatory risk management action at EU level</w:t>
            </w:r>
            <w:r w:rsidR="00485022">
              <w:rPr>
                <w:noProof/>
                <w:webHidden/>
              </w:rPr>
              <w:tab/>
            </w:r>
            <w:r w:rsidR="00485022">
              <w:rPr>
                <w:noProof/>
                <w:webHidden/>
              </w:rPr>
              <w:fldChar w:fldCharType="begin"/>
            </w:r>
            <w:r w:rsidR="00485022">
              <w:rPr>
                <w:noProof/>
                <w:webHidden/>
              </w:rPr>
              <w:instrText xml:space="preserve"> PAGEREF _Toc137044478 \h </w:instrText>
            </w:r>
            <w:r w:rsidR="00485022">
              <w:rPr>
                <w:noProof/>
                <w:webHidden/>
              </w:rPr>
            </w:r>
            <w:r w:rsidR="00485022">
              <w:rPr>
                <w:noProof/>
                <w:webHidden/>
              </w:rPr>
              <w:fldChar w:fldCharType="separate"/>
            </w:r>
            <w:r w:rsidR="00485022">
              <w:rPr>
                <w:noProof/>
                <w:webHidden/>
              </w:rPr>
              <w:t>30</w:t>
            </w:r>
            <w:r w:rsidR="00485022">
              <w:rPr>
                <w:noProof/>
                <w:webHidden/>
              </w:rPr>
              <w:fldChar w:fldCharType="end"/>
            </w:r>
          </w:hyperlink>
        </w:p>
        <w:p w14:paraId="15B001FC" w14:textId="3F5611BF" w:rsidR="00485022" w:rsidRDefault="009E2E72">
          <w:pPr>
            <w:pStyle w:val="TM2"/>
            <w:rPr>
              <w:rFonts w:asciiTheme="minorHAnsi" w:eastAsiaTheme="minorEastAsia" w:hAnsiTheme="minorHAnsi" w:cstheme="minorBidi"/>
              <w:noProof/>
              <w:sz w:val="22"/>
              <w:szCs w:val="22"/>
              <w:lang w:val="fr-FR" w:eastAsia="fr-FR"/>
            </w:rPr>
          </w:pPr>
          <w:hyperlink w:anchor="_Toc137044479" w:history="1">
            <w:r w:rsidR="00485022" w:rsidRPr="00EB4A5E">
              <w:rPr>
                <w:rStyle w:val="Lienhypertexte"/>
                <w:noProof/>
              </w:rPr>
              <w:t>2.1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Need for (further) risk management</w:t>
            </w:r>
            <w:r w:rsidR="00485022">
              <w:rPr>
                <w:noProof/>
                <w:webHidden/>
              </w:rPr>
              <w:tab/>
            </w:r>
            <w:r w:rsidR="00485022">
              <w:rPr>
                <w:noProof/>
                <w:webHidden/>
              </w:rPr>
              <w:fldChar w:fldCharType="begin"/>
            </w:r>
            <w:r w:rsidR="00485022">
              <w:rPr>
                <w:noProof/>
                <w:webHidden/>
              </w:rPr>
              <w:instrText xml:space="preserve"> PAGEREF _Toc137044479 \h </w:instrText>
            </w:r>
            <w:r w:rsidR="00485022">
              <w:rPr>
                <w:noProof/>
                <w:webHidden/>
              </w:rPr>
            </w:r>
            <w:r w:rsidR="00485022">
              <w:rPr>
                <w:noProof/>
                <w:webHidden/>
              </w:rPr>
              <w:fldChar w:fldCharType="separate"/>
            </w:r>
            <w:r w:rsidR="00485022">
              <w:rPr>
                <w:noProof/>
                <w:webHidden/>
              </w:rPr>
              <w:t>30</w:t>
            </w:r>
            <w:r w:rsidR="00485022">
              <w:rPr>
                <w:noProof/>
                <w:webHidden/>
              </w:rPr>
              <w:fldChar w:fldCharType="end"/>
            </w:r>
          </w:hyperlink>
        </w:p>
        <w:p w14:paraId="1C48EAF4" w14:textId="718CE8A0" w:rsidR="00485022" w:rsidRDefault="009E2E72">
          <w:pPr>
            <w:pStyle w:val="TM2"/>
            <w:rPr>
              <w:rFonts w:asciiTheme="minorHAnsi" w:eastAsiaTheme="minorEastAsia" w:hAnsiTheme="minorHAnsi" w:cstheme="minorBidi"/>
              <w:noProof/>
              <w:sz w:val="22"/>
              <w:szCs w:val="22"/>
              <w:lang w:val="fr-FR" w:eastAsia="fr-FR"/>
            </w:rPr>
          </w:pPr>
          <w:hyperlink w:anchor="_Toc137044480" w:history="1">
            <w:r w:rsidR="00485022" w:rsidRPr="00EB4A5E">
              <w:rPr>
                <w:rStyle w:val="Lienhypertexte"/>
                <w:noProof/>
              </w:rPr>
              <w:t>2.2</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Identification and assessment of risk management options</w:t>
            </w:r>
            <w:r w:rsidR="00485022">
              <w:rPr>
                <w:noProof/>
                <w:webHidden/>
              </w:rPr>
              <w:tab/>
            </w:r>
            <w:r w:rsidR="00485022">
              <w:rPr>
                <w:noProof/>
                <w:webHidden/>
              </w:rPr>
              <w:fldChar w:fldCharType="begin"/>
            </w:r>
            <w:r w:rsidR="00485022">
              <w:rPr>
                <w:noProof/>
                <w:webHidden/>
              </w:rPr>
              <w:instrText xml:space="preserve"> PAGEREF _Toc137044480 \h </w:instrText>
            </w:r>
            <w:r w:rsidR="00485022">
              <w:rPr>
                <w:noProof/>
                <w:webHidden/>
              </w:rPr>
            </w:r>
            <w:r w:rsidR="00485022">
              <w:rPr>
                <w:noProof/>
                <w:webHidden/>
              </w:rPr>
              <w:fldChar w:fldCharType="separate"/>
            </w:r>
            <w:r w:rsidR="00485022">
              <w:rPr>
                <w:noProof/>
                <w:webHidden/>
              </w:rPr>
              <w:t>32</w:t>
            </w:r>
            <w:r w:rsidR="00485022">
              <w:rPr>
                <w:noProof/>
                <w:webHidden/>
              </w:rPr>
              <w:fldChar w:fldCharType="end"/>
            </w:r>
          </w:hyperlink>
        </w:p>
        <w:p w14:paraId="346A5447" w14:textId="2334EE77" w:rsidR="00485022" w:rsidRDefault="009E2E72">
          <w:pPr>
            <w:pStyle w:val="TM3"/>
            <w:rPr>
              <w:rFonts w:asciiTheme="minorHAnsi" w:eastAsiaTheme="minorEastAsia" w:hAnsiTheme="minorHAnsi" w:cstheme="minorBidi"/>
              <w:noProof/>
              <w:sz w:val="22"/>
              <w:szCs w:val="22"/>
              <w:lang w:val="fr-FR" w:eastAsia="fr-FR"/>
            </w:rPr>
          </w:pPr>
          <w:hyperlink w:anchor="_Toc137044481" w:history="1">
            <w:r w:rsidR="00485022" w:rsidRPr="00EB4A5E">
              <w:rPr>
                <w:rStyle w:val="Lienhypertexte"/>
                <w:noProof/>
              </w:rPr>
              <w:t>2.2.1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CLP regulation: Harmonised Classification</w:t>
            </w:r>
            <w:r w:rsidR="00485022">
              <w:rPr>
                <w:noProof/>
                <w:webHidden/>
              </w:rPr>
              <w:tab/>
            </w:r>
            <w:r w:rsidR="00485022">
              <w:rPr>
                <w:noProof/>
                <w:webHidden/>
              </w:rPr>
              <w:fldChar w:fldCharType="begin"/>
            </w:r>
            <w:r w:rsidR="00485022">
              <w:rPr>
                <w:noProof/>
                <w:webHidden/>
              </w:rPr>
              <w:instrText xml:space="preserve"> PAGEREF _Toc137044481 \h </w:instrText>
            </w:r>
            <w:r w:rsidR="00485022">
              <w:rPr>
                <w:noProof/>
                <w:webHidden/>
              </w:rPr>
            </w:r>
            <w:r w:rsidR="00485022">
              <w:rPr>
                <w:noProof/>
                <w:webHidden/>
              </w:rPr>
              <w:fldChar w:fldCharType="separate"/>
            </w:r>
            <w:r w:rsidR="00485022">
              <w:rPr>
                <w:noProof/>
                <w:webHidden/>
              </w:rPr>
              <w:t>32</w:t>
            </w:r>
            <w:r w:rsidR="00485022">
              <w:rPr>
                <w:noProof/>
                <w:webHidden/>
              </w:rPr>
              <w:fldChar w:fldCharType="end"/>
            </w:r>
          </w:hyperlink>
        </w:p>
        <w:p w14:paraId="6E300620" w14:textId="2D0B0B7E" w:rsidR="00485022" w:rsidRDefault="009E2E72">
          <w:pPr>
            <w:pStyle w:val="TM3"/>
            <w:rPr>
              <w:rFonts w:asciiTheme="minorHAnsi" w:eastAsiaTheme="minorEastAsia" w:hAnsiTheme="minorHAnsi" w:cstheme="minorBidi"/>
              <w:noProof/>
              <w:sz w:val="22"/>
              <w:szCs w:val="22"/>
              <w:lang w:val="fr-FR" w:eastAsia="fr-FR"/>
            </w:rPr>
          </w:pPr>
          <w:hyperlink w:anchor="_Toc137044482" w:history="1">
            <w:r w:rsidR="00485022" w:rsidRPr="00EB4A5E">
              <w:rPr>
                <w:rStyle w:val="Lienhypertexte"/>
                <w:noProof/>
              </w:rPr>
              <w:t>2.2.2</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REACH Regulation</w:t>
            </w:r>
            <w:r w:rsidR="00485022">
              <w:rPr>
                <w:noProof/>
                <w:webHidden/>
              </w:rPr>
              <w:tab/>
            </w:r>
            <w:r w:rsidR="00485022">
              <w:rPr>
                <w:noProof/>
                <w:webHidden/>
              </w:rPr>
              <w:fldChar w:fldCharType="begin"/>
            </w:r>
            <w:r w:rsidR="00485022">
              <w:rPr>
                <w:noProof/>
                <w:webHidden/>
              </w:rPr>
              <w:instrText xml:space="preserve"> PAGEREF _Toc137044482 \h </w:instrText>
            </w:r>
            <w:r w:rsidR="00485022">
              <w:rPr>
                <w:noProof/>
                <w:webHidden/>
              </w:rPr>
            </w:r>
            <w:r w:rsidR="00485022">
              <w:rPr>
                <w:noProof/>
                <w:webHidden/>
              </w:rPr>
              <w:fldChar w:fldCharType="separate"/>
            </w:r>
            <w:r w:rsidR="00485022">
              <w:rPr>
                <w:noProof/>
                <w:webHidden/>
              </w:rPr>
              <w:t>33</w:t>
            </w:r>
            <w:r w:rsidR="00485022">
              <w:rPr>
                <w:noProof/>
                <w:webHidden/>
              </w:rPr>
              <w:fldChar w:fldCharType="end"/>
            </w:r>
          </w:hyperlink>
        </w:p>
        <w:p w14:paraId="4367EDC4" w14:textId="12F98520" w:rsidR="00485022" w:rsidRDefault="009E2E72">
          <w:pPr>
            <w:pStyle w:val="TM3"/>
            <w:rPr>
              <w:rFonts w:asciiTheme="minorHAnsi" w:eastAsiaTheme="minorEastAsia" w:hAnsiTheme="minorHAnsi" w:cstheme="minorBidi"/>
              <w:noProof/>
              <w:sz w:val="22"/>
              <w:szCs w:val="22"/>
              <w:lang w:val="fr-FR" w:eastAsia="fr-FR"/>
            </w:rPr>
          </w:pPr>
          <w:hyperlink w:anchor="_Toc137044483" w:history="1">
            <w:r w:rsidR="00485022" w:rsidRPr="00EB4A5E">
              <w:rPr>
                <w:rStyle w:val="Lienhypertexte"/>
                <w:noProof/>
              </w:rPr>
              <w:t>2.2.3</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Occupational exposure limit (OEL) value under worker legislation</w:t>
            </w:r>
            <w:r w:rsidR="00485022">
              <w:rPr>
                <w:noProof/>
                <w:webHidden/>
              </w:rPr>
              <w:tab/>
            </w:r>
            <w:r w:rsidR="00485022">
              <w:rPr>
                <w:noProof/>
                <w:webHidden/>
              </w:rPr>
              <w:fldChar w:fldCharType="begin"/>
            </w:r>
            <w:r w:rsidR="00485022">
              <w:rPr>
                <w:noProof/>
                <w:webHidden/>
              </w:rPr>
              <w:instrText xml:space="preserve"> PAGEREF _Toc137044483 \h </w:instrText>
            </w:r>
            <w:r w:rsidR="00485022">
              <w:rPr>
                <w:noProof/>
                <w:webHidden/>
              </w:rPr>
            </w:r>
            <w:r w:rsidR="00485022">
              <w:rPr>
                <w:noProof/>
                <w:webHidden/>
              </w:rPr>
              <w:fldChar w:fldCharType="separate"/>
            </w:r>
            <w:r w:rsidR="00485022">
              <w:rPr>
                <w:noProof/>
                <w:webHidden/>
              </w:rPr>
              <w:t>35</w:t>
            </w:r>
            <w:r w:rsidR="00485022">
              <w:rPr>
                <w:noProof/>
                <w:webHidden/>
              </w:rPr>
              <w:fldChar w:fldCharType="end"/>
            </w:r>
          </w:hyperlink>
        </w:p>
        <w:p w14:paraId="051940AA" w14:textId="27552B8D" w:rsidR="00485022" w:rsidRDefault="009E2E72">
          <w:pPr>
            <w:pStyle w:val="TM3"/>
            <w:rPr>
              <w:rFonts w:asciiTheme="minorHAnsi" w:eastAsiaTheme="minorEastAsia" w:hAnsiTheme="minorHAnsi" w:cstheme="minorBidi"/>
              <w:noProof/>
              <w:sz w:val="22"/>
              <w:szCs w:val="22"/>
              <w:lang w:val="fr-FR" w:eastAsia="fr-FR"/>
            </w:rPr>
          </w:pPr>
          <w:hyperlink w:anchor="_Toc137044484" w:history="1">
            <w:r w:rsidR="00485022" w:rsidRPr="00EB4A5E">
              <w:rPr>
                <w:rStyle w:val="Lienhypertexte"/>
                <w:noProof/>
              </w:rPr>
              <w:t>2.2.4</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Emission limit for DPG in water</w:t>
            </w:r>
            <w:r w:rsidR="00485022">
              <w:rPr>
                <w:noProof/>
                <w:webHidden/>
              </w:rPr>
              <w:tab/>
            </w:r>
            <w:r w:rsidR="00485022">
              <w:rPr>
                <w:noProof/>
                <w:webHidden/>
              </w:rPr>
              <w:fldChar w:fldCharType="begin"/>
            </w:r>
            <w:r w:rsidR="00485022">
              <w:rPr>
                <w:noProof/>
                <w:webHidden/>
              </w:rPr>
              <w:instrText xml:space="preserve"> PAGEREF _Toc137044484 \h </w:instrText>
            </w:r>
            <w:r w:rsidR="00485022">
              <w:rPr>
                <w:noProof/>
                <w:webHidden/>
              </w:rPr>
            </w:r>
            <w:r w:rsidR="00485022">
              <w:rPr>
                <w:noProof/>
                <w:webHidden/>
              </w:rPr>
              <w:fldChar w:fldCharType="separate"/>
            </w:r>
            <w:r w:rsidR="00485022">
              <w:rPr>
                <w:noProof/>
                <w:webHidden/>
              </w:rPr>
              <w:t>36</w:t>
            </w:r>
            <w:r w:rsidR="00485022">
              <w:rPr>
                <w:noProof/>
                <w:webHidden/>
              </w:rPr>
              <w:fldChar w:fldCharType="end"/>
            </w:r>
          </w:hyperlink>
        </w:p>
        <w:p w14:paraId="34D25FAC" w14:textId="650A4FED" w:rsidR="00485022" w:rsidRDefault="009E2E72">
          <w:pPr>
            <w:pStyle w:val="TM1"/>
            <w:rPr>
              <w:rFonts w:asciiTheme="minorHAnsi" w:eastAsiaTheme="minorEastAsia" w:hAnsiTheme="minorHAnsi" w:cstheme="minorBidi"/>
              <w:b w:val="0"/>
              <w:noProof/>
              <w:sz w:val="22"/>
              <w:szCs w:val="22"/>
              <w:lang w:val="fr-FR" w:eastAsia="fr-FR"/>
            </w:rPr>
          </w:pPr>
          <w:hyperlink w:anchor="_Toc137044485" w:history="1">
            <w:r w:rsidR="00485022" w:rsidRPr="00EB4A5E">
              <w:rPr>
                <w:rStyle w:val="Lienhypertexte"/>
                <w:noProof/>
                <w:lang w:val="en-US"/>
              </w:rPr>
              <w:t>3</w:t>
            </w:r>
            <w:r w:rsidR="00485022">
              <w:rPr>
                <w:rFonts w:asciiTheme="minorHAnsi" w:eastAsiaTheme="minorEastAsia" w:hAnsiTheme="minorHAnsi" w:cstheme="minorBidi"/>
                <w:b w:val="0"/>
                <w:noProof/>
                <w:sz w:val="22"/>
                <w:szCs w:val="22"/>
                <w:lang w:val="fr-FR" w:eastAsia="fr-FR"/>
              </w:rPr>
              <w:tab/>
            </w:r>
            <w:r w:rsidR="00485022" w:rsidRPr="00EB4A5E">
              <w:rPr>
                <w:rStyle w:val="Lienhypertexte"/>
                <w:noProof/>
                <w:lang w:val="en-US"/>
              </w:rPr>
              <w:t>Conclusions and actions</w:t>
            </w:r>
            <w:r w:rsidR="00485022">
              <w:rPr>
                <w:noProof/>
                <w:webHidden/>
              </w:rPr>
              <w:tab/>
            </w:r>
            <w:r w:rsidR="00485022">
              <w:rPr>
                <w:noProof/>
                <w:webHidden/>
              </w:rPr>
              <w:fldChar w:fldCharType="begin"/>
            </w:r>
            <w:r w:rsidR="00485022">
              <w:rPr>
                <w:noProof/>
                <w:webHidden/>
              </w:rPr>
              <w:instrText xml:space="preserve"> PAGEREF _Toc137044485 \h </w:instrText>
            </w:r>
            <w:r w:rsidR="00485022">
              <w:rPr>
                <w:noProof/>
                <w:webHidden/>
              </w:rPr>
            </w:r>
            <w:r w:rsidR="00485022">
              <w:rPr>
                <w:noProof/>
                <w:webHidden/>
              </w:rPr>
              <w:fldChar w:fldCharType="separate"/>
            </w:r>
            <w:r w:rsidR="00485022">
              <w:rPr>
                <w:noProof/>
                <w:webHidden/>
              </w:rPr>
              <w:t>40</w:t>
            </w:r>
            <w:r w:rsidR="00485022">
              <w:rPr>
                <w:noProof/>
                <w:webHidden/>
              </w:rPr>
              <w:fldChar w:fldCharType="end"/>
            </w:r>
          </w:hyperlink>
        </w:p>
        <w:p w14:paraId="05AD1FE1" w14:textId="428EC84F" w:rsidR="00485022" w:rsidRDefault="009E2E72">
          <w:pPr>
            <w:pStyle w:val="TM1"/>
            <w:rPr>
              <w:rFonts w:asciiTheme="minorHAnsi" w:eastAsiaTheme="minorEastAsia" w:hAnsiTheme="minorHAnsi" w:cstheme="minorBidi"/>
              <w:b w:val="0"/>
              <w:noProof/>
              <w:sz w:val="22"/>
              <w:szCs w:val="22"/>
              <w:lang w:val="fr-FR" w:eastAsia="fr-FR"/>
            </w:rPr>
          </w:pPr>
          <w:hyperlink w:anchor="_Toc137044486" w:history="1">
            <w:r w:rsidR="00485022" w:rsidRPr="00EB4A5E">
              <w:rPr>
                <w:rStyle w:val="Lienhypertexte"/>
                <w:noProof/>
                <w:lang w:val="en-US"/>
              </w:rPr>
              <w:t>Annex I: Background document</w:t>
            </w:r>
            <w:r w:rsidR="00485022">
              <w:rPr>
                <w:noProof/>
                <w:webHidden/>
              </w:rPr>
              <w:tab/>
            </w:r>
            <w:r w:rsidR="00485022">
              <w:rPr>
                <w:noProof/>
                <w:webHidden/>
              </w:rPr>
              <w:fldChar w:fldCharType="begin"/>
            </w:r>
            <w:r w:rsidR="00485022">
              <w:rPr>
                <w:noProof/>
                <w:webHidden/>
              </w:rPr>
              <w:instrText xml:space="preserve"> PAGEREF _Toc137044486 \h </w:instrText>
            </w:r>
            <w:r w:rsidR="00485022">
              <w:rPr>
                <w:noProof/>
                <w:webHidden/>
              </w:rPr>
            </w:r>
            <w:r w:rsidR="00485022">
              <w:rPr>
                <w:noProof/>
                <w:webHidden/>
              </w:rPr>
              <w:fldChar w:fldCharType="separate"/>
            </w:r>
            <w:r w:rsidR="00485022">
              <w:rPr>
                <w:noProof/>
                <w:webHidden/>
              </w:rPr>
              <w:t>41</w:t>
            </w:r>
            <w:r w:rsidR="00485022">
              <w:rPr>
                <w:noProof/>
                <w:webHidden/>
              </w:rPr>
              <w:fldChar w:fldCharType="end"/>
            </w:r>
          </w:hyperlink>
        </w:p>
        <w:p w14:paraId="5DACBEC6" w14:textId="2165C01E" w:rsidR="00485022" w:rsidRDefault="009E2E72">
          <w:pPr>
            <w:pStyle w:val="TM1"/>
            <w:rPr>
              <w:rFonts w:asciiTheme="minorHAnsi" w:eastAsiaTheme="minorEastAsia" w:hAnsiTheme="minorHAnsi" w:cstheme="minorBidi"/>
              <w:b w:val="0"/>
              <w:noProof/>
              <w:sz w:val="22"/>
              <w:szCs w:val="22"/>
              <w:lang w:val="fr-FR" w:eastAsia="fr-FR"/>
            </w:rPr>
          </w:pPr>
          <w:hyperlink w:anchor="_Toc137044487" w:history="1">
            <w:r w:rsidR="00485022" w:rsidRPr="00EB4A5E">
              <w:rPr>
                <w:rStyle w:val="Lienhypertexte"/>
                <w:noProof/>
                <w:lang w:val="en-US"/>
              </w:rPr>
              <w:t>1</w:t>
            </w:r>
            <w:r w:rsidR="00485022">
              <w:rPr>
                <w:rFonts w:asciiTheme="minorHAnsi" w:eastAsiaTheme="minorEastAsia" w:hAnsiTheme="minorHAnsi" w:cstheme="minorBidi"/>
                <w:b w:val="0"/>
                <w:noProof/>
                <w:sz w:val="22"/>
                <w:szCs w:val="22"/>
                <w:lang w:val="fr-FR" w:eastAsia="fr-FR"/>
              </w:rPr>
              <w:tab/>
            </w:r>
            <w:r w:rsidR="00485022" w:rsidRPr="00EB4A5E">
              <w:rPr>
                <w:rStyle w:val="Lienhypertexte"/>
                <w:noProof/>
                <w:lang w:val="en-US"/>
              </w:rPr>
              <w:t>Information on uses</w:t>
            </w:r>
            <w:r w:rsidR="00485022">
              <w:rPr>
                <w:noProof/>
                <w:webHidden/>
              </w:rPr>
              <w:tab/>
            </w:r>
            <w:r w:rsidR="00485022">
              <w:rPr>
                <w:noProof/>
                <w:webHidden/>
              </w:rPr>
              <w:fldChar w:fldCharType="begin"/>
            </w:r>
            <w:r w:rsidR="00485022">
              <w:rPr>
                <w:noProof/>
                <w:webHidden/>
              </w:rPr>
              <w:instrText xml:space="preserve"> PAGEREF _Toc137044487 \h </w:instrText>
            </w:r>
            <w:r w:rsidR="00485022">
              <w:rPr>
                <w:noProof/>
                <w:webHidden/>
              </w:rPr>
            </w:r>
            <w:r w:rsidR="00485022">
              <w:rPr>
                <w:noProof/>
                <w:webHidden/>
              </w:rPr>
              <w:fldChar w:fldCharType="separate"/>
            </w:r>
            <w:r w:rsidR="00485022">
              <w:rPr>
                <w:noProof/>
                <w:webHidden/>
              </w:rPr>
              <w:t>41</w:t>
            </w:r>
            <w:r w:rsidR="00485022">
              <w:rPr>
                <w:noProof/>
                <w:webHidden/>
              </w:rPr>
              <w:fldChar w:fldCharType="end"/>
            </w:r>
          </w:hyperlink>
        </w:p>
        <w:p w14:paraId="471F8912" w14:textId="3689A82B" w:rsidR="00485022" w:rsidRDefault="009E2E72">
          <w:pPr>
            <w:pStyle w:val="TM1"/>
            <w:rPr>
              <w:rFonts w:asciiTheme="minorHAnsi" w:eastAsiaTheme="minorEastAsia" w:hAnsiTheme="minorHAnsi" w:cstheme="minorBidi"/>
              <w:b w:val="0"/>
              <w:noProof/>
              <w:sz w:val="22"/>
              <w:szCs w:val="22"/>
              <w:lang w:val="fr-FR" w:eastAsia="fr-FR"/>
            </w:rPr>
          </w:pPr>
          <w:hyperlink w:anchor="_Toc137044488" w:history="1">
            <w:r w:rsidR="00485022" w:rsidRPr="00EB4A5E">
              <w:rPr>
                <w:rStyle w:val="Lienhypertexte"/>
                <w:noProof/>
                <w:lang w:val="en-US"/>
              </w:rPr>
              <w:t>2</w:t>
            </w:r>
            <w:r w:rsidR="00485022">
              <w:rPr>
                <w:rFonts w:asciiTheme="minorHAnsi" w:eastAsiaTheme="minorEastAsia" w:hAnsiTheme="minorHAnsi" w:cstheme="minorBidi"/>
                <w:b w:val="0"/>
                <w:noProof/>
                <w:sz w:val="22"/>
                <w:szCs w:val="22"/>
                <w:lang w:val="fr-FR" w:eastAsia="fr-FR"/>
              </w:rPr>
              <w:tab/>
            </w:r>
            <w:r w:rsidR="00485022" w:rsidRPr="00EB4A5E">
              <w:rPr>
                <w:rStyle w:val="Lienhypertexte"/>
                <w:noProof/>
              </w:rPr>
              <w:t>Hazard Information</w:t>
            </w:r>
            <w:r w:rsidR="00485022">
              <w:rPr>
                <w:noProof/>
                <w:webHidden/>
              </w:rPr>
              <w:tab/>
            </w:r>
            <w:r w:rsidR="00485022">
              <w:rPr>
                <w:noProof/>
                <w:webHidden/>
              </w:rPr>
              <w:fldChar w:fldCharType="begin"/>
            </w:r>
            <w:r w:rsidR="00485022">
              <w:rPr>
                <w:noProof/>
                <w:webHidden/>
              </w:rPr>
              <w:instrText xml:space="preserve"> PAGEREF _Toc137044488 \h </w:instrText>
            </w:r>
            <w:r w:rsidR="00485022">
              <w:rPr>
                <w:noProof/>
                <w:webHidden/>
              </w:rPr>
            </w:r>
            <w:r w:rsidR="00485022">
              <w:rPr>
                <w:noProof/>
                <w:webHidden/>
              </w:rPr>
              <w:fldChar w:fldCharType="separate"/>
            </w:r>
            <w:r w:rsidR="00485022">
              <w:rPr>
                <w:noProof/>
                <w:webHidden/>
              </w:rPr>
              <w:t>45</w:t>
            </w:r>
            <w:r w:rsidR="00485022">
              <w:rPr>
                <w:noProof/>
                <w:webHidden/>
              </w:rPr>
              <w:fldChar w:fldCharType="end"/>
            </w:r>
          </w:hyperlink>
        </w:p>
        <w:p w14:paraId="1FDA5AE5" w14:textId="1F07B7AF" w:rsidR="00485022" w:rsidRDefault="009E2E72">
          <w:pPr>
            <w:pStyle w:val="TM2"/>
            <w:rPr>
              <w:rFonts w:asciiTheme="minorHAnsi" w:eastAsiaTheme="minorEastAsia" w:hAnsiTheme="minorHAnsi" w:cstheme="minorBidi"/>
              <w:noProof/>
              <w:sz w:val="22"/>
              <w:szCs w:val="22"/>
              <w:lang w:val="fr-FR" w:eastAsia="fr-FR"/>
            </w:rPr>
          </w:pPr>
          <w:hyperlink w:anchor="_Toc137044489" w:history="1">
            <w:r w:rsidR="00485022" w:rsidRPr="00EB4A5E">
              <w:rPr>
                <w:rStyle w:val="Lienhypertexte"/>
                <w:noProof/>
              </w:rPr>
              <w:t>2.1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Hazard assessment</w:t>
            </w:r>
            <w:r w:rsidR="00485022">
              <w:rPr>
                <w:noProof/>
                <w:webHidden/>
              </w:rPr>
              <w:tab/>
            </w:r>
            <w:r w:rsidR="00485022">
              <w:rPr>
                <w:noProof/>
                <w:webHidden/>
              </w:rPr>
              <w:fldChar w:fldCharType="begin"/>
            </w:r>
            <w:r w:rsidR="00485022">
              <w:rPr>
                <w:noProof/>
                <w:webHidden/>
              </w:rPr>
              <w:instrText xml:space="preserve"> PAGEREF _Toc137044489 \h </w:instrText>
            </w:r>
            <w:r w:rsidR="00485022">
              <w:rPr>
                <w:noProof/>
                <w:webHidden/>
              </w:rPr>
            </w:r>
            <w:r w:rsidR="00485022">
              <w:rPr>
                <w:noProof/>
                <w:webHidden/>
              </w:rPr>
              <w:fldChar w:fldCharType="separate"/>
            </w:r>
            <w:r w:rsidR="00485022">
              <w:rPr>
                <w:noProof/>
                <w:webHidden/>
              </w:rPr>
              <w:t>45</w:t>
            </w:r>
            <w:r w:rsidR="00485022">
              <w:rPr>
                <w:noProof/>
                <w:webHidden/>
              </w:rPr>
              <w:fldChar w:fldCharType="end"/>
            </w:r>
          </w:hyperlink>
        </w:p>
        <w:p w14:paraId="16DDD77D" w14:textId="33BBCAD2" w:rsidR="00485022" w:rsidRDefault="009E2E72">
          <w:pPr>
            <w:pStyle w:val="TM3"/>
            <w:rPr>
              <w:rFonts w:asciiTheme="minorHAnsi" w:eastAsiaTheme="minorEastAsia" w:hAnsiTheme="minorHAnsi" w:cstheme="minorBidi"/>
              <w:noProof/>
              <w:sz w:val="22"/>
              <w:szCs w:val="22"/>
              <w:lang w:val="fr-FR" w:eastAsia="fr-FR"/>
            </w:rPr>
          </w:pPr>
          <w:hyperlink w:anchor="_Toc137044490" w:history="1">
            <w:r w:rsidR="00485022" w:rsidRPr="00EB4A5E">
              <w:rPr>
                <w:rStyle w:val="Lienhypertexte"/>
                <w:noProof/>
                <w:lang w:val="nl-BE"/>
              </w:rPr>
              <w:t>2.1.1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lang w:val="nl-BE"/>
              </w:rPr>
              <w:t xml:space="preserve">Setting of </w:t>
            </w:r>
            <w:r w:rsidR="00485022" w:rsidRPr="00EB4A5E">
              <w:rPr>
                <w:rStyle w:val="Lienhypertexte"/>
                <w:noProof/>
              </w:rPr>
              <w:t>DNELs</w:t>
            </w:r>
            <w:r w:rsidR="00485022" w:rsidRPr="00EB4A5E">
              <w:rPr>
                <w:rStyle w:val="Lienhypertexte"/>
                <w:noProof/>
                <w:lang w:val="nl-BE"/>
              </w:rPr>
              <w:t xml:space="preserve"> considering the recent EOGRTS study</w:t>
            </w:r>
            <w:r w:rsidR="00485022">
              <w:rPr>
                <w:noProof/>
                <w:webHidden/>
              </w:rPr>
              <w:tab/>
            </w:r>
            <w:r w:rsidR="00485022">
              <w:rPr>
                <w:noProof/>
                <w:webHidden/>
              </w:rPr>
              <w:fldChar w:fldCharType="begin"/>
            </w:r>
            <w:r w:rsidR="00485022">
              <w:rPr>
                <w:noProof/>
                <w:webHidden/>
              </w:rPr>
              <w:instrText xml:space="preserve"> PAGEREF _Toc137044490 \h </w:instrText>
            </w:r>
            <w:r w:rsidR="00485022">
              <w:rPr>
                <w:noProof/>
                <w:webHidden/>
              </w:rPr>
            </w:r>
            <w:r w:rsidR="00485022">
              <w:rPr>
                <w:noProof/>
                <w:webHidden/>
              </w:rPr>
              <w:fldChar w:fldCharType="separate"/>
            </w:r>
            <w:r w:rsidR="00485022">
              <w:rPr>
                <w:noProof/>
                <w:webHidden/>
              </w:rPr>
              <w:t>45</w:t>
            </w:r>
            <w:r w:rsidR="00485022">
              <w:rPr>
                <w:noProof/>
                <w:webHidden/>
              </w:rPr>
              <w:fldChar w:fldCharType="end"/>
            </w:r>
          </w:hyperlink>
        </w:p>
        <w:p w14:paraId="57A09726" w14:textId="211B1FDD" w:rsidR="00485022" w:rsidRDefault="009E2E72">
          <w:pPr>
            <w:pStyle w:val="TM3"/>
            <w:rPr>
              <w:rFonts w:asciiTheme="minorHAnsi" w:eastAsiaTheme="minorEastAsia" w:hAnsiTheme="minorHAnsi" w:cstheme="minorBidi"/>
              <w:noProof/>
              <w:sz w:val="22"/>
              <w:szCs w:val="22"/>
              <w:lang w:val="fr-FR" w:eastAsia="fr-FR"/>
            </w:rPr>
          </w:pPr>
          <w:hyperlink w:anchor="_Toc137044491" w:history="1">
            <w:r w:rsidR="00485022" w:rsidRPr="00EB4A5E">
              <w:rPr>
                <w:rStyle w:val="Lienhypertexte"/>
                <w:noProof/>
                <w:lang w:val="nl-BE"/>
              </w:rPr>
              <w:t>2.1.2</w:t>
            </w:r>
            <w:r w:rsidR="00485022">
              <w:rPr>
                <w:rFonts w:asciiTheme="minorHAnsi" w:eastAsiaTheme="minorEastAsia" w:hAnsiTheme="minorHAnsi" w:cstheme="minorBidi"/>
                <w:noProof/>
                <w:sz w:val="22"/>
                <w:szCs w:val="22"/>
                <w:lang w:val="fr-FR" w:eastAsia="fr-FR"/>
              </w:rPr>
              <w:tab/>
            </w:r>
            <w:r w:rsidR="00485022" w:rsidRPr="00EB4A5E">
              <w:rPr>
                <w:rStyle w:val="Lienhypertexte"/>
                <w:noProof/>
                <w:lang w:val="nl-BE"/>
              </w:rPr>
              <w:t xml:space="preserve">Assessment of endocrine </w:t>
            </w:r>
            <w:r w:rsidR="00485022" w:rsidRPr="00EB4A5E">
              <w:rPr>
                <w:rStyle w:val="Lienhypertexte"/>
                <w:noProof/>
              </w:rPr>
              <w:t>disrupting</w:t>
            </w:r>
            <w:r w:rsidR="00485022" w:rsidRPr="00EB4A5E">
              <w:rPr>
                <w:rStyle w:val="Lienhypertexte"/>
                <w:noProof/>
                <w:lang w:val="nl-BE"/>
              </w:rPr>
              <w:t xml:space="preserve"> (ED) properties</w:t>
            </w:r>
            <w:r w:rsidR="00485022">
              <w:rPr>
                <w:noProof/>
                <w:webHidden/>
              </w:rPr>
              <w:tab/>
            </w:r>
            <w:r w:rsidR="00485022">
              <w:rPr>
                <w:noProof/>
                <w:webHidden/>
              </w:rPr>
              <w:fldChar w:fldCharType="begin"/>
            </w:r>
            <w:r w:rsidR="00485022">
              <w:rPr>
                <w:noProof/>
                <w:webHidden/>
              </w:rPr>
              <w:instrText xml:space="preserve"> PAGEREF _Toc137044491 \h </w:instrText>
            </w:r>
            <w:r w:rsidR="00485022">
              <w:rPr>
                <w:noProof/>
                <w:webHidden/>
              </w:rPr>
            </w:r>
            <w:r w:rsidR="00485022">
              <w:rPr>
                <w:noProof/>
                <w:webHidden/>
              </w:rPr>
              <w:fldChar w:fldCharType="separate"/>
            </w:r>
            <w:r w:rsidR="00485022">
              <w:rPr>
                <w:noProof/>
                <w:webHidden/>
              </w:rPr>
              <w:t>53</w:t>
            </w:r>
            <w:r w:rsidR="00485022">
              <w:rPr>
                <w:noProof/>
                <w:webHidden/>
              </w:rPr>
              <w:fldChar w:fldCharType="end"/>
            </w:r>
          </w:hyperlink>
        </w:p>
        <w:p w14:paraId="46D3643F" w14:textId="15771AF8" w:rsidR="00485022" w:rsidRDefault="009E2E72">
          <w:pPr>
            <w:pStyle w:val="TM3"/>
            <w:rPr>
              <w:rFonts w:asciiTheme="minorHAnsi" w:eastAsiaTheme="minorEastAsia" w:hAnsiTheme="minorHAnsi" w:cstheme="minorBidi"/>
              <w:noProof/>
              <w:sz w:val="22"/>
              <w:szCs w:val="22"/>
              <w:lang w:val="fr-FR" w:eastAsia="fr-FR"/>
            </w:rPr>
          </w:pPr>
          <w:hyperlink w:anchor="_Toc137044492" w:history="1">
            <w:r w:rsidR="00485022" w:rsidRPr="00EB4A5E">
              <w:rPr>
                <w:rStyle w:val="Lienhypertexte"/>
                <w:noProof/>
                <w:lang w:val="nl-BE"/>
              </w:rPr>
              <w:t>2.1.3</w:t>
            </w:r>
            <w:r w:rsidR="00485022">
              <w:rPr>
                <w:rFonts w:asciiTheme="minorHAnsi" w:eastAsiaTheme="minorEastAsia" w:hAnsiTheme="minorHAnsi" w:cstheme="minorBidi"/>
                <w:noProof/>
                <w:sz w:val="22"/>
                <w:szCs w:val="22"/>
                <w:lang w:val="fr-FR" w:eastAsia="fr-FR"/>
              </w:rPr>
              <w:tab/>
            </w:r>
            <w:r w:rsidR="00485022" w:rsidRPr="00EB4A5E">
              <w:rPr>
                <w:rStyle w:val="Lienhypertexte"/>
                <w:noProof/>
                <w:lang w:val="nl-BE"/>
              </w:rPr>
              <w:t>Reprotoxicity EOGRTS OECD TG 443 study: summary</w:t>
            </w:r>
            <w:r w:rsidR="00485022">
              <w:rPr>
                <w:noProof/>
                <w:webHidden/>
              </w:rPr>
              <w:tab/>
            </w:r>
            <w:r w:rsidR="00485022">
              <w:rPr>
                <w:noProof/>
                <w:webHidden/>
              </w:rPr>
              <w:fldChar w:fldCharType="begin"/>
            </w:r>
            <w:r w:rsidR="00485022">
              <w:rPr>
                <w:noProof/>
                <w:webHidden/>
              </w:rPr>
              <w:instrText xml:space="preserve"> PAGEREF _Toc137044492 \h </w:instrText>
            </w:r>
            <w:r w:rsidR="00485022">
              <w:rPr>
                <w:noProof/>
                <w:webHidden/>
              </w:rPr>
            </w:r>
            <w:r w:rsidR="00485022">
              <w:rPr>
                <w:noProof/>
                <w:webHidden/>
              </w:rPr>
              <w:fldChar w:fldCharType="separate"/>
            </w:r>
            <w:r w:rsidR="00485022">
              <w:rPr>
                <w:noProof/>
                <w:webHidden/>
              </w:rPr>
              <w:t>60</w:t>
            </w:r>
            <w:r w:rsidR="00485022">
              <w:rPr>
                <w:noProof/>
                <w:webHidden/>
              </w:rPr>
              <w:fldChar w:fldCharType="end"/>
            </w:r>
          </w:hyperlink>
        </w:p>
        <w:p w14:paraId="36B99DC1" w14:textId="17FB0EDE" w:rsidR="00485022" w:rsidRDefault="009E2E72">
          <w:pPr>
            <w:pStyle w:val="TM1"/>
            <w:rPr>
              <w:rFonts w:asciiTheme="minorHAnsi" w:eastAsiaTheme="minorEastAsia" w:hAnsiTheme="minorHAnsi" w:cstheme="minorBidi"/>
              <w:b w:val="0"/>
              <w:noProof/>
              <w:sz w:val="22"/>
              <w:szCs w:val="22"/>
              <w:lang w:val="fr-FR" w:eastAsia="fr-FR"/>
            </w:rPr>
          </w:pPr>
          <w:hyperlink w:anchor="_Toc137044493" w:history="1">
            <w:r w:rsidR="00485022" w:rsidRPr="00EB4A5E">
              <w:rPr>
                <w:rStyle w:val="Lienhypertexte"/>
                <w:noProof/>
                <w:lang w:val="en-US"/>
              </w:rPr>
              <w:t>3</w:t>
            </w:r>
            <w:r w:rsidR="00485022">
              <w:rPr>
                <w:rFonts w:asciiTheme="minorHAnsi" w:eastAsiaTheme="minorEastAsia" w:hAnsiTheme="minorHAnsi" w:cstheme="minorBidi"/>
                <w:b w:val="0"/>
                <w:noProof/>
                <w:sz w:val="22"/>
                <w:szCs w:val="22"/>
                <w:lang w:val="fr-FR" w:eastAsia="fr-FR"/>
              </w:rPr>
              <w:tab/>
            </w:r>
            <w:r w:rsidR="00485022" w:rsidRPr="00EB4A5E">
              <w:rPr>
                <w:rStyle w:val="Lienhypertexte"/>
                <w:noProof/>
              </w:rPr>
              <w:t>Exposure assessment</w:t>
            </w:r>
            <w:r w:rsidR="00485022">
              <w:rPr>
                <w:noProof/>
                <w:webHidden/>
              </w:rPr>
              <w:tab/>
            </w:r>
            <w:r w:rsidR="00485022">
              <w:rPr>
                <w:noProof/>
                <w:webHidden/>
              </w:rPr>
              <w:fldChar w:fldCharType="begin"/>
            </w:r>
            <w:r w:rsidR="00485022">
              <w:rPr>
                <w:noProof/>
                <w:webHidden/>
              </w:rPr>
              <w:instrText xml:space="preserve"> PAGEREF _Toc137044493 \h </w:instrText>
            </w:r>
            <w:r w:rsidR="00485022">
              <w:rPr>
                <w:noProof/>
                <w:webHidden/>
              </w:rPr>
            </w:r>
            <w:r w:rsidR="00485022">
              <w:rPr>
                <w:noProof/>
                <w:webHidden/>
              </w:rPr>
              <w:fldChar w:fldCharType="separate"/>
            </w:r>
            <w:r w:rsidR="00485022">
              <w:rPr>
                <w:noProof/>
                <w:webHidden/>
              </w:rPr>
              <w:t>68</w:t>
            </w:r>
            <w:r w:rsidR="00485022">
              <w:rPr>
                <w:noProof/>
                <w:webHidden/>
              </w:rPr>
              <w:fldChar w:fldCharType="end"/>
            </w:r>
          </w:hyperlink>
        </w:p>
        <w:p w14:paraId="09E5B8ED" w14:textId="084B5DE5" w:rsidR="00485022" w:rsidRDefault="009E2E72">
          <w:pPr>
            <w:pStyle w:val="TM2"/>
            <w:rPr>
              <w:rFonts w:asciiTheme="minorHAnsi" w:eastAsiaTheme="minorEastAsia" w:hAnsiTheme="minorHAnsi" w:cstheme="minorBidi"/>
              <w:noProof/>
              <w:sz w:val="22"/>
              <w:szCs w:val="22"/>
              <w:lang w:val="fr-FR" w:eastAsia="fr-FR"/>
            </w:rPr>
          </w:pPr>
          <w:hyperlink w:anchor="_Toc137044494" w:history="1">
            <w:r w:rsidR="00485022" w:rsidRPr="00EB4A5E">
              <w:rPr>
                <w:rStyle w:val="Lienhypertexte"/>
                <w:noProof/>
              </w:rPr>
              <w:t>3.1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Human health</w:t>
            </w:r>
            <w:r w:rsidR="00485022">
              <w:rPr>
                <w:noProof/>
                <w:webHidden/>
              </w:rPr>
              <w:tab/>
            </w:r>
            <w:r w:rsidR="00485022">
              <w:rPr>
                <w:noProof/>
                <w:webHidden/>
              </w:rPr>
              <w:fldChar w:fldCharType="begin"/>
            </w:r>
            <w:r w:rsidR="00485022">
              <w:rPr>
                <w:noProof/>
                <w:webHidden/>
              </w:rPr>
              <w:instrText xml:space="preserve"> PAGEREF _Toc137044494 \h </w:instrText>
            </w:r>
            <w:r w:rsidR="00485022">
              <w:rPr>
                <w:noProof/>
                <w:webHidden/>
              </w:rPr>
            </w:r>
            <w:r w:rsidR="00485022">
              <w:rPr>
                <w:noProof/>
                <w:webHidden/>
              </w:rPr>
              <w:fldChar w:fldCharType="separate"/>
            </w:r>
            <w:r w:rsidR="00485022">
              <w:rPr>
                <w:noProof/>
                <w:webHidden/>
              </w:rPr>
              <w:t>68</w:t>
            </w:r>
            <w:r w:rsidR="00485022">
              <w:rPr>
                <w:noProof/>
                <w:webHidden/>
              </w:rPr>
              <w:fldChar w:fldCharType="end"/>
            </w:r>
          </w:hyperlink>
        </w:p>
        <w:p w14:paraId="4CF41E55" w14:textId="094DB2D4" w:rsidR="00485022" w:rsidRDefault="009E2E72">
          <w:pPr>
            <w:pStyle w:val="TM3"/>
            <w:rPr>
              <w:rFonts w:asciiTheme="minorHAnsi" w:eastAsiaTheme="minorEastAsia" w:hAnsiTheme="minorHAnsi" w:cstheme="minorBidi"/>
              <w:noProof/>
              <w:sz w:val="22"/>
              <w:szCs w:val="22"/>
              <w:lang w:val="fr-FR" w:eastAsia="fr-FR"/>
            </w:rPr>
          </w:pPr>
          <w:hyperlink w:anchor="_Toc137044495" w:history="1">
            <w:r w:rsidR="00485022" w:rsidRPr="00EB4A5E">
              <w:rPr>
                <w:rStyle w:val="Lienhypertexte"/>
                <w:noProof/>
              </w:rPr>
              <w:t>3.1.1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Exposure scenario for workers and consumers covered in the registration dossiers</w:t>
            </w:r>
            <w:r w:rsidR="00485022">
              <w:rPr>
                <w:noProof/>
                <w:webHidden/>
              </w:rPr>
              <w:tab/>
            </w:r>
            <w:r w:rsidR="00485022">
              <w:rPr>
                <w:noProof/>
                <w:webHidden/>
              </w:rPr>
              <w:fldChar w:fldCharType="begin"/>
            </w:r>
            <w:r w:rsidR="00485022">
              <w:rPr>
                <w:noProof/>
                <w:webHidden/>
              </w:rPr>
              <w:instrText xml:space="preserve"> PAGEREF _Toc137044495 \h </w:instrText>
            </w:r>
            <w:r w:rsidR="00485022">
              <w:rPr>
                <w:noProof/>
                <w:webHidden/>
              </w:rPr>
            </w:r>
            <w:r w:rsidR="00485022">
              <w:rPr>
                <w:noProof/>
                <w:webHidden/>
              </w:rPr>
              <w:fldChar w:fldCharType="separate"/>
            </w:r>
            <w:r w:rsidR="00485022">
              <w:rPr>
                <w:noProof/>
                <w:webHidden/>
              </w:rPr>
              <w:t>68</w:t>
            </w:r>
            <w:r w:rsidR="00485022">
              <w:rPr>
                <w:noProof/>
                <w:webHidden/>
              </w:rPr>
              <w:fldChar w:fldCharType="end"/>
            </w:r>
          </w:hyperlink>
        </w:p>
        <w:p w14:paraId="4C3C9299" w14:textId="45ED3A2A" w:rsidR="00485022" w:rsidRDefault="009E2E72">
          <w:pPr>
            <w:pStyle w:val="TM3"/>
            <w:rPr>
              <w:rFonts w:asciiTheme="minorHAnsi" w:eastAsiaTheme="minorEastAsia" w:hAnsiTheme="minorHAnsi" w:cstheme="minorBidi"/>
              <w:noProof/>
              <w:sz w:val="22"/>
              <w:szCs w:val="22"/>
              <w:lang w:val="fr-FR" w:eastAsia="fr-FR"/>
            </w:rPr>
          </w:pPr>
          <w:hyperlink w:anchor="_Toc137044496" w:history="1">
            <w:r w:rsidR="00485022" w:rsidRPr="00EB4A5E">
              <w:rPr>
                <w:rStyle w:val="Lienhypertexte"/>
                <w:noProof/>
                <w:lang w:val="en-US"/>
              </w:rPr>
              <w:t>3.1.2</w:t>
            </w:r>
            <w:r w:rsidR="00485022">
              <w:rPr>
                <w:rFonts w:asciiTheme="minorHAnsi" w:eastAsiaTheme="minorEastAsia" w:hAnsiTheme="minorHAnsi" w:cstheme="minorBidi"/>
                <w:noProof/>
                <w:sz w:val="22"/>
                <w:szCs w:val="22"/>
                <w:lang w:val="fr-FR" w:eastAsia="fr-FR"/>
              </w:rPr>
              <w:tab/>
            </w:r>
            <w:r w:rsidR="00485022" w:rsidRPr="00EB4A5E">
              <w:rPr>
                <w:rStyle w:val="Lienhypertexte"/>
                <w:noProof/>
                <w:lang w:val="en-US"/>
              </w:rPr>
              <w:t>Exposure to DPG reported in literature</w:t>
            </w:r>
            <w:r w:rsidR="00485022">
              <w:rPr>
                <w:noProof/>
                <w:webHidden/>
              </w:rPr>
              <w:tab/>
            </w:r>
            <w:r w:rsidR="00485022">
              <w:rPr>
                <w:noProof/>
                <w:webHidden/>
              </w:rPr>
              <w:fldChar w:fldCharType="begin"/>
            </w:r>
            <w:r w:rsidR="00485022">
              <w:rPr>
                <w:noProof/>
                <w:webHidden/>
              </w:rPr>
              <w:instrText xml:space="preserve"> PAGEREF _Toc137044496 \h </w:instrText>
            </w:r>
            <w:r w:rsidR="00485022">
              <w:rPr>
                <w:noProof/>
                <w:webHidden/>
              </w:rPr>
            </w:r>
            <w:r w:rsidR="00485022">
              <w:rPr>
                <w:noProof/>
                <w:webHidden/>
              </w:rPr>
              <w:fldChar w:fldCharType="separate"/>
            </w:r>
            <w:r w:rsidR="00485022">
              <w:rPr>
                <w:noProof/>
                <w:webHidden/>
              </w:rPr>
              <w:t>68</w:t>
            </w:r>
            <w:r w:rsidR="00485022">
              <w:rPr>
                <w:noProof/>
                <w:webHidden/>
              </w:rPr>
              <w:fldChar w:fldCharType="end"/>
            </w:r>
          </w:hyperlink>
        </w:p>
        <w:p w14:paraId="4AD0CAC1" w14:textId="46D871C8" w:rsidR="00485022" w:rsidRDefault="009E2E72">
          <w:pPr>
            <w:pStyle w:val="TM2"/>
            <w:rPr>
              <w:rFonts w:asciiTheme="minorHAnsi" w:eastAsiaTheme="minorEastAsia" w:hAnsiTheme="minorHAnsi" w:cstheme="minorBidi"/>
              <w:noProof/>
              <w:sz w:val="22"/>
              <w:szCs w:val="22"/>
              <w:lang w:val="fr-FR" w:eastAsia="fr-FR"/>
            </w:rPr>
          </w:pPr>
          <w:hyperlink w:anchor="_Toc137044497" w:history="1">
            <w:r w:rsidR="00485022" w:rsidRPr="00EB4A5E">
              <w:rPr>
                <w:rStyle w:val="Lienhypertexte"/>
                <w:noProof/>
              </w:rPr>
              <w:t>3.2</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Environment</w:t>
            </w:r>
            <w:r w:rsidR="00485022">
              <w:rPr>
                <w:noProof/>
                <w:webHidden/>
              </w:rPr>
              <w:tab/>
            </w:r>
            <w:r w:rsidR="00485022">
              <w:rPr>
                <w:noProof/>
                <w:webHidden/>
              </w:rPr>
              <w:fldChar w:fldCharType="begin"/>
            </w:r>
            <w:r w:rsidR="00485022">
              <w:rPr>
                <w:noProof/>
                <w:webHidden/>
              </w:rPr>
              <w:instrText xml:space="preserve"> PAGEREF _Toc137044497 \h </w:instrText>
            </w:r>
            <w:r w:rsidR="00485022">
              <w:rPr>
                <w:noProof/>
                <w:webHidden/>
              </w:rPr>
            </w:r>
            <w:r w:rsidR="00485022">
              <w:rPr>
                <w:noProof/>
                <w:webHidden/>
              </w:rPr>
              <w:fldChar w:fldCharType="separate"/>
            </w:r>
            <w:r w:rsidR="00485022">
              <w:rPr>
                <w:noProof/>
                <w:webHidden/>
              </w:rPr>
              <w:t>71</w:t>
            </w:r>
            <w:r w:rsidR="00485022">
              <w:rPr>
                <w:noProof/>
                <w:webHidden/>
              </w:rPr>
              <w:fldChar w:fldCharType="end"/>
            </w:r>
          </w:hyperlink>
        </w:p>
        <w:p w14:paraId="46FF196B" w14:textId="0E10FB8B" w:rsidR="00485022" w:rsidRDefault="009E2E72">
          <w:pPr>
            <w:pStyle w:val="TM3"/>
            <w:rPr>
              <w:rFonts w:asciiTheme="minorHAnsi" w:eastAsiaTheme="minorEastAsia" w:hAnsiTheme="minorHAnsi" w:cstheme="minorBidi"/>
              <w:noProof/>
              <w:sz w:val="22"/>
              <w:szCs w:val="22"/>
              <w:lang w:val="fr-FR" w:eastAsia="fr-FR"/>
            </w:rPr>
          </w:pPr>
          <w:hyperlink w:anchor="_Toc137044498" w:history="1">
            <w:r w:rsidR="00485022" w:rsidRPr="00EB4A5E">
              <w:rPr>
                <w:rStyle w:val="Lienhypertexte"/>
                <w:noProof/>
              </w:rPr>
              <w:t>3.2.1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lang w:val="en-US"/>
              </w:rPr>
              <w:t xml:space="preserve">Introduction to the assessment </w:t>
            </w:r>
            <w:r w:rsidR="00485022" w:rsidRPr="00EB4A5E">
              <w:rPr>
                <w:rStyle w:val="Lienhypertexte"/>
                <w:noProof/>
              </w:rPr>
              <w:t>for</w:t>
            </w:r>
            <w:r w:rsidR="00485022" w:rsidRPr="00EB4A5E">
              <w:rPr>
                <w:rStyle w:val="Lienhypertexte"/>
                <w:noProof/>
                <w:lang w:val="en-US"/>
              </w:rPr>
              <w:t xml:space="preserve"> the environment</w:t>
            </w:r>
            <w:r w:rsidR="00485022">
              <w:rPr>
                <w:noProof/>
                <w:webHidden/>
              </w:rPr>
              <w:tab/>
            </w:r>
            <w:r w:rsidR="00485022">
              <w:rPr>
                <w:noProof/>
                <w:webHidden/>
              </w:rPr>
              <w:fldChar w:fldCharType="begin"/>
            </w:r>
            <w:r w:rsidR="00485022">
              <w:rPr>
                <w:noProof/>
                <w:webHidden/>
              </w:rPr>
              <w:instrText xml:space="preserve"> PAGEREF _Toc137044498 \h </w:instrText>
            </w:r>
            <w:r w:rsidR="00485022">
              <w:rPr>
                <w:noProof/>
                <w:webHidden/>
              </w:rPr>
            </w:r>
            <w:r w:rsidR="00485022">
              <w:rPr>
                <w:noProof/>
                <w:webHidden/>
              </w:rPr>
              <w:fldChar w:fldCharType="separate"/>
            </w:r>
            <w:r w:rsidR="00485022">
              <w:rPr>
                <w:noProof/>
                <w:webHidden/>
              </w:rPr>
              <w:t>71</w:t>
            </w:r>
            <w:r w:rsidR="00485022">
              <w:rPr>
                <w:noProof/>
                <w:webHidden/>
              </w:rPr>
              <w:fldChar w:fldCharType="end"/>
            </w:r>
          </w:hyperlink>
        </w:p>
        <w:p w14:paraId="437EE667" w14:textId="29043C37" w:rsidR="00485022" w:rsidRDefault="009E2E72">
          <w:pPr>
            <w:pStyle w:val="TM3"/>
            <w:rPr>
              <w:rFonts w:asciiTheme="minorHAnsi" w:eastAsiaTheme="minorEastAsia" w:hAnsiTheme="minorHAnsi" w:cstheme="minorBidi"/>
              <w:noProof/>
              <w:sz w:val="22"/>
              <w:szCs w:val="22"/>
              <w:lang w:val="fr-FR" w:eastAsia="fr-FR"/>
            </w:rPr>
          </w:pPr>
          <w:hyperlink w:anchor="_Toc137044499" w:history="1">
            <w:r w:rsidR="00485022" w:rsidRPr="00EB4A5E">
              <w:rPr>
                <w:rStyle w:val="Lienhypertexte"/>
                <w:noProof/>
              </w:rPr>
              <w:t>3.2.2</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PNEC derivation</w:t>
            </w:r>
            <w:r w:rsidR="00485022">
              <w:rPr>
                <w:noProof/>
                <w:webHidden/>
              </w:rPr>
              <w:tab/>
            </w:r>
            <w:r w:rsidR="00485022">
              <w:rPr>
                <w:noProof/>
                <w:webHidden/>
              </w:rPr>
              <w:fldChar w:fldCharType="begin"/>
            </w:r>
            <w:r w:rsidR="00485022">
              <w:rPr>
                <w:noProof/>
                <w:webHidden/>
              </w:rPr>
              <w:instrText xml:space="preserve"> PAGEREF _Toc137044499 \h </w:instrText>
            </w:r>
            <w:r w:rsidR="00485022">
              <w:rPr>
                <w:noProof/>
                <w:webHidden/>
              </w:rPr>
            </w:r>
            <w:r w:rsidR="00485022">
              <w:rPr>
                <w:noProof/>
                <w:webHidden/>
              </w:rPr>
              <w:fldChar w:fldCharType="separate"/>
            </w:r>
            <w:r w:rsidR="00485022">
              <w:rPr>
                <w:noProof/>
                <w:webHidden/>
              </w:rPr>
              <w:t>71</w:t>
            </w:r>
            <w:r w:rsidR="00485022">
              <w:rPr>
                <w:noProof/>
                <w:webHidden/>
              </w:rPr>
              <w:fldChar w:fldCharType="end"/>
            </w:r>
          </w:hyperlink>
        </w:p>
        <w:p w14:paraId="7659D0A9" w14:textId="413C6435" w:rsidR="00485022" w:rsidRDefault="009E2E72">
          <w:pPr>
            <w:pStyle w:val="TM3"/>
            <w:rPr>
              <w:rFonts w:asciiTheme="minorHAnsi" w:eastAsiaTheme="minorEastAsia" w:hAnsiTheme="minorHAnsi" w:cstheme="minorBidi"/>
              <w:noProof/>
              <w:sz w:val="22"/>
              <w:szCs w:val="22"/>
              <w:lang w:val="fr-FR" w:eastAsia="fr-FR"/>
            </w:rPr>
          </w:pPr>
          <w:hyperlink w:anchor="_Toc137044500" w:history="1">
            <w:r w:rsidR="00485022" w:rsidRPr="00EB4A5E">
              <w:rPr>
                <w:rStyle w:val="Lienhypertexte"/>
                <w:noProof/>
              </w:rPr>
              <w:t>3.2.3</w:t>
            </w:r>
            <w:r w:rsidR="00485022">
              <w:rPr>
                <w:rFonts w:asciiTheme="minorHAnsi" w:eastAsiaTheme="minorEastAsia" w:hAnsiTheme="minorHAnsi" w:cstheme="minorBidi"/>
                <w:noProof/>
                <w:sz w:val="22"/>
                <w:szCs w:val="22"/>
                <w:lang w:val="fr-FR" w:eastAsia="fr-FR"/>
              </w:rPr>
              <w:tab/>
            </w:r>
            <w:r w:rsidR="00485022" w:rsidRPr="00EB4A5E">
              <w:rPr>
                <w:rStyle w:val="Lienhypertexte"/>
                <w:noProof/>
                <w:lang w:val="en-US"/>
              </w:rPr>
              <w:t xml:space="preserve">Fate </w:t>
            </w:r>
            <w:r w:rsidR="00485022" w:rsidRPr="00EB4A5E">
              <w:rPr>
                <w:rStyle w:val="Lienhypertexte"/>
                <w:noProof/>
              </w:rPr>
              <w:t>and</w:t>
            </w:r>
            <w:r w:rsidR="00485022" w:rsidRPr="00EB4A5E">
              <w:rPr>
                <w:rStyle w:val="Lienhypertexte"/>
                <w:noProof/>
                <w:lang w:val="en-US"/>
              </w:rPr>
              <w:t xml:space="preserve"> </w:t>
            </w:r>
            <w:r w:rsidR="00485022" w:rsidRPr="00EB4A5E">
              <w:rPr>
                <w:rStyle w:val="Lienhypertexte"/>
                <w:noProof/>
              </w:rPr>
              <w:t>distribution</w:t>
            </w:r>
            <w:r w:rsidR="00485022" w:rsidRPr="00EB4A5E">
              <w:rPr>
                <w:rStyle w:val="Lienhypertexte"/>
                <w:noProof/>
                <w:lang w:val="en-US"/>
              </w:rPr>
              <w:t xml:space="preserve"> parameters</w:t>
            </w:r>
            <w:r w:rsidR="00485022">
              <w:rPr>
                <w:noProof/>
                <w:webHidden/>
              </w:rPr>
              <w:tab/>
            </w:r>
            <w:r w:rsidR="00485022">
              <w:rPr>
                <w:noProof/>
                <w:webHidden/>
              </w:rPr>
              <w:fldChar w:fldCharType="begin"/>
            </w:r>
            <w:r w:rsidR="00485022">
              <w:rPr>
                <w:noProof/>
                <w:webHidden/>
              </w:rPr>
              <w:instrText xml:space="preserve"> PAGEREF _Toc137044500 \h </w:instrText>
            </w:r>
            <w:r w:rsidR="00485022">
              <w:rPr>
                <w:noProof/>
                <w:webHidden/>
              </w:rPr>
            </w:r>
            <w:r w:rsidR="00485022">
              <w:rPr>
                <w:noProof/>
                <w:webHidden/>
              </w:rPr>
              <w:fldChar w:fldCharType="separate"/>
            </w:r>
            <w:r w:rsidR="00485022">
              <w:rPr>
                <w:noProof/>
                <w:webHidden/>
              </w:rPr>
              <w:t>71</w:t>
            </w:r>
            <w:r w:rsidR="00485022">
              <w:rPr>
                <w:noProof/>
                <w:webHidden/>
              </w:rPr>
              <w:fldChar w:fldCharType="end"/>
            </w:r>
          </w:hyperlink>
        </w:p>
        <w:p w14:paraId="6EA6DC07" w14:textId="5B6B7EBF" w:rsidR="00485022" w:rsidRDefault="009E2E72">
          <w:pPr>
            <w:pStyle w:val="TM3"/>
            <w:rPr>
              <w:rFonts w:asciiTheme="minorHAnsi" w:eastAsiaTheme="minorEastAsia" w:hAnsiTheme="minorHAnsi" w:cstheme="minorBidi"/>
              <w:noProof/>
              <w:sz w:val="22"/>
              <w:szCs w:val="22"/>
              <w:lang w:val="fr-FR" w:eastAsia="fr-FR"/>
            </w:rPr>
          </w:pPr>
          <w:hyperlink w:anchor="_Toc137044501" w:history="1">
            <w:r w:rsidR="00485022" w:rsidRPr="00EB4A5E">
              <w:rPr>
                <w:rStyle w:val="Lienhypertexte"/>
                <w:noProof/>
              </w:rPr>
              <w:t>3.2.4</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Combined exposure assessment</w:t>
            </w:r>
            <w:r w:rsidR="00485022">
              <w:rPr>
                <w:noProof/>
                <w:webHidden/>
              </w:rPr>
              <w:tab/>
            </w:r>
            <w:r w:rsidR="00485022">
              <w:rPr>
                <w:noProof/>
                <w:webHidden/>
              </w:rPr>
              <w:fldChar w:fldCharType="begin"/>
            </w:r>
            <w:r w:rsidR="00485022">
              <w:rPr>
                <w:noProof/>
                <w:webHidden/>
              </w:rPr>
              <w:instrText xml:space="preserve"> PAGEREF _Toc137044501 \h </w:instrText>
            </w:r>
            <w:r w:rsidR="00485022">
              <w:rPr>
                <w:noProof/>
                <w:webHidden/>
              </w:rPr>
            </w:r>
            <w:r w:rsidR="00485022">
              <w:rPr>
                <w:noProof/>
                <w:webHidden/>
              </w:rPr>
              <w:fldChar w:fldCharType="separate"/>
            </w:r>
            <w:r w:rsidR="00485022">
              <w:rPr>
                <w:noProof/>
                <w:webHidden/>
              </w:rPr>
              <w:t>72</w:t>
            </w:r>
            <w:r w:rsidR="00485022">
              <w:rPr>
                <w:noProof/>
                <w:webHidden/>
              </w:rPr>
              <w:fldChar w:fldCharType="end"/>
            </w:r>
          </w:hyperlink>
        </w:p>
        <w:p w14:paraId="1253E378" w14:textId="5FB55CB6" w:rsidR="00485022" w:rsidRDefault="009E2E72">
          <w:pPr>
            <w:pStyle w:val="TM3"/>
            <w:rPr>
              <w:rFonts w:asciiTheme="minorHAnsi" w:eastAsiaTheme="minorEastAsia" w:hAnsiTheme="minorHAnsi" w:cstheme="minorBidi"/>
              <w:noProof/>
              <w:sz w:val="22"/>
              <w:szCs w:val="22"/>
              <w:lang w:val="fr-FR" w:eastAsia="fr-FR"/>
            </w:rPr>
          </w:pPr>
          <w:hyperlink w:anchor="_Toc137044502" w:history="1">
            <w:r w:rsidR="00485022" w:rsidRPr="00EB4A5E">
              <w:rPr>
                <w:rStyle w:val="Lienhypertexte"/>
                <w:noProof/>
              </w:rPr>
              <w:t>3.2.5</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Monitoring data from literature</w:t>
            </w:r>
            <w:r w:rsidR="00485022">
              <w:rPr>
                <w:noProof/>
                <w:webHidden/>
              </w:rPr>
              <w:tab/>
            </w:r>
            <w:r w:rsidR="00485022">
              <w:rPr>
                <w:noProof/>
                <w:webHidden/>
              </w:rPr>
              <w:fldChar w:fldCharType="begin"/>
            </w:r>
            <w:r w:rsidR="00485022">
              <w:rPr>
                <w:noProof/>
                <w:webHidden/>
              </w:rPr>
              <w:instrText xml:space="preserve"> PAGEREF _Toc137044502 \h </w:instrText>
            </w:r>
            <w:r w:rsidR="00485022">
              <w:rPr>
                <w:noProof/>
                <w:webHidden/>
              </w:rPr>
            </w:r>
            <w:r w:rsidR="00485022">
              <w:rPr>
                <w:noProof/>
                <w:webHidden/>
              </w:rPr>
              <w:fldChar w:fldCharType="separate"/>
            </w:r>
            <w:r w:rsidR="00485022">
              <w:rPr>
                <w:noProof/>
                <w:webHidden/>
              </w:rPr>
              <w:t>73</w:t>
            </w:r>
            <w:r w:rsidR="00485022">
              <w:rPr>
                <w:noProof/>
                <w:webHidden/>
              </w:rPr>
              <w:fldChar w:fldCharType="end"/>
            </w:r>
          </w:hyperlink>
        </w:p>
        <w:p w14:paraId="374A2DDD" w14:textId="41C9D375" w:rsidR="00485022" w:rsidRDefault="009E2E72">
          <w:pPr>
            <w:pStyle w:val="TM1"/>
            <w:rPr>
              <w:rFonts w:asciiTheme="minorHAnsi" w:eastAsiaTheme="minorEastAsia" w:hAnsiTheme="minorHAnsi" w:cstheme="minorBidi"/>
              <w:b w:val="0"/>
              <w:noProof/>
              <w:sz w:val="22"/>
              <w:szCs w:val="22"/>
              <w:lang w:val="fr-FR" w:eastAsia="fr-FR"/>
            </w:rPr>
          </w:pPr>
          <w:hyperlink w:anchor="_Toc137044503" w:history="1">
            <w:r w:rsidR="00485022" w:rsidRPr="00EB4A5E">
              <w:rPr>
                <w:rStyle w:val="Lienhypertexte"/>
                <w:noProof/>
                <w:lang w:val="en-US"/>
              </w:rPr>
              <w:t>4</w:t>
            </w:r>
            <w:r w:rsidR="00485022">
              <w:rPr>
                <w:rFonts w:asciiTheme="minorHAnsi" w:eastAsiaTheme="minorEastAsia" w:hAnsiTheme="minorHAnsi" w:cstheme="minorBidi"/>
                <w:b w:val="0"/>
                <w:noProof/>
                <w:sz w:val="22"/>
                <w:szCs w:val="22"/>
                <w:lang w:val="fr-FR" w:eastAsia="fr-FR"/>
              </w:rPr>
              <w:tab/>
            </w:r>
            <w:r w:rsidR="00485022" w:rsidRPr="00EB4A5E">
              <w:rPr>
                <w:rStyle w:val="Lienhypertexte"/>
                <w:noProof/>
              </w:rPr>
              <w:t>Risk characterisation</w:t>
            </w:r>
            <w:r w:rsidR="00485022">
              <w:rPr>
                <w:noProof/>
                <w:webHidden/>
              </w:rPr>
              <w:tab/>
            </w:r>
            <w:r w:rsidR="00485022">
              <w:rPr>
                <w:noProof/>
                <w:webHidden/>
              </w:rPr>
              <w:fldChar w:fldCharType="begin"/>
            </w:r>
            <w:r w:rsidR="00485022">
              <w:rPr>
                <w:noProof/>
                <w:webHidden/>
              </w:rPr>
              <w:instrText xml:space="preserve"> PAGEREF _Toc137044503 \h </w:instrText>
            </w:r>
            <w:r w:rsidR="00485022">
              <w:rPr>
                <w:noProof/>
                <w:webHidden/>
              </w:rPr>
            </w:r>
            <w:r w:rsidR="00485022">
              <w:rPr>
                <w:noProof/>
                <w:webHidden/>
              </w:rPr>
              <w:fldChar w:fldCharType="separate"/>
            </w:r>
            <w:r w:rsidR="00485022">
              <w:rPr>
                <w:noProof/>
                <w:webHidden/>
              </w:rPr>
              <w:t>76</w:t>
            </w:r>
            <w:r w:rsidR="00485022">
              <w:rPr>
                <w:noProof/>
                <w:webHidden/>
              </w:rPr>
              <w:fldChar w:fldCharType="end"/>
            </w:r>
          </w:hyperlink>
        </w:p>
        <w:p w14:paraId="33CE44C3" w14:textId="65AB264B" w:rsidR="00485022" w:rsidRDefault="009E2E72">
          <w:pPr>
            <w:pStyle w:val="TM2"/>
            <w:rPr>
              <w:rFonts w:asciiTheme="minorHAnsi" w:eastAsiaTheme="minorEastAsia" w:hAnsiTheme="minorHAnsi" w:cstheme="minorBidi"/>
              <w:noProof/>
              <w:sz w:val="22"/>
              <w:szCs w:val="22"/>
              <w:lang w:val="fr-FR" w:eastAsia="fr-FR"/>
            </w:rPr>
          </w:pPr>
          <w:hyperlink w:anchor="_Toc137044504" w:history="1">
            <w:r w:rsidR="00485022" w:rsidRPr="00EB4A5E">
              <w:rPr>
                <w:rStyle w:val="Lienhypertexte"/>
                <w:noProof/>
              </w:rPr>
              <w:t>4.1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Human health</w:t>
            </w:r>
            <w:r w:rsidR="00485022">
              <w:rPr>
                <w:noProof/>
                <w:webHidden/>
              </w:rPr>
              <w:tab/>
            </w:r>
            <w:r w:rsidR="00485022">
              <w:rPr>
                <w:noProof/>
                <w:webHidden/>
              </w:rPr>
              <w:fldChar w:fldCharType="begin"/>
            </w:r>
            <w:r w:rsidR="00485022">
              <w:rPr>
                <w:noProof/>
                <w:webHidden/>
              </w:rPr>
              <w:instrText xml:space="preserve"> PAGEREF _Toc137044504 \h </w:instrText>
            </w:r>
            <w:r w:rsidR="00485022">
              <w:rPr>
                <w:noProof/>
                <w:webHidden/>
              </w:rPr>
            </w:r>
            <w:r w:rsidR="00485022">
              <w:rPr>
                <w:noProof/>
                <w:webHidden/>
              </w:rPr>
              <w:fldChar w:fldCharType="separate"/>
            </w:r>
            <w:r w:rsidR="00485022">
              <w:rPr>
                <w:noProof/>
                <w:webHidden/>
              </w:rPr>
              <w:t>76</w:t>
            </w:r>
            <w:r w:rsidR="00485022">
              <w:rPr>
                <w:noProof/>
                <w:webHidden/>
              </w:rPr>
              <w:fldChar w:fldCharType="end"/>
            </w:r>
          </w:hyperlink>
        </w:p>
        <w:p w14:paraId="0B30BFA4" w14:textId="6EDCA341" w:rsidR="00485022" w:rsidRDefault="009E2E72">
          <w:pPr>
            <w:pStyle w:val="TM2"/>
            <w:rPr>
              <w:rFonts w:asciiTheme="minorHAnsi" w:eastAsiaTheme="minorEastAsia" w:hAnsiTheme="minorHAnsi" w:cstheme="minorBidi"/>
              <w:noProof/>
              <w:sz w:val="22"/>
              <w:szCs w:val="22"/>
              <w:lang w:val="fr-FR" w:eastAsia="fr-FR"/>
            </w:rPr>
          </w:pPr>
          <w:hyperlink w:anchor="_Toc137044505" w:history="1">
            <w:r w:rsidR="00485022" w:rsidRPr="00EB4A5E">
              <w:rPr>
                <w:rStyle w:val="Lienhypertexte"/>
                <w:noProof/>
              </w:rPr>
              <w:t>4.2</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Environmental risk assessment based on exposure scenarios of the registration dossier</w:t>
            </w:r>
            <w:r w:rsidR="00485022">
              <w:rPr>
                <w:noProof/>
                <w:webHidden/>
              </w:rPr>
              <w:tab/>
            </w:r>
            <w:r w:rsidR="00485022">
              <w:rPr>
                <w:noProof/>
                <w:webHidden/>
              </w:rPr>
              <w:fldChar w:fldCharType="begin"/>
            </w:r>
            <w:r w:rsidR="00485022">
              <w:rPr>
                <w:noProof/>
                <w:webHidden/>
              </w:rPr>
              <w:instrText xml:space="preserve"> PAGEREF _Toc137044505 \h </w:instrText>
            </w:r>
            <w:r w:rsidR="00485022">
              <w:rPr>
                <w:noProof/>
                <w:webHidden/>
              </w:rPr>
            </w:r>
            <w:r w:rsidR="00485022">
              <w:rPr>
                <w:noProof/>
                <w:webHidden/>
              </w:rPr>
              <w:fldChar w:fldCharType="separate"/>
            </w:r>
            <w:r w:rsidR="00485022">
              <w:rPr>
                <w:noProof/>
                <w:webHidden/>
              </w:rPr>
              <w:t>104</w:t>
            </w:r>
            <w:r w:rsidR="00485022">
              <w:rPr>
                <w:noProof/>
                <w:webHidden/>
              </w:rPr>
              <w:fldChar w:fldCharType="end"/>
            </w:r>
          </w:hyperlink>
        </w:p>
        <w:p w14:paraId="68349F0A" w14:textId="67F87156" w:rsidR="00485022" w:rsidRDefault="009E2E72">
          <w:pPr>
            <w:pStyle w:val="TM2"/>
            <w:rPr>
              <w:rFonts w:asciiTheme="minorHAnsi" w:eastAsiaTheme="minorEastAsia" w:hAnsiTheme="minorHAnsi" w:cstheme="minorBidi"/>
              <w:noProof/>
              <w:sz w:val="22"/>
              <w:szCs w:val="22"/>
              <w:lang w:val="fr-FR" w:eastAsia="fr-FR"/>
            </w:rPr>
          </w:pPr>
          <w:hyperlink w:anchor="_Toc137044506" w:history="1">
            <w:r w:rsidR="00485022" w:rsidRPr="00EB4A5E">
              <w:rPr>
                <w:rStyle w:val="Lienhypertexte"/>
                <w:noProof/>
              </w:rPr>
              <w:t>4.3</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Overall risk characterisation</w:t>
            </w:r>
            <w:r w:rsidR="00485022">
              <w:rPr>
                <w:noProof/>
                <w:webHidden/>
              </w:rPr>
              <w:tab/>
            </w:r>
            <w:r w:rsidR="00485022">
              <w:rPr>
                <w:noProof/>
                <w:webHidden/>
              </w:rPr>
              <w:fldChar w:fldCharType="begin"/>
            </w:r>
            <w:r w:rsidR="00485022">
              <w:rPr>
                <w:noProof/>
                <w:webHidden/>
              </w:rPr>
              <w:instrText xml:space="preserve"> PAGEREF _Toc137044506 \h </w:instrText>
            </w:r>
            <w:r w:rsidR="00485022">
              <w:rPr>
                <w:noProof/>
                <w:webHidden/>
              </w:rPr>
            </w:r>
            <w:r w:rsidR="00485022">
              <w:rPr>
                <w:noProof/>
                <w:webHidden/>
              </w:rPr>
              <w:fldChar w:fldCharType="separate"/>
            </w:r>
            <w:r w:rsidR="00485022">
              <w:rPr>
                <w:noProof/>
                <w:webHidden/>
              </w:rPr>
              <w:t>111</w:t>
            </w:r>
            <w:r w:rsidR="00485022">
              <w:rPr>
                <w:noProof/>
                <w:webHidden/>
              </w:rPr>
              <w:fldChar w:fldCharType="end"/>
            </w:r>
          </w:hyperlink>
        </w:p>
        <w:p w14:paraId="45C61FC5" w14:textId="7D00E1F9" w:rsidR="00485022" w:rsidRDefault="009E2E72">
          <w:pPr>
            <w:pStyle w:val="TM1"/>
            <w:rPr>
              <w:rFonts w:asciiTheme="minorHAnsi" w:eastAsiaTheme="minorEastAsia" w:hAnsiTheme="minorHAnsi" w:cstheme="minorBidi"/>
              <w:b w:val="0"/>
              <w:noProof/>
              <w:sz w:val="22"/>
              <w:szCs w:val="22"/>
              <w:lang w:val="fr-FR" w:eastAsia="fr-FR"/>
            </w:rPr>
          </w:pPr>
          <w:hyperlink w:anchor="_Toc137044507" w:history="1">
            <w:r w:rsidR="00485022" w:rsidRPr="00EB4A5E">
              <w:rPr>
                <w:rStyle w:val="Lienhypertexte"/>
                <w:noProof/>
                <w:lang w:val="en-US"/>
              </w:rPr>
              <w:t>5</w:t>
            </w:r>
            <w:r w:rsidR="00485022">
              <w:rPr>
                <w:rFonts w:asciiTheme="minorHAnsi" w:eastAsiaTheme="minorEastAsia" w:hAnsiTheme="minorHAnsi" w:cstheme="minorBidi"/>
                <w:b w:val="0"/>
                <w:noProof/>
                <w:sz w:val="22"/>
                <w:szCs w:val="22"/>
                <w:lang w:val="fr-FR" w:eastAsia="fr-FR"/>
              </w:rPr>
              <w:tab/>
            </w:r>
            <w:r w:rsidR="00485022" w:rsidRPr="00EB4A5E">
              <w:rPr>
                <w:rStyle w:val="Lienhypertexte"/>
                <w:noProof/>
              </w:rPr>
              <w:t>References</w:t>
            </w:r>
            <w:r w:rsidR="00485022">
              <w:rPr>
                <w:noProof/>
                <w:webHidden/>
              </w:rPr>
              <w:tab/>
            </w:r>
            <w:r w:rsidR="00485022">
              <w:rPr>
                <w:noProof/>
                <w:webHidden/>
              </w:rPr>
              <w:fldChar w:fldCharType="begin"/>
            </w:r>
            <w:r w:rsidR="00485022">
              <w:rPr>
                <w:noProof/>
                <w:webHidden/>
              </w:rPr>
              <w:instrText xml:space="preserve"> PAGEREF _Toc137044507 \h </w:instrText>
            </w:r>
            <w:r w:rsidR="00485022">
              <w:rPr>
                <w:noProof/>
                <w:webHidden/>
              </w:rPr>
            </w:r>
            <w:r w:rsidR="00485022">
              <w:rPr>
                <w:noProof/>
                <w:webHidden/>
              </w:rPr>
              <w:fldChar w:fldCharType="separate"/>
            </w:r>
            <w:r w:rsidR="00485022">
              <w:rPr>
                <w:noProof/>
                <w:webHidden/>
              </w:rPr>
              <w:t>113</w:t>
            </w:r>
            <w:r w:rsidR="00485022">
              <w:rPr>
                <w:noProof/>
                <w:webHidden/>
              </w:rPr>
              <w:fldChar w:fldCharType="end"/>
            </w:r>
          </w:hyperlink>
        </w:p>
        <w:p w14:paraId="5CBD99F0" w14:textId="11001DDF" w:rsidR="00485022" w:rsidRDefault="009E2E72">
          <w:pPr>
            <w:pStyle w:val="TM1"/>
            <w:rPr>
              <w:rFonts w:asciiTheme="minorHAnsi" w:eastAsiaTheme="minorEastAsia" w:hAnsiTheme="minorHAnsi" w:cstheme="minorBidi"/>
              <w:b w:val="0"/>
              <w:noProof/>
              <w:sz w:val="22"/>
              <w:szCs w:val="22"/>
              <w:lang w:val="fr-FR" w:eastAsia="fr-FR"/>
            </w:rPr>
          </w:pPr>
          <w:hyperlink w:anchor="_Toc137044508" w:history="1">
            <w:r w:rsidR="00485022" w:rsidRPr="00EB4A5E">
              <w:rPr>
                <w:rStyle w:val="Lienhypertexte"/>
                <w:noProof/>
              </w:rPr>
              <w:t>Confidential Annex</w:t>
            </w:r>
            <w:r w:rsidR="00485022" w:rsidRPr="00EB4A5E">
              <w:rPr>
                <w:rStyle w:val="Lienhypertexte"/>
                <w:rFonts w:ascii="Times New Roman" w:hAnsi="Times New Roman"/>
                <w:noProof/>
                <w:lang w:val="en-US"/>
              </w:rPr>
              <w:t xml:space="preserve"> </w:t>
            </w:r>
            <w:r w:rsidR="00485022" w:rsidRPr="00EB4A5E">
              <w:rPr>
                <w:rStyle w:val="Lienhypertexte"/>
                <w:noProof/>
                <w:lang w:val="en-US"/>
              </w:rPr>
              <w:t>: Emission scenario parameters : Tonnage approach</w:t>
            </w:r>
            <w:r w:rsidR="00485022">
              <w:rPr>
                <w:noProof/>
                <w:webHidden/>
              </w:rPr>
              <w:tab/>
            </w:r>
            <w:r w:rsidR="00485022">
              <w:rPr>
                <w:noProof/>
                <w:webHidden/>
              </w:rPr>
              <w:fldChar w:fldCharType="begin"/>
            </w:r>
            <w:r w:rsidR="00485022">
              <w:rPr>
                <w:noProof/>
                <w:webHidden/>
              </w:rPr>
              <w:instrText xml:space="preserve"> PAGEREF _Toc137044508 \h </w:instrText>
            </w:r>
            <w:r w:rsidR="00485022">
              <w:rPr>
                <w:noProof/>
                <w:webHidden/>
              </w:rPr>
            </w:r>
            <w:r w:rsidR="00485022">
              <w:rPr>
                <w:noProof/>
                <w:webHidden/>
              </w:rPr>
              <w:fldChar w:fldCharType="separate"/>
            </w:r>
            <w:r w:rsidR="00485022">
              <w:rPr>
                <w:noProof/>
                <w:webHidden/>
              </w:rPr>
              <w:t>117</w:t>
            </w:r>
            <w:r w:rsidR="00485022">
              <w:rPr>
                <w:noProof/>
                <w:webHidden/>
              </w:rPr>
              <w:fldChar w:fldCharType="end"/>
            </w:r>
          </w:hyperlink>
        </w:p>
        <w:p w14:paraId="70C77010" w14:textId="45ECD9DA" w:rsidR="00485022" w:rsidRDefault="009E2E72">
          <w:pPr>
            <w:pStyle w:val="TM1"/>
            <w:rPr>
              <w:rFonts w:asciiTheme="minorHAnsi" w:eastAsiaTheme="minorEastAsia" w:hAnsiTheme="minorHAnsi" w:cstheme="minorBidi"/>
              <w:b w:val="0"/>
              <w:noProof/>
              <w:sz w:val="22"/>
              <w:szCs w:val="22"/>
              <w:lang w:val="fr-FR" w:eastAsia="fr-FR"/>
            </w:rPr>
          </w:pPr>
          <w:hyperlink w:anchor="_Toc137044509" w:history="1">
            <w:r w:rsidR="00485022" w:rsidRPr="00EB4A5E">
              <w:rPr>
                <w:rStyle w:val="Lienhypertexte"/>
                <w:noProof/>
                <w:lang w:val="en-US"/>
              </w:rPr>
              <w:t>1</w:t>
            </w:r>
            <w:r w:rsidR="00485022">
              <w:rPr>
                <w:rFonts w:asciiTheme="minorHAnsi" w:eastAsiaTheme="minorEastAsia" w:hAnsiTheme="minorHAnsi" w:cstheme="minorBidi"/>
                <w:b w:val="0"/>
                <w:noProof/>
                <w:sz w:val="22"/>
                <w:szCs w:val="22"/>
                <w:lang w:val="fr-FR" w:eastAsia="fr-FR"/>
              </w:rPr>
              <w:tab/>
            </w:r>
            <w:r w:rsidR="00485022" w:rsidRPr="00EB4A5E">
              <w:rPr>
                <w:rStyle w:val="Lienhypertexte"/>
                <w:noProof/>
              </w:rPr>
              <w:t>Exposure assessment</w:t>
            </w:r>
            <w:r w:rsidR="00485022">
              <w:rPr>
                <w:noProof/>
                <w:webHidden/>
              </w:rPr>
              <w:tab/>
            </w:r>
            <w:r w:rsidR="00485022">
              <w:rPr>
                <w:noProof/>
                <w:webHidden/>
              </w:rPr>
              <w:fldChar w:fldCharType="begin"/>
            </w:r>
            <w:r w:rsidR="00485022">
              <w:rPr>
                <w:noProof/>
                <w:webHidden/>
              </w:rPr>
              <w:instrText xml:space="preserve"> PAGEREF _Toc137044509 \h </w:instrText>
            </w:r>
            <w:r w:rsidR="00485022">
              <w:rPr>
                <w:noProof/>
                <w:webHidden/>
              </w:rPr>
            </w:r>
            <w:r w:rsidR="00485022">
              <w:rPr>
                <w:noProof/>
                <w:webHidden/>
              </w:rPr>
              <w:fldChar w:fldCharType="separate"/>
            </w:r>
            <w:r w:rsidR="00485022">
              <w:rPr>
                <w:noProof/>
                <w:webHidden/>
              </w:rPr>
              <w:t>117</w:t>
            </w:r>
            <w:r w:rsidR="00485022">
              <w:rPr>
                <w:noProof/>
                <w:webHidden/>
              </w:rPr>
              <w:fldChar w:fldCharType="end"/>
            </w:r>
          </w:hyperlink>
        </w:p>
        <w:p w14:paraId="2E231AE3" w14:textId="0C510659" w:rsidR="00485022" w:rsidRDefault="009E2E72">
          <w:pPr>
            <w:pStyle w:val="TM2"/>
            <w:rPr>
              <w:rFonts w:asciiTheme="minorHAnsi" w:eastAsiaTheme="minorEastAsia" w:hAnsiTheme="minorHAnsi" w:cstheme="minorBidi"/>
              <w:noProof/>
              <w:sz w:val="22"/>
              <w:szCs w:val="22"/>
              <w:lang w:val="fr-FR" w:eastAsia="fr-FR"/>
            </w:rPr>
          </w:pPr>
          <w:hyperlink w:anchor="_Toc137044510" w:history="1">
            <w:r w:rsidR="00485022" w:rsidRPr="00EB4A5E">
              <w:rPr>
                <w:rStyle w:val="Lienhypertexte"/>
                <w:noProof/>
              </w:rPr>
              <w:t>1.1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Human health</w:t>
            </w:r>
            <w:r w:rsidR="00485022">
              <w:rPr>
                <w:noProof/>
                <w:webHidden/>
              </w:rPr>
              <w:tab/>
            </w:r>
            <w:r w:rsidR="00485022">
              <w:rPr>
                <w:noProof/>
                <w:webHidden/>
              </w:rPr>
              <w:fldChar w:fldCharType="begin"/>
            </w:r>
            <w:r w:rsidR="00485022">
              <w:rPr>
                <w:noProof/>
                <w:webHidden/>
              </w:rPr>
              <w:instrText xml:space="preserve"> PAGEREF _Toc137044510 \h </w:instrText>
            </w:r>
            <w:r w:rsidR="00485022">
              <w:rPr>
                <w:noProof/>
                <w:webHidden/>
              </w:rPr>
            </w:r>
            <w:r w:rsidR="00485022">
              <w:rPr>
                <w:noProof/>
                <w:webHidden/>
              </w:rPr>
              <w:fldChar w:fldCharType="separate"/>
            </w:r>
            <w:r w:rsidR="00485022">
              <w:rPr>
                <w:noProof/>
                <w:webHidden/>
              </w:rPr>
              <w:t>117</w:t>
            </w:r>
            <w:r w:rsidR="00485022">
              <w:rPr>
                <w:noProof/>
                <w:webHidden/>
              </w:rPr>
              <w:fldChar w:fldCharType="end"/>
            </w:r>
          </w:hyperlink>
        </w:p>
        <w:p w14:paraId="13CB40B9" w14:textId="375FEE1F" w:rsidR="00485022" w:rsidRDefault="009E2E72">
          <w:pPr>
            <w:pStyle w:val="TM3"/>
            <w:rPr>
              <w:rFonts w:asciiTheme="minorHAnsi" w:eastAsiaTheme="minorEastAsia" w:hAnsiTheme="minorHAnsi" w:cstheme="minorBidi"/>
              <w:noProof/>
              <w:sz w:val="22"/>
              <w:szCs w:val="22"/>
              <w:lang w:val="fr-FR" w:eastAsia="fr-FR"/>
            </w:rPr>
          </w:pPr>
          <w:hyperlink w:anchor="_Toc137044511" w:history="1">
            <w:r w:rsidR="00485022" w:rsidRPr="00EB4A5E">
              <w:rPr>
                <w:rStyle w:val="Lienhypertexte"/>
                <w:noProof/>
              </w:rPr>
              <w:t>1.1.1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Exposure scenario for workers and consumers covered in the registration dossiers</w:t>
            </w:r>
            <w:r w:rsidR="00485022">
              <w:rPr>
                <w:noProof/>
                <w:webHidden/>
              </w:rPr>
              <w:tab/>
            </w:r>
            <w:r w:rsidR="00485022">
              <w:rPr>
                <w:noProof/>
                <w:webHidden/>
              </w:rPr>
              <w:fldChar w:fldCharType="begin"/>
            </w:r>
            <w:r w:rsidR="00485022">
              <w:rPr>
                <w:noProof/>
                <w:webHidden/>
              </w:rPr>
              <w:instrText xml:space="preserve"> PAGEREF _Toc137044511 \h </w:instrText>
            </w:r>
            <w:r w:rsidR="00485022">
              <w:rPr>
                <w:noProof/>
                <w:webHidden/>
              </w:rPr>
            </w:r>
            <w:r w:rsidR="00485022">
              <w:rPr>
                <w:noProof/>
                <w:webHidden/>
              </w:rPr>
              <w:fldChar w:fldCharType="separate"/>
            </w:r>
            <w:r w:rsidR="00485022">
              <w:rPr>
                <w:noProof/>
                <w:webHidden/>
              </w:rPr>
              <w:t>117</w:t>
            </w:r>
            <w:r w:rsidR="00485022">
              <w:rPr>
                <w:noProof/>
                <w:webHidden/>
              </w:rPr>
              <w:fldChar w:fldCharType="end"/>
            </w:r>
          </w:hyperlink>
        </w:p>
        <w:p w14:paraId="777EACE8" w14:textId="1D068956" w:rsidR="00485022" w:rsidRDefault="009E2E72">
          <w:pPr>
            <w:pStyle w:val="TM2"/>
            <w:rPr>
              <w:rFonts w:asciiTheme="minorHAnsi" w:eastAsiaTheme="minorEastAsia" w:hAnsiTheme="minorHAnsi" w:cstheme="minorBidi"/>
              <w:noProof/>
              <w:sz w:val="22"/>
              <w:szCs w:val="22"/>
              <w:lang w:val="fr-FR" w:eastAsia="fr-FR"/>
            </w:rPr>
          </w:pPr>
          <w:hyperlink w:anchor="_Toc137044512" w:history="1">
            <w:r w:rsidR="00485022" w:rsidRPr="00EB4A5E">
              <w:rPr>
                <w:rStyle w:val="Lienhypertexte"/>
                <w:noProof/>
              </w:rPr>
              <w:t>1.2</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Environment</w:t>
            </w:r>
            <w:r w:rsidR="00485022">
              <w:rPr>
                <w:noProof/>
                <w:webHidden/>
              </w:rPr>
              <w:tab/>
            </w:r>
            <w:r w:rsidR="00485022">
              <w:rPr>
                <w:noProof/>
                <w:webHidden/>
              </w:rPr>
              <w:fldChar w:fldCharType="begin"/>
            </w:r>
            <w:r w:rsidR="00485022">
              <w:rPr>
                <w:noProof/>
                <w:webHidden/>
              </w:rPr>
              <w:instrText xml:space="preserve"> PAGEREF _Toc137044512 \h </w:instrText>
            </w:r>
            <w:r w:rsidR="00485022">
              <w:rPr>
                <w:noProof/>
                <w:webHidden/>
              </w:rPr>
            </w:r>
            <w:r w:rsidR="00485022">
              <w:rPr>
                <w:noProof/>
                <w:webHidden/>
              </w:rPr>
              <w:fldChar w:fldCharType="separate"/>
            </w:r>
            <w:r w:rsidR="00485022">
              <w:rPr>
                <w:noProof/>
                <w:webHidden/>
              </w:rPr>
              <w:t>121</w:t>
            </w:r>
            <w:r w:rsidR="00485022">
              <w:rPr>
                <w:noProof/>
                <w:webHidden/>
              </w:rPr>
              <w:fldChar w:fldCharType="end"/>
            </w:r>
          </w:hyperlink>
        </w:p>
        <w:p w14:paraId="51BC26DB" w14:textId="32B6A2D7" w:rsidR="00485022" w:rsidRDefault="009E2E72">
          <w:pPr>
            <w:pStyle w:val="TM3"/>
            <w:rPr>
              <w:rFonts w:asciiTheme="minorHAnsi" w:eastAsiaTheme="minorEastAsia" w:hAnsiTheme="minorHAnsi" w:cstheme="minorBidi"/>
              <w:noProof/>
              <w:sz w:val="22"/>
              <w:szCs w:val="22"/>
              <w:lang w:val="fr-FR" w:eastAsia="fr-FR"/>
            </w:rPr>
          </w:pPr>
          <w:hyperlink w:anchor="_Toc137044513" w:history="1">
            <w:r w:rsidR="00485022" w:rsidRPr="00EB4A5E">
              <w:rPr>
                <w:rStyle w:val="Lienhypertexte"/>
                <w:noProof/>
              </w:rPr>
              <w:t>1.2.1</w:t>
            </w:r>
            <w:r w:rsidR="00485022">
              <w:rPr>
                <w:rFonts w:asciiTheme="minorHAnsi" w:eastAsiaTheme="minorEastAsia" w:hAnsiTheme="minorHAnsi" w:cstheme="minorBidi"/>
                <w:noProof/>
                <w:sz w:val="22"/>
                <w:szCs w:val="22"/>
                <w:lang w:val="fr-FR" w:eastAsia="fr-FR"/>
              </w:rPr>
              <w:tab/>
            </w:r>
            <w:r w:rsidR="00485022" w:rsidRPr="00EB4A5E">
              <w:rPr>
                <w:rStyle w:val="Lienhypertexte"/>
                <w:noProof/>
                <w:lang w:val="en-US"/>
              </w:rPr>
              <w:t xml:space="preserve">Introduction to the assessment </w:t>
            </w:r>
            <w:r w:rsidR="00485022" w:rsidRPr="00EB4A5E">
              <w:rPr>
                <w:rStyle w:val="Lienhypertexte"/>
                <w:noProof/>
              </w:rPr>
              <w:t>for</w:t>
            </w:r>
            <w:r w:rsidR="00485022" w:rsidRPr="00EB4A5E">
              <w:rPr>
                <w:rStyle w:val="Lienhypertexte"/>
                <w:noProof/>
                <w:lang w:val="en-US"/>
              </w:rPr>
              <w:t xml:space="preserve"> the environment</w:t>
            </w:r>
            <w:r w:rsidR="00485022">
              <w:rPr>
                <w:noProof/>
                <w:webHidden/>
              </w:rPr>
              <w:tab/>
            </w:r>
            <w:r w:rsidR="00485022">
              <w:rPr>
                <w:noProof/>
                <w:webHidden/>
              </w:rPr>
              <w:fldChar w:fldCharType="begin"/>
            </w:r>
            <w:r w:rsidR="00485022">
              <w:rPr>
                <w:noProof/>
                <w:webHidden/>
              </w:rPr>
              <w:instrText xml:space="preserve"> PAGEREF _Toc137044513 \h </w:instrText>
            </w:r>
            <w:r w:rsidR="00485022">
              <w:rPr>
                <w:noProof/>
                <w:webHidden/>
              </w:rPr>
            </w:r>
            <w:r w:rsidR="00485022">
              <w:rPr>
                <w:noProof/>
                <w:webHidden/>
              </w:rPr>
              <w:fldChar w:fldCharType="separate"/>
            </w:r>
            <w:r w:rsidR="00485022">
              <w:rPr>
                <w:noProof/>
                <w:webHidden/>
              </w:rPr>
              <w:t>121</w:t>
            </w:r>
            <w:r w:rsidR="00485022">
              <w:rPr>
                <w:noProof/>
                <w:webHidden/>
              </w:rPr>
              <w:fldChar w:fldCharType="end"/>
            </w:r>
          </w:hyperlink>
        </w:p>
        <w:p w14:paraId="3A2B9306" w14:textId="10C5F408" w:rsidR="00485022" w:rsidRDefault="009E2E72">
          <w:pPr>
            <w:pStyle w:val="TM3"/>
            <w:rPr>
              <w:rFonts w:asciiTheme="minorHAnsi" w:eastAsiaTheme="minorEastAsia" w:hAnsiTheme="minorHAnsi" w:cstheme="minorBidi"/>
              <w:noProof/>
              <w:sz w:val="22"/>
              <w:szCs w:val="22"/>
              <w:lang w:val="fr-FR" w:eastAsia="fr-FR"/>
            </w:rPr>
          </w:pPr>
          <w:hyperlink w:anchor="_Toc137044514" w:history="1">
            <w:r w:rsidR="00485022" w:rsidRPr="00EB4A5E">
              <w:rPr>
                <w:rStyle w:val="Lienhypertexte"/>
                <w:noProof/>
              </w:rPr>
              <w:t>1.2.2</w:t>
            </w:r>
            <w:r w:rsidR="00485022">
              <w:rPr>
                <w:rFonts w:asciiTheme="minorHAnsi" w:eastAsiaTheme="minorEastAsia" w:hAnsiTheme="minorHAnsi" w:cstheme="minorBidi"/>
                <w:noProof/>
                <w:sz w:val="22"/>
                <w:szCs w:val="22"/>
                <w:lang w:val="fr-FR" w:eastAsia="fr-FR"/>
              </w:rPr>
              <w:tab/>
            </w:r>
            <w:r w:rsidR="00485022" w:rsidRPr="00EB4A5E">
              <w:rPr>
                <w:rStyle w:val="Lienhypertexte"/>
                <w:noProof/>
              </w:rPr>
              <w:t>Combined exposure assessment</w:t>
            </w:r>
            <w:r w:rsidR="00485022">
              <w:rPr>
                <w:noProof/>
                <w:webHidden/>
              </w:rPr>
              <w:tab/>
            </w:r>
            <w:r w:rsidR="00485022">
              <w:rPr>
                <w:noProof/>
                <w:webHidden/>
              </w:rPr>
              <w:fldChar w:fldCharType="begin"/>
            </w:r>
            <w:r w:rsidR="00485022">
              <w:rPr>
                <w:noProof/>
                <w:webHidden/>
              </w:rPr>
              <w:instrText xml:space="preserve"> PAGEREF _Toc137044514 \h </w:instrText>
            </w:r>
            <w:r w:rsidR="00485022">
              <w:rPr>
                <w:noProof/>
                <w:webHidden/>
              </w:rPr>
            </w:r>
            <w:r w:rsidR="00485022">
              <w:rPr>
                <w:noProof/>
                <w:webHidden/>
              </w:rPr>
              <w:fldChar w:fldCharType="separate"/>
            </w:r>
            <w:r w:rsidR="00485022">
              <w:rPr>
                <w:noProof/>
                <w:webHidden/>
              </w:rPr>
              <w:t>134</w:t>
            </w:r>
            <w:r w:rsidR="00485022">
              <w:rPr>
                <w:noProof/>
                <w:webHidden/>
              </w:rPr>
              <w:fldChar w:fldCharType="end"/>
            </w:r>
          </w:hyperlink>
        </w:p>
        <w:p w14:paraId="4E0D01A7" w14:textId="77777777" w:rsidR="00BC1D4B" w:rsidRDefault="00ED1F84">
          <w:r>
            <w:rPr>
              <w:b/>
              <w:bCs/>
            </w:rPr>
            <w:fldChar w:fldCharType="end"/>
          </w:r>
        </w:p>
      </w:sdtContent>
    </w:sdt>
    <w:p w14:paraId="64054898" w14:textId="77777777" w:rsidR="00BC1D4B" w:rsidRDefault="00ED1F84">
      <w:pPr>
        <w:spacing w:after="200" w:line="276" w:lineRule="auto"/>
        <w:rPr>
          <w:rFonts w:ascii="Verdana" w:hAnsi="Verdana"/>
          <w:b/>
          <w:iCs/>
          <w:lang w:eastAsia="fi-FI"/>
        </w:rPr>
      </w:pPr>
      <w:bookmarkStart w:id="1" w:name="_Hlk68780683"/>
      <w:r>
        <w:rPr>
          <w:rFonts w:ascii="Verdana" w:hAnsi="Verdana"/>
          <w:b/>
          <w:iCs/>
          <w:lang w:eastAsia="fi-FI"/>
        </w:rPr>
        <w:br w:type="page" w:clear="all"/>
      </w:r>
    </w:p>
    <w:p w14:paraId="39BEE2C2" w14:textId="77777777" w:rsidR="00BC1D4B" w:rsidRDefault="00BC1D4B">
      <w:pPr>
        <w:widowControl w:val="0"/>
        <w:spacing w:after="0"/>
        <w:jc w:val="center"/>
        <w:rPr>
          <w:rFonts w:ascii="Verdana" w:hAnsi="Verdana"/>
          <w:b/>
          <w:iCs/>
          <w:lang w:eastAsia="fi-FI"/>
        </w:rPr>
      </w:pPr>
    </w:p>
    <w:p w14:paraId="6B0E09C3" w14:textId="77777777" w:rsidR="00BC1D4B" w:rsidRDefault="00BC1D4B">
      <w:pPr>
        <w:widowControl w:val="0"/>
        <w:spacing w:after="0"/>
        <w:jc w:val="center"/>
        <w:rPr>
          <w:rFonts w:ascii="Verdana" w:hAnsi="Verdana"/>
          <w:b/>
          <w:iCs/>
          <w:lang w:eastAsia="fi-FI"/>
        </w:rPr>
      </w:pPr>
    </w:p>
    <w:p w14:paraId="14995D27" w14:textId="77777777" w:rsidR="00BC1D4B" w:rsidRDefault="00ED1F84">
      <w:pPr>
        <w:widowControl w:val="0"/>
        <w:spacing w:after="0"/>
        <w:jc w:val="center"/>
        <w:rPr>
          <w:rFonts w:ascii="Verdana" w:hAnsi="Verdana"/>
          <w:b/>
          <w:iCs/>
          <w:lang w:eastAsia="fi-FI"/>
        </w:rPr>
      </w:pPr>
      <w:r>
        <w:rPr>
          <w:rFonts w:ascii="Verdana" w:hAnsi="Verdana"/>
          <w:b/>
          <w:iCs/>
          <w:lang w:eastAsia="fi-FI"/>
        </w:rPr>
        <w:t>DISCLAIMER</w:t>
      </w:r>
      <w:bookmarkEnd w:id="1"/>
    </w:p>
    <w:p w14:paraId="5A975671" w14:textId="77777777" w:rsidR="00BC1D4B" w:rsidRDefault="00BC1D4B">
      <w:pPr>
        <w:widowControl w:val="0"/>
        <w:spacing w:after="120"/>
        <w:jc w:val="center"/>
        <w:rPr>
          <w:rFonts w:ascii="Verdana" w:hAnsi="Verdana"/>
          <w:sz w:val="20"/>
          <w:szCs w:val="20"/>
          <w:lang w:eastAsia="fi-FI"/>
        </w:rPr>
      </w:pPr>
    </w:p>
    <w:p w14:paraId="7ADC0C82" w14:textId="77777777" w:rsidR="00BC1D4B" w:rsidRDefault="00BC1D4B">
      <w:pPr>
        <w:widowControl w:val="0"/>
        <w:spacing w:after="120"/>
        <w:rPr>
          <w:rFonts w:ascii="Verdana" w:hAnsi="Verdana"/>
          <w:sz w:val="20"/>
          <w:szCs w:val="20"/>
          <w:lang w:eastAsia="fi-FI"/>
        </w:rPr>
      </w:pPr>
    </w:p>
    <w:p w14:paraId="66D8C0CC" w14:textId="77777777" w:rsidR="00BC1D4B" w:rsidRDefault="00ED1F84">
      <w:pPr>
        <w:widowControl w:val="0"/>
        <w:spacing w:after="120"/>
        <w:jc w:val="both"/>
        <w:rPr>
          <w:rFonts w:ascii="Verdana" w:hAnsi="Verdana"/>
          <w:sz w:val="20"/>
          <w:szCs w:val="20"/>
          <w:lang w:eastAsia="fi-FI"/>
        </w:rPr>
      </w:pPr>
      <w:bookmarkStart w:id="2" w:name="_Hlk72845022"/>
      <w:r>
        <w:rPr>
          <w:rFonts w:ascii="Verdana" w:hAnsi="Verdana"/>
          <w:sz w:val="20"/>
          <w:szCs w:val="20"/>
          <w:lang w:eastAsia="fi-FI"/>
        </w:rPr>
        <w:t>The author does not accept any liability with regard to the use that may be made of the information contained in this document. Usage of the information remains under the sole responsibility of the user. Statements made or information contained in the document are without prejudice to any further regulatory work that ECHA, the Member States or other regulatory agencies may initiate at a later stage. Assessment of regulatory needs and their conclusions are compiled on the basis of available information and may change in light of newly available information or further assessment.</w:t>
      </w:r>
      <w:bookmarkEnd w:id="2"/>
    </w:p>
    <w:p w14:paraId="24694FC4" w14:textId="77777777" w:rsidR="00BC1D4B" w:rsidRDefault="00BC1D4B">
      <w:pPr>
        <w:rPr>
          <w:rFonts w:ascii="Verdana" w:hAnsi="Verdana"/>
        </w:rPr>
      </w:pPr>
    </w:p>
    <w:p w14:paraId="7725DD21" w14:textId="77777777" w:rsidR="00BC1D4B" w:rsidRDefault="00ED1F84">
      <w:pPr>
        <w:spacing w:after="200" w:line="276" w:lineRule="auto"/>
        <w:rPr>
          <w:rFonts w:ascii="Verdana" w:hAnsi="Verdana"/>
          <w:b/>
          <w:color w:val="0046AD"/>
          <w:sz w:val="28"/>
          <w:szCs w:val="28"/>
        </w:rPr>
      </w:pPr>
      <w:r>
        <w:rPr>
          <w:rFonts w:ascii="Verdana" w:hAnsi="Verdana"/>
          <w:szCs w:val="28"/>
        </w:rPr>
        <w:br w:type="page" w:clear="all"/>
      </w:r>
    </w:p>
    <w:p w14:paraId="02A12D68" w14:textId="77777777" w:rsidR="00BC1D4B" w:rsidRDefault="00ED1F84">
      <w:pPr>
        <w:pStyle w:val="Titre1"/>
        <w:numPr>
          <w:ilvl w:val="0"/>
          <w:numId w:val="0"/>
        </w:numPr>
        <w:rPr>
          <w:lang w:eastAsia="fi-FI"/>
        </w:rPr>
      </w:pPr>
      <w:bookmarkStart w:id="3" w:name="_Toc137044463"/>
      <w:r>
        <w:rPr>
          <w:lang w:eastAsia="fi-FI"/>
        </w:rPr>
        <w:lastRenderedPageBreak/>
        <w:t>Foreword</w:t>
      </w:r>
      <w:bookmarkEnd w:id="3"/>
      <w:r>
        <w:rPr>
          <w:lang w:eastAsia="fi-FI"/>
        </w:rPr>
        <w:t xml:space="preserve"> </w:t>
      </w:r>
    </w:p>
    <w:p w14:paraId="7C57B057" w14:textId="77777777" w:rsidR="00BC1D4B" w:rsidRDefault="00ED1F84">
      <w:pPr>
        <w:pStyle w:val="Corpsdetexte"/>
        <w:jc w:val="both"/>
        <w:rPr>
          <w:rFonts w:ascii="Verdana" w:hAnsi="Verdana"/>
          <w:sz w:val="20"/>
          <w:szCs w:val="20"/>
          <w:lang w:eastAsia="fi-FI"/>
        </w:rPr>
      </w:pPr>
      <w:bookmarkStart w:id="4" w:name="_Hlk72423998"/>
      <w:r>
        <w:rPr>
          <w:rFonts w:ascii="Verdana" w:hAnsi="Verdana"/>
          <w:sz w:val="20"/>
          <w:szCs w:val="20"/>
          <w:lang w:eastAsia="fi-FI"/>
        </w:rPr>
        <w:t>The purpose of the assessment of regulatory needs of a group of substances is to help authorities conclude on the most appropriate way to address the identified concerns for a group of substances or a single substance, i.e. the combination of the regulatory risk management instruments to be used and any intermediate steps, such as data generation, needed to initiate and introduce these regulatory measures.</w:t>
      </w:r>
    </w:p>
    <w:p w14:paraId="4B14F756" w14:textId="77777777" w:rsidR="00BC1D4B" w:rsidRDefault="00ED1F84">
      <w:pPr>
        <w:pStyle w:val="Corpsdetexte"/>
        <w:jc w:val="both"/>
        <w:rPr>
          <w:rFonts w:ascii="Verdana" w:hAnsi="Verdana"/>
          <w:sz w:val="20"/>
          <w:szCs w:val="20"/>
          <w:lang w:eastAsia="fi-FI"/>
        </w:rPr>
      </w:pPr>
      <w:r>
        <w:rPr>
          <w:rFonts w:ascii="Verdana" w:hAnsi="Verdana"/>
          <w:sz w:val="20"/>
          <w:szCs w:val="20"/>
          <w:lang w:eastAsia="fi-FI"/>
        </w:rPr>
        <w:t xml:space="preserve">An assessment of regulatory needs can conclude that regulatory risk management at EU level is required for a (group of) substance(s) (e.g. harmonised classification and labelling, Candidate List inclusion, restriction, other EU legislation) or that no regulatory action is required at EU level. While the assessment is done for a group of substances, the (no) need for regulatory action can be identified for the whole group, a subgroup or for single substance(s). </w:t>
      </w:r>
    </w:p>
    <w:p w14:paraId="7E618737" w14:textId="77777777" w:rsidR="00BC1D4B" w:rsidRDefault="00ED1F84">
      <w:pPr>
        <w:pStyle w:val="Corpsdetexte"/>
        <w:jc w:val="both"/>
        <w:rPr>
          <w:rFonts w:ascii="Verdana" w:hAnsi="Verdana"/>
          <w:sz w:val="20"/>
          <w:szCs w:val="20"/>
          <w:lang w:eastAsia="fi-FI"/>
        </w:rPr>
      </w:pPr>
      <w:r>
        <w:rPr>
          <w:rFonts w:ascii="Verdana" w:hAnsi="Verdana"/>
          <w:sz w:val="20"/>
          <w:szCs w:val="20"/>
          <w:lang w:eastAsia="fi-FI"/>
        </w:rPr>
        <w:t>The assessment of regulatory needs is an important step under ECHA’s Integrated Regulatory Strategy. However, it is voluntary, i.e., it is not part of the processes defined in the legislation but aims to support them.</w:t>
      </w:r>
    </w:p>
    <w:p w14:paraId="7E8D352C" w14:textId="77777777" w:rsidR="00BC1D4B" w:rsidRDefault="00ED1F84">
      <w:pPr>
        <w:pStyle w:val="Corpsdetexte"/>
        <w:jc w:val="both"/>
        <w:rPr>
          <w:rFonts w:ascii="Verdana" w:hAnsi="Verdana"/>
          <w:sz w:val="20"/>
          <w:szCs w:val="20"/>
          <w:lang w:eastAsia="fi-FI"/>
        </w:rPr>
      </w:pPr>
      <w:r>
        <w:rPr>
          <w:rFonts w:ascii="Verdana" w:hAnsi="Verdana"/>
          <w:sz w:val="20"/>
          <w:szCs w:val="20"/>
          <w:lang w:eastAsia="fi-FI"/>
        </w:rPr>
        <w:t>The assessment of regulatory needs can be applied to any group of substances or single substance, i.e., any type of hazards or uses and regardless of the previous regulatory history or lack of such. It can be done based on different level of information. A Member State or ECHA can carry out this case-by-case analysis. The starting point is available information in the REACH registrations and any other REACH and CLP information. However, more extensive set of information can be available, e.g. assessment done under REACH/CLP or other EU legislation, or can be generated in some cases (e.g. further hazard information under dossier evaluation). Uncertainties associated to the level of information used should be reflected in the documentation. It will be revisited when necessary. For example, after further information is generated and the hazard has been clarified or when new insights on uses are available</w:t>
      </w:r>
      <w:bookmarkStart w:id="5" w:name="_Hlk67575098"/>
      <w:r>
        <w:rPr>
          <w:rFonts w:ascii="Verdana" w:hAnsi="Verdana"/>
          <w:sz w:val="20"/>
          <w:szCs w:val="20"/>
          <w:lang w:eastAsia="fi-FI"/>
        </w:rPr>
        <w:t>. It can be revisited by the same or another authority.</w:t>
      </w:r>
      <w:bookmarkEnd w:id="5"/>
    </w:p>
    <w:p w14:paraId="0A3DE448" w14:textId="77777777" w:rsidR="00BC1D4B" w:rsidRDefault="00ED1F84">
      <w:pPr>
        <w:pStyle w:val="Corpsdetexte"/>
        <w:jc w:val="both"/>
        <w:rPr>
          <w:rFonts w:ascii="Verdana" w:hAnsi="Verdana"/>
          <w:sz w:val="20"/>
          <w:szCs w:val="20"/>
          <w:lang w:eastAsia="fi-FI"/>
        </w:rPr>
      </w:pPr>
      <w:r>
        <w:rPr>
          <w:rFonts w:ascii="Verdana" w:hAnsi="Verdana"/>
          <w:sz w:val="20"/>
          <w:szCs w:val="20"/>
          <w:lang w:eastAsia="fi-FI"/>
        </w:rPr>
        <w:t>The responsibility for the content of this assessment rests with the authority that developed it. It is possible that other authorities do not have the same view and may develop further assessment of regulatory needs. The assessment of regulatory needs does not yet initiate any regulatory process but any authority can consequently do so and should indicate this by appropriate means, such as the Registry of Intentions.</w:t>
      </w:r>
    </w:p>
    <w:p w14:paraId="036B450C" w14:textId="77777777" w:rsidR="00BC1D4B" w:rsidRDefault="00ED1F84">
      <w:pPr>
        <w:pStyle w:val="Corpsdetexte"/>
        <w:jc w:val="both"/>
        <w:rPr>
          <w:rFonts w:ascii="Verdana" w:hAnsi="Verdana"/>
          <w:sz w:val="20"/>
          <w:szCs w:val="20"/>
          <w:lang w:eastAsia="fi-FI"/>
        </w:rPr>
      </w:pPr>
      <w:r>
        <w:rPr>
          <w:rFonts w:ascii="Verdana" w:hAnsi="Verdana"/>
          <w:sz w:val="20"/>
          <w:szCs w:val="20"/>
          <w:lang w:eastAsia="fi-FI"/>
        </w:rPr>
        <w:t>For more information on Assessment of regulatory needs please consult ECHA website</w:t>
      </w:r>
      <w:r>
        <w:rPr>
          <w:rStyle w:val="Appelnotedebasdep"/>
          <w:szCs w:val="20"/>
          <w:lang w:eastAsia="fi-FI"/>
        </w:rPr>
        <w:footnoteReference w:id="2"/>
      </w:r>
      <w:r>
        <w:rPr>
          <w:rFonts w:ascii="Verdana" w:hAnsi="Verdana"/>
          <w:sz w:val="20"/>
          <w:szCs w:val="20"/>
          <w:lang w:eastAsia="fi-FI"/>
        </w:rPr>
        <w:t>.</w:t>
      </w:r>
    </w:p>
    <w:bookmarkEnd w:id="4"/>
    <w:p w14:paraId="757DC1B2" w14:textId="77777777" w:rsidR="00BC1D4B" w:rsidRDefault="00BC1D4B">
      <w:pPr>
        <w:pStyle w:val="Corpsdetexte"/>
        <w:jc w:val="both"/>
        <w:rPr>
          <w:rFonts w:ascii="Verdana" w:hAnsi="Verdana"/>
          <w:sz w:val="20"/>
          <w:szCs w:val="20"/>
          <w:lang w:eastAsia="fi-FI"/>
        </w:rPr>
      </w:pPr>
    </w:p>
    <w:p w14:paraId="747CCBF6" w14:textId="77777777" w:rsidR="00BC1D4B" w:rsidRDefault="00BC1D4B">
      <w:pPr>
        <w:rPr>
          <w:lang w:eastAsia="fi-FI"/>
        </w:rPr>
      </w:pPr>
    </w:p>
    <w:p w14:paraId="72A997C5" w14:textId="77777777" w:rsidR="00BC1D4B" w:rsidRDefault="00BC1D4B">
      <w:pPr>
        <w:rPr>
          <w:lang w:eastAsia="fi-FI"/>
        </w:rPr>
      </w:pPr>
    </w:p>
    <w:p w14:paraId="6F30670F" w14:textId="77777777" w:rsidR="00BC1D4B" w:rsidRDefault="00BC1D4B">
      <w:pPr>
        <w:rPr>
          <w:lang w:eastAsia="fi-FI"/>
        </w:rPr>
      </w:pPr>
    </w:p>
    <w:p w14:paraId="2EEEAC74" w14:textId="77777777" w:rsidR="00BC1D4B" w:rsidRDefault="00ED1F84">
      <w:pPr>
        <w:pStyle w:val="Titre1"/>
        <w:numPr>
          <w:ilvl w:val="0"/>
          <w:numId w:val="0"/>
        </w:numPr>
        <w:rPr>
          <w:lang w:eastAsia="fi-FI"/>
        </w:rPr>
      </w:pPr>
      <w:bookmarkStart w:id="6" w:name="_Toc137044464"/>
      <w:r>
        <w:rPr>
          <w:lang w:eastAsia="fi-FI"/>
        </w:rPr>
        <w:lastRenderedPageBreak/>
        <w:t>Glossary</w:t>
      </w:r>
      <w:bookmarkEnd w:id="6"/>
    </w:p>
    <w:p w14:paraId="155A9750" w14:textId="77777777" w:rsidR="00BC1D4B" w:rsidRDefault="00BC1D4B">
      <w:pPr>
        <w:rPr>
          <w:rFonts w:ascii="Verdana" w:hAnsi="Verdana"/>
          <w:b/>
          <w:bCs/>
          <w:sz w:val="20"/>
          <w:szCs w:val="20"/>
          <w:lang w:eastAsia="fi-FI"/>
        </w:rPr>
      </w:pPr>
    </w:p>
    <w:tbl>
      <w:tblPr>
        <w:tblStyle w:val="Grilledutableau"/>
        <w:tblW w:w="0" w:type="auto"/>
        <w:tblLook w:val="04A0" w:firstRow="1" w:lastRow="0" w:firstColumn="1" w:lastColumn="0" w:noHBand="0" w:noVBand="1"/>
      </w:tblPr>
      <w:tblGrid>
        <w:gridCol w:w="2122"/>
        <w:gridCol w:w="6180"/>
      </w:tblGrid>
      <w:tr w:rsidR="00BC1D4B" w:rsidRPr="009E2E72" w14:paraId="6A975318" w14:textId="77777777">
        <w:tc>
          <w:tcPr>
            <w:tcW w:w="2122" w:type="dxa"/>
          </w:tcPr>
          <w:p w14:paraId="4F6BA23E" w14:textId="77777777" w:rsidR="00BC1D4B" w:rsidRDefault="00ED1F84">
            <w:pPr>
              <w:rPr>
                <w:rFonts w:ascii="Verdana" w:hAnsi="Verdana"/>
                <w:sz w:val="20"/>
                <w:szCs w:val="20"/>
              </w:rPr>
            </w:pPr>
            <w:r>
              <w:rPr>
                <w:rFonts w:ascii="Verdana" w:hAnsi="Verdana"/>
                <w:sz w:val="20"/>
                <w:szCs w:val="20"/>
              </w:rPr>
              <w:t>ANSES</w:t>
            </w:r>
          </w:p>
        </w:tc>
        <w:tc>
          <w:tcPr>
            <w:tcW w:w="6180" w:type="dxa"/>
          </w:tcPr>
          <w:p w14:paraId="6F3BF79E" w14:textId="77777777" w:rsidR="00BC1D4B" w:rsidRDefault="00ED1F84">
            <w:pPr>
              <w:rPr>
                <w:rFonts w:ascii="Verdana" w:hAnsi="Verdana"/>
                <w:sz w:val="20"/>
                <w:szCs w:val="20"/>
                <w:lang w:val="fr-FR"/>
              </w:rPr>
            </w:pPr>
            <w:r>
              <w:rPr>
                <w:rFonts w:ascii="Verdana" w:hAnsi="Verdana"/>
                <w:i/>
                <w:sz w:val="20"/>
                <w:szCs w:val="20"/>
                <w:lang w:val="fr-FR"/>
              </w:rPr>
              <w:t>Agence Nationale de Sécurité Sanitaire de l’alimentation, de l’environnement et du travail</w:t>
            </w:r>
            <w:r>
              <w:rPr>
                <w:rFonts w:ascii="Verdana" w:hAnsi="Verdana"/>
                <w:sz w:val="20"/>
                <w:szCs w:val="20"/>
                <w:lang w:val="fr-FR"/>
              </w:rPr>
              <w:t xml:space="preserve"> [French Agency for Food, Environmental and Occupational Health &amp; Safety]</w:t>
            </w:r>
          </w:p>
        </w:tc>
      </w:tr>
      <w:tr w:rsidR="00BC1D4B" w14:paraId="713AAC69" w14:textId="77777777">
        <w:tc>
          <w:tcPr>
            <w:tcW w:w="2122" w:type="dxa"/>
          </w:tcPr>
          <w:p w14:paraId="4A5BB2BC" w14:textId="77777777" w:rsidR="00BC1D4B" w:rsidRDefault="00ED1F84">
            <w:pPr>
              <w:rPr>
                <w:rFonts w:ascii="Verdana" w:hAnsi="Verdana"/>
                <w:sz w:val="20"/>
                <w:szCs w:val="20"/>
              </w:rPr>
            </w:pPr>
            <w:r>
              <w:rPr>
                <w:rFonts w:ascii="Verdana" w:hAnsi="Verdana"/>
                <w:sz w:val="20"/>
                <w:szCs w:val="20"/>
              </w:rPr>
              <w:t>aMSCA</w:t>
            </w:r>
          </w:p>
        </w:tc>
        <w:tc>
          <w:tcPr>
            <w:tcW w:w="6180" w:type="dxa"/>
          </w:tcPr>
          <w:p w14:paraId="3AE4A92B" w14:textId="77777777" w:rsidR="00BC1D4B" w:rsidRDefault="00ED1F84">
            <w:pPr>
              <w:rPr>
                <w:rFonts w:ascii="Verdana" w:hAnsi="Verdana"/>
                <w:sz w:val="20"/>
                <w:szCs w:val="20"/>
              </w:rPr>
            </w:pPr>
            <w:r>
              <w:rPr>
                <w:rFonts w:ascii="Verdana" w:hAnsi="Verdana"/>
                <w:sz w:val="20"/>
                <w:szCs w:val="20"/>
              </w:rPr>
              <w:t>Author member state competent authority</w:t>
            </w:r>
          </w:p>
        </w:tc>
      </w:tr>
      <w:tr w:rsidR="00BC1D4B" w14:paraId="2D57F308" w14:textId="77777777">
        <w:tc>
          <w:tcPr>
            <w:tcW w:w="2122" w:type="dxa"/>
          </w:tcPr>
          <w:p w14:paraId="72F53785" w14:textId="77777777" w:rsidR="00BC1D4B" w:rsidRDefault="00ED1F84">
            <w:pPr>
              <w:rPr>
                <w:rFonts w:ascii="Verdana" w:hAnsi="Verdana"/>
                <w:sz w:val="20"/>
                <w:szCs w:val="20"/>
              </w:rPr>
            </w:pPr>
            <w:r>
              <w:rPr>
                <w:rFonts w:ascii="Verdana" w:hAnsi="Verdana"/>
                <w:sz w:val="20"/>
                <w:szCs w:val="20"/>
              </w:rPr>
              <w:t>CAD</w:t>
            </w:r>
          </w:p>
        </w:tc>
        <w:tc>
          <w:tcPr>
            <w:tcW w:w="6180" w:type="dxa"/>
          </w:tcPr>
          <w:p w14:paraId="445FE16D" w14:textId="77777777" w:rsidR="00BC1D4B" w:rsidRDefault="00ED1F84">
            <w:pPr>
              <w:rPr>
                <w:rFonts w:ascii="Verdana" w:hAnsi="Verdana"/>
                <w:sz w:val="20"/>
                <w:szCs w:val="20"/>
              </w:rPr>
            </w:pPr>
            <w:r>
              <w:rPr>
                <w:rFonts w:ascii="Verdana" w:hAnsi="Verdana"/>
                <w:sz w:val="20"/>
                <w:szCs w:val="20"/>
              </w:rPr>
              <w:t>Chemical Agent Directive</w:t>
            </w:r>
          </w:p>
        </w:tc>
      </w:tr>
      <w:tr w:rsidR="00BC1D4B" w14:paraId="2C27EBA2" w14:textId="77777777">
        <w:tc>
          <w:tcPr>
            <w:tcW w:w="2122" w:type="dxa"/>
          </w:tcPr>
          <w:p w14:paraId="22134AFB" w14:textId="77777777" w:rsidR="00BC1D4B" w:rsidRDefault="00ED1F84">
            <w:pPr>
              <w:rPr>
                <w:rFonts w:ascii="Verdana" w:hAnsi="Verdana"/>
                <w:sz w:val="20"/>
                <w:szCs w:val="20"/>
                <w:lang w:eastAsia="fi-FI"/>
              </w:rPr>
            </w:pPr>
            <w:r>
              <w:rPr>
                <w:rFonts w:ascii="Verdana" w:hAnsi="Verdana"/>
                <w:sz w:val="20"/>
                <w:szCs w:val="20"/>
              </w:rPr>
              <w:t>CCH</w:t>
            </w:r>
          </w:p>
        </w:tc>
        <w:tc>
          <w:tcPr>
            <w:tcW w:w="6180" w:type="dxa"/>
          </w:tcPr>
          <w:p w14:paraId="59304730" w14:textId="77777777" w:rsidR="00BC1D4B" w:rsidRDefault="00ED1F84">
            <w:pPr>
              <w:rPr>
                <w:rFonts w:ascii="Verdana" w:hAnsi="Verdana"/>
                <w:sz w:val="20"/>
                <w:szCs w:val="20"/>
              </w:rPr>
            </w:pPr>
            <w:r>
              <w:rPr>
                <w:rFonts w:ascii="Verdana" w:hAnsi="Verdana"/>
                <w:sz w:val="20"/>
                <w:szCs w:val="20"/>
              </w:rPr>
              <w:t>Compliance Check</w:t>
            </w:r>
          </w:p>
        </w:tc>
      </w:tr>
      <w:tr w:rsidR="00BC1D4B" w14:paraId="6ED62CC6" w14:textId="77777777">
        <w:tc>
          <w:tcPr>
            <w:tcW w:w="2122" w:type="dxa"/>
          </w:tcPr>
          <w:p w14:paraId="12876E9C" w14:textId="77777777" w:rsidR="00BC1D4B" w:rsidRDefault="00ED1F84">
            <w:pPr>
              <w:rPr>
                <w:rFonts w:ascii="Verdana" w:hAnsi="Verdana"/>
                <w:sz w:val="20"/>
                <w:szCs w:val="20"/>
                <w:lang w:eastAsia="fi-FI"/>
              </w:rPr>
            </w:pPr>
            <w:r>
              <w:rPr>
                <w:rFonts w:ascii="Verdana" w:hAnsi="Verdana"/>
                <w:sz w:val="20"/>
                <w:szCs w:val="20"/>
              </w:rPr>
              <w:t>CLH</w:t>
            </w:r>
          </w:p>
        </w:tc>
        <w:tc>
          <w:tcPr>
            <w:tcW w:w="6180" w:type="dxa"/>
          </w:tcPr>
          <w:p w14:paraId="70AB1875" w14:textId="77777777" w:rsidR="00BC1D4B" w:rsidRDefault="00ED1F84">
            <w:pPr>
              <w:rPr>
                <w:rFonts w:ascii="Verdana" w:hAnsi="Verdana"/>
                <w:sz w:val="20"/>
                <w:szCs w:val="20"/>
                <w:lang w:eastAsia="fi-FI"/>
              </w:rPr>
            </w:pPr>
            <w:r>
              <w:rPr>
                <w:rFonts w:ascii="Verdana" w:hAnsi="Verdana"/>
                <w:sz w:val="20"/>
                <w:szCs w:val="20"/>
              </w:rPr>
              <w:t>Harmonised classification and labelling</w:t>
            </w:r>
          </w:p>
        </w:tc>
      </w:tr>
      <w:tr w:rsidR="00BC1D4B" w14:paraId="3516DAF6" w14:textId="77777777">
        <w:tc>
          <w:tcPr>
            <w:tcW w:w="2122" w:type="dxa"/>
          </w:tcPr>
          <w:p w14:paraId="298093E7" w14:textId="77777777" w:rsidR="00BC1D4B" w:rsidRDefault="00ED1F84">
            <w:pPr>
              <w:rPr>
                <w:rFonts w:ascii="Verdana" w:hAnsi="Verdana"/>
                <w:sz w:val="20"/>
                <w:szCs w:val="20"/>
                <w:lang w:eastAsia="fi-FI"/>
              </w:rPr>
            </w:pPr>
            <w:r>
              <w:rPr>
                <w:rFonts w:ascii="Verdana" w:hAnsi="Verdana"/>
                <w:sz w:val="20"/>
                <w:szCs w:val="20"/>
              </w:rPr>
              <w:t>CMR</w:t>
            </w:r>
          </w:p>
        </w:tc>
        <w:tc>
          <w:tcPr>
            <w:tcW w:w="6180" w:type="dxa"/>
          </w:tcPr>
          <w:p w14:paraId="44B6D504" w14:textId="77777777" w:rsidR="00BC1D4B" w:rsidRDefault="00ED1F84">
            <w:pPr>
              <w:rPr>
                <w:rFonts w:ascii="Verdana" w:hAnsi="Verdana"/>
                <w:sz w:val="20"/>
                <w:szCs w:val="20"/>
                <w:lang w:eastAsia="fi-FI"/>
              </w:rPr>
            </w:pPr>
            <w:r>
              <w:rPr>
                <w:rFonts w:ascii="Verdana" w:hAnsi="Verdana"/>
                <w:sz w:val="20"/>
                <w:szCs w:val="20"/>
              </w:rPr>
              <w:t>Carcinogenic, mutagenic and/or toxic to reproduction</w:t>
            </w:r>
          </w:p>
        </w:tc>
      </w:tr>
      <w:tr w:rsidR="00BC1D4B" w14:paraId="58D2DB1C" w14:textId="77777777">
        <w:tc>
          <w:tcPr>
            <w:tcW w:w="2122" w:type="dxa"/>
          </w:tcPr>
          <w:p w14:paraId="48DAE768" w14:textId="77777777" w:rsidR="00BC1D4B" w:rsidRDefault="00ED1F84">
            <w:pPr>
              <w:rPr>
                <w:rFonts w:ascii="Verdana" w:hAnsi="Verdana"/>
                <w:sz w:val="20"/>
                <w:szCs w:val="20"/>
                <w:lang w:val="fr-FR"/>
              </w:rPr>
            </w:pPr>
            <w:r>
              <w:rPr>
                <w:rFonts w:ascii="Verdana" w:hAnsi="Verdana"/>
                <w:sz w:val="20"/>
                <w:szCs w:val="20"/>
                <w:lang w:val="fr-FR"/>
              </w:rPr>
              <w:t>CMRD</w:t>
            </w:r>
          </w:p>
        </w:tc>
        <w:tc>
          <w:tcPr>
            <w:tcW w:w="6180" w:type="dxa"/>
          </w:tcPr>
          <w:p w14:paraId="10EC6B08" w14:textId="77777777" w:rsidR="00BC1D4B" w:rsidRDefault="00ED1F84">
            <w:pPr>
              <w:rPr>
                <w:rFonts w:ascii="Verdana" w:hAnsi="Verdana"/>
                <w:sz w:val="20"/>
                <w:szCs w:val="20"/>
                <w:lang w:val="fr-FR"/>
              </w:rPr>
            </w:pPr>
            <w:r>
              <w:rPr>
                <w:rFonts w:ascii="Verdana" w:hAnsi="Verdana"/>
                <w:sz w:val="20"/>
                <w:szCs w:val="20"/>
                <w:lang w:val="fr-FR"/>
              </w:rPr>
              <w:t>Carcinogens, Mutagens or Reprotoxic substances Directive</w:t>
            </w:r>
          </w:p>
        </w:tc>
      </w:tr>
      <w:tr w:rsidR="00127023" w14:paraId="4F6A555D" w14:textId="77777777">
        <w:tc>
          <w:tcPr>
            <w:tcW w:w="2122" w:type="dxa"/>
          </w:tcPr>
          <w:p w14:paraId="14FB69E1" w14:textId="63D14A5A" w:rsidR="00127023" w:rsidRDefault="00127023">
            <w:pPr>
              <w:rPr>
                <w:rFonts w:ascii="Verdana" w:hAnsi="Verdana"/>
                <w:sz w:val="20"/>
                <w:szCs w:val="20"/>
                <w:lang w:val="fr-FR"/>
              </w:rPr>
            </w:pPr>
            <w:r>
              <w:rPr>
                <w:rFonts w:ascii="Verdana" w:hAnsi="Verdana"/>
                <w:sz w:val="20"/>
                <w:szCs w:val="20"/>
                <w:lang w:val="fr-FR"/>
              </w:rPr>
              <w:t>CSR</w:t>
            </w:r>
          </w:p>
        </w:tc>
        <w:tc>
          <w:tcPr>
            <w:tcW w:w="6180" w:type="dxa"/>
          </w:tcPr>
          <w:p w14:paraId="0C19A8B8" w14:textId="528C7D30" w:rsidR="00127023" w:rsidRDefault="00127023">
            <w:pPr>
              <w:rPr>
                <w:rFonts w:ascii="Verdana" w:hAnsi="Verdana"/>
                <w:sz w:val="20"/>
                <w:szCs w:val="20"/>
                <w:lang w:val="fr-FR"/>
              </w:rPr>
            </w:pPr>
            <w:r>
              <w:rPr>
                <w:rFonts w:ascii="Verdana" w:hAnsi="Verdana"/>
                <w:sz w:val="20"/>
                <w:szCs w:val="20"/>
                <w:lang w:val="fr-FR"/>
              </w:rPr>
              <w:t>Chemical safety report</w:t>
            </w:r>
          </w:p>
        </w:tc>
      </w:tr>
      <w:tr w:rsidR="00BC1D4B" w14:paraId="40B88151" w14:textId="77777777">
        <w:tc>
          <w:tcPr>
            <w:tcW w:w="2122" w:type="dxa"/>
          </w:tcPr>
          <w:p w14:paraId="2C2CACC5" w14:textId="77777777" w:rsidR="00BC1D4B" w:rsidRDefault="00ED1F84">
            <w:pPr>
              <w:rPr>
                <w:rFonts w:ascii="Verdana" w:hAnsi="Verdana"/>
                <w:sz w:val="20"/>
                <w:szCs w:val="20"/>
                <w:lang w:eastAsia="fi-FI"/>
              </w:rPr>
            </w:pPr>
            <w:r>
              <w:rPr>
                <w:rFonts w:ascii="Verdana" w:hAnsi="Verdana"/>
                <w:sz w:val="20"/>
                <w:szCs w:val="20"/>
                <w:lang w:val="fr-FR"/>
              </w:rPr>
              <w:t>Dev</w:t>
            </w:r>
          </w:p>
        </w:tc>
        <w:tc>
          <w:tcPr>
            <w:tcW w:w="6180" w:type="dxa"/>
          </w:tcPr>
          <w:p w14:paraId="48ECD51C" w14:textId="77777777" w:rsidR="00BC1D4B" w:rsidRDefault="00ED1F84">
            <w:pPr>
              <w:rPr>
                <w:rFonts w:ascii="Verdana" w:hAnsi="Verdana"/>
                <w:sz w:val="20"/>
                <w:szCs w:val="20"/>
                <w:lang w:eastAsia="fi-FI"/>
              </w:rPr>
            </w:pPr>
            <w:r>
              <w:rPr>
                <w:rFonts w:ascii="Verdana" w:hAnsi="Verdana"/>
                <w:sz w:val="20"/>
                <w:szCs w:val="20"/>
                <w:lang w:val="fr-FR"/>
              </w:rPr>
              <w:t>Dossier evaluation</w:t>
            </w:r>
          </w:p>
        </w:tc>
      </w:tr>
      <w:tr w:rsidR="00BC1D4B" w14:paraId="2A339B9C" w14:textId="77777777">
        <w:tc>
          <w:tcPr>
            <w:tcW w:w="2122" w:type="dxa"/>
          </w:tcPr>
          <w:p w14:paraId="0145DAB8" w14:textId="77777777" w:rsidR="00BC1D4B" w:rsidRDefault="00ED1F84">
            <w:pPr>
              <w:rPr>
                <w:rFonts w:ascii="Verdana" w:hAnsi="Verdana"/>
                <w:sz w:val="20"/>
                <w:szCs w:val="20"/>
                <w:lang w:val="fr-FR"/>
              </w:rPr>
            </w:pPr>
            <w:r>
              <w:rPr>
                <w:rFonts w:ascii="Verdana" w:hAnsi="Verdana"/>
                <w:sz w:val="20"/>
                <w:szCs w:val="20"/>
                <w:lang w:val="fr-FR"/>
              </w:rPr>
              <w:t>DNEL</w:t>
            </w:r>
          </w:p>
        </w:tc>
        <w:tc>
          <w:tcPr>
            <w:tcW w:w="6180" w:type="dxa"/>
          </w:tcPr>
          <w:p w14:paraId="6FE47399" w14:textId="77777777" w:rsidR="00BC1D4B" w:rsidRDefault="00ED1F84">
            <w:pPr>
              <w:rPr>
                <w:rFonts w:ascii="Verdana" w:hAnsi="Verdana"/>
                <w:sz w:val="20"/>
                <w:szCs w:val="20"/>
                <w:lang w:val="fr-FR"/>
              </w:rPr>
            </w:pPr>
            <w:r>
              <w:rPr>
                <w:rFonts w:ascii="Verdana" w:hAnsi="Verdana"/>
                <w:sz w:val="20"/>
                <w:szCs w:val="20"/>
                <w:lang w:val="fr-FR"/>
              </w:rPr>
              <w:t>Derived no effect level</w:t>
            </w:r>
          </w:p>
        </w:tc>
      </w:tr>
      <w:tr w:rsidR="00BC1D4B" w14:paraId="6C90A472" w14:textId="77777777">
        <w:tc>
          <w:tcPr>
            <w:tcW w:w="2122" w:type="dxa"/>
          </w:tcPr>
          <w:p w14:paraId="18E58BC3" w14:textId="77777777" w:rsidR="00BC1D4B" w:rsidRDefault="00ED1F84">
            <w:pPr>
              <w:rPr>
                <w:rFonts w:ascii="Verdana" w:hAnsi="Verdana"/>
                <w:sz w:val="20"/>
                <w:szCs w:val="20"/>
                <w:lang w:val="fr-FR"/>
              </w:rPr>
            </w:pPr>
            <w:r>
              <w:rPr>
                <w:rFonts w:ascii="Verdana" w:hAnsi="Verdana"/>
                <w:sz w:val="20"/>
                <w:szCs w:val="20"/>
                <w:lang w:val="fr-FR"/>
              </w:rPr>
              <w:t>DWD</w:t>
            </w:r>
          </w:p>
        </w:tc>
        <w:tc>
          <w:tcPr>
            <w:tcW w:w="6180" w:type="dxa"/>
          </w:tcPr>
          <w:p w14:paraId="392F7462" w14:textId="77777777" w:rsidR="00BC1D4B" w:rsidRDefault="00ED1F84">
            <w:pPr>
              <w:rPr>
                <w:rFonts w:ascii="Verdana" w:hAnsi="Verdana"/>
                <w:sz w:val="20"/>
                <w:szCs w:val="20"/>
                <w:lang w:val="fr-FR"/>
              </w:rPr>
            </w:pPr>
            <w:r>
              <w:rPr>
                <w:rFonts w:ascii="Verdana" w:hAnsi="Verdana"/>
                <w:sz w:val="20"/>
                <w:szCs w:val="20"/>
                <w:lang w:val="fr-FR"/>
              </w:rPr>
              <w:t>Drinking Water Directive</w:t>
            </w:r>
          </w:p>
        </w:tc>
      </w:tr>
      <w:tr w:rsidR="00D261CE" w14:paraId="776309CA" w14:textId="77777777">
        <w:tc>
          <w:tcPr>
            <w:tcW w:w="2122" w:type="dxa"/>
          </w:tcPr>
          <w:p w14:paraId="5098D895" w14:textId="76E236B0" w:rsidR="00D261CE" w:rsidRDefault="00D261CE">
            <w:pPr>
              <w:rPr>
                <w:rFonts w:ascii="Verdana" w:hAnsi="Verdana"/>
                <w:sz w:val="20"/>
                <w:szCs w:val="20"/>
                <w:lang w:val="fr-FR"/>
              </w:rPr>
            </w:pPr>
            <w:r>
              <w:rPr>
                <w:rFonts w:ascii="Verdana" w:hAnsi="Verdana"/>
                <w:sz w:val="20"/>
                <w:szCs w:val="20"/>
                <w:lang w:val="fr-FR"/>
              </w:rPr>
              <w:t>DWTP</w:t>
            </w:r>
          </w:p>
        </w:tc>
        <w:tc>
          <w:tcPr>
            <w:tcW w:w="6180" w:type="dxa"/>
          </w:tcPr>
          <w:p w14:paraId="12B9A7B2" w14:textId="7DE000B8" w:rsidR="00D261CE" w:rsidRDefault="00D261CE">
            <w:pPr>
              <w:rPr>
                <w:rFonts w:ascii="Verdana" w:hAnsi="Verdana"/>
                <w:sz w:val="20"/>
                <w:szCs w:val="20"/>
                <w:lang w:val="fr-FR"/>
              </w:rPr>
            </w:pPr>
            <w:r>
              <w:rPr>
                <w:rFonts w:ascii="Verdana" w:hAnsi="Verdana"/>
                <w:sz w:val="20"/>
                <w:szCs w:val="20"/>
                <w:lang w:val="fr-FR"/>
              </w:rPr>
              <w:t>Drinking Water Treatment Plant</w:t>
            </w:r>
          </w:p>
        </w:tc>
      </w:tr>
      <w:tr w:rsidR="00BC1D4B" w14:paraId="30E40E38" w14:textId="77777777">
        <w:tc>
          <w:tcPr>
            <w:tcW w:w="2122" w:type="dxa"/>
          </w:tcPr>
          <w:p w14:paraId="0401A93F" w14:textId="77777777" w:rsidR="00BC1D4B" w:rsidRDefault="00ED1F84">
            <w:pPr>
              <w:rPr>
                <w:rFonts w:ascii="Verdana" w:hAnsi="Verdana"/>
                <w:sz w:val="20"/>
                <w:szCs w:val="20"/>
                <w:lang w:eastAsia="fi-FI"/>
              </w:rPr>
            </w:pPr>
            <w:r>
              <w:rPr>
                <w:rFonts w:ascii="Verdana" w:hAnsi="Verdana"/>
                <w:sz w:val="20"/>
                <w:szCs w:val="20"/>
                <w:lang w:eastAsia="fi-FI"/>
              </w:rPr>
              <w:t>ED</w:t>
            </w:r>
          </w:p>
        </w:tc>
        <w:tc>
          <w:tcPr>
            <w:tcW w:w="6180" w:type="dxa"/>
          </w:tcPr>
          <w:p w14:paraId="4EC684DE" w14:textId="77777777" w:rsidR="00BC1D4B" w:rsidRDefault="00ED1F84">
            <w:pPr>
              <w:rPr>
                <w:rFonts w:ascii="Verdana" w:hAnsi="Verdana"/>
                <w:sz w:val="20"/>
                <w:szCs w:val="20"/>
                <w:lang w:eastAsia="fi-FI"/>
              </w:rPr>
            </w:pPr>
            <w:r>
              <w:rPr>
                <w:rFonts w:ascii="Verdana" w:hAnsi="Verdana"/>
                <w:sz w:val="20"/>
                <w:szCs w:val="20"/>
                <w:lang w:val="fr-FR"/>
              </w:rPr>
              <w:t>Endocrine disruptor</w:t>
            </w:r>
          </w:p>
        </w:tc>
      </w:tr>
      <w:tr w:rsidR="00BC1D4B" w14:paraId="561C647C" w14:textId="77777777">
        <w:tc>
          <w:tcPr>
            <w:tcW w:w="2122" w:type="dxa"/>
          </w:tcPr>
          <w:p w14:paraId="38023E74" w14:textId="77777777" w:rsidR="00BC1D4B" w:rsidRDefault="00ED1F84">
            <w:pPr>
              <w:rPr>
                <w:rFonts w:ascii="Verdana" w:hAnsi="Verdana"/>
                <w:sz w:val="20"/>
                <w:szCs w:val="20"/>
                <w:lang w:eastAsia="fi-FI"/>
              </w:rPr>
            </w:pPr>
            <w:r>
              <w:rPr>
                <w:rFonts w:ascii="Verdana" w:hAnsi="Verdana"/>
                <w:sz w:val="20"/>
                <w:szCs w:val="20"/>
                <w:lang w:eastAsia="fi-FI"/>
              </w:rPr>
              <w:t>ELT</w:t>
            </w:r>
          </w:p>
        </w:tc>
        <w:tc>
          <w:tcPr>
            <w:tcW w:w="6180" w:type="dxa"/>
          </w:tcPr>
          <w:p w14:paraId="4922C640" w14:textId="77777777" w:rsidR="00BC1D4B" w:rsidRDefault="00ED1F84">
            <w:pPr>
              <w:rPr>
                <w:rFonts w:ascii="Verdana" w:hAnsi="Verdana"/>
                <w:sz w:val="20"/>
                <w:szCs w:val="20"/>
                <w:lang w:val="fr-FR"/>
              </w:rPr>
            </w:pPr>
            <w:r>
              <w:rPr>
                <w:rFonts w:ascii="Verdana" w:hAnsi="Verdana"/>
                <w:sz w:val="20"/>
                <w:szCs w:val="20"/>
                <w:lang w:val="fr-FR"/>
              </w:rPr>
              <w:t>End of Life Tyres</w:t>
            </w:r>
          </w:p>
        </w:tc>
      </w:tr>
      <w:tr w:rsidR="00BC1D4B" w14:paraId="10709DA7" w14:textId="77777777">
        <w:tc>
          <w:tcPr>
            <w:tcW w:w="2122" w:type="dxa"/>
          </w:tcPr>
          <w:p w14:paraId="1A47BDB8" w14:textId="77777777" w:rsidR="00BC1D4B" w:rsidRDefault="00ED1F84">
            <w:pPr>
              <w:rPr>
                <w:rFonts w:ascii="Verdana" w:hAnsi="Verdana"/>
                <w:sz w:val="20"/>
                <w:szCs w:val="20"/>
                <w:lang w:eastAsia="fi-FI"/>
              </w:rPr>
            </w:pPr>
            <w:r>
              <w:rPr>
                <w:rFonts w:ascii="Verdana" w:hAnsi="Verdana"/>
                <w:sz w:val="20"/>
                <w:szCs w:val="20"/>
                <w:lang w:eastAsia="fi-FI"/>
              </w:rPr>
              <w:t>EOGRTS</w:t>
            </w:r>
          </w:p>
        </w:tc>
        <w:tc>
          <w:tcPr>
            <w:tcW w:w="6180" w:type="dxa"/>
          </w:tcPr>
          <w:p w14:paraId="4D45F90F" w14:textId="77777777" w:rsidR="00BC1D4B" w:rsidRDefault="00ED1F84">
            <w:pPr>
              <w:rPr>
                <w:rFonts w:ascii="Verdana" w:hAnsi="Verdana"/>
                <w:sz w:val="20"/>
                <w:szCs w:val="20"/>
                <w:lang w:val="en-US"/>
              </w:rPr>
            </w:pPr>
            <w:r>
              <w:rPr>
                <w:rFonts w:ascii="Verdana" w:hAnsi="Verdana"/>
                <w:sz w:val="20"/>
                <w:szCs w:val="20"/>
                <w:lang w:val="en-US"/>
              </w:rPr>
              <w:t>Extended one-generation reproductive toxicity study</w:t>
            </w:r>
          </w:p>
        </w:tc>
      </w:tr>
      <w:tr w:rsidR="00BC1D4B" w14:paraId="7AA40C9C" w14:textId="77777777">
        <w:tc>
          <w:tcPr>
            <w:tcW w:w="2122" w:type="dxa"/>
          </w:tcPr>
          <w:p w14:paraId="4B5CC40B" w14:textId="77777777" w:rsidR="00BC1D4B" w:rsidRDefault="00ED1F84">
            <w:pPr>
              <w:rPr>
                <w:rFonts w:ascii="Verdana" w:hAnsi="Verdana"/>
                <w:sz w:val="20"/>
                <w:szCs w:val="20"/>
                <w:lang w:eastAsia="fi-FI"/>
              </w:rPr>
            </w:pPr>
            <w:r>
              <w:rPr>
                <w:rFonts w:ascii="Verdana" w:hAnsi="Verdana"/>
                <w:sz w:val="20"/>
                <w:szCs w:val="20"/>
                <w:lang w:eastAsia="fi-FI"/>
              </w:rPr>
              <w:t>ES</w:t>
            </w:r>
          </w:p>
        </w:tc>
        <w:tc>
          <w:tcPr>
            <w:tcW w:w="6180" w:type="dxa"/>
          </w:tcPr>
          <w:p w14:paraId="40D9B290" w14:textId="77777777" w:rsidR="00BC1D4B" w:rsidRDefault="00ED1F84">
            <w:pPr>
              <w:rPr>
                <w:rFonts w:ascii="Verdana" w:hAnsi="Verdana"/>
                <w:sz w:val="20"/>
                <w:szCs w:val="20"/>
                <w:lang w:val="en-US"/>
              </w:rPr>
            </w:pPr>
            <w:r>
              <w:rPr>
                <w:rFonts w:ascii="Verdana" w:hAnsi="Verdana"/>
                <w:sz w:val="20"/>
                <w:szCs w:val="20"/>
                <w:lang w:val="en-US"/>
              </w:rPr>
              <w:t>Exposure scenario</w:t>
            </w:r>
          </w:p>
        </w:tc>
      </w:tr>
      <w:tr w:rsidR="00BC1D4B" w14:paraId="2E7CED24" w14:textId="77777777">
        <w:tc>
          <w:tcPr>
            <w:tcW w:w="2122" w:type="dxa"/>
          </w:tcPr>
          <w:p w14:paraId="0284B5C3" w14:textId="77777777" w:rsidR="00BC1D4B" w:rsidRDefault="00ED1F84">
            <w:pPr>
              <w:rPr>
                <w:rFonts w:ascii="Verdana" w:hAnsi="Verdana"/>
                <w:sz w:val="20"/>
                <w:szCs w:val="20"/>
                <w:lang w:eastAsia="fi-FI"/>
              </w:rPr>
            </w:pPr>
            <w:r>
              <w:rPr>
                <w:rFonts w:ascii="Verdana" w:hAnsi="Verdana"/>
                <w:sz w:val="20"/>
                <w:szCs w:val="20"/>
                <w:lang w:eastAsia="fi-FI"/>
              </w:rPr>
              <w:t>ETRMA</w:t>
            </w:r>
          </w:p>
        </w:tc>
        <w:tc>
          <w:tcPr>
            <w:tcW w:w="6180" w:type="dxa"/>
          </w:tcPr>
          <w:p w14:paraId="383D9B55" w14:textId="77777777" w:rsidR="00BC1D4B" w:rsidRDefault="00ED1F84">
            <w:pPr>
              <w:rPr>
                <w:rFonts w:ascii="Verdana" w:hAnsi="Verdana"/>
                <w:sz w:val="20"/>
                <w:szCs w:val="20"/>
                <w:lang w:val="en-US"/>
              </w:rPr>
            </w:pPr>
            <w:r>
              <w:rPr>
                <w:rFonts w:ascii="Verdana" w:hAnsi="Verdana"/>
                <w:sz w:val="20"/>
                <w:szCs w:val="20"/>
                <w:lang w:val="en-US"/>
              </w:rPr>
              <w:t>European Tyre &amp; Rubber Manufacturers Association</w:t>
            </w:r>
          </w:p>
        </w:tc>
      </w:tr>
      <w:tr w:rsidR="00BC1D4B" w14:paraId="4DB178B3" w14:textId="77777777">
        <w:tc>
          <w:tcPr>
            <w:tcW w:w="2122" w:type="dxa"/>
          </w:tcPr>
          <w:p w14:paraId="09A23FB8" w14:textId="77777777" w:rsidR="00BC1D4B" w:rsidRDefault="00ED1F84">
            <w:pPr>
              <w:rPr>
                <w:rFonts w:ascii="Verdana" w:hAnsi="Verdana"/>
                <w:sz w:val="20"/>
                <w:szCs w:val="20"/>
                <w:lang w:eastAsia="fi-FI"/>
              </w:rPr>
            </w:pPr>
            <w:r>
              <w:rPr>
                <w:rFonts w:ascii="Verdana" w:hAnsi="Verdana"/>
                <w:sz w:val="20"/>
                <w:szCs w:val="20"/>
                <w:lang w:eastAsia="fi-FI"/>
              </w:rPr>
              <w:t>GRG</w:t>
            </w:r>
          </w:p>
        </w:tc>
        <w:tc>
          <w:tcPr>
            <w:tcW w:w="6180" w:type="dxa"/>
          </w:tcPr>
          <w:p w14:paraId="30732DD1" w14:textId="77777777" w:rsidR="00BC1D4B" w:rsidRDefault="00ED1F84">
            <w:pPr>
              <w:rPr>
                <w:rFonts w:ascii="Verdana" w:hAnsi="Verdana"/>
                <w:sz w:val="20"/>
                <w:szCs w:val="20"/>
                <w:lang w:val="en-US"/>
              </w:rPr>
            </w:pPr>
            <w:r>
              <w:rPr>
                <w:rFonts w:ascii="Verdana" w:hAnsi="Verdana"/>
                <w:sz w:val="20"/>
                <w:szCs w:val="20"/>
                <w:lang w:val="en-US"/>
              </w:rPr>
              <w:t>General rubber goods</w:t>
            </w:r>
          </w:p>
        </w:tc>
      </w:tr>
      <w:tr w:rsidR="00BC1D4B" w14:paraId="14EB82C9" w14:textId="77777777">
        <w:tc>
          <w:tcPr>
            <w:tcW w:w="2122" w:type="dxa"/>
          </w:tcPr>
          <w:p w14:paraId="2C7059B3" w14:textId="77777777" w:rsidR="00BC1D4B" w:rsidRDefault="00ED1F84">
            <w:pPr>
              <w:rPr>
                <w:rFonts w:ascii="Verdana" w:hAnsi="Verdana"/>
                <w:sz w:val="20"/>
                <w:szCs w:val="20"/>
                <w:lang w:eastAsia="fi-FI"/>
              </w:rPr>
            </w:pPr>
            <w:r>
              <w:rPr>
                <w:rFonts w:ascii="Verdana" w:hAnsi="Verdana"/>
                <w:sz w:val="20"/>
                <w:szCs w:val="20"/>
                <w:lang w:eastAsia="fi-FI"/>
              </w:rPr>
              <w:t>IED</w:t>
            </w:r>
          </w:p>
        </w:tc>
        <w:tc>
          <w:tcPr>
            <w:tcW w:w="6180" w:type="dxa"/>
          </w:tcPr>
          <w:p w14:paraId="6D2DE65E" w14:textId="77777777" w:rsidR="00BC1D4B" w:rsidRDefault="00ED1F84">
            <w:pPr>
              <w:rPr>
                <w:rFonts w:ascii="Verdana" w:hAnsi="Verdana"/>
                <w:sz w:val="20"/>
                <w:szCs w:val="20"/>
                <w:lang w:val="en-US"/>
              </w:rPr>
            </w:pPr>
            <w:r>
              <w:rPr>
                <w:rFonts w:ascii="Verdana" w:hAnsi="Verdana"/>
                <w:sz w:val="20"/>
                <w:szCs w:val="20"/>
                <w:lang w:val="en-US"/>
              </w:rPr>
              <w:t>Industrial emission Directive</w:t>
            </w:r>
          </w:p>
        </w:tc>
      </w:tr>
      <w:tr w:rsidR="00BC1D4B" w14:paraId="2E15D069" w14:textId="77777777">
        <w:tc>
          <w:tcPr>
            <w:tcW w:w="2122" w:type="dxa"/>
          </w:tcPr>
          <w:p w14:paraId="2A051C62" w14:textId="77777777" w:rsidR="00BC1D4B" w:rsidRDefault="00ED1F84">
            <w:pPr>
              <w:rPr>
                <w:rFonts w:ascii="Verdana" w:hAnsi="Verdana"/>
                <w:sz w:val="20"/>
                <w:szCs w:val="20"/>
                <w:lang w:eastAsia="fi-FI"/>
              </w:rPr>
            </w:pPr>
            <w:r>
              <w:rPr>
                <w:rFonts w:ascii="Verdana" w:hAnsi="Verdana"/>
                <w:sz w:val="20"/>
                <w:szCs w:val="20"/>
                <w:lang w:eastAsia="fi-FI"/>
              </w:rPr>
              <w:t>IOELV</w:t>
            </w:r>
          </w:p>
        </w:tc>
        <w:tc>
          <w:tcPr>
            <w:tcW w:w="6180" w:type="dxa"/>
          </w:tcPr>
          <w:p w14:paraId="211E9A65" w14:textId="77777777" w:rsidR="00BC1D4B" w:rsidRDefault="00ED1F84">
            <w:pPr>
              <w:rPr>
                <w:rFonts w:ascii="Verdana" w:hAnsi="Verdana"/>
                <w:sz w:val="20"/>
                <w:szCs w:val="20"/>
                <w:lang w:val="fr-FR"/>
              </w:rPr>
            </w:pPr>
            <w:r>
              <w:rPr>
                <w:rFonts w:ascii="Verdana" w:hAnsi="Verdana"/>
                <w:sz w:val="20"/>
                <w:szCs w:val="20"/>
                <w:lang w:val="fr-FR"/>
              </w:rPr>
              <w:t>Indicative occupational exposure level value</w:t>
            </w:r>
          </w:p>
        </w:tc>
      </w:tr>
      <w:tr w:rsidR="00BC1D4B" w14:paraId="2B3732BF" w14:textId="77777777">
        <w:tc>
          <w:tcPr>
            <w:tcW w:w="2122" w:type="dxa"/>
          </w:tcPr>
          <w:p w14:paraId="15E91D12" w14:textId="77777777" w:rsidR="00BC1D4B" w:rsidRDefault="00ED1F84">
            <w:pPr>
              <w:rPr>
                <w:rFonts w:ascii="Verdana" w:hAnsi="Verdana"/>
                <w:sz w:val="20"/>
                <w:szCs w:val="20"/>
                <w:lang w:eastAsia="fi-FI"/>
              </w:rPr>
            </w:pPr>
            <w:r>
              <w:rPr>
                <w:rFonts w:ascii="Verdana" w:hAnsi="Verdana"/>
                <w:sz w:val="20"/>
                <w:szCs w:val="20"/>
              </w:rPr>
              <w:t>LOAEL/LOAEC</w:t>
            </w:r>
          </w:p>
        </w:tc>
        <w:tc>
          <w:tcPr>
            <w:tcW w:w="6180" w:type="dxa"/>
          </w:tcPr>
          <w:p w14:paraId="2B0CF59C" w14:textId="77777777" w:rsidR="00BC1D4B" w:rsidRDefault="00ED1F84">
            <w:pPr>
              <w:rPr>
                <w:rFonts w:ascii="Verdana" w:hAnsi="Verdana"/>
                <w:sz w:val="20"/>
                <w:szCs w:val="20"/>
                <w:lang w:val="en-US"/>
              </w:rPr>
            </w:pPr>
            <w:r>
              <w:rPr>
                <w:rFonts w:ascii="Verdana" w:hAnsi="Verdana"/>
                <w:sz w:val="20"/>
                <w:szCs w:val="20"/>
              </w:rPr>
              <w:t>Lowest observed adverse level/concentration</w:t>
            </w:r>
          </w:p>
        </w:tc>
      </w:tr>
      <w:tr w:rsidR="00BC1D4B" w14:paraId="03D81570" w14:textId="77777777">
        <w:tc>
          <w:tcPr>
            <w:tcW w:w="2122" w:type="dxa"/>
          </w:tcPr>
          <w:p w14:paraId="7FA29164" w14:textId="77777777" w:rsidR="00BC1D4B" w:rsidRDefault="00ED1F84">
            <w:pPr>
              <w:rPr>
                <w:rFonts w:ascii="Verdana" w:hAnsi="Verdana"/>
                <w:sz w:val="20"/>
                <w:szCs w:val="20"/>
              </w:rPr>
            </w:pPr>
            <w:r>
              <w:rPr>
                <w:rFonts w:ascii="Verdana" w:hAnsi="Verdana"/>
                <w:sz w:val="20"/>
                <w:szCs w:val="20"/>
              </w:rPr>
              <w:t>MSCA</w:t>
            </w:r>
          </w:p>
        </w:tc>
        <w:tc>
          <w:tcPr>
            <w:tcW w:w="6180" w:type="dxa"/>
          </w:tcPr>
          <w:p w14:paraId="1AB09886" w14:textId="77777777" w:rsidR="00BC1D4B" w:rsidRDefault="00ED1F84">
            <w:pPr>
              <w:rPr>
                <w:rFonts w:ascii="Verdana" w:hAnsi="Verdana"/>
                <w:sz w:val="20"/>
                <w:szCs w:val="20"/>
              </w:rPr>
            </w:pPr>
            <w:r>
              <w:rPr>
                <w:rFonts w:ascii="Verdana" w:hAnsi="Verdana"/>
                <w:sz w:val="20"/>
                <w:szCs w:val="20"/>
              </w:rPr>
              <w:t>Member state competent authority</w:t>
            </w:r>
          </w:p>
        </w:tc>
      </w:tr>
      <w:tr w:rsidR="00BC1D4B" w14:paraId="532575F7" w14:textId="77777777">
        <w:tc>
          <w:tcPr>
            <w:tcW w:w="2122" w:type="dxa"/>
          </w:tcPr>
          <w:p w14:paraId="13BB2B7A" w14:textId="77777777" w:rsidR="00BC1D4B" w:rsidRDefault="00ED1F84">
            <w:pPr>
              <w:rPr>
                <w:rFonts w:ascii="Verdana" w:hAnsi="Verdana"/>
                <w:sz w:val="20"/>
                <w:szCs w:val="20"/>
              </w:rPr>
            </w:pPr>
            <w:r>
              <w:rPr>
                <w:rFonts w:ascii="Verdana" w:hAnsi="Verdana"/>
                <w:sz w:val="20"/>
                <w:szCs w:val="20"/>
              </w:rPr>
              <w:t>NOAEL/NOAEC</w:t>
            </w:r>
          </w:p>
        </w:tc>
        <w:tc>
          <w:tcPr>
            <w:tcW w:w="6180" w:type="dxa"/>
          </w:tcPr>
          <w:p w14:paraId="0E7FAD3B" w14:textId="77777777" w:rsidR="00BC1D4B" w:rsidRDefault="00ED1F84">
            <w:pPr>
              <w:rPr>
                <w:rFonts w:ascii="Verdana" w:hAnsi="Verdana"/>
                <w:sz w:val="20"/>
                <w:szCs w:val="20"/>
              </w:rPr>
            </w:pPr>
            <w:r>
              <w:rPr>
                <w:rFonts w:ascii="Verdana" w:hAnsi="Verdana"/>
                <w:sz w:val="20"/>
                <w:szCs w:val="20"/>
              </w:rPr>
              <w:t>No observed adverse level/concentration</w:t>
            </w:r>
          </w:p>
        </w:tc>
      </w:tr>
      <w:tr w:rsidR="00BC1D4B" w14:paraId="0BD8B805" w14:textId="77777777">
        <w:tc>
          <w:tcPr>
            <w:tcW w:w="2122" w:type="dxa"/>
          </w:tcPr>
          <w:p w14:paraId="5F2B7426" w14:textId="77777777" w:rsidR="00BC1D4B" w:rsidRDefault="00ED1F84">
            <w:pPr>
              <w:rPr>
                <w:rFonts w:ascii="Verdana" w:hAnsi="Verdana"/>
                <w:sz w:val="20"/>
                <w:szCs w:val="20"/>
                <w:lang w:eastAsia="fi-FI"/>
              </w:rPr>
            </w:pPr>
            <w:r>
              <w:rPr>
                <w:rFonts w:ascii="Verdana" w:hAnsi="Verdana"/>
                <w:sz w:val="20"/>
                <w:szCs w:val="20"/>
              </w:rPr>
              <w:t>OEL</w:t>
            </w:r>
          </w:p>
        </w:tc>
        <w:tc>
          <w:tcPr>
            <w:tcW w:w="6180" w:type="dxa"/>
          </w:tcPr>
          <w:p w14:paraId="2113B378" w14:textId="77777777" w:rsidR="00BC1D4B" w:rsidRDefault="00ED1F84">
            <w:pPr>
              <w:rPr>
                <w:rFonts w:ascii="Verdana" w:hAnsi="Verdana"/>
                <w:sz w:val="20"/>
                <w:szCs w:val="20"/>
                <w:lang w:eastAsia="fi-FI"/>
              </w:rPr>
            </w:pPr>
            <w:r>
              <w:rPr>
                <w:rFonts w:ascii="Verdana" w:hAnsi="Verdana"/>
                <w:sz w:val="20"/>
                <w:szCs w:val="20"/>
              </w:rPr>
              <w:t>Occupational exposure limit</w:t>
            </w:r>
          </w:p>
        </w:tc>
      </w:tr>
      <w:tr w:rsidR="00BC1D4B" w14:paraId="1E3CFF3A" w14:textId="77777777">
        <w:tc>
          <w:tcPr>
            <w:tcW w:w="2122" w:type="dxa"/>
          </w:tcPr>
          <w:p w14:paraId="14185EDA" w14:textId="77777777" w:rsidR="00BC1D4B" w:rsidRDefault="00ED1F84">
            <w:pPr>
              <w:rPr>
                <w:rFonts w:ascii="Verdana" w:hAnsi="Verdana"/>
                <w:sz w:val="20"/>
                <w:szCs w:val="20"/>
              </w:rPr>
            </w:pPr>
            <w:r>
              <w:rPr>
                <w:rFonts w:ascii="Verdana" w:hAnsi="Verdana"/>
                <w:sz w:val="20"/>
                <w:szCs w:val="20"/>
              </w:rPr>
              <w:t>OSII or TII</w:t>
            </w:r>
          </w:p>
        </w:tc>
        <w:tc>
          <w:tcPr>
            <w:tcW w:w="6180" w:type="dxa"/>
          </w:tcPr>
          <w:p w14:paraId="05FB8C2B" w14:textId="77777777" w:rsidR="00BC1D4B" w:rsidRDefault="00ED1F84">
            <w:pPr>
              <w:rPr>
                <w:rFonts w:ascii="Verdana" w:hAnsi="Verdana"/>
                <w:sz w:val="20"/>
                <w:szCs w:val="20"/>
              </w:rPr>
            </w:pPr>
            <w:r>
              <w:rPr>
                <w:rFonts w:ascii="Verdana" w:hAnsi="Verdana"/>
                <w:sz w:val="20"/>
                <w:szCs w:val="20"/>
              </w:rPr>
              <w:t>On-site isolated intermediate or transported isolated intermediate</w:t>
            </w:r>
          </w:p>
        </w:tc>
      </w:tr>
      <w:tr w:rsidR="00BC1D4B" w14:paraId="5760F405" w14:textId="77777777">
        <w:tc>
          <w:tcPr>
            <w:tcW w:w="2122" w:type="dxa"/>
          </w:tcPr>
          <w:p w14:paraId="251810FD" w14:textId="77777777" w:rsidR="00BC1D4B" w:rsidRDefault="00ED1F84">
            <w:pPr>
              <w:rPr>
                <w:rFonts w:ascii="Verdana" w:hAnsi="Verdana"/>
                <w:sz w:val="20"/>
                <w:szCs w:val="20"/>
                <w:lang w:eastAsia="fi-FI"/>
              </w:rPr>
            </w:pPr>
            <w:r>
              <w:rPr>
                <w:rFonts w:ascii="Verdana" w:hAnsi="Verdana"/>
                <w:sz w:val="20"/>
                <w:szCs w:val="20"/>
              </w:rPr>
              <w:t>PBT/vPvB</w:t>
            </w:r>
          </w:p>
        </w:tc>
        <w:tc>
          <w:tcPr>
            <w:tcW w:w="6180" w:type="dxa"/>
          </w:tcPr>
          <w:p w14:paraId="2750873D" w14:textId="77777777" w:rsidR="00BC1D4B" w:rsidRDefault="00ED1F84">
            <w:pPr>
              <w:rPr>
                <w:rFonts w:ascii="Verdana" w:hAnsi="Verdana"/>
                <w:sz w:val="20"/>
                <w:szCs w:val="20"/>
                <w:lang w:eastAsia="fi-FI"/>
              </w:rPr>
            </w:pPr>
            <w:r>
              <w:rPr>
                <w:rFonts w:ascii="Verdana" w:hAnsi="Verdana"/>
                <w:sz w:val="20"/>
                <w:szCs w:val="20"/>
              </w:rPr>
              <w:t>Persistent, bioaccumulative and toxic/very persistent and very bioaccumulative</w:t>
            </w:r>
          </w:p>
        </w:tc>
      </w:tr>
      <w:tr w:rsidR="00BC1D4B" w14:paraId="29A2AFD4" w14:textId="77777777">
        <w:tc>
          <w:tcPr>
            <w:tcW w:w="2122" w:type="dxa"/>
          </w:tcPr>
          <w:p w14:paraId="3D7E3AE2" w14:textId="77777777" w:rsidR="00BC1D4B" w:rsidRDefault="00ED1F84">
            <w:pPr>
              <w:rPr>
                <w:rFonts w:ascii="Verdana" w:hAnsi="Verdana"/>
                <w:sz w:val="20"/>
                <w:szCs w:val="20"/>
              </w:rPr>
            </w:pPr>
            <w:r>
              <w:rPr>
                <w:rFonts w:ascii="Verdana" w:hAnsi="Verdana"/>
                <w:sz w:val="20"/>
                <w:szCs w:val="20"/>
              </w:rPr>
              <w:t>PMT</w:t>
            </w:r>
          </w:p>
        </w:tc>
        <w:tc>
          <w:tcPr>
            <w:tcW w:w="6180" w:type="dxa"/>
          </w:tcPr>
          <w:p w14:paraId="2EA5CC7D" w14:textId="77777777" w:rsidR="00BC1D4B" w:rsidRDefault="00ED1F84">
            <w:pPr>
              <w:rPr>
                <w:rFonts w:ascii="Verdana" w:hAnsi="Verdana"/>
                <w:sz w:val="20"/>
                <w:szCs w:val="20"/>
              </w:rPr>
            </w:pPr>
            <w:r>
              <w:rPr>
                <w:rFonts w:ascii="Verdana" w:hAnsi="Verdana"/>
                <w:sz w:val="20"/>
                <w:szCs w:val="20"/>
              </w:rPr>
              <w:t>Persistent, mobile in water and toxic</w:t>
            </w:r>
          </w:p>
        </w:tc>
      </w:tr>
      <w:tr w:rsidR="00BC1D4B" w14:paraId="19EABE00" w14:textId="77777777">
        <w:tc>
          <w:tcPr>
            <w:tcW w:w="2122" w:type="dxa"/>
          </w:tcPr>
          <w:p w14:paraId="61401861" w14:textId="77777777" w:rsidR="00BC1D4B" w:rsidRDefault="00ED1F84">
            <w:pPr>
              <w:rPr>
                <w:rFonts w:ascii="Verdana" w:hAnsi="Verdana"/>
                <w:sz w:val="20"/>
                <w:szCs w:val="20"/>
              </w:rPr>
            </w:pPr>
            <w:r>
              <w:rPr>
                <w:rFonts w:ascii="Verdana" w:hAnsi="Verdana"/>
                <w:sz w:val="20"/>
                <w:szCs w:val="20"/>
              </w:rPr>
              <w:lastRenderedPageBreak/>
              <w:t>PND</w:t>
            </w:r>
          </w:p>
        </w:tc>
        <w:tc>
          <w:tcPr>
            <w:tcW w:w="6180" w:type="dxa"/>
          </w:tcPr>
          <w:p w14:paraId="72F41C33" w14:textId="77777777" w:rsidR="00BC1D4B" w:rsidRDefault="00ED1F84">
            <w:pPr>
              <w:rPr>
                <w:rFonts w:ascii="Verdana" w:hAnsi="Verdana"/>
                <w:sz w:val="20"/>
                <w:szCs w:val="20"/>
              </w:rPr>
            </w:pPr>
            <w:r>
              <w:rPr>
                <w:rFonts w:ascii="Verdana" w:hAnsi="Verdana"/>
                <w:sz w:val="20"/>
                <w:szCs w:val="20"/>
              </w:rPr>
              <w:t>post-natal day</w:t>
            </w:r>
          </w:p>
        </w:tc>
      </w:tr>
      <w:tr w:rsidR="00BC1D4B" w14:paraId="4EB67E73" w14:textId="77777777">
        <w:tc>
          <w:tcPr>
            <w:tcW w:w="2122" w:type="dxa"/>
          </w:tcPr>
          <w:p w14:paraId="5D87C803" w14:textId="77777777" w:rsidR="00BC1D4B" w:rsidRDefault="00ED1F84">
            <w:pPr>
              <w:rPr>
                <w:rFonts w:ascii="Verdana" w:hAnsi="Verdana"/>
                <w:sz w:val="20"/>
                <w:szCs w:val="20"/>
              </w:rPr>
            </w:pPr>
            <w:r>
              <w:rPr>
                <w:rFonts w:ascii="Verdana" w:hAnsi="Verdana"/>
                <w:sz w:val="20"/>
                <w:szCs w:val="20"/>
              </w:rPr>
              <w:t>PROC</w:t>
            </w:r>
          </w:p>
        </w:tc>
        <w:tc>
          <w:tcPr>
            <w:tcW w:w="6180" w:type="dxa"/>
          </w:tcPr>
          <w:p w14:paraId="3D10F5E7" w14:textId="77777777" w:rsidR="00BC1D4B" w:rsidRDefault="00ED1F84">
            <w:pPr>
              <w:rPr>
                <w:rFonts w:ascii="Verdana" w:hAnsi="Verdana"/>
                <w:sz w:val="20"/>
                <w:szCs w:val="20"/>
              </w:rPr>
            </w:pPr>
            <w:r>
              <w:rPr>
                <w:rFonts w:ascii="Verdana" w:hAnsi="Verdana"/>
                <w:sz w:val="20"/>
                <w:szCs w:val="20"/>
              </w:rPr>
              <w:t>Process category</w:t>
            </w:r>
          </w:p>
        </w:tc>
      </w:tr>
      <w:tr w:rsidR="00BC1D4B" w14:paraId="08A2F6CE" w14:textId="77777777">
        <w:tc>
          <w:tcPr>
            <w:tcW w:w="2122" w:type="dxa"/>
          </w:tcPr>
          <w:p w14:paraId="4A1DF252" w14:textId="77777777" w:rsidR="00BC1D4B" w:rsidRDefault="00ED1F84">
            <w:pPr>
              <w:rPr>
                <w:rFonts w:ascii="Verdana" w:hAnsi="Verdana"/>
                <w:sz w:val="20"/>
                <w:szCs w:val="20"/>
              </w:rPr>
            </w:pPr>
            <w:r>
              <w:rPr>
                <w:rFonts w:ascii="Verdana" w:hAnsi="Verdana"/>
                <w:sz w:val="20"/>
                <w:szCs w:val="20"/>
              </w:rPr>
              <w:t>RCR</w:t>
            </w:r>
          </w:p>
        </w:tc>
        <w:tc>
          <w:tcPr>
            <w:tcW w:w="6180" w:type="dxa"/>
          </w:tcPr>
          <w:p w14:paraId="79E606E2" w14:textId="77777777" w:rsidR="00BC1D4B" w:rsidRDefault="00ED1F84">
            <w:pPr>
              <w:rPr>
                <w:rFonts w:ascii="Verdana" w:hAnsi="Verdana"/>
                <w:sz w:val="20"/>
                <w:szCs w:val="20"/>
              </w:rPr>
            </w:pPr>
            <w:r>
              <w:rPr>
                <w:rFonts w:ascii="Verdana" w:hAnsi="Verdana"/>
                <w:sz w:val="20"/>
                <w:szCs w:val="20"/>
              </w:rPr>
              <w:t>Risk characterisation ratio</w:t>
            </w:r>
          </w:p>
        </w:tc>
      </w:tr>
      <w:tr w:rsidR="00BC1D4B" w14:paraId="7CB57F13" w14:textId="77777777">
        <w:tc>
          <w:tcPr>
            <w:tcW w:w="2122" w:type="dxa"/>
          </w:tcPr>
          <w:p w14:paraId="6EE2E31F" w14:textId="77777777" w:rsidR="00BC1D4B" w:rsidRDefault="00ED1F84">
            <w:pPr>
              <w:rPr>
                <w:rFonts w:ascii="Verdana" w:hAnsi="Verdana"/>
                <w:sz w:val="20"/>
                <w:szCs w:val="20"/>
              </w:rPr>
            </w:pPr>
            <w:r>
              <w:rPr>
                <w:rFonts w:ascii="Verdana" w:hAnsi="Verdana"/>
                <w:sz w:val="20"/>
                <w:szCs w:val="20"/>
              </w:rPr>
              <w:t>REACH</w:t>
            </w:r>
          </w:p>
        </w:tc>
        <w:tc>
          <w:tcPr>
            <w:tcW w:w="6180" w:type="dxa"/>
          </w:tcPr>
          <w:p w14:paraId="11301580" w14:textId="77777777" w:rsidR="00BC1D4B" w:rsidRDefault="00ED1F84">
            <w:pPr>
              <w:rPr>
                <w:rFonts w:ascii="Verdana" w:hAnsi="Verdana"/>
                <w:sz w:val="20"/>
                <w:szCs w:val="20"/>
              </w:rPr>
            </w:pPr>
            <w:r>
              <w:rPr>
                <w:rFonts w:ascii="Verdana" w:hAnsi="Verdana"/>
                <w:sz w:val="20"/>
                <w:szCs w:val="20"/>
              </w:rPr>
              <w:t>Regulation (EC) No 1907/206 of 18/12/06 concerning the Registration, Evaluation, Authorisation and Restriction of Chemicals (REACH)</w:t>
            </w:r>
          </w:p>
        </w:tc>
      </w:tr>
      <w:tr w:rsidR="00BC1D4B" w14:paraId="149F8FAF" w14:textId="77777777">
        <w:tc>
          <w:tcPr>
            <w:tcW w:w="2122" w:type="dxa"/>
          </w:tcPr>
          <w:p w14:paraId="59D90937" w14:textId="77777777" w:rsidR="00BC1D4B" w:rsidRDefault="00ED1F84">
            <w:pPr>
              <w:rPr>
                <w:rFonts w:ascii="Verdana" w:hAnsi="Verdana"/>
                <w:sz w:val="20"/>
                <w:szCs w:val="20"/>
              </w:rPr>
            </w:pPr>
            <w:r>
              <w:rPr>
                <w:rFonts w:ascii="Verdana" w:hAnsi="Verdana"/>
                <w:sz w:val="20"/>
                <w:szCs w:val="20"/>
              </w:rPr>
              <w:t>RMOA</w:t>
            </w:r>
          </w:p>
        </w:tc>
        <w:tc>
          <w:tcPr>
            <w:tcW w:w="6180" w:type="dxa"/>
          </w:tcPr>
          <w:p w14:paraId="764372FF" w14:textId="77777777" w:rsidR="00BC1D4B" w:rsidRDefault="00ED1F84">
            <w:pPr>
              <w:rPr>
                <w:rFonts w:ascii="Verdana" w:hAnsi="Verdana"/>
                <w:sz w:val="20"/>
                <w:szCs w:val="20"/>
              </w:rPr>
            </w:pPr>
            <w:r>
              <w:rPr>
                <w:rFonts w:ascii="Verdana" w:hAnsi="Verdana"/>
                <w:sz w:val="20"/>
                <w:szCs w:val="20"/>
              </w:rPr>
              <w:t>Regulatory management options analysis</w:t>
            </w:r>
          </w:p>
        </w:tc>
      </w:tr>
      <w:tr w:rsidR="00BC1D4B" w14:paraId="01716D27" w14:textId="77777777">
        <w:tc>
          <w:tcPr>
            <w:tcW w:w="2122" w:type="dxa"/>
          </w:tcPr>
          <w:p w14:paraId="4857E78B" w14:textId="77777777" w:rsidR="00BC1D4B" w:rsidRDefault="00ED1F84">
            <w:pPr>
              <w:rPr>
                <w:rFonts w:ascii="Verdana" w:hAnsi="Verdana"/>
                <w:sz w:val="20"/>
                <w:szCs w:val="20"/>
              </w:rPr>
            </w:pPr>
            <w:r>
              <w:rPr>
                <w:rFonts w:ascii="Verdana" w:hAnsi="Verdana"/>
                <w:sz w:val="20"/>
                <w:szCs w:val="20"/>
                <w:lang w:val="en-US"/>
              </w:rPr>
              <w:t>RMM</w:t>
            </w:r>
          </w:p>
        </w:tc>
        <w:tc>
          <w:tcPr>
            <w:tcW w:w="6180" w:type="dxa"/>
          </w:tcPr>
          <w:p w14:paraId="6F5A9776" w14:textId="77777777" w:rsidR="00BC1D4B" w:rsidRDefault="00ED1F84">
            <w:pPr>
              <w:rPr>
                <w:rFonts w:ascii="Verdana" w:hAnsi="Verdana"/>
                <w:sz w:val="20"/>
                <w:szCs w:val="20"/>
              </w:rPr>
            </w:pPr>
            <w:r>
              <w:rPr>
                <w:rFonts w:ascii="Verdana" w:hAnsi="Verdana"/>
                <w:sz w:val="20"/>
                <w:szCs w:val="20"/>
                <w:lang w:val="en-US"/>
              </w:rPr>
              <w:t>Risk Mitigation Measure</w:t>
            </w:r>
          </w:p>
        </w:tc>
      </w:tr>
      <w:tr w:rsidR="00BC1D4B" w14:paraId="2B4E851D" w14:textId="77777777">
        <w:tc>
          <w:tcPr>
            <w:tcW w:w="2122" w:type="dxa"/>
          </w:tcPr>
          <w:p w14:paraId="77751834" w14:textId="77777777" w:rsidR="00BC1D4B" w:rsidRDefault="00ED1F84">
            <w:pPr>
              <w:rPr>
                <w:rFonts w:ascii="Verdana" w:hAnsi="Verdana"/>
                <w:sz w:val="20"/>
                <w:szCs w:val="20"/>
              </w:rPr>
            </w:pPr>
            <w:r>
              <w:rPr>
                <w:rFonts w:ascii="Verdana" w:hAnsi="Verdana"/>
                <w:sz w:val="20"/>
                <w:szCs w:val="20"/>
              </w:rPr>
              <w:t>RRM</w:t>
            </w:r>
          </w:p>
        </w:tc>
        <w:tc>
          <w:tcPr>
            <w:tcW w:w="6180" w:type="dxa"/>
          </w:tcPr>
          <w:p w14:paraId="622E7515" w14:textId="77777777" w:rsidR="00BC1D4B" w:rsidRDefault="00ED1F84">
            <w:pPr>
              <w:rPr>
                <w:rFonts w:ascii="Verdana" w:hAnsi="Verdana"/>
                <w:sz w:val="20"/>
                <w:szCs w:val="20"/>
              </w:rPr>
            </w:pPr>
            <w:r>
              <w:rPr>
                <w:rFonts w:ascii="Verdana" w:hAnsi="Verdana"/>
                <w:sz w:val="20"/>
                <w:szCs w:val="20"/>
              </w:rPr>
              <w:t>Regulatory risk management</w:t>
            </w:r>
          </w:p>
        </w:tc>
      </w:tr>
      <w:tr w:rsidR="00BC1D4B" w14:paraId="5276EA97" w14:textId="77777777">
        <w:tc>
          <w:tcPr>
            <w:tcW w:w="2122" w:type="dxa"/>
          </w:tcPr>
          <w:p w14:paraId="7E55853E" w14:textId="77777777" w:rsidR="00BC1D4B" w:rsidRDefault="00ED1F84">
            <w:pPr>
              <w:rPr>
                <w:rFonts w:ascii="Verdana" w:hAnsi="Verdana"/>
                <w:sz w:val="20"/>
                <w:szCs w:val="20"/>
              </w:rPr>
            </w:pPr>
            <w:r>
              <w:rPr>
                <w:rFonts w:ascii="Verdana" w:hAnsi="Verdana"/>
                <w:sz w:val="20"/>
                <w:szCs w:val="20"/>
              </w:rPr>
              <w:t>SCOEL</w:t>
            </w:r>
          </w:p>
        </w:tc>
        <w:tc>
          <w:tcPr>
            <w:tcW w:w="6180" w:type="dxa"/>
          </w:tcPr>
          <w:p w14:paraId="31E5A851" w14:textId="77777777" w:rsidR="00BC1D4B" w:rsidRDefault="00ED1F84">
            <w:pPr>
              <w:pStyle w:val="Corpsdetexte"/>
              <w:spacing w:after="0"/>
              <w:jc w:val="both"/>
              <w:rPr>
                <w:rFonts w:ascii="Verdana" w:hAnsi="Verdana"/>
                <w:sz w:val="20"/>
                <w:szCs w:val="20"/>
              </w:rPr>
            </w:pPr>
            <w:r>
              <w:rPr>
                <w:rFonts w:ascii="Verdana" w:hAnsi="Verdana"/>
                <w:sz w:val="20"/>
                <w:szCs w:val="20"/>
              </w:rPr>
              <w:t>Scientific Committee on Occupational Exposure Limits</w:t>
            </w:r>
          </w:p>
        </w:tc>
      </w:tr>
      <w:tr w:rsidR="00BC1D4B" w14:paraId="5F89EDBE" w14:textId="77777777">
        <w:tc>
          <w:tcPr>
            <w:tcW w:w="2122" w:type="dxa"/>
          </w:tcPr>
          <w:p w14:paraId="3712816A" w14:textId="77777777" w:rsidR="00BC1D4B" w:rsidRDefault="00ED1F84">
            <w:pPr>
              <w:rPr>
                <w:rFonts w:ascii="Verdana" w:hAnsi="Verdana"/>
                <w:sz w:val="20"/>
                <w:szCs w:val="20"/>
              </w:rPr>
            </w:pPr>
            <w:r>
              <w:rPr>
                <w:rFonts w:ascii="Verdana" w:hAnsi="Verdana"/>
                <w:sz w:val="20"/>
                <w:szCs w:val="20"/>
              </w:rPr>
              <w:t>SEv</w:t>
            </w:r>
          </w:p>
        </w:tc>
        <w:tc>
          <w:tcPr>
            <w:tcW w:w="6180" w:type="dxa"/>
          </w:tcPr>
          <w:p w14:paraId="5BFBA230" w14:textId="77777777" w:rsidR="00BC1D4B" w:rsidRDefault="00ED1F84">
            <w:pPr>
              <w:rPr>
                <w:rFonts w:ascii="Verdana" w:hAnsi="Verdana"/>
                <w:sz w:val="20"/>
                <w:szCs w:val="20"/>
              </w:rPr>
            </w:pPr>
            <w:r>
              <w:rPr>
                <w:rFonts w:ascii="Verdana" w:hAnsi="Verdana"/>
                <w:sz w:val="20"/>
                <w:szCs w:val="20"/>
              </w:rPr>
              <w:t>Substance evaluation</w:t>
            </w:r>
          </w:p>
        </w:tc>
      </w:tr>
      <w:tr w:rsidR="00BC1D4B" w14:paraId="313294E7" w14:textId="77777777">
        <w:tc>
          <w:tcPr>
            <w:tcW w:w="2122" w:type="dxa"/>
          </w:tcPr>
          <w:p w14:paraId="497277DA" w14:textId="77777777" w:rsidR="00BC1D4B" w:rsidRDefault="00ED1F84">
            <w:pPr>
              <w:rPr>
                <w:rFonts w:ascii="Verdana" w:hAnsi="Verdana"/>
                <w:sz w:val="20"/>
                <w:szCs w:val="20"/>
              </w:rPr>
            </w:pPr>
            <w:r>
              <w:rPr>
                <w:rFonts w:ascii="Verdana" w:hAnsi="Verdana"/>
                <w:sz w:val="20"/>
                <w:szCs w:val="20"/>
              </w:rPr>
              <w:t>STOT RE</w:t>
            </w:r>
          </w:p>
        </w:tc>
        <w:tc>
          <w:tcPr>
            <w:tcW w:w="6180" w:type="dxa"/>
          </w:tcPr>
          <w:p w14:paraId="476CBA44" w14:textId="77777777" w:rsidR="00BC1D4B" w:rsidRDefault="00ED1F84">
            <w:pPr>
              <w:rPr>
                <w:rFonts w:ascii="Verdana" w:hAnsi="Verdana"/>
                <w:sz w:val="20"/>
                <w:szCs w:val="20"/>
              </w:rPr>
            </w:pPr>
            <w:r>
              <w:rPr>
                <w:rFonts w:ascii="Verdana" w:hAnsi="Verdana"/>
                <w:sz w:val="20"/>
                <w:szCs w:val="20"/>
              </w:rPr>
              <w:t>Specific target organ toxicity, repeated exposure</w:t>
            </w:r>
          </w:p>
        </w:tc>
      </w:tr>
      <w:tr w:rsidR="00D261CE" w14:paraId="062EDFF4" w14:textId="77777777">
        <w:tc>
          <w:tcPr>
            <w:tcW w:w="2122" w:type="dxa"/>
          </w:tcPr>
          <w:p w14:paraId="6051415C" w14:textId="758A8E15" w:rsidR="00D261CE" w:rsidRDefault="00D261CE">
            <w:pPr>
              <w:rPr>
                <w:rFonts w:ascii="Verdana" w:hAnsi="Verdana"/>
                <w:sz w:val="20"/>
                <w:szCs w:val="20"/>
              </w:rPr>
            </w:pPr>
            <w:r>
              <w:rPr>
                <w:rFonts w:ascii="Verdana" w:hAnsi="Verdana"/>
                <w:sz w:val="20"/>
                <w:szCs w:val="20"/>
              </w:rPr>
              <w:t>STP</w:t>
            </w:r>
          </w:p>
        </w:tc>
        <w:tc>
          <w:tcPr>
            <w:tcW w:w="6180" w:type="dxa"/>
          </w:tcPr>
          <w:p w14:paraId="28455086" w14:textId="14A5116E" w:rsidR="00D261CE" w:rsidRDefault="00D261CE">
            <w:pPr>
              <w:rPr>
                <w:rFonts w:ascii="Verdana" w:hAnsi="Verdana"/>
                <w:sz w:val="20"/>
                <w:szCs w:val="20"/>
              </w:rPr>
            </w:pPr>
            <w:r>
              <w:rPr>
                <w:rFonts w:ascii="Verdana" w:hAnsi="Verdana"/>
                <w:sz w:val="20"/>
                <w:szCs w:val="20"/>
              </w:rPr>
              <w:t>Sewage treatment plant</w:t>
            </w:r>
          </w:p>
        </w:tc>
      </w:tr>
      <w:tr w:rsidR="00BC1D4B" w14:paraId="109FEDB6" w14:textId="77777777">
        <w:tc>
          <w:tcPr>
            <w:tcW w:w="2122" w:type="dxa"/>
          </w:tcPr>
          <w:p w14:paraId="7C871F5B" w14:textId="77777777" w:rsidR="00BC1D4B" w:rsidRDefault="00ED1F84">
            <w:pPr>
              <w:rPr>
                <w:rFonts w:ascii="Verdana" w:hAnsi="Verdana"/>
                <w:sz w:val="20"/>
                <w:szCs w:val="20"/>
              </w:rPr>
            </w:pPr>
            <w:r>
              <w:rPr>
                <w:rFonts w:ascii="Verdana" w:hAnsi="Verdana"/>
                <w:sz w:val="20"/>
                <w:szCs w:val="20"/>
              </w:rPr>
              <w:t>SVHC</w:t>
            </w:r>
          </w:p>
        </w:tc>
        <w:tc>
          <w:tcPr>
            <w:tcW w:w="6180" w:type="dxa"/>
          </w:tcPr>
          <w:p w14:paraId="66CAE429" w14:textId="77777777" w:rsidR="00BC1D4B" w:rsidRDefault="00ED1F84">
            <w:pPr>
              <w:rPr>
                <w:rFonts w:ascii="Verdana" w:hAnsi="Verdana"/>
                <w:sz w:val="20"/>
                <w:szCs w:val="20"/>
              </w:rPr>
            </w:pPr>
            <w:r>
              <w:rPr>
                <w:rFonts w:ascii="Verdana" w:hAnsi="Verdana"/>
                <w:sz w:val="20"/>
                <w:szCs w:val="20"/>
              </w:rPr>
              <w:t>Substance of very high concern</w:t>
            </w:r>
          </w:p>
        </w:tc>
      </w:tr>
      <w:tr w:rsidR="00BC1D4B" w14:paraId="2A340245" w14:textId="77777777">
        <w:tc>
          <w:tcPr>
            <w:tcW w:w="2122" w:type="dxa"/>
          </w:tcPr>
          <w:p w14:paraId="626F1969" w14:textId="77777777" w:rsidR="00BC1D4B" w:rsidRDefault="00ED1F84">
            <w:pPr>
              <w:rPr>
                <w:rFonts w:ascii="Verdana" w:hAnsi="Verdana"/>
                <w:sz w:val="20"/>
                <w:szCs w:val="20"/>
              </w:rPr>
            </w:pPr>
            <w:r>
              <w:rPr>
                <w:rFonts w:ascii="Verdana" w:hAnsi="Verdana"/>
                <w:sz w:val="20"/>
                <w:szCs w:val="20"/>
              </w:rPr>
              <w:t>WFD</w:t>
            </w:r>
          </w:p>
        </w:tc>
        <w:tc>
          <w:tcPr>
            <w:tcW w:w="6180" w:type="dxa"/>
          </w:tcPr>
          <w:p w14:paraId="5B2EB71F" w14:textId="77777777" w:rsidR="00BC1D4B" w:rsidRDefault="00ED1F84">
            <w:pPr>
              <w:rPr>
                <w:rFonts w:ascii="Verdana" w:hAnsi="Verdana"/>
                <w:sz w:val="20"/>
                <w:szCs w:val="20"/>
              </w:rPr>
            </w:pPr>
            <w:r>
              <w:rPr>
                <w:rFonts w:ascii="Verdana" w:hAnsi="Verdana"/>
                <w:sz w:val="20"/>
                <w:szCs w:val="20"/>
              </w:rPr>
              <w:t>Water framework directive</w:t>
            </w:r>
          </w:p>
        </w:tc>
      </w:tr>
      <w:tr w:rsidR="00D261CE" w14:paraId="13145848" w14:textId="77777777">
        <w:tc>
          <w:tcPr>
            <w:tcW w:w="2122" w:type="dxa"/>
          </w:tcPr>
          <w:p w14:paraId="2F90DDCB" w14:textId="1C7079EE" w:rsidR="00D261CE" w:rsidRDefault="00D261CE">
            <w:pPr>
              <w:rPr>
                <w:rFonts w:ascii="Verdana" w:hAnsi="Verdana"/>
                <w:sz w:val="20"/>
                <w:szCs w:val="20"/>
              </w:rPr>
            </w:pPr>
            <w:r>
              <w:rPr>
                <w:rFonts w:ascii="Verdana" w:hAnsi="Verdana"/>
                <w:sz w:val="20"/>
                <w:szCs w:val="20"/>
              </w:rPr>
              <w:t>WWTP</w:t>
            </w:r>
          </w:p>
        </w:tc>
        <w:tc>
          <w:tcPr>
            <w:tcW w:w="6180" w:type="dxa"/>
          </w:tcPr>
          <w:p w14:paraId="639981C5" w14:textId="43CBBF09" w:rsidR="00D261CE" w:rsidRDefault="00D261CE">
            <w:pPr>
              <w:rPr>
                <w:rFonts w:ascii="Verdana" w:hAnsi="Verdana"/>
                <w:sz w:val="20"/>
                <w:szCs w:val="20"/>
              </w:rPr>
            </w:pPr>
            <w:r>
              <w:rPr>
                <w:rFonts w:ascii="Verdana" w:hAnsi="Verdana"/>
                <w:sz w:val="20"/>
                <w:szCs w:val="20"/>
              </w:rPr>
              <w:t>Waste Water Treatment Plant</w:t>
            </w:r>
          </w:p>
        </w:tc>
      </w:tr>
    </w:tbl>
    <w:p w14:paraId="2847DB06" w14:textId="77777777" w:rsidR="00BC1D4B" w:rsidRDefault="00BC1D4B">
      <w:pPr>
        <w:rPr>
          <w:rFonts w:ascii="Verdana" w:hAnsi="Verdana"/>
          <w:sz w:val="20"/>
          <w:szCs w:val="20"/>
          <w:lang w:eastAsia="fi-FI"/>
        </w:rPr>
      </w:pPr>
    </w:p>
    <w:p w14:paraId="67AA335E" w14:textId="77777777" w:rsidR="00BC1D4B" w:rsidRDefault="00BC1D4B">
      <w:pPr>
        <w:rPr>
          <w:rFonts w:ascii="Verdana" w:hAnsi="Verdana"/>
          <w:sz w:val="20"/>
          <w:szCs w:val="20"/>
          <w:lang w:eastAsia="fi-FI"/>
        </w:rPr>
      </w:pPr>
    </w:p>
    <w:p w14:paraId="07819437" w14:textId="77777777" w:rsidR="00BC1D4B" w:rsidRDefault="00BC1D4B">
      <w:pPr>
        <w:spacing w:after="200" w:line="276" w:lineRule="auto"/>
        <w:rPr>
          <w:rFonts w:ascii="Verdana" w:hAnsi="Verdana"/>
          <w:color w:val="4F81BD"/>
          <w:lang w:eastAsia="fi-FI"/>
        </w:rPr>
      </w:pPr>
    </w:p>
    <w:p w14:paraId="111FA726" w14:textId="77777777" w:rsidR="00BC1D4B" w:rsidRDefault="00BC1D4B">
      <w:pPr>
        <w:spacing w:after="200" w:line="276" w:lineRule="auto"/>
        <w:rPr>
          <w:rFonts w:ascii="Verdana" w:hAnsi="Verdana"/>
          <w:color w:val="4F81BD"/>
          <w:lang w:eastAsia="fi-FI"/>
        </w:rPr>
      </w:pPr>
    </w:p>
    <w:p w14:paraId="065C13E1" w14:textId="77777777" w:rsidR="00BC1D4B" w:rsidRDefault="00ED1F84">
      <w:pPr>
        <w:spacing w:after="200" w:line="276" w:lineRule="auto"/>
        <w:rPr>
          <w:rFonts w:ascii="Verdana" w:hAnsi="Verdana"/>
          <w:b/>
          <w:color w:val="4F81BD"/>
          <w:sz w:val="28"/>
          <w:lang w:eastAsia="fi-FI"/>
        </w:rPr>
      </w:pPr>
      <w:r>
        <w:rPr>
          <w:rFonts w:ascii="Verdana" w:hAnsi="Verdana"/>
          <w:color w:val="4F81BD"/>
          <w:lang w:eastAsia="fi-FI"/>
        </w:rPr>
        <w:br w:type="page" w:clear="all"/>
      </w:r>
    </w:p>
    <w:p w14:paraId="157365A0" w14:textId="77777777" w:rsidR="00BC1D4B" w:rsidRDefault="00ED1F84">
      <w:pPr>
        <w:pStyle w:val="Titre1"/>
      </w:pPr>
      <w:bookmarkStart w:id="7" w:name="_Toc137044465"/>
      <w:r>
        <w:lastRenderedPageBreak/>
        <w:t>Overview of the substance</w:t>
      </w:r>
      <w:bookmarkEnd w:id="7"/>
    </w:p>
    <w:p w14:paraId="070E5829" w14:textId="02D89894" w:rsidR="00BC1D4B" w:rsidRDefault="00ED1F84">
      <w:pPr>
        <w:pStyle w:val="Corpsdetexte"/>
        <w:jc w:val="both"/>
        <w:rPr>
          <w:rFonts w:ascii="Verdana" w:hAnsi="Verdana"/>
          <w:sz w:val="20"/>
          <w:szCs w:val="20"/>
        </w:rPr>
      </w:pPr>
      <w:r>
        <w:rPr>
          <w:rFonts w:ascii="Verdana" w:hAnsi="Verdana"/>
          <w:sz w:val="20"/>
          <w:szCs w:val="20"/>
        </w:rPr>
        <w:t xml:space="preserve">DPG is mainly used in the manufacture of rubber as a vulcanizing agent and vulcanizing accelerator. This substance is used in polymers, for the manufacture of general rubber goods (flooring, foot wear, toys) and the manufacture of tyres. End of life tyres (ELT) can be transformed and used in articles like synthetic turf field and shock absorbing tiles. Literature also reported the presence of DPG in articles such as medical gloves (Hamnerius </w:t>
      </w:r>
      <w:r>
        <w:rPr>
          <w:rFonts w:ascii="Verdana" w:hAnsi="Verdana"/>
          <w:i/>
          <w:sz w:val="20"/>
          <w:szCs w:val="20"/>
        </w:rPr>
        <w:t>et al</w:t>
      </w:r>
      <w:r>
        <w:rPr>
          <w:rFonts w:ascii="Verdana" w:hAnsi="Verdana"/>
          <w:sz w:val="20"/>
          <w:szCs w:val="20"/>
        </w:rPr>
        <w:t>., 2014, Cr</w:t>
      </w:r>
      <w:r w:rsidR="00392E28">
        <w:rPr>
          <w:rFonts w:ascii="Verdana" w:hAnsi="Verdana"/>
          <w:sz w:val="20"/>
          <w:szCs w:val="20"/>
        </w:rPr>
        <w:t>e</w:t>
      </w:r>
      <w:r>
        <w:rPr>
          <w:rFonts w:ascii="Verdana" w:hAnsi="Verdana"/>
          <w:sz w:val="20"/>
          <w:szCs w:val="20"/>
        </w:rPr>
        <w:t xml:space="preserve">py </w:t>
      </w:r>
      <w:r>
        <w:rPr>
          <w:rFonts w:ascii="Verdana" w:hAnsi="Verdana"/>
          <w:i/>
          <w:sz w:val="20"/>
          <w:szCs w:val="20"/>
        </w:rPr>
        <w:t>et al</w:t>
      </w:r>
      <w:r>
        <w:rPr>
          <w:rFonts w:ascii="Verdana" w:hAnsi="Verdana"/>
          <w:sz w:val="20"/>
          <w:szCs w:val="20"/>
        </w:rPr>
        <w:t xml:space="preserve">., 2016). </w:t>
      </w:r>
    </w:p>
    <w:p w14:paraId="4C58D6BD" w14:textId="77777777" w:rsidR="00BC1D4B" w:rsidRDefault="00ED1F84">
      <w:pPr>
        <w:pStyle w:val="Corpsdetexte"/>
        <w:jc w:val="both"/>
        <w:rPr>
          <w:rFonts w:ascii="Verdana" w:hAnsi="Verdana"/>
          <w:sz w:val="20"/>
          <w:szCs w:val="20"/>
        </w:rPr>
      </w:pPr>
      <w:r>
        <w:rPr>
          <w:rFonts w:ascii="Verdana" w:hAnsi="Verdana"/>
          <w:sz w:val="20"/>
          <w:szCs w:val="20"/>
        </w:rPr>
        <w:t xml:space="preserve">1,3-diphenylguanidine (DPG) was included in the list of substances in the CoRAP (Community Rolling Action Plan) in 2012 on the grounds of suspected CMR (genotoxic potential), high RCR (risk characterisation ratio), and high aggregated tonnage. The evaluation was taken in charge by France and other concerns were identified during the evaluation. The additional concerns were reproductive toxicity, skin sensitisation, environmental fate, exposure of environment, and other hazard/risk-based concerns, i.e. composition of the substance as regards to impurities such as aniline or nitrosamines formed during processes involving high temperature conditions. </w:t>
      </w:r>
    </w:p>
    <w:p w14:paraId="249F7918" w14:textId="77777777" w:rsidR="007261B3" w:rsidRDefault="00ED1F84">
      <w:pPr>
        <w:pStyle w:val="Corpsdetexte"/>
        <w:jc w:val="both"/>
        <w:rPr>
          <w:rFonts w:ascii="Verdana" w:hAnsi="Verdana"/>
          <w:sz w:val="20"/>
          <w:szCs w:val="20"/>
        </w:rPr>
      </w:pPr>
      <w:r>
        <w:rPr>
          <w:rFonts w:ascii="Verdana" w:hAnsi="Verdana"/>
          <w:sz w:val="20"/>
          <w:szCs w:val="20"/>
        </w:rPr>
        <w:t xml:space="preserve">During substance evaluation, </w:t>
      </w:r>
      <w:r w:rsidRPr="00DA7376">
        <w:rPr>
          <w:rFonts w:ascii="Verdana" w:hAnsi="Verdana"/>
          <w:sz w:val="20"/>
          <w:szCs w:val="20"/>
        </w:rPr>
        <w:t>a data gap was identified</w:t>
      </w:r>
      <w:r>
        <w:rPr>
          <w:rFonts w:ascii="Verdana" w:hAnsi="Verdana"/>
          <w:sz w:val="20"/>
          <w:szCs w:val="20"/>
        </w:rPr>
        <w:t xml:space="preserve"> for this substance according to REACH annex X, section 8.7.3 covering adverse effects on the full range of reproductive endpoints. A decision on compliance check under REACH regulation was sent to the Registrants on March 2019 by ECHA to request an OECD TG 443 study (EOGRTS), which results were submitted in July 2021.</w:t>
      </w:r>
      <w:r w:rsidR="00540724">
        <w:rPr>
          <w:rFonts w:ascii="Verdana" w:hAnsi="Verdana"/>
          <w:sz w:val="20"/>
          <w:szCs w:val="20"/>
        </w:rPr>
        <w:t xml:space="preserve"> </w:t>
      </w:r>
    </w:p>
    <w:p w14:paraId="09CDC335" w14:textId="2D016530" w:rsidR="00BC1D4B" w:rsidRDefault="00ED1F84">
      <w:pPr>
        <w:pStyle w:val="Corpsdetexte"/>
        <w:jc w:val="both"/>
        <w:rPr>
          <w:rFonts w:ascii="Verdana" w:hAnsi="Verdana"/>
          <w:sz w:val="20"/>
          <w:szCs w:val="20"/>
        </w:rPr>
      </w:pPr>
      <w:r>
        <w:rPr>
          <w:rFonts w:ascii="Verdana" w:hAnsi="Verdana"/>
          <w:sz w:val="20"/>
          <w:szCs w:val="20"/>
        </w:rPr>
        <w:t>The substance evaluation conclusion report was published in December 2020 (ANSES, 2020). It was concluded that a revision of the harmonised classification is necessary. In particular, a proposal for classification for reproductive toxicity should be considered after assessment of the EOGRTS study. For the environment</w:t>
      </w:r>
      <w:r w:rsidR="007261B3">
        <w:rPr>
          <w:rFonts w:ascii="Verdana" w:hAnsi="Verdana"/>
          <w:sz w:val="20"/>
          <w:szCs w:val="20"/>
        </w:rPr>
        <w:t>al risk characterisation</w:t>
      </w:r>
      <w:r>
        <w:rPr>
          <w:rFonts w:ascii="Verdana" w:hAnsi="Verdana"/>
          <w:sz w:val="20"/>
          <w:szCs w:val="20"/>
        </w:rPr>
        <w:t xml:space="preserve">, </w:t>
      </w:r>
      <w:r w:rsidR="007261B3">
        <w:rPr>
          <w:rFonts w:ascii="Verdana" w:hAnsi="Verdana"/>
          <w:sz w:val="20"/>
          <w:szCs w:val="20"/>
        </w:rPr>
        <w:t xml:space="preserve">FR CA concluded to </w:t>
      </w:r>
      <w:r w:rsidR="00680AB0">
        <w:rPr>
          <w:rFonts w:ascii="Verdana" w:hAnsi="Verdana"/>
          <w:sz w:val="20"/>
          <w:szCs w:val="20"/>
        </w:rPr>
        <w:t>“</w:t>
      </w:r>
      <w:r>
        <w:rPr>
          <w:rFonts w:ascii="Verdana" w:hAnsi="Verdana"/>
          <w:sz w:val="20"/>
          <w:szCs w:val="20"/>
        </w:rPr>
        <w:t xml:space="preserve">a lack of reliable information regarding the emission levels linked to some stages of the DPG life cycle. This situation </w:t>
      </w:r>
      <w:r w:rsidR="007261B3">
        <w:rPr>
          <w:rFonts w:ascii="Verdana" w:hAnsi="Verdana"/>
          <w:sz w:val="20"/>
          <w:szCs w:val="20"/>
        </w:rPr>
        <w:t xml:space="preserve">does </w:t>
      </w:r>
      <w:r>
        <w:rPr>
          <w:rFonts w:ascii="Verdana" w:hAnsi="Verdana"/>
          <w:sz w:val="20"/>
          <w:szCs w:val="20"/>
        </w:rPr>
        <w:t>not allow to carry out a comprehensive and realistic risk assessment for the registered substance.</w:t>
      </w:r>
      <w:r w:rsidR="007261B3">
        <w:rPr>
          <w:rFonts w:ascii="Verdana" w:hAnsi="Verdana"/>
          <w:sz w:val="20"/>
          <w:szCs w:val="20"/>
        </w:rPr>
        <w:t>”</w:t>
      </w:r>
      <w:r>
        <w:rPr>
          <w:rFonts w:ascii="Verdana" w:hAnsi="Verdana"/>
          <w:sz w:val="20"/>
          <w:szCs w:val="20"/>
        </w:rPr>
        <w:t xml:space="preserve"> </w:t>
      </w:r>
      <w:r w:rsidR="009B3460">
        <w:rPr>
          <w:rFonts w:ascii="Verdana" w:hAnsi="Verdana"/>
          <w:sz w:val="20"/>
          <w:szCs w:val="20"/>
        </w:rPr>
        <w:t>In addition, t</w:t>
      </w:r>
      <w:r>
        <w:rPr>
          <w:rFonts w:ascii="Verdana" w:hAnsi="Verdana"/>
          <w:sz w:val="20"/>
          <w:szCs w:val="20"/>
        </w:rPr>
        <w:t xml:space="preserve">he necessity to limit emission in the environment needs to be further discussed. For </w:t>
      </w:r>
      <w:r w:rsidR="009B3460">
        <w:rPr>
          <w:rFonts w:ascii="Verdana" w:hAnsi="Verdana"/>
          <w:sz w:val="20"/>
          <w:szCs w:val="20"/>
        </w:rPr>
        <w:t>the worker</w:t>
      </w:r>
      <w:r w:rsidR="00543FFE">
        <w:rPr>
          <w:rFonts w:ascii="Verdana" w:hAnsi="Verdana"/>
          <w:sz w:val="20"/>
          <w:szCs w:val="20"/>
        </w:rPr>
        <w:t>s</w:t>
      </w:r>
      <w:r w:rsidR="009B3460">
        <w:rPr>
          <w:rFonts w:ascii="Verdana" w:hAnsi="Verdana"/>
          <w:sz w:val="20"/>
          <w:szCs w:val="20"/>
        </w:rPr>
        <w:t xml:space="preserve"> and consumer</w:t>
      </w:r>
      <w:r w:rsidR="00543FFE">
        <w:rPr>
          <w:rFonts w:ascii="Verdana" w:hAnsi="Verdana"/>
          <w:sz w:val="20"/>
          <w:szCs w:val="20"/>
        </w:rPr>
        <w:t>s</w:t>
      </w:r>
      <w:r w:rsidR="009B3460">
        <w:rPr>
          <w:rFonts w:ascii="Verdana" w:hAnsi="Verdana"/>
          <w:sz w:val="20"/>
          <w:szCs w:val="20"/>
        </w:rPr>
        <w:t xml:space="preserve"> risk characterisation</w:t>
      </w:r>
      <w:r>
        <w:rPr>
          <w:rFonts w:ascii="Verdana" w:hAnsi="Verdana"/>
          <w:sz w:val="20"/>
          <w:szCs w:val="20"/>
        </w:rPr>
        <w:t xml:space="preserve">, </w:t>
      </w:r>
      <w:r w:rsidR="009B3460">
        <w:rPr>
          <w:rFonts w:ascii="Verdana" w:hAnsi="Verdana"/>
          <w:sz w:val="20"/>
          <w:szCs w:val="20"/>
        </w:rPr>
        <w:t xml:space="preserve">the conclusion were provisional. FR CA noted that </w:t>
      </w:r>
      <w:r>
        <w:rPr>
          <w:rFonts w:ascii="Verdana" w:hAnsi="Verdana"/>
          <w:sz w:val="20"/>
          <w:szCs w:val="20"/>
        </w:rPr>
        <w:t xml:space="preserve">it should be clarified whether DPG poses a realistic risk to workers, and whether further risk management measures are necessary in order to protect the consumers and workers, </w:t>
      </w:r>
      <w:r w:rsidR="009B3460">
        <w:rPr>
          <w:rFonts w:ascii="Verdana" w:hAnsi="Verdana"/>
          <w:sz w:val="20"/>
          <w:szCs w:val="20"/>
        </w:rPr>
        <w:t>pending the reception of the</w:t>
      </w:r>
      <w:r>
        <w:rPr>
          <w:rFonts w:ascii="Verdana" w:hAnsi="Verdana"/>
          <w:sz w:val="20"/>
          <w:szCs w:val="20"/>
        </w:rPr>
        <w:t xml:space="preserve"> EOGRTS</w:t>
      </w:r>
      <w:r w:rsidR="009B3460">
        <w:rPr>
          <w:rFonts w:ascii="Verdana" w:hAnsi="Verdana"/>
          <w:sz w:val="20"/>
          <w:szCs w:val="20"/>
        </w:rPr>
        <w:t xml:space="preserve"> study</w:t>
      </w:r>
      <w:r>
        <w:rPr>
          <w:rFonts w:ascii="Verdana" w:hAnsi="Verdana"/>
          <w:sz w:val="20"/>
          <w:szCs w:val="20"/>
        </w:rPr>
        <w:t xml:space="preserve">. Risks related to by-products formed during vulcanization were characterised for aniline as the sole degradation product. No risk </w:t>
      </w:r>
      <w:r w:rsidR="001021A4">
        <w:rPr>
          <w:rFonts w:ascii="Verdana" w:hAnsi="Verdana"/>
          <w:sz w:val="20"/>
          <w:szCs w:val="20"/>
        </w:rPr>
        <w:t xml:space="preserve">was </w:t>
      </w:r>
      <w:r>
        <w:rPr>
          <w:rFonts w:ascii="Verdana" w:hAnsi="Verdana"/>
          <w:sz w:val="20"/>
          <w:szCs w:val="20"/>
        </w:rPr>
        <w:t xml:space="preserve">identified </w:t>
      </w:r>
      <w:r w:rsidR="009B3460">
        <w:rPr>
          <w:rFonts w:ascii="Verdana" w:hAnsi="Verdana"/>
          <w:sz w:val="20"/>
          <w:szCs w:val="20"/>
        </w:rPr>
        <w:t xml:space="preserve">in the conclusion document </w:t>
      </w:r>
      <w:r>
        <w:rPr>
          <w:rFonts w:ascii="Verdana" w:hAnsi="Verdana"/>
          <w:sz w:val="20"/>
          <w:szCs w:val="20"/>
        </w:rPr>
        <w:t xml:space="preserve">on this basis. </w:t>
      </w:r>
      <w:r w:rsidR="001021A4">
        <w:rPr>
          <w:rFonts w:ascii="Verdana" w:hAnsi="Verdana"/>
          <w:sz w:val="20"/>
          <w:szCs w:val="20"/>
        </w:rPr>
        <w:t xml:space="preserve">However, uncertainties remained after the assessment regarding </w:t>
      </w:r>
      <w:r w:rsidR="001021A4" w:rsidRPr="001021A4">
        <w:rPr>
          <w:rFonts w:ascii="Verdana" w:hAnsi="Verdana"/>
          <w:sz w:val="20"/>
          <w:szCs w:val="20"/>
        </w:rPr>
        <w:t>by-products</w:t>
      </w:r>
      <w:r w:rsidR="001021A4">
        <w:rPr>
          <w:rFonts w:ascii="Verdana" w:hAnsi="Verdana"/>
          <w:sz w:val="20"/>
          <w:szCs w:val="20"/>
        </w:rPr>
        <w:t xml:space="preserve"> because</w:t>
      </w:r>
      <w:r w:rsidR="001021A4" w:rsidRPr="001021A4">
        <w:rPr>
          <w:rFonts w:ascii="Verdana" w:hAnsi="Verdana"/>
          <w:sz w:val="20"/>
          <w:szCs w:val="20"/>
        </w:rPr>
        <w:t xml:space="preserve"> </w:t>
      </w:r>
      <w:r w:rsidR="001021A4">
        <w:rPr>
          <w:rFonts w:ascii="Verdana" w:hAnsi="Verdana"/>
          <w:sz w:val="20"/>
          <w:szCs w:val="20"/>
        </w:rPr>
        <w:t>n</w:t>
      </w:r>
      <w:r>
        <w:rPr>
          <w:rFonts w:ascii="Verdana" w:hAnsi="Verdana"/>
          <w:sz w:val="20"/>
          <w:szCs w:val="20"/>
        </w:rPr>
        <w:t xml:space="preserve">o additional information was available for the </w:t>
      </w:r>
      <w:r w:rsidR="001021A4">
        <w:rPr>
          <w:rFonts w:ascii="Verdana" w:hAnsi="Verdana"/>
          <w:sz w:val="20"/>
          <w:szCs w:val="20"/>
        </w:rPr>
        <w:t xml:space="preserve">two other </w:t>
      </w:r>
      <w:r>
        <w:rPr>
          <w:rFonts w:ascii="Verdana" w:hAnsi="Verdana"/>
          <w:sz w:val="20"/>
          <w:szCs w:val="20"/>
        </w:rPr>
        <w:t>by-products mentioned by the Registrants (N-nitroso-diphenylurea and phenyl guanidine)</w:t>
      </w:r>
      <w:r w:rsidR="00DA7376">
        <w:rPr>
          <w:rFonts w:ascii="Verdana" w:hAnsi="Verdana"/>
          <w:sz w:val="20"/>
          <w:szCs w:val="20"/>
        </w:rPr>
        <w:t xml:space="preserve"> and</w:t>
      </w:r>
      <w:r>
        <w:rPr>
          <w:rFonts w:ascii="Verdana" w:hAnsi="Verdana"/>
          <w:sz w:val="20"/>
          <w:szCs w:val="20"/>
        </w:rPr>
        <w:t xml:space="preserve"> </w:t>
      </w:r>
      <w:r w:rsidR="00DA7376">
        <w:rPr>
          <w:rFonts w:ascii="Verdana" w:hAnsi="Verdana"/>
          <w:sz w:val="20"/>
          <w:szCs w:val="20"/>
        </w:rPr>
        <w:t>t</w:t>
      </w:r>
      <w:r>
        <w:rPr>
          <w:rFonts w:ascii="Verdana" w:hAnsi="Verdana"/>
          <w:sz w:val="20"/>
          <w:szCs w:val="20"/>
        </w:rPr>
        <w:t>hese substances are not registered under REACH.</w:t>
      </w:r>
      <w:r w:rsidR="009B3460">
        <w:rPr>
          <w:rFonts w:ascii="Verdana" w:hAnsi="Verdana"/>
          <w:sz w:val="20"/>
          <w:szCs w:val="20"/>
        </w:rPr>
        <w:t xml:space="preserve"> </w:t>
      </w:r>
    </w:p>
    <w:p w14:paraId="19BF2F88" w14:textId="77777777" w:rsidR="00BC1D4B" w:rsidRDefault="00ED1F84">
      <w:pPr>
        <w:pStyle w:val="Corpsdetexte"/>
        <w:jc w:val="both"/>
        <w:rPr>
          <w:rFonts w:ascii="Verdana" w:hAnsi="Verdana"/>
          <w:sz w:val="20"/>
          <w:szCs w:val="20"/>
        </w:rPr>
      </w:pPr>
      <w:r>
        <w:rPr>
          <w:rFonts w:ascii="Verdana" w:hAnsi="Verdana"/>
          <w:sz w:val="20"/>
          <w:szCs w:val="20"/>
        </w:rPr>
        <w:t>Therefore, it was concluded that follow-up regulatory action at EU level needed to be discussed in a RMOA.</w:t>
      </w:r>
    </w:p>
    <w:p w14:paraId="568F373E" w14:textId="01606E33" w:rsidR="00BC1D4B" w:rsidRDefault="00ED1F84">
      <w:pPr>
        <w:pStyle w:val="Corpsdetexte"/>
        <w:jc w:val="both"/>
      </w:pPr>
      <w:r>
        <w:rPr>
          <w:rFonts w:ascii="Verdana" w:hAnsi="Verdana"/>
          <w:sz w:val="20"/>
          <w:szCs w:val="20"/>
        </w:rPr>
        <w:t>This RMOA focus on the consideration of the recent EOGRTS for DNEL derivation and for the assessment of possible endocrine disrupting properties</w:t>
      </w:r>
      <w:r w:rsidR="00DA7376">
        <w:rPr>
          <w:rFonts w:ascii="Verdana" w:hAnsi="Verdana"/>
          <w:sz w:val="20"/>
          <w:szCs w:val="20"/>
        </w:rPr>
        <w:t xml:space="preserve"> (see Annex I section 2.1)</w:t>
      </w:r>
      <w:r>
        <w:rPr>
          <w:rFonts w:ascii="Verdana" w:hAnsi="Verdana"/>
          <w:sz w:val="20"/>
          <w:szCs w:val="20"/>
        </w:rPr>
        <w:t xml:space="preserve">. It also aims </w:t>
      </w:r>
      <w:r w:rsidR="00B21BA9">
        <w:rPr>
          <w:rFonts w:ascii="Verdana" w:hAnsi="Verdana"/>
          <w:sz w:val="20"/>
          <w:szCs w:val="20"/>
        </w:rPr>
        <w:t xml:space="preserve">at </w:t>
      </w:r>
      <w:r>
        <w:rPr>
          <w:rFonts w:ascii="Verdana" w:hAnsi="Verdana"/>
          <w:sz w:val="20"/>
          <w:szCs w:val="20"/>
        </w:rPr>
        <w:t>revis</w:t>
      </w:r>
      <w:r w:rsidR="00B21BA9">
        <w:rPr>
          <w:rFonts w:ascii="Verdana" w:hAnsi="Verdana"/>
          <w:sz w:val="20"/>
          <w:szCs w:val="20"/>
        </w:rPr>
        <w:t>ing</w:t>
      </w:r>
      <w:r>
        <w:rPr>
          <w:rFonts w:ascii="Verdana" w:hAnsi="Verdana"/>
          <w:sz w:val="20"/>
          <w:szCs w:val="20"/>
        </w:rPr>
        <w:t xml:space="preserve"> and </w:t>
      </w:r>
      <w:r w:rsidR="00B21BA9">
        <w:rPr>
          <w:rFonts w:ascii="Verdana" w:hAnsi="Verdana"/>
          <w:sz w:val="20"/>
          <w:szCs w:val="20"/>
        </w:rPr>
        <w:t xml:space="preserve">refining </w:t>
      </w:r>
      <w:r>
        <w:rPr>
          <w:rFonts w:ascii="Verdana" w:hAnsi="Verdana"/>
          <w:sz w:val="20"/>
          <w:szCs w:val="20"/>
        </w:rPr>
        <w:t xml:space="preserve">risk characterisation for human health and </w:t>
      </w:r>
      <w:r w:rsidR="00B21BA9">
        <w:rPr>
          <w:rFonts w:ascii="Verdana" w:hAnsi="Verdana"/>
          <w:sz w:val="20"/>
          <w:szCs w:val="20"/>
        </w:rPr>
        <w:t xml:space="preserve">for </w:t>
      </w:r>
      <w:r>
        <w:rPr>
          <w:rFonts w:ascii="Verdana" w:hAnsi="Verdana"/>
          <w:sz w:val="20"/>
          <w:szCs w:val="20"/>
        </w:rPr>
        <w:t>the environment and to discuss the need to set RMM to address risks related to the use of DPG and the formation of degradation products.</w:t>
      </w:r>
    </w:p>
    <w:p w14:paraId="4F472043" w14:textId="77777777" w:rsidR="00BC1D4B" w:rsidRDefault="00ED1F84">
      <w:pPr>
        <w:pStyle w:val="Titre2"/>
      </w:pPr>
      <w:bookmarkStart w:id="8" w:name="_Toc285710599"/>
      <w:bookmarkStart w:id="9" w:name="_Toc308015311"/>
      <w:bookmarkStart w:id="10" w:name="_Toc387770100"/>
      <w:bookmarkStart w:id="11" w:name="_Toc137044466"/>
      <w:r>
        <w:lastRenderedPageBreak/>
        <w:t>Substance</w:t>
      </w:r>
      <w:bookmarkEnd w:id="8"/>
      <w:bookmarkEnd w:id="9"/>
      <w:bookmarkEnd w:id="10"/>
      <w:r>
        <w:t xml:space="preserve"> identifiers</w:t>
      </w:r>
      <w:bookmarkEnd w:id="11"/>
    </w:p>
    <w:p w14:paraId="76AD82E7" w14:textId="77777777" w:rsidR="00BC1D4B" w:rsidRDefault="00BC1D4B">
      <w:pPr>
        <w:pStyle w:val="Corpsdetexte"/>
      </w:pPr>
    </w:p>
    <w:p w14:paraId="7983CC94" w14:textId="36901639" w:rsidR="00BC1D4B" w:rsidRDefault="00ED1F84">
      <w:pPr>
        <w:pStyle w:val="Lgende"/>
      </w:pPr>
      <w:bookmarkStart w:id="12" w:name="d0e102"/>
      <w:r>
        <w:t xml:space="preserve">Table </w:t>
      </w:r>
      <w:r>
        <w:fldChar w:fldCharType="begin"/>
      </w:r>
      <w:r>
        <w:instrText xml:space="preserve">SEQ Table \* ARABIC </w:instrText>
      </w:r>
      <w:r>
        <w:fldChar w:fldCharType="separate"/>
      </w:r>
      <w:r w:rsidR="00483747">
        <w:rPr>
          <w:noProof/>
        </w:rPr>
        <w:t>1</w:t>
      </w:r>
      <w:r>
        <w:fldChar w:fldCharType="end"/>
      </w:r>
      <w:r>
        <w:t>: Substance identity</w:t>
      </w:r>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81"/>
        <w:gridCol w:w="4264"/>
      </w:tblGrid>
      <w:tr w:rsidR="00BC1D4B" w14:paraId="3E86B6BE" w14:textId="77777777">
        <w:trPr>
          <w:trHeight w:val="459"/>
          <w:jc w:val="center"/>
        </w:trPr>
        <w:tc>
          <w:tcPr>
            <w:tcW w:w="7945" w:type="dxa"/>
            <w:gridSpan w:val="2"/>
            <w:tcBorders>
              <w:top w:val="single" w:sz="4" w:space="0" w:color="auto"/>
              <w:bottom w:val="single" w:sz="4" w:space="0" w:color="0046AD"/>
            </w:tcBorders>
            <w:shd w:val="clear" w:color="auto" w:fill="0046AD"/>
            <w:tcMar>
              <w:top w:w="40" w:type="dxa"/>
              <w:left w:w="40" w:type="dxa"/>
              <w:bottom w:w="40" w:type="dxa"/>
              <w:right w:w="40" w:type="dxa"/>
            </w:tcMar>
            <w:vAlign w:val="center"/>
          </w:tcPr>
          <w:p w14:paraId="18B04D00" w14:textId="77777777" w:rsidR="00BC1D4B" w:rsidRDefault="00ED1F84">
            <w:pPr>
              <w:spacing w:after="0"/>
              <w:rPr>
                <w:b/>
                <w:szCs w:val="20"/>
              </w:rPr>
            </w:pPr>
            <w:r>
              <w:rPr>
                <w:rFonts w:ascii="Verdana" w:hAnsi="Verdana"/>
                <w:b/>
                <w:color w:val="FFFF00"/>
                <w:sz w:val="20"/>
                <w:szCs w:val="20"/>
                <w:lang w:eastAsia="en-GB"/>
              </w:rPr>
              <w:t>SUBSTANCE IDENTITY</w:t>
            </w:r>
          </w:p>
        </w:tc>
      </w:tr>
      <w:tr w:rsidR="00BC1D4B" w14:paraId="69F2D5C2" w14:textId="77777777">
        <w:trPr>
          <w:trHeight w:val="459"/>
          <w:jc w:val="center"/>
        </w:trPr>
        <w:tc>
          <w:tcPr>
            <w:tcW w:w="3681" w:type="dxa"/>
            <w:tcMar>
              <w:top w:w="40" w:type="dxa"/>
              <w:left w:w="40" w:type="dxa"/>
              <w:bottom w:w="40" w:type="dxa"/>
              <w:right w:w="40" w:type="dxa"/>
            </w:tcMar>
            <w:vAlign w:val="center"/>
          </w:tcPr>
          <w:p w14:paraId="511D6446" w14:textId="77777777" w:rsidR="00BC1D4B" w:rsidRDefault="00ED1F84">
            <w:pPr>
              <w:pStyle w:val="Tabletext0"/>
              <w:spacing w:before="0" w:after="0"/>
              <w:rPr>
                <w:rFonts w:ascii="Verdana" w:hAnsi="Verdana"/>
                <w:b/>
                <w:bCs/>
                <w:sz w:val="18"/>
                <w:szCs w:val="18"/>
              </w:rPr>
            </w:pPr>
            <w:r>
              <w:rPr>
                <w:rFonts w:ascii="Verdana" w:hAnsi="Verdana"/>
                <w:b/>
                <w:bCs/>
                <w:sz w:val="18"/>
                <w:szCs w:val="18"/>
              </w:rPr>
              <w:t>Public name :</w:t>
            </w:r>
          </w:p>
        </w:tc>
        <w:tc>
          <w:tcPr>
            <w:tcW w:w="4264" w:type="dxa"/>
            <w:shd w:val="clear" w:color="auto" w:fill="auto"/>
            <w:tcMar>
              <w:top w:w="40" w:type="dxa"/>
              <w:left w:w="40" w:type="dxa"/>
              <w:bottom w:w="40" w:type="dxa"/>
              <w:right w:w="40" w:type="dxa"/>
            </w:tcMar>
            <w:vAlign w:val="center"/>
          </w:tcPr>
          <w:p w14:paraId="6F9CB5AE" w14:textId="77777777" w:rsidR="00BC1D4B" w:rsidRDefault="00ED1F84">
            <w:pPr>
              <w:spacing w:after="0"/>
              <w:rPr>
                <w:rFonts w:ascii="Verdana" w:hAnsi="Verdana"/>
                <w:sz w:val="18"/>
                <w:szCs w:val="18"/>
              </w:rPr>
            </w:pPr>
            <w:r>
              <w:rPr>
                <w:rFonts w:ascii="Verdana" w:hAnsi="Verdana"/>
                <w:sz w:val="18"/>
                <w:szCs w:val="18"/>
              </w:rPr>
              <w:t>1,3-diphenylguanidine</w:t>
            </w:r>
          </w:p>
        </w:tc>
      </w:tr>
      <w:tr w:rsidR="00BC1D4B" w14:paraId="52E03F36" w14:textId="77777777">
        <w:trPr>
          <w:trHeight w:val="459"/>
          <w:jc w:val="center"/>
        </w:trPr>
        <w:tc>
          <w:tcPr>
            <w:tcW w:w="3681" w:type="dxa"/>
            <w:tcMar>
              <w:top w:w="40" w:type="dxa"/>
              <w:left w:w="40" w:type="dxa"/>
              <w:bottom w:w="40" w:type="dxa"/>
              <w:right w:w="40" w:type="dxa"/>
            </w:tcMar>
            <w:vAlign w:val="center"/>
          </w:tcPr>
          <w:p w14:paraId="23FF75EE" w14:textId="77777777" w:rsidR="00BC1D4B" w:rsidRDefault="00ED1F84">
            <w:pPr>
              <w:pStyle w:val="Tabletext0"/>
              <w:spacing w:before="0" w:after="0"/>
              <w:rPr>
                <w:rFonts w:ascii="Verdana" w:hAnsi="Verdana"/>
                <w:b/>
                <w:bCs/>
                <w:sz w:val="18"/>
                <w:szCs w:val="18"/>
              </w:rPr>
            </w:pPr>
            <w:r>
              <w:rPr>
                <w:rFonts w:ascii="Verdana" w:hAnsi="Verdana"/>
                <w:b/>
                <w:bCs/>
                <w:sz w:val="18"/>
                <w:szCs w:val="18"/>
              </w:rPr>
              <w:t>EC number:</w:t>
            </w:r>
          </w:p>
        </w:tc>
        <w:tc>
          <w:tcPr>
            <w:tcW w:w="4264" w:type="dxa"/>
            <w:shd w:val="clear" w:color="auto" w:fill="auto"/>
            <w:tcMar>
              <w:top w:w="40" w:type="dxa"/>
              <w:left w:w="40" w:type="dxa"/>
              <w:bottom w:w="40" w:type="dxa"/>
              <w:right w:w="40" w:type="dxa"/>
            </w:tcMar>
            <w:vAlign w:val="center"/>
          </w:tcPr>
          <w:p w14:paraId="1A5BE801" w14:textId="77777777" w:rsidR="00BC1D4B" w:rsidRDefault="00ED1F84">
            <w:pPr>
              <w:spacing w:after="0"/>
              <w:rPr>
                <w:rFonts w:ascii="Verdana" w:hAnsi="Verdana"/>
                <w:sz w:val="18"/>
                <w:szCs w:val="18"/>
              </w:rPr>
            </w:pPr>
            <w:r>
              <w:rPr>
                <w:rFonts w:ascii="Verdana" w:hAnsi="Verdana"/>
                <w:sz w:val="18"/>
                <w:szCs w:val="18"/>
              </w:rPr>
              <w:t xml:space="preserve">203-002-1 </w:t>
            </w:r>
          </w:p>
        </w:tc>
      </w:tr>
      <w:tr w:rsidR="00BC1D4B" w14:paraId="140DAC5D" w14:textId="77777777">
        <w:trPr>
          <w:trHeight w:val="459"/>
          <w:jc w:val="center"/>
        </w:trPr>
        <w:tc>
          <w:tcPr>
            <w:tcW w:w="3681" w:type="dxa"/>
            <w:tcMar>
              <w:top w:w="40" w:type="dxa"/>
              <w:left w:w="40" w:type="dxa"/>
              <w:bottom w:w="40" w:type="dxa"/>
              <w:right w:w="40" w:type="dxa"/>
            </w:tcMar>
            <w:vAlign w:val="center"/>
          </w:tcPr>
          <w:p w14:paraId="7FE5D414" w14:textId="77777777" w:rsidR="00BC1D4B" w:rsidRDefault="00ED1F84">
            <w:pPr>
              <w:pStyle w:val="Tabletext0"/>
              <w:spacing w:before="0" w:after="0"/>
              <w:rPr>
                <w:rFonts w:ascii="Verdana" w:hAnsi="Verdana"/>
                <w:b/>
                <w:bCs/>
                <w:sz w:val="18"/>
                <w:szCs w:val="18"/>
              </w:rPr>
            </w:pPr>
            <w:r>
              <w:rPr>
                <w:rFonts w:ascii="Verdana" w:hAnsi="Verdana"/>
                <w:b/>
                <w:bCs/>
                <w:sz w:val="18"/>
                <w:szCs w:val="18"/>
              </w:rPr>
              <w:t>CAS number:</w:t>
            </w:r>
          </w:p>
        </w:tc>
        <w:tc>
          <w:tcPr>
            <w:tcW w:w="4264" w:type="dxa"/>
            <w:shd w:val="clear" w:color="auto" w:fill="auto"/>
            <w:tcMar>
              <w:top w:w="40" w:type="dxa"/>
              <w:left w:w="40" w:type="dxa"/>
              <w:bottom w:w="40" w:type="dxa"/>
              <w:right w:w="40" w:type="dxa"/>
            </w:tcMar>
            <w:vAlign w:val="center"/>
          </w:tcPr>
          <w:p w14:paraId="2F05FED3" w14:textId="77777777" w:rsidR="00BC1D4B" w:rsidRDefault="00ED1F84">
            <w:pPr>
              <w:spacing w:after="0"/>
              <w:rPr>
                <w:rFonts w:ascii="Verdana" w:hAnsi="Verdana"/>
                <w:sz w:val="18"/>
                <w:szCs w:val="18"/>
              </w:rPr>
            </w:pPr>
            <w:r>
              <w:rPr>
                <w:rFonts w:ascii="Verdana" w:hAnsi="Verdana"/>
                <w:sz w:val="18"/>
                <w:szCs w:val="18"/>
              </w:rPr>
              <w:t>102-06-7</w:t>
            </w:r>
          </w:p>
        </w:tc>
      </w:tr>
      <w:tr w:rsidR="00BC1D4B" w14:paraId="42FA9311" w14:textId="77777777">
        <w:trPr>
          <w:trHeight w:val="449"/>
          <w:jc w:val="center"/>
        </w:trPr>
        <w:tc>
          <w:tcPr>
            <w:tcW w:w="3681" w:type="dxa"/>
            <w:tcMar>
              <w:top w:w="40" w:type="dxa"/>
              <w:left w:w="40" w:type="dxa"/>
              <w:bottom w:w="40" w:type="dxa"/>
              <w:right w:w="40" w:type="dxa"/>
            </w:tcMar>
            <w:vAlign w:val="center"/>
          </w:tcPr>
          <w:p w14:paraId="6B9A18BD" w14:textId="77777777" w:rsidR="00BC1D4B" w:rsidRDefault="00ED1F84">
            <w:pPr>
              <w:pStyle w:val="Tabletext0"/>
              <w:spacing w:before="0" w:after="0"/>
              <w:rPr>
                <w:rFonts w:ascii="Verdana" w:hAnsi="Verdana"/>
                <w:b/>
                <w:bCs/>
                <w:sz w:val="18"/>
                <w:szCs w:val="18"/>
              </w:rPr>
            </w:pPr>
            <w:r>
              <w:rPr>
                <w:rFonts w:ascii="Verdana" w:hAnsi="Verdana"/>
                <w:b/>
                <w:bCs/>
                <w:sz w:val="18"/>
                <w:szCs w:val="18"/>
              </w:rPr>
              <w:t>IUPAC name (public):</w:t>
            </w:r>
          </w:p>
        </w:tc>
        <w:tc>
          <w:tcPr>
            <w:tcW w:w="4264" w:type="dxa"/>
            <w:shd w:val="clear" w:color="auto" w:fill="auto"/>
            <w:tcMar>
              <w:top w:w="40" w:type="dxa"/>
              <w:left w:w="40" w:type="dxa"/>
              <w:bottom w:w="40" w:type="dxa"/>
              <w:right w:w="40" w:type="dxa"/>
            </w:tcMar>
            <w:vAlign w:val="center"/>
          </w:tcPr>
          <w:p w14:paraId="11B40A44" w14:textId="77777777" w:rsidR="00BC1D4B" w:rsidRDefault="00ED1F84">
            <w:pPr>
              <w:spacing w:after="0"/>
              <w:rPr>
                <w:rFonts w:ascii="Verdana" w:hAnsi="Verdana"/>
                <w:sz w:val="18"/>
                <w:szCs w:val="18"/>
              </w:rPr>
            </w:pPr>
            <w:r>
              <w:rPr>
                <w:rFonts w:ascii="Verdana" w:hAnsi="Verdana"/>
                <w:sz w:val="18"/>
                <w:szCs w:val="18"/>
              </w:rPr>
              <w:t>1,3-diphenylguanidine</w:t>
            </w:r>
          </w:p>
        </w:tc>
      </w:tr>
      <w:tr w:rsidR="00BC1D4B" w14:paraId="5515AD60" w14:textId="77777777">
        <w:trPr>
          <w:jc w:val="center"/>
        </w:trPr>
        <w:tc>
          <w:tcPr>
            <w:tcW w:w="3681" w:type="dxa"/>
            <w:tcMar>
              <w:top w:w="40" w:type="dxa"/>
              <w:left w:w="40" w:type="dxa"/>
              <w:bottom w:w="40" w:type="dxa"/>
              <w:right w:w="40" w:type="dxa"/>
            </w:tcMar>
            <w:vAlign w:val="center"/>
          </w:tcPr>
          <w:p w14:paraId="21E8CE24" w14:textId="77777777" w:rsidR="00BC1D4B" w:rsidRDefault="00ED1F84">
            <w:pPr>
              <w:pStyle w:val="Tabletext0"/>
              <w:spacing w:before="0" w:after="0"/>
              <w:rPr>
                <w:rFonts w:ascii="Verdana" w:hAnsi="Verdana"/>
                <w:b/>
                <w:bCs/>
                <w:sz w:val="18"/>
                <w:szCs w:val="18"/>
              </w:rPr>
            </w:pPr>
            <w:r>
              <w:rPr>
                <w:rFonts w:ascii="Verdana" w:hAnsi="Verdana"/>
                <w:b/>
                <w:bCs/>
                <w:sz w:val="18"/>
                <w:szCs w:val="18"/>
              </w:rPr>
              <w:t>Index number in Annex VI of the CLP Regulation:</w:t>
            </w:r>
          </w:p>
        </w:tc>
        <w:tc>
          <w:tcPr>
            <w:tcW w:w="4264" w:type="dxa"/>
            <w:shd w:val="clear" w:color="auto" w:fill="auto"/>
            <w:tcMar>
              <w:top w:w="40" w:type="dxa"/>
              <w:left w:w="40" w:type="dxa"/>
              <w:bottom w:w="40" w:type="dxa"/>
              <w:right w:w="40" w:type="dxa"/>
            </w:tcMar>
            <w:vAlign w:val="center"/>
          </w:tcPr>
          <w:p w14:paraId="7B39022F" w14:textId="77777777" w:rsidR="00BC1D4B" w:rsidRDefault="00ED1F84">
            <w:pPr>
              <w:spacing w:after="0"/>
              <w:rPr>
                <w:rFonts w:ascii="Verdana" w:hAnsi="Verdana"/>
                <w:sz w:val="18"/>
                <w:szCs w:val="18"/>
              </w:rPr>
            </w:pPr>
            <w:r>
              <w:rPr>
                <w:rFonts w:ascii="Verdana" w:hAnsi="Verdana"/>
                <w:sz w:val="18"/>
                <w:szCs w:val="18"/>
              </w:rPr>
              <w:t>612-149-00-4</w:t>
            </w:r>
          </w:p>
        </w:tc>
      </w:tr>
      <w:tr w:rsidR="00BC1D4B" w14:paraId="53269D4E" w14:textId="77777777">
        <w:trPr>
          <w:trHeight w:val="423"/>
          <w:jc w:val="center"/>
        </w:trPr>
        <w:tc>
          <w:tcPr>
            <w:tcW w:w="3681" w:type="dxa"/>
            <w:tcMar>
              <w:top w:w="40" w:type="dxa"/>
              <w:left w:w="40" w:type="dxa"/>
              <w:bottom w:w="40" w:type="dxa"/>
              <w:right w:w="40" w:type="dxa"/>
            </w:tcMar>
            <w:vAlign w:val="center"/>
          </w:tcPr>
          <w:p w14:paraId="3BA90FB8" w14:textId="77777777" w:rsidR="00BC1D4B" w:rsidRDefault="00ED1F84">
            <w:pPr>
              <w:pStyle w:val="Tabletext0"/>
              <w:spacing w:before="0" w:after="0"/>
              <w:rPr>
                <w:rFonts w:ascii="Verdana" w:hAnsi="Verdana"/>
                <w:b/>
                <w:bCs/>
                <w:sz w:val="18"/>
                <w:szCs w:val="18"/>
              </w:rPr>
            </w:pPr>
            <w:r>
              <w:rPr>
                <w:rFonts w:ascii="Verdana" w:hAnsi="Verdana"/>
                <w:b/>
                <w:bCs/>
                <w:sz w:val="18"/>
                <w:szCs w:val="18"/>
              </w:rPr>
              <w:t>Molecular formula:</w:t>
            </w:r>
          </w:p>
        </w:tc>
        <w:tc>
          <w:tcPr>
            <w:tcW w:w="4264" w:type="dxa"/>
            <w:shd w:val="clear" w:color="auto" w:fill="auto"/>
            <w:tcMar>
              <w:top w:w="40" w:type="dxa"/>
              <w:left w:w="40" w:type="dxa"/>
              <w:bottom w:w="40" w:type="dxa"/>
              <w:right w:w="40" w:type="dxa"/>
            </w:tcMar>
            <w:vAlign w:val="center"/>
          </w:tcPr>
          <w:p w14:paraId="5FCCE97F" w14:textId="77777777" w:rsidR="00BC1D4B" w:rsidRDefault="00ED1F84">
            <w:pPr>
              <w:spacing w:after="0"/>
              <w:rPr>
                <w:rFonts w:ascii="Verdana" w:hAnsi="Verdana"/>
                <w:sz w:val="18"/>
                <w:szCs w:val="18"/>
              </w:rPr>
            </w:pPr>
            <w:r>
              <w:rPr>
                <w:rFonts w:ascii="Verdana" w:hAnsi="Verdana"/>
                <w:sz w:val="18"/>
                <w:szCs w:val="18"/>
              </w:rPr>
              <w:t>C13H13N3</w:t>
            </w:r>
          </w:p>
        </w:tc>
      </w:tr>
      <w:tr w:rsidR="00BC1D4B" w14:paraId="5E448AE8" w14:textId="77777777">
        <w:trPr>
          <w:jc w:val="center"/>
        </w:trPr>
        <w:tc>
          <w:tcPr>
            <w:tcW w:w="3681" w:type="dxa"/>
            <w:tcMar>
              <w:top w:w="40" w:type="dxa"/>
              <w:left w:w="40" w:type="dxa"/>
              <w:bottom w:w="40" w:type="dxa"/>
              <w:right w:w="40" w:type="dxa"/>
            </w:tcMar>
            <w:vAlign w:val="center"/>
          </w:tcPr>
          <w:p w14:paraId="0B6D8FF5" w14:textId="77777777" w:rsidR="00BC1D4B" w:rsidRDefault="00ED1F84">
            <w:pPr>
              <w:pStyle w:val="Tabletext0"/>
              <w:spacing w:before="0" w:after="0"/>
              <w:rPr>
                <w:rFonts w:ascii="Verdana" w:hAnsi="Verdana"/>
                <w:b/>
                <w:bCs/>
                <w:sz w:val="18"/>
                <w:szCs w:val="18"/>
              </w:rPr>
            </w:pPr>
            <w:r>
              <w:rPr>
                <w:rFonts w:ascii="Verdana" w:hAnsi="Verdana"/>
                <w:b/>
                <w:bCs/>
                <w:sz w:val="18"/>
                <w:szCs w:val="18"/>
              </w:rPr>
              <w:t>Molecular weight or molecular weight range:</w:t>
            </w:r>
          </w:p>
        </w:tc>
        <w:tc>
          <w:tcPr>
            <w:tcW w:w="4264" w:type="dxa"/>
            <w:shd w:val="clear" w:color="auto" w:fill="auto"/>
            <w:tcMar>
              <w:top w:w="40" w:type="dxa"/>
              <w:left w:w="40" w:type="dxa"/>
              <w:bottom w:w="40" w:type="dxa"/>
              <w:right w:w="40" w:type="dxa"/>
            </w:tcMar>
            <w:vAlign w:val="center"/>
          </w:tcPr>
          <w:p w14:paraId="05385C96" w14:textId="77777777" w:rsidR="00BC1D4B" w:rsidRDefault="00ED1F84">
            <w:pPr>
              <w:spacing w:after="0"/>
              <w:rPr>
                <w:rFonts w:ascii="Verdana" w:hAnsi="Verdana"/>
                <w:sz w:val="18"/>
                <w:szCs w:val="18"/>
              </w:rPr>
            </w:pPr>
            <w:r>
              <w:rPr>
                <w:rFonts w:ascii="Verdana" w:hAnsi="Verdana"/>
                <w:sz w:val="18"/>
                <w:szCs w:val="18"/>
              </w:rPr>
              <w:t>211 g/mol</w:t>
            </w:r>
          </w:p>
        </w:tc>
      </w:tr>
      <w:tr w:rsidR="00BC1D4B" w14:paraId="08508B05" w14:textId="77777777">
        <w:trPr>
          <w:trHeight w:val="396"/>
          <w:jc w:val="center"/>
        </w:trPr>
        <w:tc>
          <w:tcPr>
            <w:tcW w:w="3681" w:type="dxa"/>
            <w:tcMar>
              <w:top w:w="40" w:type="dxa"/>
              <w:left w:w="40" w:type="dxa"/>
              <w:bottom w:w="40" w:type="dxa"/>
              <w:right w:w="40" w:type="dxa"/>
            </w:tcMar>
            <w:vAlign w:val="center"/>
          </w:tcPr>
          <w:p w14:paraId="0691CAC4" w14:textId="77777777" w:rsidR="00BC1D4B" w:rsidRDefault="00ED1F84">
            <w:pPr>
              <w:pStyle w:val="Tabletext0"/>
              <w:spacing w:before="0" w:after="0"/>
              <w:rPr>
                <w:rFonts w:ascii="Verdana" w:hAnsi="Verdana"/>
                <w:b/>
                <w:bCs/>
                <w:sz w:val="18"/>
                <w:szCs w:val="18"/>
              </w:rPr>
            </w:pPr>
            <w:r>
              <w:rPr>
                <w:rFonts w:ascii="Verdana" w:hAnsi="Verdana"/>
                <w:b/>
                <w:sz w:val="18"/>
                <w:szCs w:val="18"/>
              </w:rPr>
              <w:t>Synonyms:</w:t>
            </w:r>
          </w:p>
        </w:tc>
        <w:tc>
          <w:tcPr>
            <w:tcW w:w="4264" w:type="dxa"/>
            <w:shd w:val="clear" w:color="auto" w:fill="auto"/>
            <w:tcMar>
              <w:top w:w="40" w:type="dxa"/>
              <w:left w:w="40" w:type="dxa"/>
              <w:bottom w:w="40" w:type="dxa"/>
              <w:right w:w="40" w:type="dxa"/>
            </w:tcMar>
            <w:vAlign w:val="center"/>
          </w:tcPr>
          <w:p w14:paraId="221C6492" w14:textId="77777777" w:rsidR="00BC1D4B" w:rsidRDefault="00ED1F84">
            <w:pPr>
              <w:spacing w:after="0"/>
              <w:rPr>
                <w:rFonts w:ascii="Verdana" w:hAnsi="Verdana"/>
                <w:i/>
                <w:sz w:val="18"/>
                <w:szCs w:val="18"/>
              </w:rPr>
            </w:pPr>
            <w:r>
              <w:rPr>
                <w:rFonts w:ascii="Verdana" w:hAnsi="Verdana"/>
                <w:i/>
                <w:sz w:val="18"/>
                <w:szCs w:val="18"/>
              </w:rPr>
              <w:t>trade names:</w:t>
            </w:r>
          </w:p>
          <w:p w14:paraId="364B04B0" w14:textId="77777777" w:rsidR="00BC1D4B" w:rsidRDefault="00ED1F84">
            <w:pPr>
              <w:spacing w:after="0"/>
              <w:rPr>
                <w:rFonts w:ascii="Verdana" w:hAnsi="Verdana"/>
                <w:i/>
                <w:sz w:val="18"/>
                <w:szCs w:val="18"/>
              </w:rPr>
            </w:pPr>
            <w:r>
              <w:rPr>
                <w:rFonts w:ascii="Verdana" w:hAnsi="Verdana"/>
                <w:i/>
                <w:sz w:val="18"/>
                <w:szCs w:val="18"/>
              </w:rPr>
              <w:t>DPG</w:t>
            </w:r>
          </w:p>
          <w:p w14:paraId="76FFB0FF" w14:textId="77777777" w:rsidR="00BC1D4B" w:rsidRDefault="00ED1F84">
            <w:pPr>
              <w:spacing w:after="0"/>
              <w:rPr>
                <w:rFonts w:ascii="Verdana" w:hAnsi="Verdana"/>
                <w:i/>
                <w:sz w:val="18"/>
                <w:szCs w:val="18"/>
              </w:rPr>
            </w:pPr>
            <w:r>
              <w:rPr>
                <w:rFonts w:ascii="Verdana" w:hAnsi="Verdana"/>
                <w:i/>
                <w:sz w:val="18"/>
                <w:szCs w:val="18"/>
              </w:rPr>
              <w:t>DENAX</w:t>
            </w:r>
          </w:p>
          <w:p w14:paraId="4A361767" w14:textId="77777777" w:rsidR="00BC1D4B" w:rsidRDefault="00ED1F84">
            <w:pPr>
              <w:spacing w:after="0"/>
              <w:rPr>
                <w:rFonts w:ascii="Verdana" w:hAnsi="Verdana"/>
                <w:i/>
                <w:sz w:val="18"/>
                <w:szCs w:val="18"/>
              </w:rPr>
            </w:pPr>
            <w:r>
              <w:rPr>
                <w:rFonts w:ascii="Verdana" w:hAnsi="Verdana"/>
                <w:i/>
                <w:sz w:val="18"/>
                <w:szCs w:val="18"/>
              </w:rPr>
              <w:t>GUANIDINE, N,N’-DIPHENYLtrade</w:t>
            </w:r>
          </w:p>
          <w:p w14:paraId="182CB27F" w14:textId="77777777" w:rsidR="00BC1D4B" w:rsidRDefault="00ED1F84">
            <w:pPr>
              <w:spacing w:after="0"/>
              <w:rPr>
                <w:rFonts w:ascii="Verdana" w:hAnsi="Verdana"/>
                <w:i/>
                <w:sz w:val="18"/>
                <w:szCs w:val="18"/>
              </w:rPr>
            </w:pPr>
            <w:r>
              <w:rPr>
                <w:rFonts w:ascii="Verdana" w:hAnsi="Verdana"/>
                <w:i/>
                <w:sz w:val="18"/>
                <w:szCs w:val="18"/>
              </w:rPr>
              <w:t>DFG</w:t>
            </w:r>
          </w:p>
          <w:p w14:paraId="05C87115" w14:textId="77777777" w:rsidR="00BC1D4B" w:rsidRDefault="00ED1F84">
            <w:pPr>
              <w:spacing w:after="0"/>
              <w:rPr>
                <w:rFonts w:ascii="Verdana" w:hAnsi="Verdana"/>
                <w:i/>
                <w:sz w:val="18"/>
                <w:szCs w:val="18"/>
              </w:rPr>
            </w:pPr>
            <w:r>
              <w:rPr>
                <w:rFonts w:ascii="Verdana" w:hAnsi="Verdana"/>
                <w:i/>
                <w:sz w:val="18"/>
                <w:szCs w:val="18"/>
              </w:rPr>
              <w:t>GUANIDINE, 1,3-DIPHENYLtrade</w:t>
            </w:r>
          </w:p>
          <w:p w14:paraId="75A6D5EB" w14:textId="77777777" w:rsidR="00BC1D4B" w:rsidRDefault="00ED1F84">
            <w:pPr>
              <w:spacing w:after="0"/>
              <w:rPr>
                <w:rFonts w:ascii="Verdana" w:hAnsi="Verdana"/>
                <w:i/>
                <w:sz w:val="18"/>
                <w:szCs w:val="18"/>
              </w:rPr>
            </w:pPr>
            <w:r>
              <w:rPr>
                <w:rFonts w:ascii="Verdana" w:hAnsi="Verdana"/>
                <w:i/>
                <w:sz w:val="18"/>
                <w:szCs w:val="18"/>
              </w:rPr>
              <w:t>MELANILINE</w:t>
            </w:r>
          </w:p>
          <w:p w14:paraId="1C69876B" w14:textId="77777777" w:rsidR="00BC1D4B" w:rsidRDefault="00ED1F84">
            <w:pPr>
              <w:spacing w:after="0"/>
              <w:rPr>
                <w:rFonts w:ascii="Verdana" w:hAnsi="Verdana"/>
                <w:i/>
                <w:sz w:val="18"/>
                <w:szCs w:val="18"/>
              </w:rPr>
            </w:pPr>
            <w:r>
              <w:rPr>
                <w:rFonts w:ascii="Verdana" w:hAnsi="Verdana"/>
                <w:i/>
                <w:sz w:val="18"/>
                <w:szCs w:val="18"/>
              </w:rPr>
              <w:t>N,N’-DIPHENYLGUANIDIN</w:t>
            </w:r>
          </w:p>
          <w:p w14:paraId="177CCED8" w14:textId="77777777" w:rsidR="00BC1D4B" w:rsidRDefault="00ED1F84">
            <w:pPr>
              <w:spacing w:after="0"/>
              <w:rPr>
                <w:rFonts w:ascii="Verdana" w:hAnsi="Verdana"/>
                <w:i/>
                <w:sz w:val="18"/>
                <w:szCs w:val="18"/>
              </w:rPr>
            </w:pPr>
            <w:r>
              <w:rPr>
                <w:rFonts w:ascii="Verdana" w:hAnsi="Verdana"/>
                <w:i/>
                <w:sz w:val="18"/>
                <w:szCs w:val="18"/>
              </w:rPr>
              <w:t>SYM-DIPHENYLGUANIDINE</w:t>
            </w:r>
          </w:p>
          <w:p w14:paraId="2A17E613" w14:textId="77777777" w:rsidR="00BC1D4B" w:rsidRDefault="00ED1F84">
            <w:pPr>
              <w:spacing w:after="0"/>
              <w:rPr>
                <w:rFonts w:ascii="Verdana" w:hAnsi="Verdana"/>
                <w:i/>
                <w:sz w:val="18"/>
                <w:szCs w:val="18"/>
              </w:rPr>
            </w:pPr>
            <w:r>
              <w:rPr>
                <w:rFonts w:ascii="Verdana" w:hAnsi="Verdana"/>
                <w:i/>
                <w:sz w:val="18"/>
                <w:szCs w:val="18"/>
              </w:rPr>
              <w:t>VULKAZIT</w:t>
            </w:r>
          </w:p>
          <w:p w14:paraId="71E223D1" w14:textId="77777777" w:rsidR="00BC1D4B" w:rsidRDefault="00ED1F84">
            <w:pPr>
              <w:spacing w:after="0"/>
              <w:rPr>
                <w:rFonts w:ascii="Verdana" w:hAnsi="Verdana"/>
                <w:i/>
                <w:sz w:val="18"/>
                <w:szCs w:val="18"/>
              </w:rPr>
            </w:pPr>
            <w:r>
              <w:rPr>
                <w:rFonts w:ascii="Verdana" w:hAnsi="Verdana"/>
                <w:i/>
                <w:sz w:val="18"/>
                <w:szCs w:val="18"/>
              </w:rPr>
              <w:t>1,3-DIPHENYLGUANIDINE</w:t>
            </w:r>
          </w:p>
          <w:p w14:paraId="0B84FC9E" w14:textId="77777777" w:rsidR="00BC1D4B" w:rsidRDefault="00ED1F84">
            <w:pPr>
              <w:spacing w:after="0"/>
              <w:rPr>
                <w:rFonts w:ascii="Verdana" w:hAnsi="Verdana"/>
                <w:i/>
                <w:sz w:val="18"/>
                <w:szCs w:val="18"/>
              </w:rPr>
            </w:pPr>
            <w:r>
              <w:rPr>
                <w:rFonts w:ascii="Verdana" w:hAnsi="Verdana"/>
                <w:i/>
                <w:sz w:val="18"/>
                <w:szCs w:val="18"/>
              </w:rPr>
              <w:t>Vulkacit D</w:t>
            </w:r>
          </w:p>
          <w:p w14:paraId="07DBFE43" w14:textId="77777777" w:rsidR="00BC1D4B" w:rsidRDefault="00ED1F84">
            <w:pPr>
              <w:spacing w:after="0"/>
              <w:rPr>
                <w:rFonts w:ascii="Verdana" w:hAnsi="Verdana"/>
                <w:i/>
                <w:sz w:val="18"/>
                <w:szCs w:val="18"/>
              </w:rPr>
            </w:pPr>
            <w:r>
              <w:rPr>
                <w:rFonts w:ascii="Verdana" w:hAnsi="Verdana"/>
                <w:i/>
                <w:sz w:val="18"/>
                <w:szCs w:val="18"/>
              </w:rPr>
              <w:t>EKALAND DPG</w:t>
            </w:r>
          </w:p>
          <w:p w14:paraId="1DB6010C" w14:textId="77777777" w:rsidR="00BC1D4B" w:rsidRDefault="00ED1F84">
            <w:pPr>
              <w:spacing w:after="0"/>
              <w:rPr>
                <w:rFonts w:ascii="Verdana" w:hAnsi="Verdana"/>
                <w:i/>
                <w:sz w:val="18"/>
                <w:szCs w:val="18"/>
              </w:rPr>
            </w:pPr>
            <w:r>
              <w:rPr>
                <w:rFonts w:ascii="Verdana" w:hAnsi="Verdana"/>
                <w:i/>
                <w:sz w:val="18"/>
                <w:szCs w:val="18"/>
              </w:rPr>
              <w:t>MIXLAND+ DPG</w:t>
            </w:r>
          </w:p>
          <w:p w14:paraId="6A52DF61" w14:textId="77777777" w:rsidR="00BC1D4B" w:rsidRDefault="00BC1D4B">
            <w:pPr>
              <w:spacing w:after="0"/>
              <w:rPr>
                <w:rFonts w:ascii="Verdana" w:hAnsi="Verdana"/>
                <w:i/>
                <w:sz w:val="18"/>
                <w:szCs w:val="18"/>
              </w:rPr>
            </w:pPr>
          </w:p>
        </w:tc>
      </w:tr>
    </w:tbl>
    <w:p w14:paraId="14F1FF2F" w14:textId="77777777" w:rsidR="00BC1D4B" w:rsidRDefault="00ED1F84">
      <w:pPr>
        <w:pStyle w:val="Corpsdetexte"/>
        <w:spacing w:after="0"/>
      </w:pPr>
      <w:r>
        <w:t xml:space="preserve"> </w:t>
      </w:r>
    </w:p>
    <w:p w14:paraId="22D762AD" w14:textId="77777777" w:rsidR="00BC1D4B" w:rsidRDefault="00ED1F84">
      <w:pPr>
        <w:pStyle w:val="Corpsdetexte"/>
        <w:tabs>
          <w:tab w:val="left" w:pos="1985"/>
          <w:tab w:val="left" w:pos="4678"/>
          <w:tab w:val="left" w:pos="7088"/>
        </w:tabs>
        <w:spacing w:before="120" w:after="120"/>
      </w:pPr>
      <w:r>
        <w:rPr>
          <w:b/>
        </w:rPr>
        <w:t>Type of substance</w:t>
      </w:r>
      <w:r>
        <w:rPr>
          <w:b/>
        </w:rPr>
        <w:tab/>
      </w:r>
      <w:sdt>
        <w:sdtPr>
          <w:id w:val="316457405"/>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Mono-constituent</w:t>
      </w:r>
      <w:r>
        <w:tab/>
      </w:r>
      <w:sdt>
        <w:sdtPr>
          <w:id w:val="-1837456679"/>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t xml:space="preserve"> Multi-constituent</w:t>
      </w:r>
      <w:r>
        <w:tab/>
      </w:r>
      <w:sdt>
        <w:sdtPr>
          <w:id w:val="-374238681"/>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t xml:space="preserve"> UVCB</w:t>
      </w:r>
    </w:p>
    <w:p w14:paraId="3BF14DF5" w14:textId="77777777" w:rsidR="00BC1D4B" w:rsidRDefault="00BC1D4B">
      <w:pPr>
        <w:pStyle w:val="Corpsdetexte"/>
        <w:tabs>
          <w:tab w:val="left" w:pos="1985"/>
          <w:tab w:val="left" w:pos="4678"/>
          <w:tab w:val="left" w:pos="7088"/>
        </w:tabs>
        <w:spacing w:after="0"/>
      </w:pPr>
    </w:p>
    <w:p w14:paraId="334871F1" w14:textId="77777777" w:rsidR="00BC1D4B" w:rsidRDefault="00ED1F84">
      <w:pPr>
        <w:pStyle w:val="Corpsdetexte"/>
        <w:tabs>
          <w:tab w:val="left" w:pos="1985"/>
          <w:tab w:val="left" w:pos="4678"/>
          <w:tab w:val="left" w:pos="7088"/>
        </w:tabs>
        <w:spacing w:after="0"/>
        <w:rPr>
          <w:b/>
        </w:rPr>
      </w:pPr>
      <w:r>
        <w:rPr>
          <w:b/>
        </w:rPr>
        <w:t>Structural formula:</w:t>
      </w:r>
    </w:p>
    <w:p w14:paraId="7D47FE64" w14:textId="77777777" w:rsidR="00BC1D4B" w:rsidRDefault="00ED1F84">
      <w:pPr>
        <w:pStyle w:val="Corpsdetexte"/>
        <w:tabs>
          <w:tab w:val="left" w:pos="1985"/>
          <w:tab w:val="left" w:pos="4678"/>
          <w:tab w:val="left" w:pos="7088"/>
        </w:tabs>
        <w:spacing w:after="0"/>
        <w:rPr>
          <w:b/>
        </w:rPr>
      </w:pPr>
      <w:r>
        <w:rPr>
          <w:b/>
          <w:noProof/>
          <w:lang w:val="fr-FR" w:eastAsia="fr-FR"/>
        </w:rPr>
        <w:drawing>
          <wp:inline distT="0" distB="0" distL="0" distR="0">
            <wp:extent cx="1426845" cy="1261745"/>
            <wp:effectExtent l="0" t="0" r="1905"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3"/>
                    <a:stretch/>
                  </pic:blipFill>
                  <pic:spPr bwMode="auto">
                    <a:xfrm>
                      <a:off x="0" y="0"/>
                      <a:ext cx="1426845" cy="1261745"/>
                    </a:xfrm>
                    <a:prstGeom prst="rect">
                      <a:avLst/>
                    </a:prstGeom>
                    <a:noFill/>
                  </pic:spPr>
                </pic:pic>
              </a:graphicData>
            </a:graphic>
          </wp:inline>
        </w:drawing>
      </w:r>
    </w:p>
    <w:p w14:paraId="56AE66A1" w14:textId="77777777" w:rsidR="002F4101" w:rsidRDefault="002F4101" w:rsidP="002F4101">
      <w:pPr>
        <w:spacing w:after="200"/>
        <w:jc w:val="both"/>
        <w:rPr>
          <w:rFonts w:ascii="Verdana" w:hAnsi="Verdana"/>
          <w:sz w:val="20"/>
          <w:szCs w:val="20"/>
        </w:rPr>
      </w:pPr>
    </w:p>
    <w:p w14:paraId="2338BC4A" w14:textId="3805EEFE" w:rsidR="00BC1D4B" w:rsidRDefault="00DA7376" w:rsidP="002F4101">
      <w:pPr>
        <w:spacing w:after="200"/>
        <w:jc w:val="both"/>
        <w:rPr>
          <w:rFonts w:ascii="Verdana" w:hAnsi="Verdana" w:cs="Arial"/>
          <w:b/>
          <w:color w:val="0046AD"/>
          <w:szCs w:val="22"/>
        </w:rPr>
      </w:pPr>
      <w:r>
        <w:rPr>
          <w:rFonts w:ascii="Verdana" w:hAnsi="Verdana"/>
          <w:sz w:val="20"/>
          <w:szCs w:val="20"/>
        </w:rPr>
        <w:t xml:space="preserve">Additional </w:t>
      </w:r>
      <w:r w:rsidRPr="002F4101">
        <w:rPr>
          <w:rFonts w:ascii="Verdana" w:hAnsi="Verdana"/>
          <w:sz w:val="20"/>
          <w:szCs w:val="20"/>
        </w:rPr>
        <w:t>physical-chemical properties of D</w:t>
      </w:r>
      <w:r>
        <w:rPr>
          <w:rFonts w:ascii="Verdana" w:hAnsi="Verdana"/>
          <w:sz w:val="20"/>
          <w:szCs w:val="20"/>
        </w:rPr>
        <w:t>PG can be found</w:t>
      </w:r>
      <w:r w:rsidRPr="00DA7376">
        <w:rPr>
          <w:rFonts w:ascii="Verdana" w:hAnsi="Verdana"/>
          <w:sz w:val="20"/>
          <w:szCs w:val="20"/>
        </w:rPr>
        <w:t xml:space="preserve"> in Annex I</w:t>
      </w:r>
      <w:r>
        <w:rPr>
          <w:rFonts w:ascii="Verdana" w:hAnsi="Verdana"/>
          <w:sz w:val="20"/>
          <w:szCs w:val="20"/>
        </w:rPr>
        <w:t>,</w:t>
      </w:r>
      <w:r w:rsidRPr="00DA7376">
        <w:rPr>
          <w:rFonts w:ascii="Verdana" w:hAnsi="Verdana"/>
          <w:sz w:val="20"/>
          <w:szCs w:val="20"/>
        </w:rPr>
        <w:t xml:space="preserve"> section</w:t>
      </w:r>
      <w:r w:rsidR="002F4101">
        <w:rPr>
          <w:rFonts w:ascii="Verdana" w:hAnsi="Verdana"/>
          <w:sz w:val="20"/>
          <w:szCs w:val="20"/>
        </w:rPr>
        <w:t xml:space="preserve"> </w:t>
      </w:r>
      <w:r w:rsidRPr="002F4101">
        <w:rPr>
          <w:rFonts w:ascii="Verdana" w:hAnsi="Verdana"/>
          <w:sz w:val="20"/>
          <w:szCs w:val="20"/>
        </w:rPr>
        <w:t>3.2.3</w:t>
      </w:r>
      <w:r>
        <w:rPr>
          <w:rFonts w:ascii="Verdana" w:hAnsi="Verdana"/>
          <w:sz w:val="20"/>
          <w:szCs w:val="20"/>
        </w:rPr>
        <w:t>,</w:t>
      </w:r>
      <w:r w:rsidRPr="00DA7376">
        <w:rPr>
          <w:rFonts w:ascii="Verdana" w:hAnsi="Verdana"/>
          <w:sz w:val="20"/>
          <w:szCs w:val="20"/>
        </w:rPr>
        <w:t xml:space="preserve"> table 24</w:t>
      </w:r>
      <w:r w:rsidRPr="002F4101">
        <w:rPr>
          <w:rFonts w:ascii="Verdana" w:hAnsi="Verdana"/>
          <w:sz w:val="20"/>
          <w:szCs w:val="20"/>
        </w:rPr>
        <w:t>.</w:t>
      </w:r>
      <w:r>
        <w:t xml:space="preserve"> </w:t>
      </w:r>
      <w:r w:rsidR="00ED1F84">
        <w:br w:type="page" w:clear="all"/>
      </w:r>
    </w:p>
    <w:p w14:paraId="529C2113" w14:textId="77777777" w:rsidR="00BC1D4B" w:rsidRDefault="00ED1F84">
      <w:pPr>
        <w:pStyle w:val="Titre2"/>
      </w:pPr>
      <w:bookmarkStart w:id="13" w:name="_Toc137044467"/>
      <w:r>
        <w:lastRenderedPageBreak/>
        <w:t>Completed or ongoing process</w:t>
      </w:r>
      <w:bookmarkEnd w:id="13"/>
    </w:p>
    <w:p w14:paraId="4AADA69A" w14:textId="77777777" w:rsidR="00BC1D4B" w:rsidRDefault="00BC1D4B">
      <w:pPr>
        <w:spacing w:after="240"/>
        <w:rPr>
          <w:rFonts w:ascii="Verdana" w:hAnsi="Verdana"/>
          <w:bCs/>
          <w:sz w:val="20"/>
          <w:szCs w:val="20"/>
        </w:rPr>
      </w:pPr>
    </w:p>
    <w:p w14:paraId="02DD2D7A" w14:textId="77777777" w:rsidR="00BC1D4B" w:rsidRDefault="00ED1F84">
      <w:pPr>
        <w:spacing w:after="240"/>
        <w:rPr>
          <w:rFonts w:ascii="Verdana" w:hAnsi="Verdana"/>
          <w:b/>
          <w:bCs/>
          <w:sz w:val="20"/>
          <w:szCs w:val="20"/>
        </w:rPr>
      </w:pPr>
      <w:r>
        <w:rPr>
          <w:rFonts w:ascii="Verdana" w:hAnsi="Verdana"/>
          <w:b/>
          <w:bCs/>
          <w:sz w:val="20"/>
          <w:szCs w:val="20"/>
        </w:rPr>
        <w:t>Table 2: Processes identified for substance 1,3-diphenylguanidine</w:t>
      </w:r>
    </w:p>
    <w:tbl>
      <w:tblPr>
        <w:tblW w:w="9625" w:type="dxa"/>
        <w:tblLayout w:type="fixed"/>
        <w:tblLook w:val="04A0" w:firstRow="1" w:lastRow="0" w:firstColumn="1" w:lastColumn="0" w:noHBand="0" w:noVBand="1"/>
      </w:tblPr>
      <w:tblGrid>
        <w:gridCol w:w="1129"/>
        <w:gridCol w:w="993"/>
        <w:gridCol w:w="708"/>
        <w:gridCol w:w="567"/>
        <w:gridCol w:w="709"/>
        <w:gridCol w:w="567"/>
        <w:gridCol w:w="851"/>
        <w:gridCol w:w="992"/>
        <w:gridCol w:w="850"/>
        <w:gridCol w:w="851"/>
        <w:gridCol w:w="1408"/>
      </w:tblGrid>
      <w:tr w:rsidR="00BC1D4B" w14:paraId="6D007E96" w14:textId="77777777">
        <w:trPr>
          <w:trHeight w:val="397"/>
        </w:trPr>
        <w:tc>
          <w:tcPr>
            <w:tcW w:w="1129" w:type="dxa"/>
            <w:vMerge w:val="restart"/>
            <w:tcBorders>
              <w:top w:val="single" w:sz="4" w:space="0" w:color="auto"/>
              <w:left w:val="single" w:sz="4" w:space="0" w:color="auto"/>
              <w:bottom w:val="single" w:sz="4" w:space="0" w:color="auto"/>
              <w:right w:val="single" w:sz="4" w:space="0" w:color="auto"/>
            </w:tcBorders>
            <w:shd w:val="clear" w:color="000000" w:fill="4F81BD"/>
            <w:vAlign w:val="center"/>
          </w:tcPr>
          <w:p w14:paraId="7A265864" w14:textId="77777777" w:rsidR="00BC1D4B" w:rsidRDefault="00ED1F84">
            <w:pPr>
              <w:spacing w:after="0" w:line="259" w:lineRule="auto"/>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EC/List number</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4F81BD"/>
            <w:vAlign w:val="center"/>
          </w:tcPr>
          <w:p w14:paraId="2C19E194" w14:textId="77777777" w:rsidR="00BC1D4B" w:rsidRDefault="00ED1F84">
            <w:pPr>
              <w:spacing w:after="0" w:line="259" w:lineRule="auto"/>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Other REACH related work</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4F81BD"/>
            <w:noWrap/>
            <w:vAlign w:val="center"/>
          </w:tcPr>
          <w:p w14:paraId="77EFAEDF" w14:textId="77777777" w:rsidR="00BC1D4B" w:rsidRDefault="00ED1F84">
            <w:pPr>
              <w:spacing w:after="0" w:line="259" w:lineRule="auto"/>
              <w:jc w:val="center"/>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RMOA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4F81BD"/>
            <w:vAlign w:val="center"/>
          </w:tcPr>
          <w:p w14:paraId="4114A57C" w14:textId="77777777" w:rsidR="00BC1D4B" w:rsidRDefault="00ED1F84">
            <w:pPr>
              <w:spacing w:after="0" w:line="259" w:lineRule="auto"/>
              <w:jc w:val="center"/>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Evaluation</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4F81BD"/>
            <w:noWrap/>
            <w:vAlign w:val="center"/>
          </w:tcPr>
          <w:p w14:paraId="501D6548" w14:textId="77777777" w:rsidR="00BC1D4B" w:rsidRDefault="00ED1F84">
            <w:pPr>
              <w:spacing w:after="0" w:line="259" w:lineRule="auto"/>
              <w:jc w:val="center"/>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Authorisation</w:t>
            </w:r>
          </w:p>
        </w:tc>
        <w:tc>
          <w:tcPr>
            <w:tcW w:w="850" w:type="dxa"/>
            <w:tcBorders>
              <w:top w:val="single" w:sz="4" w:space="0" w:color="auto"/>
              <w:left w:val="single" w:sz="4" w:space="0" w:color="auto"/>
              <w:bottom w:val="single" w:sz="4" w:space="0" w:color="auto"/>
              <w:right w:val="single" w:sz="4" w:space="0" w:color="auto"/>
            </w:tcBorders>
            <w:shd w:val="clear" w:color="000000" w:fill="4F81BD"/>
            <w:vAlign w:val="center"/>
          </w:tcPr>
          <w:p w14:paraId="12C34FD4" w14:textId="77777777" w:rsidR="00BC1D4B" w:rsidRDefault="00ED1F84">
            <w:pPr>
              <w:spacing w:after="0" w:line="259" w:lineRule="auto"/>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Restriction</w:t>
            </w:r>
          </w:p>
        </w:tc>
        <w:tc>
          <w:tcPr>
            <w:tcW w:w="851" w:type="dxa"/>
            <w:tcBorders>
              <w:top w:val="single" w:sz="4" w:space="0" w:color="auto"/>
              <w:left w:val="single" w:sz="4" w:space="0" w:color="auto"/>
              <w:bottom w:val="single" w:sz="4" w:space="0" w:color="auto"/>
              <w:right w:val="single" w:sz="4" w:space="0" w:color="auto"/>
            </w:tcBorders>
            <w:shd w:val="clear" w:color="000000" w:fill="4F81BD"/>
            <w:noWrap/>
            <w:vAlign w:val="center"/>
          </w:tcPr>
          <w:p w14:paraId="69DA353B" w14:textId="77777777" w:rsidR="00BC1D4B" w:rsidRDefault="00ED1F84">
            <w:pPr>
              <w:spacing w:after="0" w:line="259" w:lineRule="auto"/>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CLH</w:t>
            </w:r>
          </w:p>
        </w:tc>
        <w:tc>
          <w:tcPr>
            <w:tcW w:w="1408" w:type="dxa"/>
            <w:vMerge w:val="restart"/>
            <w:tcBorders>
              <w:top w:val="single" w:sz="4" w:space="0" w:color="auto"/>
              <w:left w:val="single" w:sz="4" w:space="0" w:color="auto"/>
              <w:bottom w:val="single" w:sz="4" w:space="0" w:color="auto"/>
              <w:right w:val="single" w:sz="4" w:space="0" w:color="auto"/>
            </w:tcBorders>
            <w:shd w:val="clear" w:color="000000" w:fill="4F81BD"/>
            <w:vAlign w:val="center"/>
          </w:tcPr>
          <w:p w14:paraId="733901A1" w14:textId="77777777" w:rsidR="00BC1D4B" w:rsidRDefault="00ED1F84">
            <w:pPr>
              <w:spacing w:after="0" w:line="259" w:lineRule="auto"/>
              <w:rPr>
                <w:rFonts w:ascii="Verdana" w:eastAsia="Calibri" w:hAnsi="Verdana" w:cs="Calibri"/>
                <w:b/>
                <w:bCs/>
                <w:color w:val="FFFFFF"/>
                <w:sz w:val="16"/>
                <w:szCs w:val="16"/>
                <w:lang w:val="en-US" w:eastAsia="en-GB"/>
              </w:rPr>
            </w:pPr>
            <w:r>
              <w:rPr>
                <w:rFonts w:ascii="Verdana" w:eastAsia="Calibri" w:hAnsi="Verdana" w:cs="Calibri"/>
                <w:b/>
                <w:bCs/>
                <w:color w:val="FFFFFF"/>
                <w:sz w:val="16"/>
                <w:szCs w:val="16"/>
                <w:lang w:val="en-US" w:eastAsia="en-GB"/>
              </w:rPr>
              <w:t>Other processes/ EU legislation</w:t>
            </w:r>
          </w:p>
        </w:tc>
      </w:tr>
      <w:tr w:rsidR="00BC1D4B" w14:paraId="5162D436" w14:textId="77777777">
        <w:trPr>
          <w:trHeight w:val="266"/>
        </w:trPr>
        <w:tc>
          <w:tcPr>
            <w:tcW w:w="1129" w:type="dxa"/>
            <w:vMerge/>
            <w:tcBorders>
              <w:top w:val="single" w:sz="4" w:space="0" w:color="auto"/>
              <w:left w:val="single" w:sz="4" w:space="0" w:color="auto"/>
              <w:bottom w:val="single" w:sz="4" w:space="0" w:color="auto"/>
              <w:right w:val="single" w:sz="4" w:space="0" w:color="auto"/>
            </w:tcBorders>
            <w:shd w:val="clear" w:color="000000" w:fill="4F81BD"/>
            <w:vAlign w:val="center"/>
          </w:tcPr>
          <w:p w14:paraId="47053F7F" w14:textId="77777777" w:rsidR="00BC1D4B" w:rsidRDefault="00BC1D4B">
            <w:pPr>
              <w:spacing w:after="0" w:line="259" w:lineRule="auto"/>
              <w:rPr>
                <w:rFonts w:ascii="Verdana" w:eastAsia="Calibri" w:hAnsi="Verdana" w:cs="Calibri"/>
                <w:b/>
                <w:bCs/>
                <w:color w:val="FFFFFF"/>
                <w:sz w:val="16"/>
                <w:szCs w:val="16"/>
                <w:lang w:val="en-US" w:eastAsia="en-GB"/>
              </w:rPr>
            </w:pPr>
          </w:p>
        </w:tc>
        <w:tc>
          <w:tcPr>
            <w:tcW w:w="993" w:type="dxa"/>
            <w:vMerge/>
            <w:tcBorders>
              <w:top w:val="single" w:sz="4" w:space="0" w:color="auto"/>
              <w:left w:val="single" w:sz="4" w:space="0" w:color="auto"/>
              <w:bottom w:val="single" w:sz="4" w:space="0" w:color="auto"/>
              <w:right w:val="single" w:sz="4" w:space="0" w:color="auto"/>
            </w:tcBorders>
            <w:shd w:val="clear" w:color="000000" w:fill="4F81BD"/>
            <w:vAlign w:val="center"/>
          </w:tcPr>
          <w:p w14:paraId="2F61C07B" w14:textId="77777777" w:rsidR="00BC1D4B" w:rsidRDefault="00BC1D4B">
            <w:pPr>
              <w:spacing w:after="0" w:line="259" w:lineRule="auto"/>
              <w:rPr>
                <w:rFonts w:ascii="Verdana" w:eastAsia="Calibri" w:hAnsi="Verdana" w:cs="Calibri"/>
                <w:b/>
                <w:bCs/>
                <w:color w:val="FFFFFF"/>
                <w:sz w:val="16"/>
                <w:szCs w:val="16"/>
                <w:lang w:val="en-US" w:eastAsia="en-GB"/>
              </w:rPr>
            </w:pPr>
          </w:p>
        </w:tc>
        <w:tc>
          <w:tcPr>
            <w:tcW w:w="708" w:type="dxa"/>
            <w:vMerge/>
            <w:tcBorders>
              <w:top w:val="single" w:sz="4" w:space="0" w:color="auto"/>
              <w:left w:val="single" w:sz="4" w:space="0" w:color="auto"/>
              <w:bottom w:val="single" w:sz="4" w:space="0" w:color="auto"/>
              <w:right w:val="single" w:sz="4" w:space="0" w:color="auto"/>
            </w:tcBorders>
            <w:shd w:val="clear" w:color="000000" w:fill="4F81BD"/>
            <w:vAlign w:val="center"/>
          </w:tcPr>
          <w:p w14:paraId="54220440" w14:textId="77777777" w:rsidR="00BC1D4B" w:rsidRDefault="00BC1D4B">
            <w:pPr>
              <w:spacing w:after="0" w:line="259" w:lineRule="auto"/>
              <w:rPr>
                <w:rFonts w:ascii="Verdana" w:eastAsia="Calibri" w:hAnsi="Verdana" w:cs="Calibri"/>
                <w:b/>
                <w:bCs/>
                <w:color w:val="FFFFFF"/>
                <w:sz w:val="16"/>
                <w:szCs w:val="16"/>
                <w:lang w:val="en-US" w:eastAsia="en-GB"/>
              </w:rPr>
            </w:pPr>
          </w:p>
        </w:tc>
        <w:tc>
          <w:tcPr>
            <w:tcW w:w="567" w:type="dxa"/>
            <w:tcBorders>
              <w:top w:val="single" w:sz="4" w:space="0" w:color="auto"/>
              <w:left w:val="single" w:sz="4" w:space="0" w:color="auto"/>
              <w:bottom w:val="single" w:sz="4" w:space="0" w:color="auto"/>
              <w:right w:val="single" w:sz="4" w:space="0" w:color="auto"/>
            </w:tcBorders>
            <w:shd w:val="clear" w:color="000000" w:fill="4F81BD"/>
            <w:vAlign w:val="center"/>
          </w:tcPr>
          <w:p w14:paraId="3809F5B9" w14:textId="77777777" w:rsidR="00BC1D4B" w:rsidRDefault="00ED1F84">
            <w:pPr>
              <w:spacing w:after="0" w:line="259" w:lineRule="auto"/>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CCH</w:t>
            </w:r>
          </w:p>
        </w:tc>
        <w:tc>
          <w:tcPr>
            <w:tcW w:w="709" w:type="dxa"/>
            <w:tcBorders>
              <w:top w:val="single" w:sz="4" w:space="0" w:color="auto"/>
              <w:left w:val="single" w:sz="4" w:space="0" w:color="auto"/>
              <w:bottom w:val="single" w:sz="4" w:space="0" w:color="auto"/>
              <w:right w:val="single" w:sz="4" w:space="0" w:color="auto"/>
            </w:tcBorders>
            <w:shd w:val="clear" w:color="000000" w:fill="4F81BD"/>
            <w:vAlign w:val="center"/>
          </w:tcPr>
          <w:p w14:paraId="71249850" w14:textId="77777777" w:rsidR="00BC1D4B" w:rsidRDefault="00ED1F84">
            <w:pPr>
              <w:spacing w:after="0" w:line="259" w:lineRule="auto"/>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TPE</w:t>
            </w:r>
          </w:p>
        </w:tc>
        <w:tc>
          <w:tcPr>
            <w:tcW w:w="567" w:type="dxa"/>
            <w:tcBorders>
              <w:top w:val="single" w:sz="4" w:space="0" w:color="auto"/>
              <w:left w:val="single" w:sz="4" w:space="0" w:color="auto"/>
              <w:bottom w:val="single" w:sz="4" w:space="0" w:color="auto"/>
              <w:right w:val="single" w:sz="4" w:space="0" w:color="auto"/>
            </w:tcBorders>
            <w:shd w:val="clear" w:color="000000" w:fill="4F81BD"/>
            <w:vAlign w:val="center"/>
          </w:tcPr>
          <w:p w14:paraId="23F43AA9" w14:textId="77777777" w:rsidR="00BC1D4B" w:rsidRDefault="00ED1F84">
            <w:pPr>
              <w:spacing w:after="0" w:line="259" w:lineRule="auto"/>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SEV</w:t>
            </w:r>
          </w:p>
        </w:tc>
        <w:tc>
          <w:tcPr>
            <w:tcW w:w="851" w:type="dxa"/>
            <w:tcBorders>
              <w:top w:val="single" w:sz="4" w:space="0" w:color="auto"/>
              <w:left w:val="single" w:sz="4" w:space="0" w:color="auto"/>
              <w:bottom w:val="single" w:sz="4" w:space="0" w:color="auto"/>
              <w:right w:val="single" w:sz="4" w:space="0" w:color="auto"/>
            </w:tcBorders>
            <w:shd w:val="clear" w:color="000000" w:fill="4F81BD"/>
            <w:vAlign w:val="center"/>
          </w:tcPr>
          <w:p w14:paraId="6B7B3A23" w14:textId="77777777" w:rsidR="00BC1D4B" w:rsidRDefault="00ED1F84">
            <w:pPr>
              <w:spacing w:after="0" w:line="259" w:lineRule="auto"/>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Candidate List</w:t>
            </w:r>
          </w:p>
        </w:tc>
        <w:tc>
          <w:tcPr>
            <w:tcW w:w="992" w:type="dxa"/>
            <w:tcBorders>
              <w:top w:val="single" w:sz="4" w:space="0" w:color="auto"/>
              <w:left w:val="single" w:sz="4" w:space="0" w:color="auto"/>
              <w:bottom w:val="single" w:sz="4" w:space="0" w:color="auto"/>
              <w:right w:val="single" w:sz="4" w:space="0" w:color="auto"/>
            </w:tcBorders>
            <w:shd w:val="clear" w:color="000000" w:fill="4F81BD"/>
            <w:vAlign w:val="center"/>
          </w:tcPr>
          <w:p w14:paraId="71723B43" w14:textId="77777777" w:rsidR="00BC1D4B" w:rsidRDefault="00ED1F84">
            <w:pPr>
              <w:spacing w:after="0" w:line="259" w:lineRule="auto"/>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Annex XIV</w:t>
            </w:r>
          </w:p>
        </w:tc>
        <w:tc>
          <w:tcPr>
            <w:tcW w:w="850" w:type="dxa"/>
            <w:tcBorders>
              <w:top w:val="single" w:sz="4" w:space="0" w:color="auto"/>
              <w:left w:val="single" w:sz="4" w:space="0" w:color="auto"/>
              <w:bottom w:val="single" w:sz="4" w:space="0" w:color="auto"/>
              <w:right w:val="single" w:sz="4" w:space="0" w:color="auto"/>
            </w:tcBorders>
            <w:shd w:val="clear" w:color="000000" w:fill="4F81BD"/>
            <w:vAlign w:val="center"/>
          </w:tcPr>
          <w:p w14:paraId="46585E91" w14:textId="77777777" w:rsidR="00BC1D4B" w:rsidRDefault="00ED1F84">
            <w:pPr>
              <w:spacing w:after="0" w:line="259" w:lineRule="auto"/>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Annex XVII</w:t>
            </w:r>
          </w:p>
        </w:tc>
        <w:tc>
          <w:tcPr>
            <w:tcW w:w="851" w:type="dxa"/>
            <w:tcBorders>
              <w:top w:val="single" w:sz="4" w:space="0" w:color="auto"/>
              <w:left w:val="single" w:sz="4" w:space="0" w:color="auto"/>
              <w:bottom w:val="single" w:sz="4" w:space="0" w:color="auto"/>
              <w:right w:val="single" w:sz="4" w:space="0" w:color="auto"/>
            </w:tcBorders>
            <w:shd w:val="clear" w:color="000000" w:fill="4F81BD"/>
            <w:vAlign w:val="center"/>
          </w:tcPr>
          <w:p w14:paraId="4730C9CD" w14:textId="77777777" w:rsidR="00BC1D4B" w:rsidRDefault="00ED1F84">
            <w:pPr>
              <w:spacing w:after="0" w:line="259" w:lineRule="auto"/>
              <w:rPr>
                <w:rFonts w:ascii="Verdana" w:eastAsia="Calibri" w:hAnsi="Verdana" w:cs="Calibri"/>
                <w:b/>
                <w:bCs/>
                <w:color w:val="FFFFFF"/>
                <w:sz w:val="16"/>
                <w:szCs w:val="16"/>
                <w:lang w:val="fr-FR" w:eastAsia="en-GB"/>
              </w:rPr>
            </w:pPr>
            <w:r>
              <w:rPr>
                <w:rFonts w:ascii="Verdana" w:eastAsia="Calibri" w:hAnsi="Verdana" w:cs="Calibri"/>
                <w:b/>
                <w:bCs/>
                <w:color w:val="FFFFFF"/>
                <w:sz w:val="16"/>
                <w:szCs w:val="16"/>
                <w:lang w:val="fr-FR" w:eastAsia="en-GB"/>
              </w:rPr>
              <w:t>Annex VI (CLP)</w:t>
            </w:r>
          </w:p>
        </w:tc>
        <w:tc>
          <w:tcPr>
            <w:tcW w:w="1408" w:type="dxa"/>
            <w:vMerge/>
            <w:tcBorders>
              <w:top w:val="single" w:sz="4" w:space="0" w:color="auto"/>
              <w:left w:val="single" w:sz="4" w:space="0" w:color="auto"/>
              <w:bottom w:val="single" w:sz="4" w:space="0" w:color="5B9BD5"/>
              <w:right w:val="none" w:sz="4" w:space="0" w:color="000000"/>
            </w:tcBorders>
            <w:vAlign w:val="center"/>
          </w:tcPr>
          <w:p w14:paraId="35BA913E" w14:textId="77777777" w:rsidR="00BC1D4B" w:rsidRDefault="00BC1D4B">
            <w:pPr>
              <w:spacing w:after="0" w:line="259" w:lineRule="auto"/>
              <w:rPr>
                <w:rFonts w:ascii="Verdana" w:eastAsia="Calibri" w:hAnsi="Verdana" w:cs="Calibri"/>
                <w:b/>
                <w:bCs/>
                <w:color w:val="FFFFFF"/>
                <w:sz w:val="16"/>
                <w:szCs w:val="16"/>
                <w:lang w:val="fr-FR" w:eastAsia="en-GB"/>
              </w:rPr>
            </w:pPr>
          </w:p>
        </w:tc>
      </w:tr>
    </w:tbl>
    <w:tbl>
      <w:tblPr>
        <w:tblStyle w:val="TableauGrille4-Accentuation1"/>
        <w:tblW w:w="5805" w:type="pct"/>
        <w:tblInd w:w="-5" w:type="dxa"/>
        <w:tblLayout w:type="fixed"/>
        <w:tblLook w:val="04A0" w:firstRow="1" w:lastRow="0" w:firstColumn="1" w:lastColumn="0" w:noHBand="0" w:noVBand="1"/>
      </w:tblPr>
      <w:tblGrid>
        <w:gridCol w:w="1133"/>
        <w:gridCol w:w="994"/>
        <w:gridCol w:w="708"/>
        <w:gridCol w:w="567"/>
        <w:gridCol w:w="708"/>
        <w:gridCol w:w="569"/>
        <w:gridCol w:w="850"/>
        <w:gridCol w:w="993"/>
        <w:gridCol w:w="850"/>
        <w:gridCol w:w="850"/>
        <w:gridCol w:w="1417"/>
      </w:tblGrid>
      <w:tr w:rsidR="00BC1D4B" w14:paraId="435561B5" w14:textId="77777777" w:rsidTr="00BC1D4B">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588" w:type="pct"/>
            <w:tcBorders>
              <w:top w:val="single" w:sz="4" w:space="0" w:color="auto"/>
              <w:left w:val="single" w:sz="4" w:space="0" w:color="auto"/>
              <w:bottom w:val="single" w:sz="4" w:space="0" w:color="auto"/>
              <w:right w:val="single" w:sz="4" w:space="0" w:color="auto"/>
            </w:tcBorders>
            <w:shd w:val="clear" w:color="auto" w:fill="auto"/>
          </w:tcPr>
          <w:p w14:paraId="5773E98B" w14:textId="77777777" w:rsidR="00BC1D4B" w:rsidRDefault="00ED1F84">
            <w:pPr>
              <w:spacing w:after="160" w:line="259" w:lineRule="auto"/>
              <w:rPr>
                <w:rFonts w:ascii="Verdana" w:eastAsia="Calibri" w:hAnsi="Verdana"/>
                <w:color w:val="000000"/>
                <w:sz w:val="16"/>
                <w:szCs w:val="16"/>
                <w:lang w:val="fr-FR"/>
              </w:rPr>
            </w:pPr>
            <w:r>
              <w:rPr>
                <w:rFonts w:ascii="Verdana" w:eastAsia="Calibri" w:hAnsi="Verdana"/>
                <w:b w:val="0"/>
                <w:bCs w:val="0"/>
                <w:color w:val="000000"/>
                <w:sz w:val="16"/>
                <w:szCs w:val="16"/>
                <w:lang w:val="fr-FR"/>
              </w:rPr>
              <w:t>203-002-1</w:t>
            </w:r>
          </w:p>
        </w:tc>
        <w:tc>
          <w:tcPr>
            <w:tcW w:w="516" w:type="pct"/>
            <w:tcBorders>
              <w:top w:val="single" w:sz="4" w:space="0" w:color="auto"/>
              <w:left w:val="single" w:sz="4" w:space="0" w:color="auto"/>
              <w:bottom w:val="single" w:sz="4" w:space="0" w:color="auto"/>
              <w:right w:val="single" w:sz="4" w:space="0" w:color="auto"/>
            </w:tcBorders>
            <w:shd w:val="clear" w:color="auto" w:fill="auto"/>
            <w:noWrap/>
          </w:tcPr>
          <w:p w14:paraId="14D34FBE" w14:textId="77777777" w:rsidR="00BC1D4B" w:rsidRDefault="00ED1F84">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olor w:val="000000"/>
                <w:sz w:val="16"/>
                <w:szCs w:val="16"/>
                <w:lang w:val="fr-FR"/>
              </w:rPr>
            </w:pPr>
            <w:r>
              <w:rPr>
                <w:rFonts w:ascii="Verdana" w:eastAsia="Calibri" w:hAnsi="Verdana"/>
                <w:color w:val="000000"/>
                <w:sz w:val="16"/>
                <w:szCs w:val="16"/>
                <w:lang w:val="fr-FR"/>
              </w:rPr>
              <w:t> </w:t>
            </w:r>
          </w:p>
        </w:tc>
        <w:tc>
          <w:tcPr>
            <w:tcW w:w="367" w:type="pct"/>
            <w:tcBorders>
              <w:top w:val="single" w:sz="4" w:space="0" w:color="auto"/>
              <w:left w:val="single" w:sz="4" w:space="0" w:color="auto"/>
              <w:bottom w:val="single" w:sz="4" w:space="0" w:color="auto"/>
              <w:right w:val="single" w:sz="4" w:space="0" w:color="auto"/>
            </w:tcBorders>
            <w:shd w:val="clear" w:color="auto" w:fill="auto"/>
            <w:noWrap/>
          </w:tcPr>
          <w:p w14:paraId="09A6E220" w14:textId="77777777" w:rsidR="00BC1D4B" w:rsidRDefault="00ED1F84">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olor w:val="000000"/>
                <w:sz w:val="16"/>
                <w:szCs w:val="16"/>
                <w:lang w:val="fr-FR"/>
              </w:rPr>
            </w:pPr>
            <w:r>
              <w:rPr>
                <w:rFonts w:ascii="Verdana" w:eastAsia="Calibri" w:hAnsi="Verdana"/>
                <w:color w:val="000000"/>
                <w:sz w:val="16"/>
                <w:szCs w:val="16"/>
                <w:lang w:val="fr-FR"/>
              </w:rPr>
              <w:t> </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14:paraId="623D9EA5" w14:textId="77777777" w:rsidR="00BC1D4B" w:rsidRDefault="00ED1F84">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olor w:val="000000"/>
                <w:sz w:val="16"/>
                <w:szCs w:val="16"/>
                <w:lang w:val="fr-FR"/>
              </w:rPr>
            </w:pPr>
            <w:r>
              <w:rPr>
                <w:rFonts w:ascii="Verdana" w:eastAsia="Calibri" w:hAnsi="Verdana"/>
                <w:color w:val="000000"/>
                <w:sz w:val="16"/>
                <w:szCs w:val="16"/>
                <w:lang w:val="fr-FR"/>
              </w:rPr>
              <w:t> X</w:t>
            </w:r>
          </w:p>
        </w:tc>
        <w:tc>
          <w:tcPr>
            <w:tcW w:w="367" w:type="pct"/>
            <w:tcBorders>
              <w:top w:val="single" w:sz="4" w:space="0" w:color="auto"/>
              <w:left w:val="single" w:sz="4" w:space="0" w:color="auto"/>
              <w:bottom w:val="single" w:sz="4" w:space="0" w:color="auto"/>
              <w:right w:val="single" w:sz="4" w:space="0" w:color="auto"/>
            </w:tcBorders>
            <w:shd w:val="clear" w:color="auto" w:fill="auto"/>
            <w:noWrap/>
          </w:tcPr>
          <w:p w14:paraId="70FC028B" w14:textId="77777777" w:rsidR="00BC1D4B" w:rsidRDefault="00ED1F84">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olor w:val="000000"/>
                <w:sz w:val="16"/>
                <w:szCs w:val="16"/>
                <w:lang w:val="fr-FR"/>
              </w:rPr>
            </w:pPr>
            <w:r>
              <w:rPr>
                <w:rFonts w:ascii="Verdana" w:eastAsia="Calibri" w:hAnsi="Verdana"/>
                <w:color w:val="000000"/>
                <w:sz w:val="16"/>
                <w:szCs w:val="16"/>
                <w:lang w:val="fr-FR"/>
              </w:rPr>
              <w:t>X </w:t>
            </w:r>
          </w:p>
        </w:tc>
        <w:tc>
          <w:tcPr>
            <w:tcW w:w="295" w:type="pct"/>
            <w:tcBorders>
              <w:top w:val="single" w:sz="4" w:space="0" w:color="auto"/>
              <w:left w:val="single" w:sz="4" w:space="0" w:color="auto"/>
              <w:bottom w:val="single" w:sz="4" w:space="0" w:color="auto"/>
              <w:right w:val="single" w:sz="4" w:space="0" w:color="auto"/>
            </w:tcBorders>
            <w:shd w:val="clear" w:color="auto" w:fill="auto"/>
            <w:noWrap/>
          </w:tcPr>
          <w:p w14:paraId="0EFA9033" w14:textId="77777777" w:rsidR="00BC1D4B" w:rsidRDefault="00ED1F84">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olor w:val="000000"/>
                <w:sz w:val="16"/>
                <w:szCs w:val="16"/>
                <w:lang w:val="fr-FR"/>
              </w:rPr>
            </w:pPr>
            <w:r>
              <w:rPr>
                <w:rFonts w:ascii="Verdana" w:eastAsia="Calibri" w:hAnsi="Verdana"/>
                <w:color w:val="000000"/>
                <w:sz w:val="16"/>
                <w:szCs w:val="16"/>
                <w:lang w:val="fr-FR"/>
              </w:rPr>
              <w:t>X </w:t>
            </w:r>
          </w:p>
        </w:tc>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3D7AB830" w14:textId="77777777" w:rsidR="00BC1D4B" w:rsidRDefault="00ED1F84">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olor w:val="000000"/>
                <w:sz w:val="16"/>
                <w:szCs w:val="16"/>
                <w:lang w:val="fr-FR"/>
              </w:rPr>
            </w:pPr>
            <w:r>
              <w:rPr>
                <w:rFonts w:ascii="Verdana" w:eastAsia="Calibri" w:hAnsi="Verdana"/>
                <w:color w:val="000000"/>
                <w:sz w:val="16"/>
                <w:szCs w:val="16"/>
                <w:lang w:val="fr-FR"/>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27F8E41A" w14:textId="77777777" w:rsidR="00BC1D4B" w:rsidRDefault="00ED1F84">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olor w:val="000000"/>
                <w:sz w:val="16"/>
                <w:szCs w:val="16"/>
                <w:lang w:val="fr-FR"/>
              </w:rPr>
            </w:pPr>
            <w:r>
              <w:rPr>
                <w:rFonts w:ascii="Verdana" w:eastAsia="Calibri" w:hAnsi="Verdana"/>
                <w:color w:val="000000"/>
                <w:sz w:val="16"/>
                <w:szCs w:val="16"/>
                <w:lang w:val="fr-FR"/>
              </w:rPr>
              <w:t> </w:t>
            </w:r>
          </w:p>
        </w:tc>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12538B0C" w14:textId="77777777" w:rsidR="00BC1D4B" w:rsidRDefault="00ED1F84">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olor w:val="000000"/>
                <w:sz w:val="16"/>
                <w:szCs w:val="16"/>
                <w:lang w:val="fr-FR"/>
              </w:rPr>
            </w:pPr>
            <w:r>
              <w:rPr>
                <w:rFonts w:ascii="Verdana" w:eastAsia="Calibri" w:hAnsi="Verdana"/>
                <w:color w:val="000000"/>
                <w:sz w:val="16"/>
                <w:szCs w:val="16"/>
                <w:lang w:val="fr-FR"/>
              </w:rPr>
              <w:t> </w:t>
            </w:r>
          </w:p>
        </w:tc>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2A09F76B" w14:textId="77777777" w:rsidR="00BC1D4B" w:rsidRDefault="00ED1F84">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olor w:val="000000"/>
                <w:sz w:val="16"/>
                <w:szCs w:val="16"/>
                <w:lang w:val="fr-FR"/>
              </w:rPr>
            </w:pPr>
            <w:r>
              <w:rPr>
                <w:rFonts w:ascii="Verdana" w:eastAsia="Calibri" w:hAnsi="Verdana"/>
                <w:color w:val="000000"/>
                <w:sz w:val="16"/>
                <w:szCs w:val="16"/>
                <w:lang w:val="fr-FR"/>
              </w:rPr>
              <w:t> X</w:t>
            </w: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5B659637" w14:textId="77777777" w:rsidR="00BC1D4B" w:rsidRDefault="00BC1D4B">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olor w:val="000000"/>
                <w:sz w:val="16"/>
                <w:szCs w:val="16"/>
                <w:lang w:val="en-US"/>
              </w:rPr>
            </w:pPr>
          </w:p>
          <w:p w14:paraId="6340ADB8" w14:textId="77777777" w:rsidR="00BC1D4B" w:rsidRDefault="00ED1F84">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olor w:val="000000"/>
                <w:sz w:val="16"/>
                <w:szCs w:val="16"/>
                <w:lang w:val="en-US"/>
              </w:rPr>
            </w:pPr>
            <w:r>
              <w:rPr>
                <w:rFonts w:ascii="Verdana" w:eastAsia="Calibri" w:hAnsi="Verdana"/>
                <w:color w:val="000000"/>
                <w:sz w:val="16"/>
                <w:szCs w:val="16"/>
                <w:lang w:val="en-US"/>
              </w:rPr>
              <w:t>see further details below</w:t>
            </w:r>
          </w:p>
        </w:tc>
      </w:tr>
    </w:tbl>
    <w:p w14:paraId="3D922BE1" w14:textId="77777777" w:rsidR="00BC1D4B" w:rsidRDefault="00ED1F84">
      <w:pPr>
        <w:spacing w:after="240"/>
        <w:rPr>
          <w:rFonts w:ascii="Verdana" w:hAnsi="Verdana"/>
          <w:bCs/>
          <w:sz w:val="18"/>
          <w:szCs w:val="18"/>
        </w:rPr>
      </w:pPr>
      <w:r>
        <w:rPr>
          <w:rFonts w:ascii="Verdana" w:hAnsi="Verdana"/>
          <w:bCs/>
          <w:sz w:val="18"/>
          <w:szCs w:val="18"/>
        </w:rPr>
        <w:t>Data consulted on March 2023</w:t>
      </w:r>
    </w:p>
    <w:p w14:paraId="2BAA2963" w14:textId="77777777" w:rsidR="00BC1D4B" w:rsidRDefault="00BC1D4B">
      <w:pPr>
        <w:pStyle w:val="Corpsdetexte"/>
        <w:tabs>
          <w:tab w:val="left" w:pos="1985"/>
          <w:tab w:val="left" w:pos="4678"/>
          <w:tab w:val="left" w:pos="7088"/>
        </w:tabs>
        <w:spacing w:after="0"/>
      </w:pPr>
    </w:p>
    <w:p w14:paraId="3A027BDA" w14:textId="77777777" w:rsidR="00BC1D4B" w:rsidRDefault="00BC1D4B" w:rsidP="002F4101">
      <w:pPr>
        <w:pStyle w:val="Corpsdetexte"/>
        <w:tabs>
          <w:tab w:val="left" w:pos="1985"/>
          <w:tab w:val="left" w:pos="4678"/>
          <w:tab w:val="left" w:pos="7088"/>
        </w:tabs>
        <w:spacing w:after="0"/>
        <w:rPr>
          <w:rFonts w:ascii="Verdana" w:hAnsi="Verdana"/>
          <w:b/>
          <w:sz w:val="20"/>
          <w:szCs w:val="20"/>
        </w:rPr>
      </w:pPr>
    </w:p>
    <w:p w14:paraId="0C563F94" w14:textId="77777777" w:rsidR="00BC1D4B" w:rsidRDefault="00ED1F84">
      <w:pPr>
        <w:spacing w:after="160" w:line="259" w:lineRule="auto"/>
        <w:jc w:val="both"/>
        <w:rPr>
          <w:rFonts w:ascii="Verdana" w:eastAsia="Calibri" w:hAnsi="Verdana"/>
          <w:sz w:val="20"/>
          <w:szCs w:val="20"/>
        </w:rPr>
      </w:pPr>
      <w:r>
        <w:rPr>
          <w:rFonts w:ascii="Verdana" w:eastAsia="Calibri" w:hAnsi="Verdana"/>
          <w:sz w:val="20"/>
          <w:szCs w:val="20"/>
        </w:rPr>
        <w:t>The dossier and substance evaluation processes have been completed. The requested information regarding compliance checks and testing proposals have been submitted by the Registrants.</w:t>
      </w:r>
    </w:p>
    <w:p w14:paraId="63D1BB06" w14:textId="77777777" w:rsidR="00BC1D4B" w:rsidRDefault="00ED1F84">
      <w:pPr>
        <w:pStyle w:val="Corpsdetexte"/>
        <w:jc w:val="both"/>
        <w:rPr>
          <w:rFonts w:ascii="Verdana" w:eastAsia="Calibri" w:hAnsi="Verdana"/>
          <w:sz w:val="20"/>
          <w:szCs w:val="20"/>
          <w:lang w:val="en-US"/>
        </w:rPr>
      </w:pPr>
      <w:r>
        <w:rPr>
          <w:rFonts w:ascii="Verdana" w:eastAsia="Calibri" w:hAnsi="Verdana"/>
          <w:sz w:val="20"/>
          <w:szCs w:val="20"/>
        </w:rPr>
        <w:t xml:space="preserve">1,3-diphenylguanidine (DPG) has an harmonised classification under regulation (EC) no. 1272/2008 on classification, labelling and packaging of substances and mixture at European level (CLP regulation). Following the substance evaluation conclusion report (ANSES, 2020), it was concluded that a revision of the harmonised classification is needed. </w:t>
      </w:r>
      <w:r>
        <w:rPr>
          <w:rFonts w:ascii="Verdana" w:eastAsia="Calibri" w:hAnsi="Verdana"/>
          <w:sz w:val="20"/>
          <w:szCs w:val="20"/>
          <w:lang w:val="en-US"/>
        </w:rPr>
        <w:t xml:space="preserve">This revision is ongoing and an overview of the current classification and new proposal is presented in section 1.4.1. </w:t>
      </w:r>
    </w:p>
    <w:p w14:paraId="0000C01B"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Based on its current classification, 1,3-diphenylguanidine may be concerned by other regulations due to its presence in the Annex VI of the CLP regulation (ECHA disseminated database</w:t>
      </w:r>
      <w:r>
        <w:rPr>
          <w:rStyle w:val="Appelnotedebasdep"/>
          <w:rFonts w:eastAsia="Calibri"/>
          <w:szCs w:val="20"/>
          <w:lang w:val="en-US"/>
        </w:rPr>
        <w:footnoteReference w:id="3"/>
      </w:r>
      <w:r>
        <w:rPr>
          <w:rFonts w:ascii="Verdana" w:eastAsia="Calibri" w:hAnsi="Verdana"/>
          <w:sz w:val="20"/>
          <w:szCs w:val="20"/>
          <w:lang w:val="en-US"/>
        </w:rPr>
        <w:t>):</w:t>
      </w:r>
    </w:p>
    <w:p w14:paraId="3C05F7DF"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Active implantable medical device directive</w:t>
      </w:r>
    </w:p>
    <w:p w14:paraId="4C030AB7"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Directive Chemical Agent Directive “CAD” (directive 98/24/EC on the protection of the health and safety of workers from the risk related to chemical agents at work)</w:t>
      </w:r>
    </w:p>
    <w:p w14:paraId="2BBEED1E"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Construction product regulation</w:t>
      </w:r>
    </w:p>
    <w:p w14:paraId="569B5B2F"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Cosmetic product regulation </w:t>
      </w:r>
    </w:p>
    <w:p w14:paraId="2105F843"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EU ecolabel regulation </w:t>
      </w:r>
    </w:p>
    <w:p w14:paraId="7D11E22D"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End of life vehicle directive</w:t>
      </w:r>
    </w:p>
    <w:p w14:paraId="321ECF43"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Food contact material: not allowed for use</w:t>
      </w:r>
    </w:p>
    <w:p w14:paraId="6301FB01"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General product safety directive</w:t>
      </w:r>
    </w:p>
    <w:p w14:paraId="5E074202"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In Vitro Diagnostic Medical Devices Directive </w:t>
      </w:r>
    </w:p>
    <w:p w14:paraId="577C2F1A"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Marine environmental policy framework directive</w:t>
      </w:r>
    </w:p>
    <w:p w14:paraId="5227D342"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Medical Devices Regulation </w:t>
      </w:r>
    </w:p>
    <w:p w14:paraId="5CE06A82"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Protection of Pregnant and Breastfeeding Workers Directive </w:t>
      </w:r>
    </w:p>
    <w:p w14:paraId="2862EDC5"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Safety and Health of Workers at Work Directive </w:t>
      </w:r>
    </w:p>
    <w:p w14:paraId="764871A9"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Safety and/or Health Signs at Work Directive </w:t>
      </w:r>
    </w:p>
    <w:p w14:paraId="543D4B17" w14:textId="77777777" w:rsidR="00BC1D4B" w:rsidRDefault="00ED1F84" w:rsidP="00563EB3">
      <w:pPr>
        <w:pStyle w:val="Paragraphedeliste"/>
        <w:numPr>
          <w:ilvl w:val="0"/>
          <w:numId w:val="23"/>
        </w:numPr>
        <w:tabs>
          <w:tab w:val="num" w:pos="360"/>
        </w:tabs>
        <w:spacing w:after="160" w:line="259" w:lineRule="auto"/>
        <w:jc w:val="both"/>
        <w:rPr>
          <w:rFonts w:ascii="Verdana" w:eastAsia="Calibri" w:hAnsi="Verdana"/>
          <w:sz w:val="20"/>
          <w:szCs w:val="20"/>
          <w:lang w:val="en-US"/>
        </w:rPr>
      </w:pPr>
      <w:r>
        <w:rPr>
          <w:rFonts w:ascii="Verdana" w:eastAsia="Calibri" w:hAnsi="Verdana"/>
          <w:sz w:val="20"/>
          <w:szCs w:val="20"/>
          <w:lang w:val="en-US"/>
        </w:rPr>
        <w:t>Waste Framework Directive</w:t>
      </w:r>
    </w:p>
    <w:p w14:paraId="4E76A45F"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lastRenderedPageBreak/>
        <w:t>In addition, as indicated in ECHA disseminated database, installations using 1,3-diphenylguanidine may be subjected (due to its classification Hazardous to the Aquatic Environment in Category Chronic 2) to industrial accident prevention and reporting requirements in accordance to the Seveso III Directive (Directive 2012/18/EU)</w:t>
      </w:r>
      <w:r>
        <w:rPr>
          <w:rStyle w:val="Appelnotedebasdep"/>
          <w:rFonts w:eastAsia="Calibri"/>
          <w:szCs w:val="20"/>
          <w:lang w:val="en-US"/>
        </w:rPr>
        <w:footnoteReference w:id="4"/>
      </w:r>
      <w:r>
        <w:rPr>
          <w:rFonts w:ascii="Verdana" w:eastAsia="Calibri" w:hAnsi="Verdana"/>
          <w:sz w:val="20"/>
          <w:szCs w:val="20"/>
          <w:lang w:val="en-US"/>
        </w:rPr>
        <w:t>.</w:t>
      </w:r>
      <w:r>
        <w:t xml:space="preserve"> </w:t>
      </w:r>
    </w:p>
    <w:p w14:paraId="0664BC66" w14:textId="77777777" w:rsidR="00BC1D4B" w:rsidRDefault="00BC1D4B">
      <w:pPr>
        <w:spacing w:after="160" w:line="259" w:lineRule="auto"/>
        <w:jc w:val="both"/>
        <w:rPr>
          <w:rFonts w:ascii="Verdana" w:eastAsia="Calibri" w:hAnsi="Verdana"/>
          <w:sz w:val="20"/>
          <w:szCs w:val="20"/>
          <w:lang w:val="en-US"/>
        </w:rPr>
      </w:pPr>
    </w:p>
    <w:p w14:paraId="619C47B4" w14:textId="6FB3DA0D" w:rsidR="00BC1D4B" w:rsidRDefault="00ED1F84">
      <w:pPr>
        <w:spacing w:after="200" w:line="276" w:lineRule="auto"/>
        <w:jc w:val="both"/>
      </w:pPr>
      <w:r>
        <w:rPr>
          <w:rFonts w:ascii="Verdana" w:hAnsi="Verdana"/>
          <w:sz w:val="20"/>
          <w:szCs w:val="20"/>
        </w:rPr>
        <w:t>According to Gestis substance database</w:t>
      </w:r>
      <w:r>
        <w:rPr>
          <w:rStyle w:val="Appelnotedebasdep"/>
          <w:szCs w:val="20"/>
        </w:rPr>
        <w:footnoteReference w:id="5"/>
      </w:r>
      <w:r>
        <w:rPr>
          <w:rFonts w:ascii="Verdana" w:hAnsi="Verdana"/>
          <w:sz w:val="20"/>
          <w:szCs w:val="20"/>
        </w:rPr>
        <w:t>, no occupational exposure limit</w:t>
      </w:r>
      <w:r w:rsidR="00A63126">
        <w:rPr>
          <w:rFonts w:ascii="Verdana" w:hAnsi="Verdana"/>
          <w:sz w:val="20"/>
          <w:szCs w:val="20"/>
        </w:rPr>
        <w:t>s</w:t>
      </w:r>
      <w:r>
        <w:rPr>
          <w:rFonts w:ascii="Verdana" w:hAnsi="Verdana"/>
          <w:sz w:val="20"/>
          <w:szCs w:val="20"/>
        </w:rPr>
        <w:t xml:space="preserve"> (OEL</w:t>
      </w:r>
      <w:r w:rsidR="00A63126">
        <w:rPr>
          <w:rFonts w:ascii="Verdana" w:hAnsi="Verdana"/>
          <w:sz w:val="20"/>
          <w:szCs w:val="20"/>
        </w:rPr>
        <w:t>s</w:t>
      </w:r>
      <w:r>
        <w:rPr>
          <w:rFonts w:ascii="Verdana" w:hAnsi="Verdana"/>
          <w:sz w:val="20"/>
          <w:szCs w:val="20"/>
        </w:rPr>
        <w:t>) values exist at the European level for this substance</w:t>
      </w:r>
      <w:r w:rsidR="004A4533">
        <w:rPr>
          <w:rFonts w:ascii="Verdana" w:hAnsi="Verdana"/>
          <w:sz w:val="20"/>
          <w:szCs w:val="20"/>
        </w:rPr>
        <w:t xml:space="preserve">. </w:t>
      </w:r>
      <w:r w:rsidR="00706001">
        <w:rPr>
          <w:rFonts w:ascii="Verdana" w:hAnsi="Verdana"/>
          <w:sz w:val="20"/>
          <w:szCs w:val="20"/>
        </w:rPr>
        <w:t>B</w:t>
      </w:r>
      <w:r w:rsidR="00947DB4">
        <w:rPr>
          <w:rFonts w:ascii="Verdana" w:hAnsi="Verdana"/>
          <w:sz w:val="20"/>
          <w:szCs w:val="20"/>
        </w:rPr>
        <w:t>iological limit values (</w:t>
      </w:r>
      <w:r w:rsidR="00A63126">
        <w:rPr>
          <w:rFonts w:ascii="Verdana" w:hAnsi="Verdana"/>
          <w:sz w:val="20"/>
          <w:szCs w:val="20"/>
        </w:rPr>
        <w:t>BLVs</w:t>
      </w:r>
      <w:r w:rsidR="00947DB4">
        <w:rPr>
          <w:rFonts w:ascii="Verdana" w:hAnsi="Verdana"/>
          <w:sz w:val="20"/>
          <w:szCs w:val="20"/>
        </w:rPr>
        <w:t>)</w:t>
      </w:r>
      <w:r w:rsidR="004A4533">
        <w:rPr>
          <w:rFonts w:ascii="Verdana" w:hAnsi="Verdana"/>
          <w:sz w:val="20"/>
          <w:szCs w:val="20"/>
        </w:rPr>
        <w:t xml:space="preserve"> </w:t>
      </w:r>
      <w:r w:rsidR="00A63126">
        <w:rPr>
          <w:rFonts w:ascii="Verdana" w:hAnsi="Verdana"/>
          <w:sz w:val="20"/>
          <w:szCs w:val="20"/>
        </w:rPr>
        <w:t xml:space="preserve">or </w:t>
      </w:r>
      <w:r w:rsidR="00947DB4">
        <w:rPr>
          <w:rFonts w:ascii="Verdana" w:hAnsi="Verdana"/>
          <w:sz w:val="20"/>
          <w:szCs w:val="20"/>
        </w:rPr>
        <w:t>biological guidance values (</w:t>
      </w:r>
      <w:r w:rsidR="00A63126">
        <w:rPr>
          <w:rFonts w:ascii="Verdana" w:hAnsi="Verdana"/>
          <w:sz w:val="20"/>
          <w:szCs w:val="20"/>
        </w:rPr>
        <w:t>BGVs</w:t>
      </w:r>
      <w:r w:rsidR="00947DB4">
        <w:rPr>
          <w:rFonts w:ascii="Verdana" w:hAnsi="Verdana"/>
          <w:sz w:val="20"/>
          <w:szCs w:val="20"/>
        </w:rPr>
        <w:t>)</w:t>
      </w:r>
      <w:r w:rsidR="004A4533">
        <w:rPr>
          <w:rFonts w:ascii="Verdana" w:hAnsi="Verdana"/>
          <w:sz w:val="20"/>
          <w:szCs w:val="20"/>
        </w:rPr>
        <w:t xml:space="preserve"> are not recommended by the scientific committee on occupational exposure limits (SCOEL, 2014)</w:t>
      </w:r>
      <w:r>
        <w:rPr>
          <w:rFonts w:ascii="Verdana" w:hAnsi="Verdana"/>
          <w:sz w:val="20"/>
          <w:szCs w:val="20"/>
        </w:rPr>
        <w:t xml:space="preserve">. </w:t>
      </w:r>
      <w:r>
        <w:rPr>
          <w:rFonts w:ascii="Verdana" w:hAnsi="Verdana"/>
          <w:sz w:val="20"/>
          <w:szCs w:val="20"/>
        </w:rPr>
        <w:br w:type="page" w:clear="all"/>
      </w:r>
    </w:p>
    <w:p w14:paraId="63875ADB" w14:textId="77777777" w:rsidR="00BC1D4B" w:rsidRDefault="00ED1F84">
      <w:pPr>
        <w:pStyle w:val="Titre2"/>
        <w:rPr>
          <w:sz w:val="28"/>
        </w:rPr>
      </w:pPr>
      <w:bookmarkStart w:id="14" w:name="_Toc137044468"/>
      <w:r>
        <w:lastRenderedPageBreak/>
        <w:t>Information on tonnage and uses</w:t>
      </w:r>
      <w:bookmarkEnd w:id="14"/>
    </w:p>
    <w:p w14:paraId="5AB57406" w14:textId="77777777" w:rsidR="00BC1D4B" w:rsidRDefault="00ED1F84">
      <w:pPr>
        <w:pStyle w:val="Lgende"/>
      </w:pPr>
      <w:r>
        <w:t>Table 3: Tonnage and registration status</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445"/>
        <w:gridCol w:w="4825"/>
      </w:tblGrid>
      <w:tr w:rsidR="00BC1D4B" w14:paraId="73C85BE6" w14:textId="77777777">
        <w:trPr>
          <w:trHeight w:val="375"/>
          <w:jc w:val="center"/>
        </w:trPr>
        <w:tc>
          <w:tcPr>
            <w:tcW w:w="8270" w:type="dxa"/>
            <w:gridSpan w:val="2"/>
            <w:shd w:val="clear" w:color="auto" w:fill="auto"/>
            <w:vAlign w:val="center"/>
          </w:tcPr>
          <w:p w14:paraId="7E30FCAB" w14:textId="77777777" w:rsidR="00BC1D4B" w:rsidRDefault="00ED1F84">
            <w:pPr>
              <w:pStyle w:val="Lgende"/>
            </w:pPr>
            <w:r>
              <w:t>From ECHA dissemination site</w:t>
            </w:r>
            <w:r>
              <w:rPr>
                <w:rStyle w:val="Appelnotedebasdep"/>
                <w:b w:val="0"/>
              </w:rPr>
              <w:footnoteReference w:id="6"/>
            </w:r>
          </w:p>
        </w:tc>
      </w:tr>
      <w:tr w:rsidR="00BC1D4B" w14:paraId="43A525F2" w14:textId="77777777">
        <w:trPr>
          <w:trHeight w:val="1846"/>
          <w:jc w:val="center"/>
        </w:trPr>
        <w:tc>
          <w:tcPr>
            <w:tcW w:w="3445" w:type="dxa"/>
            <w:shd w:val="clear" w:color="auto" w:fill="auto"/>
            <w:vAlign w:val="center"/>
          </w:tcPr>
          <w:p w14:paraId="687A8A47" w14:textId="77777777" w:rsidR="00BC1D4B" w:rsidRDefault="00ED1F84">
            <w:pPr>
              <w:pStyle w:val="Lgende"/>
            </w:pPr>
            <w:r>
              <w:t>Registrations</w:t>
            </w:r>
          </w:p>
        </w:tc>
        <w:tc>
          <w:tcPr>
            <w:tcW w:w="4825" w:type="dxa"/>
            <w:shd w:val="clear" w:color="auto" w:fill="auto"/>
            <w:vAlign w:val="center"/>
          </w:tcPr>
          <w:p w14:paraId="4017AC38" w14:textId="77777777" w:rsidR="00BC1D4B" w:rsidRDefault="009E2E72">
            <w:pPr>
              <w:pStyle w:val="Lgende"/>
            </w:pPr>
            <w:sdt>
              <w:sdtPr>
                <w:id w:val="1340504549"/>
                <w14:checkbox>
                  <w14:checked w14:val="1"/>
                  <w14:checkedState w14:val="2612" w14:font="MS Gothic"/>
                  <w14:uncheckedState w14:val="2610" w14:font="MS Gothic"/>
                </w14:checkbox>
              </w:sdtPr>
              <w:sdtEndPr/>
              <w:sdtContent>
                <w:r w:rsidR="00ED1F84">
                  <w:rPr>
                    <w:rFonts w:ascii="Segoe UI Symbol" w:eastAsia="MS Gothic" w:hAnsi="Segoe UI Symbol" w:cs="Segoe UI Symbol"/>
                  </w:rPr>
                  <w:t>☒</w:t>
                </w:r>
              </w:sdtContent>
            </w:sdt>
            <w:r w:rsidR="00ED1F84">
              <w:t xml:space="preserve"> Full registration(s)</w:t>
            </w:r>
          </w:p>
          <w:p w14:paraId="6736C5CB" w14:textId="77777777" w:rsidR="00BC1D4B" w:rsidRDefault="00ED1F84">
            <w:pPr>
              <w:pStyle w:val="Lgende"/>
            </w:pPr>
            <w:r>
              <w:t>(Art. 10)</w:t>
            </w:r>
          </w:p>
          <w:p w14:paraId="3B4EFAB3" w14:textId="77777777" w:rsidR="00BC1D4B" w:rsidRDefault="009E2E72">
            <w:pPr>
              <w:pStyle w:val="Lgende"/>
            </w:pPr>
            <w:sdt>
              <w:sdtPr>
                <w:id w:val="-1265840130"/>
                <w14:checkbox>
                  <w14:checked w14:val="0"/>
                  <w14:checkedState w14:val="2612" w14:font="MS Gothic"/>
                  <w14:uncheckedState w14:val="2610" w14:font="MS Gothic"/>
                </w14:checkbox>
              </w:sdtPr>
              <w:sdtEndPr/>
              <w:sdtContent>
                <w:r w:rsidR="00ED1F84">
                  <w:rPr>
                    <w:rFonts w:ascii="MS Gothic" w:eastAsia="MS Gothic" w:hAnsi="MS Gothic" w:hint="eastAsia"/>
                  </w:rPr>
                  <w:t>☐</w:t>
                </w:r>
              </w:sdtContent>
            </w:sdt>
            <w:r w:rsidR="00ED1F84">
              <w:t xml:space="preserve"> Intermediate registration(s)</w:t>
            </w:r>
          </w:p>
          <w:p w14:paraId="5FF48BD4" w14:textId="77777777" w:rsidR="00BC1D4B" w:rsidRDefault="00ED1F84">
            <w:pPr>
              <w:pStyle w:val="Lgende"/>
            </w:pPr>
            <w:r>
              <w:t>(Art. 17 and/or 18)</w:t>
            </w:r>
          </w:p>
        </w:tc>
      </w:tr>
      <w:tr w:rsidR="00BC1D4B" w14:paraId="3023A6B9" w14:textId="77777777">
        <w:trPr>
          <w:trHeight w:val="1860"/>
          <w:jc w:val="center"/>
        </w:trPr>
        <w:tc>
          <w:tcPr>
            <w:tcW w:w="3445" w:type="dxa"/>
            <w:tcBorders>
              <w:bottom w:val="single" w:sz="4" w:space="0" w:color="auto"/>
            </w:tcBorders>
            <w:shd w:val="clear" w:color="auto" w:fill="auto"/>
            <w:vAlign w:val="center"/>
          </w:tcPr>
          <w:p w14:paraId="31AD9E44" w14:textId="77777777" w:rsidR="00BC1D4B" w:rsidRDefault="00ED1F84">
            <w:pPr>
              <w:pStyle w:val="Lgende"/>
            </w:pPr>
            <w:r>
              <w:t xml:space="preserve">Total tonnage band for substance (excluding volume registered under Art 17 or Art 18, or directly exported) </w:t>
            </w:r>
          </w:p>
        </w:tc>
        <w:tc>
          <w:tcPr>
            <w:tcW w:w="4825" w:type="dxa"/>
            <w:tcBorders>
              <w:bottom w:val="single" w:sz="4" w:space="0" w:color="auto"/>
            </w:tcBorders>
            <w:shd w:val="clear" w:color="auto" w:fill="auto"/>
            <w:vAlign w:val="center"/>
          </w:tcPr>
          <w:p w14:paraId="6C9D5903" w14:textId="77777777" w:rsidR="00BC1D4B" w:rsidRDefault="00BC1D4B">
            <w:pPr>
              <w:pStyle w:val="Lgende"/>
            </w:pPr>
          </w:p>
          <w:p w14:paraId="6B6CBEC6" w14:textId="37D2F252" w:rsidR="00BC1D4B" w:rsidRDefault="009E2E72">
            <w:pPr>
              <w:pStyle w:val="Corpsdetexte"/>
              <w:spacing w:after="0"/>
              <w:jc w:val="center"/>
              <w:rPr>
                <w:rFonts w:ascii="Verdana" w:hAnsi="Verdana"/>
                <w:sz w:val="20"/>
                <w:szCs w:val="20"/>
              </w:rPr>
            </w:pPr>
            <w:sdt>
              <w:sdtPr>
                <w:rPr>
                  <w:rFonts w:ascii="Verdana" w:hAnsi="Verdana"/>
                  <w:sz w:val="20"/>
                  <w:szCs w:val="20"/>
                </w:rPr>
                <w:alias w:val="Choose the appropriate option below."/>
                <w:tag w:val="Choose the appropriate option below."/>
                <w:id w:val="-1446926797"/>
                <w:dropDownList>
                  <w:listItem w:displayText="Choose the appropriate option from this dropdown menu." w:value="Choose the appropriate option from this dropdown menu."/>
                  <w:listItem w:displayText="1-10 tpa" w:value="1-10 tpa"/>
                  <w:listItem w:displayText="10-100 tpa" w:value="10-100 tpa"/>
                  <w:listItem w:displayText="100-1,000 tpa" w:value="100-1,000 tpa"/>
                  <w:listItem w:displayText="1,000-10,000 tpa" w:value="1,000-10,000 tpa"/>
                  <w:listItem w:displayText="10,000-100,000 tpa" w:value="10,000-100,000 tpa"/>
                  <w:listItem w:displayText="100,000-1,000,000 tpa" w:value="100,000-1,000,000 tpa"/>
                  <w:listItem w:displayText="1,000,000-10,000,000 tpa" w:value="1,000,000-10,000,000 tpa"/>
                  <w:listItem w:displayText="10,000,000-100,000,000 tpa" w:value="10,000,000-100,000,000 tpa"/>
                  <w:listItem w:displayText="&gt; 100,000,000 tpa" w:value="&gt; 100,000,000 tpa"/>
                  <w:listItem w:displayText="&lt;1 . . . . . . . . . . . . &gt;+ tpa  (e.g. 10+ ; 100+ ; 10,000+  tpa)" w:value="&lt;1 . . . . . . . . . . . . &gt;+ tpa  (e.g. 10+ ; 100+ ; 10,000+  tpa)"/>
                  <w:listItem w:displayText="Confidential" w:value="Confidential"/>
                </w:dropDownList>
              </w:sdtPr>
              <w:sdtEndPr/>
              <w:sdtContent>
                <w:r w:rsidR="00ED1F84" w:rsidDel="00BF5049">
                  <w:rPr>
                    <w:rFonts w:ascii="Verdana" w:hAnsi="Verdana"/>
                    <w:sz w:val="20"/>
                    <w:szCs w:val="20"/>
                  </w:rPr>
                  <w:t>10,000-100,000 tpa</w:t>
                </w:r>
              </w:sdtContent>
            </w:sdt>
          </w:p>
          <w:p w14:paraId="45DFA758" w14:textId="77777777" w:rsidR="00BC1D4B" w:rsidRDefault="00BC1D4B">
            <w:pPr>
              <w:pStyle w:val="Lgende"/>
            </w:pPr>
          </w:p>
        </w:tc>
      </w:tr>
    </w:tbl>
    <w:p w14:paraId="62BFD32F" w14:textId="77777777" w:rsidR="00BC1D4B" w:rsidRDefault="00BC1D4B">
      <w:pPr>
        <w:spacing w:after="0"/>
        <w:rPr>
          <w:rFonts w:ascii="Verdana" w:hAnsi="Verdana"/>
          <w:sz w:val="20"/>
          <w:szCs w:val="20"/>
        </w:rPr>
      </w:pPr>
    </w:p>
    <w:p w14:paraId="741592F4" w14:textId="77777777" w:rsidR="00BC1D4B" w:rsidRDefault="00BC1D4B">
      <w:pPr>
        <w:spacing w:after="0"/>
        <w:rPr>
          <w:rFonts w:ascii="Verdana" w:hAnsi="Verdana"/>
          <w:sz w:val="20"/>
          <w:szCs w:val="20"/>
          <w:lang w:val="fr-FR"/>
        </w:rPr>
      </w:pPr>
    </w:p>
    <w:p w14:paraId="7AB39585" w14:textId="77777777" w:rsidR="00BC1D4B" w:rsidRDefault="00ED1F84">
      <w:pPr>
        <w:spacing w:after="0"/>
        <w:jc w:val="both"/>
        <w:rPr>
          <w:rFonts w:ascii="Verdana" w:hAnsi="Verdana"/>
          <w:sz w:val="20"/>
          <w:szCs w:val="20"/>
          <w:lang w:val="en-US"/>
        </w:rPr>
      </w:pPr>
      <w:r>
        <w:rPr>
          <w:rFonts w:ascii="Verdana" w:hAnsi="Verdana"/>
          <w:sz w:val="20"/>
          <w:szCs w:val="20"/>
          <w:lang w:val="en-US"/>
        </w:rPr>
        <w:t>The registered tonnage of the substance has increased from 1,000-10,000 tpa during substance evaluation to 10,000-100,000 tpa nowadays.</w:t>
      </w:r>
    </w:p>
    <w:p w14:paraId="567C0B52" w14:textId="77777777" w:rsidR="00BC1D4B" w:rsidRDefault="00BC1D4B">
      <w:pPr>
        <w:spacing w:after="0"/>
        <w:rPr>
          <w:rFonts w:ascii="Verdana" w:hAnsi="Verdana"/>
          <w:sz w:val="20"/>
          <w:szCs w:val="20"/>
          <w:lang w:val="en-US"/>
        </w:rPr>
      </w:pPr>
    </w:p>
    <w:p w14:paraId="6FCB3A4E" w14:textId="47993DBC" w:rsidR="00BC1D4B" w:rsidRDefault="00ED1F84">
      <w:pPr>
        <w:keepNext/>
        <w:spacing w:before="120" w:after="90"/>
        <w:jc w:val="both"/>
        <w:rPr>
          <w:rFonts w:ascii="Verdana" w:hAnsi="Verdana"/>
          <w:sz w:val="20"/>
          <w:szCs w:val="20"/>
        </w:rPr>
      </w:pPr>
      <w:r>
        <w:rPr>
          <w:rFonts w:ascii="Verdana" w:hAnsi="Verdana"/>
          <w:sz w:val="20"/>
          <w:szCs w:val="20"/>
        </w:rPr>
        <w:t xml:space="preserve">DPG is mainly used in the manufacture of rubber as a vulcanizing agent and vulcanizing accelerator. This substance is used in the manufacture of general rubber goods and tyres. As indicated by the Registrants, the substance can be found in articles like pipes and tubes, rubber shoes, mattresses, conveyor belts, hygiene items or inflatable toys.  Literature also reported the presence of DPG in articles such as medical gloves (Hamnerius </w:t>
      </w:r>
      <w:r>
        <w:rPr>
          <w:rFonts w:ascii="Verdana" w:hAnsi="Verdana"/>
          <w:i/>
          <w:sz w:val="20"/>
          <w:szCs w:val="20"/>
        </w:rPr>
        <w:t>et al</w:t>
      </w:r>
      <w:r>
        <w:rPr>
          <w:rFonts w:ascii="Verdana" w:hAnsi="Verdana"/>
          <w:sz w:val="20"/>
          <w:szCs w:val="20"/>
        </w:rPr>
        <w:t>. 2014, Cr</w:t>
      </w:r>
      <w:r w:rsidR="00392E28">
        <w:rPr>
          <w:rFonts w:ascii="Verdana" w:hAnsi="Verdana"/>
          <w:sz w:val="20"/>
          <w:szCs w:val="20"/>
        </w:rPr>
        <w:t>e</w:t>
      </w:r>
      <w:r>
        <w:rPr>
          <w:rFonts w:ascii="Verdana" w:hAnsi="Verdana"/>
          <w:sz w:val="20"/>
          <w:szCs w:val="20"/>
        </w:rPr>
        <w:t>py 2016). A detailed overview of uses and related exposure scenario for human health and the environment is available in Annex I.</w:t>
      </w:r>
    </w:p>
    <w:p w14:paraId="6288A34B" w14:textId="77777777" w:rsidR="00BC1D4B" w:rsidRDefault="00BC1D4B">
      <w:pPr>
        <w:keepNext/>
        <w:spacing w:before="120" w:after="90"/>
        <w:rPr>
          <w:rFonts w:ascii="Verdana" w:hAnsi="Verdana"/>
          <w:b/>
          <w:bCs/>
          <w:sz w:val="20"/>
          <w:szCs w:val="20"/>
        </w:rPr>
      </w:pPr>
    </w:p>
    <w:p w14:paraId="2EED4FE2" w14:textId="77777777" w:rsidR="00BC1D4B" w:rsidRDefault="00ED1F84">
      <w:pPr>
        <w:spacing w:after="200" w:line="276" w:lineRule="auto"/>
        <w:rPr>
          <w:rFonts w:ascii="Verdana" w:hAnsi="Verdana" w:cs="Arial"/>
          <w:b/>
          <w:color w:val="0046AD"/>
          <w:szCs w:val="22"/>
          <w:lang w:val="en-US"/>
        </w:rPr>
      </w:pPr>
      <w:r>
        <w:rPr>
          <w:lang w:val="en-US"/>
        </w:rPr>
        <w:br w:type="page" w:clear="all"/>
      </w:r>
    </w:p>
    <w:p w14:paraId="611E708F" w14:textId="77777777" w:rsidR="00BC1D4B" w:rsidRDefault="00ED1F84">
      <w:pPr>
        <w:pStyle w:val="Titre2"/>
        <w:rPr>
          <w:lang w:val="en-US"/>
        </w:rPr>
      </w:pPr>
      <w:bookmarkStart w:id="15" w:name="_Toc137044469"/>
      <w:r>
        <w:rPr>
          <w:lang w:val="en-US"/>
        </w:rPr>
        <w:lastRenderedPageBreak/>
        <w:t xml:space="preserve">Hazard </w:t>
      </w:r>
      <w:r>
        <w:t>information</w:t>
      </w:r>
      <w:r>
        <w:rPr>
          <w:lang w:val="en-US"/>
        </w:rPr>
        <w:t xml:space="preserve"> (including classification)</w:t>
      </w:r>
      <w:bookmarkEnd w:id="15"/>
    </w:p>
    <w:p w14:paraId="67D10785" w14:textId="77777777" w:rsidR="00BC1D4B" w:rsidRDefault="00ED1F84">
      <w:pPr>
        <w:pStyle w:val="Corpsdetexte"/>
        <w:jc w:val="both"/>
        <w:rPr>
          <w:rFonts w:ascii="Verdana" w:hAnsi="Verdana"/>
          <w:sz w:val="20"/>
          <w:szCs w:val="20"/>
          <w:lang w:val="en-US"/>
        </w:rPr>
      </w:pPr>
      <w:r>
        <w:rPr>
          <w:rFonts w:ascii="Verdana" w:hAnsi="Verdana"/>
          <w:sz w:val="20"/>
          <w:szCs w:val="20"/>
          <w:lang w:val="en-US"/>
        </w:rPr>
        <w:t>A comprehensive hazard assessment was performed and is available in the SEv conclusion document (ANSES, 2020)</w:t>
      </w:r>
      <w:r>
        <w:rPr>
          <w:rStyle w:val="Appelnotedebasdep"/>
          <w:szCs w:val="20"/>
          <w:lang w:val="en-US"/>
        </w:rPr>
        <w:footnoteReference w:id="7"/>
      </w:r>
      <w:r>
        <w:rPr>
          <w:rFonts w:ascii="Verdana" w:hAnsi="Verdana"/>
          <w:sz w:val="20"/>
          <w:szCs w:val="20"/>
          <w:lang w:val="en-US"/>
        </w:rPr>
        <w:t xml:space="preserve">. </w:t>
      </w:r>
    </w:p>
    <w:p w14:paraId="67501983" w14:textId="77777777" w:rsidR="00BC1D4B" w:rsidRDefault="00ED1F84">
      <w:pPr>
        <w:pStyle w:val="Titre3"/>
        <w:rPr>
          <w:lang w:val="en-US"/>
        </w:rPr>
      </w:pPr>
      <w:bookmarkStart w:id="16" w:name="_Toc137044470"/>
      <w:r>
        <w:t>Classification</w:t>
      </w:r>
      <w:bookmarkEnd w:id="16"/>
    </w:p>
    <w:p w14:paraId="06EFAD21" w14:textId="77777777" w:rsidR="00BC1D4B" w:rsidRDefault="00ED1F84">
      <w:pPr>
        <w:pStyle w:val="Corpsdetexte"/>
        <w:jc w:val="both"/>
        <w:rPr>
          <w:rFonts w:ascii="Verdana" w:hAnsi="Verdana"/>
          <w:b/>
          <w:sz w:val="20"/>
          <w:szCs w:val="20"/>
        </w:rPr>
      </w:pPr>
      <w:r>
        <w:rPr>
          <w:rFonts w:ascii="Verdana" w:eastAsia="Calibri" w:hAnsi="Verdana"/>
          <w:sz w:val="20"/>
          <w:szCs w:val="20"/>
        </w:rPr>
        <w:t>1,3-diphenylguanidine (DPG) has an harmonised classification under CLP regulation.</w:t>
      </w:r>
    </w:p>
    <w:p w14:paraId="33D18C1A" w14:textId="77777777" w:rsidR="00BC1D4B" w:rsidRDefault="00ED1F84">
      <w:pPr>
        <w:pStyle w:val="Corpsdetexte"/>
        <w:jc w:val="both"/>
        <w:rPr>
          <w:rFonts w:ascii="Verdana" w:hAnsi="Verdana"/>
          <w:b/>
          <w:sz w:val="20"/>
          <w:szCs w:val="20"/>
        </w:rPr>
      </w:pPr>
      <w:r>
        <w:rPr>
          <w:rFonts w:ascii="Verdana" w:hAnsi="Verdana"/>
          <w:b/>
          <w:sz w:val="20"/>
          <w:szCs w:val="20"/>
        </w:rPr>
        <w:t>Table 4: Harmonised classification according to Annex VI of CLP regulation (Regulation (EC) 1272/2008)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1949"/>
        <w:gridCol w:w="583"/>
        <w:gridCol w:w="571"/>
        <w:gridCol w:w="1471"/>
        <w:gridCol w:w="1318"/>
        <w:gridCol w:w="945"/>
        <w:gridCol w:w="699"/>
      </w:tblGrid>
      <w:tr w:rsidR="00BC1D4B" w14:paraId="79EA149E" w14:textId="77777777">
        <w:trPr>
          <w:jc w:val="center"/>
        </w:trPr>
        <w:tc>
          <w:tcPr>
            <w:tcW w:w="461" w:type="pct"/>
            <w:vMerge w:val="restart"/>
            <w:shd w:val="clear" w:color="auto" w:fill="4F81BD" w:themeFill="accent1"/>
            <w:vAlign w:val="center"/>
          </w:tcPr>
          <w:p w14:paraId="08F8955E" w14:textId="77777777" w:rsidR="00BC1D4B" w:rsidRDefault="00ED1F84">
            <w:pPr>
              <w:spacing w:before="120"/>
              <w:jc w:val="center"/>
              <w:rPr>
                <w:rFonts w:ascii="Verdana" w:hAnsi="Verdana"/>
                <w:b/>
                <w:color w:val="FFFFFF" w:themeColor="background1"/>
                <w:sz w:val="18"/>
                <w:szCs w:val="18"/>
              </w:rPr>
            </w:pPr>
            <w:r>
              <w:rPr>
                <w:rFonts w:ascii="Verdana" w:hAnsi="Verdana"/>
                <w:b/>
                <w:color w:val="FFFFFF" w:themeColor="background1"/>
                <w:sz w:val="18"/>
                <w:szCs w:val="18"/>
              </w:rPr>
              <w:t>Index No</w:t>
            </w:r>
          </w:p>
        </w:tc>
        <w:tc>
          <w:tcPr>
            <w:tcW w:w="1174" w:type="pct"/>
            <w:vMerge w:val="restart"/>
            <w:shd w:val="clear" w:color="auto" w:fill="4F81BD" w:themeFill="accent1"/>
            <w:vAlign w:val="center"/>
          </w:tcPr>
          <w:p w14:paraId="4386FB69" w14:textId="77777777" w:rsidR="00BC1D4B" w:rsidRDefault="00ED1F84">
            <w:pPr>
              <w:spacing w:before="120"/>
              <w:jc w:val="center"/>
              <w:rPr>
                <w:rFonts w:ascii="Verdana" w:hAnsi="Verdana"/>
                <w:b/>
                <w:color w:val="FFFFFF" w:themeColor="background1"/>
                <w:sz w:val="18"/>
                <w:szCs w:val="18"/>
              </w:rPr>
            </w:pPr>
            <w:r>
              <w:rPr>
                <w:rFonts w:ascii="Verdana" w:hAnsi="Verdana"/>
                <w:b/>
                <w:color w:val="FFFFFF" w:themeColor="background1"/>
                <w:sz w:val="18"/>
                <w:szCs w:val="18"/>
              </w:rPr>
              <w:t>International Chemical Identification</w:t>
            </w:r>
          </w:p>
        </w:tc>
        <w:tc>
          <w:tcPr>
            <w:tcW w:w="351" w:type="pct"/>
            <w:vMerge w:val="restart"/>
            <w:shd w:val="clear" w:color="auto" w:fill="4F81BD" w:themeFill="accent1"/>
            <w:vAlign w:val="center"/>
          </w:tcPr>
          <w:p w14:paraId="2C67B0D4" w14:textId="77777777" w:rsidR="00BC1D4B" w:rsidRDefault="00ED1F84">
            <w:pPr>
              <w:spacing w:before="120"/>
              <w:jc w:val="center"/>
              <w:rPr>
                <w:rFonts w:ascii="Verdana" w:hAnsi="Verdana"/>
                <w:b/>
                <w:color w:val="FFFFFF" w:themeColor="background1"/>
                <w:sz w:val="18"/>
                <w:szCs w:val="18"/>
              </w:rPr>
            </w:pPr>
            <w:r>
              <w:rPr>
                <w:rFonts w:ascii="Verdana" w:hAnsi="Verdana"/>
                <w:b/>
                <w:color w:val="FFFFFF" w:themeColor="background1"/>
                <w:sz w:val="18"/>
                <w:szCs w:val="18"/>
              </w:rPr>
              <w:t>EC No</w:t>
            </w:r>
          </w:p>
        </w:tc>
        <w:tc>
          <w:tcPr>
            <w:tcW w:w="344" w:type="pct"/>
            <w:vMerge w:val="restart"/>
            <w:shd w:val="clear" w:color="auto" w:fill="4F81BD" w:themeFill="accent1"/>
            <w:vAlign w:val="center"/>
          </w:tcPr>
          <w:p w14:paraId="20F78C02" w14:textId="77777777" w:rsidR="00BC1D4B" w:rsidRDefault="00ED1F84">
            <w:pPr>
              <w:spacing w:before="120"/>
              <w:jc w:val="center"/>
              <w:rPr>
                <w:rFonts w:ascii="Verdana" w:hAnsi="Verdana"/>
                <w:b/>
                <w:color w:val="FFFFFF" w:themeColor="background1"/>
                <w:sz w:val="18"/>
                <w:szCs w:val="18"/>
              </w:rPr>
            </w:pPr>
            <w:r>
              <w:rPr>
                <w:rFonts w:ascii="Verdana" w:hAnsi="Verdana"/>
                <w:b/>
                <w:color w:val="FFFFFF" w:themeColor="background1"/>
                <w:sz w:val="18"/>
                <w:szCs w:val="18"/>
              </w:rPr>
              <w:t>CAS No</w:t>
            </w:r>
          </w:p>
        </w:tc>
        <w:tc>
          <w:tcPr>
            <w:tcW w:w="1680" w:type="pct"/>
            <w:gridSpan w:val="2"/>
            <w:shd w:val="clear" w:color="auto" w:fill="4F81BD" w:themeFill="accent1"/>
            <w:vAlign w:val="center"/>
          </w:tcPr>
          <w:p w14:paraId="53C2FE25" w14:textId="77777777" w:rsidR="00BC1D4B" w:rsidRDefault="00ED1F84">
            <w:pPr>
              <w:spacing w:before="120"/>
              <w:jc w:val="center"/>
              <w:rPr>
                <w:rFonts w:ascii="Verdana" w:hAnsi="Verdana"/>
                <w:b/>
                <w:color w:val="FFFFFF" w:themeColor="background1"/>
                <w:sz w:val="18"/>
                <w:szCs w:val="18"/>
              </w:rPr>
            </w:pPr>
            <w:r>
              <w:rPr>
                <w:rFonts w:ascii="Verdana" w:hAnsi="Verdana"/>
                <w:b/>
                <w:color w:val="FFFFFF" w:themeColor="background1"/>
                <w:sz w:val="18"/>
                <w:szCs w:val="18"/>
              </w:rPr>
              <w:t>Classification</w:t>
            </w:r>
          </w:p>
        </w:tc>
        <w:tc>
          <w:tcPr>
            <w:tcW w:w="569" w:type="pct"/>
            <w:vMerge w:val="restart"/>
            <w:shd w:val="clear" w:color="auto" w:fill="4F81BD" w:themeFill="accent1"/>
            <w:vAlign w:val="center"/>
          </w:tcPr>
          <w:p w14:paraId="7A9CADF9" w14:textId="77777777" w:rsidR="00BC1D4B" w:rsidRDefault="00ED1F84">
            <w:pPr>
              <w:spacing w:before="120"/>
              <w:jc w:val="center"/>
              <w:rPr>
                <w:rFonts w:ascii="Verdana" w:hAnsi="Verdana"/>
                <w:b/>
                <w:color w:val="FFFFFF" w:themeColor="background1"/>
                <w:sz w:val="18"/>
                <w:szCs w:val="18"/>
              </w:rPr>
            </w:pPr>
            <w:r>
              <w:rPr>
                <w:rFonts w:ascii="Verdana" w:hAnsi="Verdana"/>
                <w:b/>
                <w:color w:val="FFFFFF" w:themeColor="background1"/>
                <w:sz w:val="18"/>
                <w:szCs w:val="18"/>
              </w:rPr>
              <w:t>Specific Conc. Limits, M-factors</w:t>
            </w:r>
          </w:p>
        </w:tc>
        <w:tc>
          <w:tcPr>
            <w:tcW w:w="421" w:type="pct"/>
            <w:vMerge w:val="restart"/>
            <w:shd w:val="clear" w:color="auto" w:fill="4F81BD" w:themeFill="accent1"/>
            <w:vAlign w:val="center"/>
          </w:tcPr>
          <w:p w14:paraId="67CB362C" w14:textId="77777777" w:rsidR="00BC1D4B" w:rsidRDefault="00ED1F84">
            <w:pPr>
              <w:spacing w:before="120"/>
              <w:jc w:val="center"/>
              <w:rPr>
                <w:rFonts w:ascii="Verdana" w:hAnsi="Verdana"/>
                <w:b/>
                <w:color w:val="FFFFFF" w:themeColor="background1"/>
                <w:sz w:val="18"/>
                <w:szCs w:val="18"/>
              </w:rPr>
            </w:pPr>
            <w:r>
              <w:rPr>
                <w:rFonts w:ascii="Verdana" w:hAnsi="Verdana"/>
                <w:b/>
                <w:color w:val="FFFFFF" w:themeColor="background1"/>
                <w:sz w:val="18"/>
                <w:szCs w:val="18"/>
              </w:rPr>
              <w:t>Notes</w:t>
            </w:r>
          </w:p>
        </w:tc>
      </w:tr>
      <w:tr w:rsidR="00BC1D4B" w14:paraId="43368EB8" w14:textId="77777777">
        <w:trPr>
          <w:jc w:val="center"/>
        </w:trPr>
        <w:tc>
          <w:tcPr>
            <w:tcW w:w="461" w:type="pct"/>
            <w:vMerge/>
            <w:vAlign w:val="center"/>
          </w:tcPr>
          <w:p w14:paraId="2425DB0D" w14:textId="77777777" w:rsidR="00BC1D4B" w:rsidRDefault="00BC1D4B">
            <w:pPr>
              <w:spacing w:before="120"/>
              <w:jc w:val="center"/>
              <w:rPr>
                <w:rFonts w:ascii="Verdana" w:hAnsi="Verdana"/>
                <w:b/>
                <w:sz w:val="18"/>
                <w:szCs w:val="18"/>
              </w:rPr>
            </w:pPr>
          </w:p>
        </w:tc>
        <w:tc>
          <w:tcPr>
            <w:tcW w:w="1174" w:type="pct"/>
            <w:vMerge/>
            <w:vAlign w:val="center"/>
          </w:tcPr>
          <w:p w14:paraId="5B5139B1" w14:textId="77777777" w:rsidR="00BC1D4B" w:rsidRDefault="00BC1D4B">
            <w:pPr>
              <w:spacing w:before="120"/>
              <w:jc w:val="center"/>
              <w:rPr>
                <w:rFonts w:ascii="Verdana" w:hAnsi="Verdana"/>
                <w:b/>
                <w:sz w:val="18"/>
                <w:szCs w:val="18"/>
              </w:rPr>
            </w:pPr>
          </w:p>
        </w:tc>
        <w:tc>
          <w:tcPr>
            <w:tcW w:w="351" w:type="pct"/>
            <w:vMerge/>
            <w:vAlign w:val="center"/>
          </w:tcPr>
          <w:p w14:paraId="561F2F70" w14:textId="77777777" w:rsidR="00BC1D4B" w:rsidRDefault="00BC1D4B">
            <w:pPr>
              <w:spacing w:before="120"/>
              <w:jc w:val="center"/>
              <w:rPr>
                <w:rFonts w:ascii="Verdana" w:hAnsi="Verdana"/>
                <w:b/>
                <w:sz w:val="18"/>
                <w:szCs w:val="18"/>
              </w:rPr>
            </w:pPr>
          </w:p>
        </w:tc>
        <w:tc>
          <w:tcPr>
            <w:tcW w:w="344" w:type="pct"/>
            <w:vMerge/>
            <w:vAlign w:val="center"/>
          </w:tcPr>
          <w:p w14:paraId="056BCA5C" w14:textId="77777777" w:rsidR="00BC1D4B" w:rsidRDefault="00BC1D4B">
            <w:pPr>
              <w:spacing w:before="120"/>
              <w:jc w:val="center"/>
              <w:rPr>
                <w:rFonts w:ascii="Verdana" w:hAnsi="Verdana"/>
                <w:b/>
                <w:sz w:val="18"/>
                <w:szCs w:val="18"/>
              </w:rPr>
            </w:pPr>
          </w:p>
        </w:tc>
        <w:tc>
          <w:tcPr>
            <w:tcW w:w="886" w:type="pct"/>
            <w:shd w:val="clear" w:color="auto" w:fill="4F81BD" w:themeFill="accent1"/>
            <w:vAlign w:val="center"/>
          </w:tcPr>
          <w:p w14:paraId="133EE9C4" w14:textId="77777777" w:rsidR="00BC1D4B" w:rsidRDefault="00ED1F84">
            <w:pPr>
              <w:spacing w:before="120"/>
              <w:jc w:val="center"/>
              <w:rPr>
                <w:rFonts w:ascii="Verdana" w:hAnsi="Verdana"/>
                <w:b/>
                <w:color w:val="FFFFFF" w:themeColor="background1"/>
                <w:sz w:val="18"/>
                <w:szCs w:val="18"/>
              </w:rPr>
            </w:pPr>
            <w:r>
              <w:rPr>
                <w:rFonts w:ascii="Verdana" w:hAnsi="Verdana"/>
                <w:b/>
                <w:color w:val="FFFFFF" w:themeColor="background1"/>
                <w:sz w:val="18"/>
                <w:szCs w:val="18"/>
              </w:rPr>
              <w:t>Hazard Class and Category Code(s)</w:t>
            </w:r>
          </w:p>
        </w:tc>
        <w:tc>
          <w:tcPr>
            <w:tcW w:w="794" w:type="pct"/>
            <w:shd w:val="clear" w:color="auto" w:fill="4F81BD" w:themeFill="accent1"/>
            <w:vAlign w:val="center"/>
          </w:tcPr>
          <w:p w14:paraId="6F9ABC79" w14:textId="77777777" w:rsidR="00BC1D4B" w:rsidRDefault="00ED1F84">
            <w:pPr>
              <w:spacing w:before="120"/>
              <w:jc w:val="center"/>
              <w:rPr>
                <w:rFonts w:ascii="Verdana" w:hAnsi="Verdana"/>
                <w:b/>
                <w:color w:val="FFFFFF" w:themeColor="background1"/>
                <w:sz w:val="18"/>
                <w:szCs w:val="18"/>
              </w:rPr>
            </w:pPr>
            <w:r>
              <w:rPr>
                <w:rFonts w:ascii="Verdana" w:hAnsi="Verdana"/>
                <w:b/>
                <w:color w:val="FFFFFF" w:themeColor="background1"/>
                <w:sz w:val="18"/>
                <w:szCs w:val="18"/>
              </w:rPr>
              <w:t>Hazard statement Code(s)</w:t>
            </w:r>
          </w:p>
        </w:tc>
        <w:tc>
          <w:tcPr>
            <w:tcW w:w="569" w:type="pct"/>
            <w:vMerge/>
            <w:vAlign w:val="center"/>
          </w:tcPr>
          <w:p w14:paraId="1E3D579C" w14:textId="77777777" w:rsidR="00BC1D4B" w:rsidRDefault="00BC1D4B">
            <w:pPr>
              <w:spacing w:before="120"/>
              <w:jc w:val="center"/>
              <w:rPr>
                <w:rFonts w:ascii="Verdana" w:hAnsi="Verdana"/>
                <w:b/>
                <w:sz w:val="18"/>
                <w:szCs w:val="18"/>
              </w:rPr>
            </w:pPr>
          </w:p>
        </w:tc>
        <w:tc>
          <w:tcPr>
            <w:tcW w:w="421" w:type="pct"/>
            <w:vMerge/>
            <w:vAlign w:val="center"/>
          </w:tcPr>
          <w:p w14:paraId="3256B3A5" w14:textId="77777777" w:rsidR="00BC1D4B" w:rsidRDefault="00BC1D4B">
            <w:pPr>
              <w:spacing w:before="120"/>
              <w:jc w:val="center"/>
              <w:rPr>
                <w:rFonts w:ascii="Verdana" w:hAnsi="Verdana"/>
                <w:b/>
                <w:sz w:val="18"/>
                <w:szCs w:val="18"/>
              </w:rPr>
            </w:pPr>
          </w:p>
        </w:tc>
      </w:tr>
      <w:tr w:rsidR="00BC1D4B" w14:paraId="3B88FB12" w14:textId="77777777">
        <w:trPr>
          <w:jc w:val="center"/>
        </w:trPr>
        <w:tc>
          <w:tcPr>
            <w:tcW w:w="461" w:type="pct"/>
            <w:vAlign w:val="center"/>
          </w:tcPr>
          <w:p w14:paraId="1F0DF127" w14:textId="77777777" w:rsidR="00BC1D4B" w:rsidRDefault="00ED1F84">
            <w:pPr>
              <w:spacing w:before="120"/>
              <w:jc w:val="center"/>
              <w:rPr>
                <w:rFonts w:ascii="Verdana" w:hAnsi="Verdana"/>
                <w:sz w:val="18"/>
                <w:szCs w:val="18"/>
              </w:rPr>
            </w:pPr>
            <w:r>
              <w:rPr>
                <w:rFonts w:ascii="Verdana" w:hAnsi="Verdana"/>
                <w:sz w:val="18"/>
                <w:szCs w:val="18"/>
              </w:rPr>
              <w:t>612-149-00-4</w:t>
            </w:r>
          </w:p>
        </w:tc>
        <w:tc>
          <w:tcPr>
            <w:tcW w:w="1174" w:type="pct"/>
            <w:vAlign w:val="center"/>
          </w:tcPr>
          <w:p w14:paraId="74E92381" w14:textId="77777777" w:rsidR="00BC1D4B" w:rsidRDefault="00ED1F84">
            <w:pPr>
              <w:spacing w:before="120"/>
              <w:jc w:val="center"/>
              <w:rPr>
                <w:rFonts w:ascii="Verdana" w:hAnsi="Verdana"/>
                <w:sz w:val="18"/>
                <w:szCs w:val="18"/>
              </w:rPr>
            </w:pPr>
            <w:r>
              <w:rPr>
                <w:rFonts w:ascii="Verdana" w:hAnsi="Verdana"/>
                <w:sz w:val="18"/>
                <w:szCs w:val="18"/>
              </w:rPr>
              <w:t>1,3-diphenylguanidine</w:t>
            </w:r>
          </w:p>
        </w:tc>
        <w:tc>
          <w:tcPr>
            <w:tcW w:w="351" w:type="pct"/>
            <w:vAlign w:val="center"/>
          </w:tcPr>
          <w:p w14:paraId="2F0410DD" w14:textId="77777777" w:rsidR="00BC1D4B" w:rsidRDefault="00ED1F84">
            <w:pPr>
              <w:spacing w:before="120"/>
              <w:jc w:val="center"/>
              <w:rPr>
                <w:rFonts w:ascii="Verdana" w:hAnsi="Verdana"/>
                <w:sz w:val="18"/>
                <w:szCs w:val="18"/>
              </w:rPr>
            </w:pPr>
            <w:r>
              <w:rPr>
                <w:rFonts w:ascii="Verdana" w:hAnsi="Verdana"/>
                <w:sz w:val="18"/>
                <w:szCs w:val="18"/>
              </w:rPr>
              <w:t>203-002-1</w:t>
            </w:r>
          </w:p>
        </w:tc>
        <w:tc>
          <w:tcPr>
            <w:tcW w:w="344" w:type="pct"/>
            <w:vAlign w:val="center"/>
          </w:tcPr>
          <w:p w14:paraId="4A07B1A5" w14:textId="77777777" w:rsidR="00BC1D4B" w:rsidRDefault="00ED1F84">
            <w:pPr>
              <w:spacing w:before="120"/>
              <w:jc w:val="center"/>
              <w:rPr>
                <w:rFonts w:ascii="Verdana" w:hAnsi="Verdana"/>
                <w:sz w:val="18"/>
                <w:szCs w:val="18"/>
              </w:rPr>
            </w:pPr>
            <w:r>
              <w:rPr>
                <w:rFonts w:ascii="Verdana" w:hAnsi="Verdana"/>
                <w:sz w:val="18"/>
                <w:szCs w:val="18"/>
              </w:rPr>
              <w:t>102-06-7</w:t>
            </w:r>
          </w:p>
        </w:tc>
        <w:tc>
          <w:tcPr>
            <w:tcW w:w="886" w:type="pct"/>
          </w:tcPr>
          <w:p w14:paraId="2436EC19" w14:textId="77777777" w:rsidR="00BC1D4B" w:rsidRDefault="00ED1F84">
            <w:pPr>
              <w:spacing w:before="120"/>
              <w:jc w:val="center"/>
              <w:rPr>
                <w:rFonts w:ascii="Verdana" w:hAnsi="Verdana"/>
                <w:sz w:val="18"/>
                <w:szCs w:val="18"/>
                <w:lang w:val="fr-FR"/>
              </w:rPr>
            </w:pPr>
            <w:r>
              <w:rPr>
                <w:rFonts w:ascii="Verdana" w:hAnsi="Verdana"/>
                <w:sz w:val="18"/>
                <w:szCs w:val="18"/>
                <w:lang w:val="fr-FR"/>
              </w:rPr>
              <w:t>Repr. 2</w:t>
            </w:r>
          </w:p>
          <w:p w14:paraId="6A0C36CC" w14:textId="77777777" w:rsidR="00BC1D4B" w:rsidRDefault="00ED1F84">
            <w:pPr>
              <w:spacing w:before="120"/>
              <w:jc w:val="center"/>
              <w:rPr>
                <w:rFonts w:ascii="Verdana" w:hAnsi="Verdana"/>
                <w:sz w:val="18"/>
                <w:szCs w:val="18"/>
                <w:lang w:val="fr-FR"/>
              </w:rPr>
            </w:pPr>
            <w:r>
              <w:rPr>
                <w:rFonts w:ascii="Verdana" w:hAnsi="Verdana"/>
                <w:sz w:val="18"/>
                <w:szCs w:val="18"/>
                <w:lang w:val="fr-FR"/>
              </w:rPr>
              <w:t>Acute Tox. 4 *</w:t>
            </w:r>
          </w:p>
          <w:p w14:paraId="719F2764" w14:textId="77777777" w:rsidR="00BC1D4B" w:rsidRDefault="00ED1F84">
            <w:pPr>
              <w:spacing w:before="120"/>
              <w:jc w:val="center"/>
              <w:rPr>
                <w:rFonts w:ascii="Verdana" w:hAnsi="Verdana"/>
                <w:sz w:val="18"/>
                <w:szCs w:val="18"/>
                <w:lang w:val="fr-FR"/>
              </w:rPr>
            </w:pPr>
            <w:r>
              <w:rPr>
                <w:rFonts w:ascii="Verdana" w:hAnsi="Verdana"/>
                <w:sz w:val="18"/>
                <w:szCs w:val="18"/>
                <w:lang w:val="fr-FR"/>
              </w:rPr>
              <w:t>Eye Irrit. 2</w:t>
            </w:r>
          </w:p>
          <w:p w14:paraId="01B72E21" w14:textId="77777777" w:rsidR="00BC1D4B" w:rsidRDefault="00ED1F84">
            <w:pPr>
              <w:spacing w:before="120"/>
              <w:jc w:val="center"/>
              <w:rPr>
                <w:rFonts w:ascii="Verdana" w:hAnsi="Verdana"/>
                <w:sz w:val="18"/>
                <w:szCs w:val="18"/>
                <w:lang w:val="fr-FR"/>
              </w:rPr>
            </w:pPr>
            <w:r>
              <w:rPr>
                <w:rFonts w:ascii="Verdana" w:hAnsi="Verdana"/>
                <w:sz w:val="18"/>
                <w:szCs w:val="18"/>
                <w:lang w:val="fr-FR"/>
              </w:rPr>
              <w:t>STOT SE 3</w:t>
            </w:r>
          </w:p>
          <w:p w14:paraId="6B7152C5" w14:textId="77777777" w:rsidR="00BC1D4B" w:rsidRDefault="00ED1F84">
            <w:pPr>
              <w:spacing w:before="120"/>
              <w:jc w:val="center"/>
              <w:rPr>
                <w:rFonts w:ascii="Verdana" w:hAnsi="Verdana"/>
                <w:sz w:val="18"/>
                <w:szCs w:val="18"/>
                <w:lang w:val="fr-FR"/>
              </w:rPr>
            </w:pPr>
            <w:r>
              <w:rPr>
                <w:rFonts w:ascii="Verdana" w:hAnsi="Verdana"/>
                <w:sz w:val="18"/>
                <w:szCs w:val="18"/>
                <w:lang w:val="fr-FR"/>
              </w:rPr>
              <w:t>Skin Irrit. 2</w:t>
            </w:r>
          </w:p>
          <w:p w14:paraId="758144E7" w14:textId="77777777" w:rsidR="00BC1D4B" w:rsidRDefault="00ED1F84">
            <w:pPr>
              <w:spacing w:before="120"/>
              <w:jc w:val="center"/>
              <w:rPr>
                <w:rFonts w:ascii="Verdana" w:hAnsi="Verdana"/>
                <w:sz w:val="18"/>
                <w:szCs w:val="18"/>
                <w:lang w:val="fr-FR"/>
              </w:rPr>
            </w:pPr>
            <w:r>
              <w:rPr>
                <w:rFonts w:ascii="Verdana" w:hAnsi="Verdana"/>
                <w:sz w:val="18"/>
                <w:szCs w:val="18"/>
                <w:lang w:val="fr-FR"/>
              </w:rPr>
              <w:t>Aquatic Chronic 2</w:t>
            </w:r>
          </w:p>
          <w:p w14:paraId="7B3D5411" w14:textId="77777777" w:rsidR="00BC1D4B" w:rsidRDefault="00BC1D4B">
            <w:pPr>
              <w:spacing w:before="120"/>
              <w:jc w:val="center"/>
              <w:rPr>
                <w:rFonts w:ascii="Verdana" w:hAnsi="Verdana"/>
                <w:sz w:val="18"/>
                <w:szCs w:val="18"/>
              </w:rPr>
            </w:pPr>
          </w:p>
        </w:tc>
        <w:tc>
          <w:tcPr>
            <w:tcW w:w="794" w:type="pct"/>
          </w:tcPr>
          <w:p w14:paraId="7ACEFDA5" w14:textId="77777777" w:rsidR="00BC1D4B" w:rsidRDefault="00ED1F84">
            <w:pPr>
              <w:spacing w:before="120"/>
              <w:jc w:val="center"/>
              <w:rPr>
                <w:rFonts w:ascii="Verdana" w:hAnsi="Verdana"/>
                <w:sz w:val="18"/>
                <w:szCs w:val="18"/>
                <w:lang w:val="fr-FR"/>
              </w:rPr>
            </w:pPr>
            <w:r>
              <w:rPr>
                <w:rFonts w:ascii="Verdana" w:hAnsi="Verdana"/>
                <w:sz w:val="18"/>
                <w:szCs w:val="18"/>
                <w:lang w:val="fr-FR"/>
              </w:rPr>
              <w:t>H361f ***</w:t>
            </w:r>
          </w:p>
          <w:p w14:paraId="71E58B50" w14:textId="77777777" w:rsidR="00BC1D4B" w:rsidRDefault="00ED1F84">
            <w:pPr>
              <w:spacing w:before="120"/>
              <w:jc w:val="center"/>
              <w:rPr>
                <w:rFonts w:ascii="Verdana" w:hAnsi="Verdana"/>
                <w:sz w:val="18"/>
                <w:szCs w:val="18"/>
                <w:lang w:val="fr-FR"/>
              </w:rPr>
            </w:pPr>
            <w:r>
              <w:rPr>
                <w:rFonts w:ascii="Verdana" w:hAnsi="Verdana"/>
                <w:sz w:val="18"/>
                <w:szCs w:val="18"/>
                <w:lang w:val="fr-FR"/>
              </w:rPr>
              <w:t>H302</w:t>
            </w:r>
          </w:p>
          <w:p w14:paraId="0E1E7D51" w14:textId="77777777" w:rsidR="00BC1D4B" w:rsidRDefault="00ED1F84">
            <w:pPr>
              <w:spacing w:before="120"/>
              <w:jc w:val="center"/>
              <w:rPr>
                <w:rFonts w:ascii="Verdana" w:hAnsi="Verdana"/>
                <w:sz w:val="18"/>
                <w:szCs w:val="18"/>
                <w:lang w:val="fr-FR"/>
              </w:rPr>
            </w:pPr>
            <w:r>
              <w:rPr>
                <w:rFonts w:ascii="Verdana" w:hAnsi="Verdana"/>
                <w:sz w:val="18"/>
                <w:szCs w:val="18"/>
                <w:lang w:val="fr-FR"/>
              </w:rPr>
              <w:t>H319</w:t>
            </w:r>
          </w:p>
          <w:p w14:paraId="42BA4CA4" w14:textId="77777777" w:rsidR="00BC1D4B" w:rsidRDefault="00ED1F84">
            <w:pPr>
              <w:spacing w:before="120"/>
              <w:jc w:val="center"/>
              <w:rPr>
                <w:rFonts w:ascii="Verdana" w:hAnsi="Verdana"/>
                <w:sz w:val="18"/>
                <w:szCs w:val="18"/>
                <w:lang w:val="fr-FR"/>
              </w:rPr>
            </w:pPr>
            <w:r>
              <w:rPr>
                <w:rFonts w:ascii="Verdana" w:hAnsi="Verdana"/>
                <w:sz w:val="18"/>
                <w:szCs w:val="18"/>
                <w:lang w:val="fr-FR"/>
              </w:rPr>
              <w:t>H335</w:t>
            </w:r>
          </w:p>
          <w:p w14:paraId="001AFC9C" w14:textId="77777777" w:rsidR="00BC1D4B" w:rsidRDefault="00ED1F84">
            <w:pPr>
              <w:spacing w:before="120"/>
              <w:jc w:val="center"/>
              <w:rPr>
                <w:rFonts w:ascii="Verdana" w:hAnsi="Verdana"/>
                <w:sz w:val="18"/>
                <w:szCs w:val="18"/>
                <w:lang w:val="fr-FR"/>
              </w:rPr>
            </w:pPr>
            <w:r>
              <w:rPr>
                <w:rFonts w:ascii="Verdana" w:hAnsi="Verdana"/>
                <w:sz w:val="18"/>
                <w:szCs w:val="18"/>
                <w:lang w:val="fr-FR"/>
              </w:rPr>
              <w:t>H315</w:t>
            </w:r>
          </w:p>
          <w:p w14:paraId="265995A9" w14:textId="77777777" w:rsidR="00BC1D4B" w:rsidRDefault="00ED1F84">
            <w:pPr>
              <w:spacing w:before="120"/>
              <w:jc w:val="center"/>
              <w:rPr>
                <w:rFonts w:ascii="Verdana" w:hAnsi="Verdana"/>
                <w:sz w:val="18"/>
                <w:szCs w:val="18"/>
                <w:lang w:val="fr-FR"/>
              </w:rPr>
            </w:pPr>
            <w:r>
              <w:rPr>
                <w:rFonts w:ascii="Verdana" w:hAnsi="Verdana"/>
                <w:sz w:val="18"/>
                <w:szCs w:val="18"/>
                <w:lang w:val="fr-FR"/>
              </w:rPr>
              <w:t>H411</w:t>
            </w:r>
          </w:p>
          <w:p w14:paraId="55CF3595" w14:textId="77777777" w:rsidR="00BC1D4B" w:rsidRDefault="00BC1D4B">
            <w:pPr>
              <w:spacing w:before="120"/>
              <w:jc w:val="center"/>
              <w:rPr>
                <w:rFonts w:ascii="Verdana" w:hAnsi="Verdana"/>
                <w:sz w:val="18"/>
                <w:szCs w:val="18"/>
              </w:rPr>
            </w:pPr>
          </w:p>
        </w:tc>
        <w:tc>
          <w:tcPr>
            <w:tcW w:w="569" w:type="pct"/>
            <w:vAlign w:val="center"/>
          </w:tcPr>
          <w:p w14:paraId="09477E68" w14:textId="77777777" w:rsidR="00BC1D4B" w:rsidRDefault="00ED1F84">
            <w:pPr>
              <w:spacing w:before="120"/>
              <w:jc w:val="center"/>
              <w:rPr>
                <w:rFonts w:ascii="Verdana" w:eastAsia="MS Mincho" w:hAnsi="Verdana"/>
                <w:sz w:val="18"/>
                <w:szCs w:val="18"/>
                <w:lang w:eastAsia="ja-JP"/>
              </w:rPr>
            </w:pPr>
            <w:r>
              <w:rPr>
                <w:rFonts w:ascii="Verdana" w:eastAsia="MS Mincho" w:hAnsi="Verdana"/>
                <w:sz w:val="18"/>
                <w:szCs w:val="18"/>
                <w:lang w:eastAsia="ja-JP"/>
              </w:rPr>
              <w:t>-</w:t>
            </w:r>
          </w:p>
        </w:tc>
        <w:tc>
          <w:tcPr>
            <w:tcW w:w="421" w:type="pct"/>
            <w:vAlign w:val="center"/>
          </w:tcPr>
          <w:p w14:paraId="16C91721" w14:textId="77777777" w:rsidR="00BC1D4B" w:rsidRDefault="00ED1F84">
            <w:pPr>
              <w:spacing w:before="120"/>
              <w:jc w:val="center"/>
              <w:rPr>
                <w:rFonts w:ascii="Verdana" w:eastAsia="MS Mincho" w:hAnsi="Verdana"/>
                <w:sz w:val="18"/>
                <w:szCs w:val="18"/>
                <w:lang w:eastAsia="ja-JP"/>
              </w:rPr>
            </w:pPr>
            <w:r>
              <w:rPr>
                <w:rFonts w:ascii="Verdana" w:eastAsia="MS Mincho" w:hAnsi="Verdana"/>
                <w:sz w:val="18"/>
                <w:szCs w:val="18"/>
                <w:lang w:eastAsia="ja-JP"/>
              </w:rPr>
              <w:t>-</w:t>
            </w:r>
          </w:p>
        </w:tc>
      </w:tr>
    </w:tbl>
    <w:p w14:paraId="1114B038" w14:textId="77777777" w:rsidR="00BC1D4B" w:rsidRDefault="00BC1D4B">
      <w:pPr>
        <w:spacing w:after="0"/>
        <w:rPr>
          <w:rFonts w:ascii="Verdana" w:hAnsi="Verdana"/>
          <w:sz w:val="20"/>
          <w:szCs w:val="20"/>
          <w:lang w:val="en-US"/>
        </w:rPr>
      </w:pPr>
    </w:p>
    <w:p w14:paraId="61B8FD2E" w14:textId="77777777" w:rsidR="00BC1D4B" w:rsidRDefault="00ED1F84">
      <w:pPr>
        <w:spacing w:after="120"/>
        <w:ind w:right="-477"/>
        <w:rPr>
          <w:rFonts w:ascii="Verdana" w:hAnsi="Verdana"/>
          <w:sz w:val="20"/>
          <w:szCs w:val="20"/>
          <w:lang w:val="en-US"/>
        </w:rPr>
      </w:pPr>
      <w:r>
        <w:rPr>
          <w:rFonts w:ascii="Verdana" w:hAnsi="Verdana"/>
          <w:sz w:val="20"/>
          <w:szCs w:val="20"/>
          <w:lang w:val="en-US"/>
        </w:rPr>
        <w:t>In addition, the following hazard classes are notified among the aggregated self-classifications in the C&amp;L Inventory:</w:t>
      </w:r>
    </w:p>
    <w:p w14:paraId="10D5A754" w14:textId="77777777" w:rsidR="00BC1D4B" w:rsidRDefault="00ED1F84">
      <w:pPr>
        <w:spacing w:after="0"/>
        <w:ind w:right="-476"/>
        <w:rPr>
          <w:rFonts w:ascii="Verdana" w:hAnsi="Verdana"/>
          <w:sz w:val="20"/>
          <w:szCs w:val="20"/>
          <w:lang w:val="fr-FR"/>
        </w:rPr>
      </w:pPr>
      <w:r>
        <w:rPr>
          <w:rFonts w:ascii="Verdana" w:hAnsi="Verdana"/>
          <w:sz w:val="20"/>
          <w:szCs w:val="20"/>
          <w:lang w:val="fr-FR"/>
        </w:rPr>
        <w:t>Acute Tox. 3 - H301</w:t>
      </w:r>
    </w:p>
    <w:p w14:paraId="6F80FE48" w14:textId="77777777" w:rsidR="00BC1D4B" w:rsidRDefault="00ED1F84">
      <w:pPr>
        <w:spacing w:after="0"/>
        <w:ind w:right="-476"/>
        <w:rPr>
          <w:rFonts w:ascii="Verdana" w:hAnsi="Verdana"/>
          <w:sz w:val="20"/>
          <w:szCs w:val="20"/>
          <w:lang w:val="fr-FR"/>
        </w:rPr>
      </w:pPr>
      <w:r>
        <w:rPr>
          <w:rFonts w:ascii="Verdana" w:hAnsi="Verdana"/>
          <w:sz w:val="20"/>
          <w:szCs w:val="20"/>
          <w:lang w:val="fr-FR"/>
        </w:rPr>
        <w:t>Acute Tox. 4 - H302</w:t>
      </w:r>
    </w:p>
    <w:p w14:paraId="42A7F5E9" w14:textId="77777777" w:rsidR="00BC1D4B" w:rsidRDefault="00ED1F84">
      <w:pPr>
        <w:spacing w:after="0"/>
        <w:ind w:right="-476"/>
        <w:rPr>
          <w:rFonts w:ascii="Verdana" w:hAnsi="Verdana"/>
          <w:sz w:val="20"/>
          <w:szCs w:val="20"/>
          <w:lang w:val="en-US"/>
        </w:rPr>
      </w:pPr>
      <w:r>
        <w:rPr>
          <w:rFonts w:ascii="Verdana" w:hAnsi="Verdana"/>
          <w:sz w:val="20"/>
          <w:szCs w:val="20"/>
          <w:lang w:val="fr-FR"/>
        </w:rPr>
        <w:t xml:space="preserve">Skin Irrit. </w:t>
      </w:r>
      <w:r>
        <w:rPr>
          <w:rFonts w:ascii="Verdana" w:hAnsi="Verdana"/>
          <w:sz w:val="20"/>
          <w:szCs w:val="20"/>
          <w:lang w:val="en-US"/>
        </w:rPr>
        <w:t>2 - H315</w:t>
      </w:r>
    </w:p>
    <w:p w14:paraId="4091B8E5" w14:textId="77777777" w:rsidR="00BC1D4B" w:rsidRDefault="00ED1F84">
      <w:pPr>
        <w:spacing w:after="0"/>
        <w:ind w:right="-476"/>
        <w:rPr>
          <w:rFonts w:ascii="Verdana" w:hAnsi="Verdana"/>
          <w:sz w:val="20"/>
          <w:szCs w:val="20"/>
          <w:lang w:val="en-US"/>
        </w:rPr>
      </w:pPr>
      <w:r>
        <w:rPr>
          <w:rFonts w:ascii="Verdana" w:hAnsi="Verdana"/>
          <w:sz w:val="20"/>
          <w:szCs w:val="20"/>
          <w:lang w:val="en-US"/>
        </w:rPr>
        <w:t>Eye Irrit. 2 - H319</w:t>
      </w:r>
    </w:p>
    <w:p w14:paraId="316F0D72" w14:textId="77777777" w:rsidR="00BC1D4B" w:rsidRDefault="00ED1F84">
      <w:pPr>
        <w:spacing w:after="0"/>
        <w:ind w:right="-476"/>
        <w:rPr>
          <w:rFonts w:ascii="Verdana" w:hAnsi="Verdana"/>
          <w:sz w:val="20"/>
          <w:szCs w:val="20"/>
          <w:lang w:val="en-US"/>
        </w:rPr>
      </w:pPr>
      <w:r>
        <w:rPr>
          <w:rFonts w:ascii="Verdana" w:hAnsi="Verdana"/>
          <w:sz w:val="20"/>
          <w:szCs w:val="20"/>
          <w:lang w:val="en-US"/>
        </w:rPr>
        <w:t>Eye Dam. 1 - H318</w:t>
      </w:r>
    </w:p>
    <w:p w14:paraId="0C63A99B" w14:textId="77777777" w:rsidR="00BC1D4B" w:rsidRDefault="00ED1F84">
      <w:pPr>
        <w:spacing w:after="0"/>
        <w:ind w:right="-476"/>
        <w:rPr>
          <w:rFonts w:ascii="Verdana" w:hAnsi="Verdana"/>
          <w:sz w:val="20"/>
          <w:szCs w:val="20"/>
          <w:lang w:val="en-US"/>
        </w:rPr>
      </w:pPr>
      <w:r>
        <w:rPr>
          <w:rFonts w:ascii="Verdana" w:hAnsi="Verdana"/>
          <w:sz w:val="20"/>
          <w:szCs w:val="20"/>
          <w:lang w:val="en-US"/>
        </w:rPr>
        <w:t>STOT SE 3 - H335</w:t>
      </w:r>
    </w:p>
    <w:p w14:paraId="666E54F5" w14:textId="77777777" w:rsidR="00BC1D4B" w:rsidRDefault="00ED1F84">
      <w:pPr>
        <w:spacing w:after="0"/>
        <w:ind w:right="-476"/>
        <w:rPr>
          <w:rFonts w:ascii="Verdana" w:hAnsi="Verdana"/>
          <w:sz w:val="20"/>
          <w:szCs w:val="20"/>
          <w:lang w:val="en-US"/>
        </w:rPr>
      </w:pPr>
      <w:r>
        <w:rPr>
          <w:rFonts w:ascii="Verdana" w:hAnsi="Verdana"/>
          <w:sz w:val="20"/>
          <w:szCs w:val="20"/>
          <w:lang w:val="en-US"/>
        </w:rPr>
        <w:t>Repr. 1B – H360FD</w:t>
      </w:r>
    </w:p>
    <w:p w14:paraId="31BE16F1" w14:textId="77777777" w:rsidR="00BC1D4B" w:rsidRDefault="00ED1F84">
      <w:pPr>
        <w:spacing w:after="0"/>
        <w:ind w:right="-476"/>
        <w:rPr>
          <w:rFonts w:ascii="Verdana" w:hAnsi="Verdana"/>
          <w:sz w:val="20"/>
          <w:szCs w:val="20"/>
          <w:lang w:val="en-US"/>
        </w:rPr>
      </w:pPr>
      <w:r>
        <w:rPr>
          <w:rFonts w:ascii="Verdana" w:hAnsi="Verdana"/>
          <w:sz w:val="20"/>
          <w:szCs w:val="20"/>
          <w:lang w:val="en-US"/>
        </w:rPr>
        <w:t>Repr. 2 - H361f</w:t>
      </w:r>
    </w:p>
    <w:p w14:paraId="6482F084" w14:textId="77777777" w:rsidR="00BC1D4B" w:rsidRDefault="00ED1F84">
      <w:pPr>
        <w:spacing w:after="0"/>
        <w:ind w:right="-476"/>
        <w:rPr>
          <w:rFonts w:ascii="Verdana" w:hAnsi="Verdana"/>
          <w:sz w:val="20"/>
          <w:szCs w:val="20"/>
          <w:lang w:val="en-US"/>
        </w:rPr>
      </w:pPr>
      <w:r>
        <w:rPr>
          <w:rFonts w:ascii="Verdana" w:hAnsi="Verdana"/>
          <w:sz w:val="20"/>
          <w:szCs w:val="20"/>
          <w:lang w:val="en-US"/>
        </w:rPr>
        <w:t xml:space="preserve">Aquatic Chronic 2 - H411 </w:t>
      </w:r>
    </w:p>
    <w:p w14:paraId="0E51F769" w14:textId="77777777" w:rsidR="00BC1D4B" w:rsidRDefault="00ED1F84">
      <w:pPr>
        <w:spacing w:after="0"/>
        <w:ind w:right="-476"/>
        <w:rPr>
          <w:rFonts w:ascii="Verdana" w:hAnsi="Verdana"/>
          <w:sz w:val="20"/>
          <w:szCs w:val="20"/>
          <w:lang w:val="en-US"/>
        </w:rPr>
      </w:pPr>
      <w:r>
        <w:rPr>
          <w:rFonts w:ascii="Verdana" w:hAnsi="Verdana"/>
          <w:sz w:val="20"/>
          <w:szCs w:val="20"/>
          <w:lang w:val="en-US"/>
        </w:rPr>
        <w:t>Aquatic Chronic 3 - H412</w:t>
      </w:r>
    </w:p>
    <w:p w14:paraId="798D297E" w14:textId="77777777" w:rsidR="00BC1D4B" w:rsidRDefault="00BC1D4B">
      <w:pPr>
        <w:spacing w:after="0"/>
        <w:ind w:right="-476"/>
        <w:rPr>
          <w:rFonts w:ascii="Verdana" w:hAnsi="Verdana"/>
          <w:sz w:val="20"/>
          <w:szCs w:val="20"/>
          <w:lang w:val="en-US"/>
        </w:rPr>
      </w:pPr>
    </w:p>
    <w:p w14:paraId="377DC960" w14:textId="77777777" w:rsidR="00BC1D4B" w:rsidRDefault="00BC1D4B">
      <w:pPr>
        <w:spacing w:after="0"/>
        <w:ind w:right="-476"/>
        <w:rPr>
          <w:rFonts w:ascii="Verdana" w:hAnsi="Verdana"/>
          <w:sz w:val="20"/>
          <w:szCs w:val="20"/>
          <w:lang w:val="en-US"/>
        </w:rPr>
      </w:pPr>
    </w:p>
    <w:p w14:paraId="6FA3326D" w14:textId="77777777" w:rsidR="00BC1D4B" w:rsidRDefault="00BC1D4B">
      <w:pPr>
        <w:spacing w:after="0"/>
        <w:ind w:right="-476"/>
        <w:rPr>
          <w:rFonts w:ascii="Verdana" w:hAnsi="Verdana"/>
          <w:sz w:val="20"/>
          <w:szCs w:val="20"/>
          <w:lang w:val="en-US"/>
        </w:rPr>
      </w:pPr>
    </w:p>
    <w:p w14:paraId="62D27588" w14:textId="77777777" w:rsidR="00BC1D4B" w:rsidRDefault="00ED1F84">
      <w:pPr>
        <w:keepNext/>
        <w:spacing w:before="120" w:after="90"/>
        <w:rPr>
          <w:rFonts w:ascii="Verdana" w:hAnsi="Verdana"/>
          <w:b/>
          <w:bCs/>
          <w:sz w:val="20"/>
          <w:szCs w:val="20"/>
        </w:rPr>
      </w:pPr>
      <w:r>
        <w:rPr>
          <w:rFonts w:ascii="Verdana" w:hAnsi="Verdana"/>
          <w:b/>
          <w:bCs/>
          <w:sz w:val="20"/>
          <w:szCs w:val="20"/>
        </w:rPr>
        <w:lastRenderedPageBreak/>
        <w:t>Table 5: CLP Notifications</w:t>
      </w:r>
    </w:p>
    <w:tbl>
      <w:tblPr>
        <w:tblW w:w="4937" w:type="pct"/>
        <w:jc w:val="center"/>
        <w:tblLayout w:type="fixed"/>
        <w:tblLook w:val="0000" w:firstRow="0" w:lastRow="0" w:firstColumn="0" w:lastColumn="0" w:noHBand="0" w:noVBand="0"/>
      </w:tblPr>
      <w:tblGrid>
        <w:gridCol w:w="5741"/>
        <w:gridCol w:w="2458"/>
      </w:tblGrid>
      <w:tr w:rsidR="00BC1D4B" w14:paraId="123F7EEB" w14:textId="77777777">
        <w:trPr>
          <w:cantSplit/>
          <w:trHeight w:val="98"/>
          <w:jc w:val="center"/>
        </w:trPr>
        <w:tc>
          <w:tcPr>
            <w:tcW w:w="3501" w:type="pct"/>
            <w:tcBorders>
              <w:top w:val="single" w:sz="2" w:space="0" w:color="auto"/>
              <w:left w:val="single" w:sz="4" w:space="0" w:color="auto"/>
              <w:bottom w:val="single" w:sz="4" w:space="0" w:color="auto"/>
              <w:right w:val="single" w:sz="4" w:space="0" w:color="auto"/>
            </w:tcBorders>
          </w:tcPr>
          <w:p w14:paraId="3EF3DF03" w14:textId="77777777" w:rsidR="00BC1D4B" w:rsidRDefault="00BC1D4B">
            <w:pPr>
              <w:spacing w:before="60" w:after="60"/>
              <w:jc w:val="center"/>
              <w:rPr>
                <w:rFonts w:ascii="Verdana" w:hAnsi="Verdana"/>
                <w:b/>
                <w:sz w:val="20"/>
                <w:szCs w:val="20"/>
                <w:lang w:val="en-US"/>
              </w:rPr>
            </w:pPr>
          </w:p>
        </w:tc>
        <w:tc>
          <w:tcPr>
            <w:tcW w:w="1499" w:type="pct"/>
            <w:tcBorders>
              <w:top w:val="single" w:sz="2" w:space="0" w:color="auto"/>
              <w:left w:val="single" w:sz="4" w:space="0" w:color="auto"/>
              <w:bottom w:val="single" w:sz="4" w:space="0" w:color="auto"/>
              <w:right w:val="single" w:sz="2" w:space="0" w:color="auto"/>
            </w:tcBorders>
          </w:tcPr>
          <w:p w14:paraId="2CBF528E" w14:textId="77777777" w:rsidR="00BC1D4B" w:rsidRDefault="00ED1F84">
            <w:pPr>
              <w:spacing w:before="60" w:after="60"/>
              <w:jc w:val="center"/>
              <w:rPr>
                <w:rFonts w:ascii="Verdana" w:hAnsi="Verdana"/>
                <w:b/>
                <w:sz w:val="20"/>
                <w:szCs w:val="20"/>
                <w:lang w:val="en-US"/>
              </w:rPr>
            </w:pPr>
            <w:r>
              <w:rPr>
                <w:rFonts w:ascii="Verdana" w:hAnsi="Verdana"/>
                <w:b/>
                <w:sz w:val="20"/>
                <w:szCs w:val="20"/>
                <w:lang w:val="en-US"/>
              </w:rPr>
              <w:t>CLP Notifications</w:t>
            </w:r>
            <w:r>
              <w:rPr>
                <w:rFonts w:ascii="Verdana" w:hAnsi="Verdana"/>
                <w:sz w:val="20"/>
                <w:szCs w:val="20"/>
                <w:vertAlign w:val="superscript"/>
                <w:lang w:val="en-US"/>
              </w:rPr>
              <w:footnoteReference w:id="8"/>
            </w:r>
          </w:p>
        </w:tc>
      </w:tr>
      <w:tr w:rsidR="00BC1D4B" w14:paraId="70EAE210" w14:textId="77777777">
        <w:trPr>
          <w:cantSplit/>
          <w:trHeight w:val="168"/>
          <w:jc w:val="center"/>
        </w:trPr>
        <w:tc>
          <w:tcPr>
            <w:tcW w:w="3501" w:type="pct"/>
            <w:tcBorders>
              <w:top w:val="single" w:sz="2" w:space="0" w:color="auto"/>
              <w:left w:val="single" w:sz="4" w:space="0" w:color="auto"/>
              <w:bottom w:val="single" w:sz="2" w:space="0" w:color="auto"/>
              <w:right w:val="single" w:sz="4" w:space="0" w:color="auto"/>
            </w:tcBorders>
          </w:tcPr>
          <w:p w14:paraId="28F4B259" w14:textId="77777777" w:rsidR="00BC1D4B" w:rsidRDefault="00ED1F84">
            <w:pPr>
              <w:spacing w:before="60" w:after="60"/>
              <w:ind w:right="-108"/>
              <w:rPr>
                <w:rFonts w:ascii="Verdana" w:hAnsi="Verdana"/>
                <w:sz w:val="20"/>
                <w:szCs w:val="20"/>
                <w:lang w:val="en-US"/>
              </w:rPr>
            </w:pPr>
            <w:r>
              <w:rPr>
                <w:rFonts w:ascii="Verdana" w:hAnsi="Verdana"/>
                <w:sz w:val="20"/>
                <w:szCs w:val="20"/>
                <w:lang w:val="en-US"/>
              </w:rPr>
              <w:t>Number of aggregated notifications</w:t>
            </w:r>
          </w:p>
        </w:tc>
        <w:tc>
          <w:tcPr>
            <w:tcW w:w="1499" w:type="pct"/>
            <w:tcBorders>
              <w:top w:val="single" w:sz="2" w:space="0" w:color="auto"/>
              <w:left w:val="single" w:sz="4" w:space="0" w:color="auto"/>
              <w:bottom w:val="single" w:sz="2" w:space="0" w:color="auto"/>
              <w:right w:val="single" w:sz="2" w:space="0" w:color="auto"/>
            </w:tcBorders>
          </w:tcPr>
          <w:p w14:paraId="4E6AC3EB" w14:textId="77777777" w:rsidR="00BC1D4B" w:rsidRDefault="00ED1F84">
            <w:pPr>
              <w:spacing w:before="60" w:after="60"/>
              <w:jc w:val="center"/>
              <w:rPr>
                <w:rFonts w:ascii="Verdana" w:hAnsi="Verdana"/>
                <w:sz w:val="20"/>
                <w:szCs w:val="20"/>
                <w:lang w:val="en-US"/>
              </w:rPr>
            </w:pPr>
            <w:r>
              <w:rPr>
                <w:rFonts w:ascii="Verdana" w:hAnsi="Verdana"/>
                <w:sz w:val="20"/>
                <w:szCs w:val="20"/>
                <w:lang w:val="en-US"/>
              </w:rPr>
              <w:t>20</w:t>
            </w:r>
          </w:p>
        </w:tc>
      </w:tr>
      <w:tr w:rsidR="00BC1D4B" w14:paraId="6E3E441A" w14:textId="77777777">
        <w:trPr>
          <w:cantSplit/>
          <w:trHeight w:val="168"/>
          <w:jc w:val="center"/>
        </w:trPr>
        <w:tc>
          <w:tcPr>
            <w:tcW w:w="3501" w:type="pct"/>
            <w:tcBorders>
              <w:top w:val="single" w:sz="2" w:space="0" w:color="auto"/>
              <w:left w:val="single" w:sz="4" w:space="0" w:color="auto"/>
              <w:bottom w:val="single" w:sz="2" w:space="0" w:color="auto"/>
              <w:right w:val="single" w:sz="4" w:space="0" w:color="auto"/>
            </w:tcBorders>
          </w:tcPr>
          <w:p w14:paraId="7DEF7BE4" w14:textId="77777777" w:rsidR="00BC1D4B" w:rsidRDefault="00ED1F84">
            <w:pPr>
              <w:spacing w:before="60" w:after="60"/>
              <w:ind w:right="-108"/>
              <w:rPr>
                <w:rFonts w:ascii="Verdana" w:hAnsi="Verdana"/>
                <w:color w:val="000000"/>
                <w:sz w:val="20"/>
                <w:szCs w:val="20"/>
                <w:lang w:val="en-US"/>
              </w:rPr>
            </w:pPr>
            <w:r>
              <w:rPr>
                <w:rFonts w:ascii="Verdana" w:hAnsi="Verdana"/>
                <w:sz w:val="20"/>
                <w:szCs w:val="20"/>
                <w:lang w:val="en-US"/>
              </w:rPr>
              <w:t xml:space="preserve">Total number of notifiers </w:t>
            </w:r>
          </w:p>
        </w:tc>
        <w:tc>
          <w:tcPr>
            <w:tcW w:w="1499" w:type="pct"/>
            <w:tcBorders>
              <w:top w:val="single" w:sz="2" w:space="0" w:color="auto"/>
              <w:left w:val="single" w:sz="4" w:space="0" w:color="auto"/>
              <w:bottom w:val="single" w:sz="2" w:space="0" w:color="auto"/>
              <w:right w:val="single" w:sz="2" w:space="0" w:color="auto"/>
            </w:tcBorders>
          </w:tcPr>
          <w:p w14:paraId="6770D23C" w14:textId="77777777" w:rsidR="00BC1D4B" w:rsidRDefault="00ED1F84">
            <w:pPr>
              <w:spacing w:before="60" w:after="60"/>
              <w:jc w:val="center"/>
              <w:rPr>
                <w:rFonts w:ascii="Verdana" w:hAnsi="Verdana"/>
                <w:sz w:val="20"/>
                <w:szCs w:val="20"/>
                <w:lang w:val="en-US"/>
              </w:rPr>
            </w:pPr>
            <w:r>
              <w:rPr>
                <w:rFonts w:ascii="Verdana" w:hAnsi="Verdana"/>
                <w:sz w:val="20"/>
                <w:szCs w:val="20"/>
                <w:lang w:val="en-US"/>
              </w:rPr>
              <w:t>558</w:t>
            </w:r>
          </w:p>
        </w:tc>
      </w:tr>
    </w:tbl>
    <w:p w14:paraId="65C78065" w14:textId="77777777" w:rsidR="00BC1D4B" w:rsidRDefault="00BC1D4B">
      <w:pPr>
        <w:spacing w:after="0"/>
        <w:ind w:right="-477"/>
        <w:rPr>
          <w:rFonts w:ascii="Verdana" w:hAnsi="Verdana"/>
          <w:sz w:val="20"/>
          <w:szCs w:val="20"/>
        </w:rPr>
      </w:pPr>
    </w:p>
    <w:p w14:paraId="319592B6" w14:textId="77777777" w:rsidR="00BC1D4B" w:rsidRDefault="00ED1F84">
      <w:pPr>
        <w:spacing w:after="120"/>
        <w:ind w:right="-477"/>
        <w:jc w:val="both"/>
        <w:rPr>
          <w:rFonts w:ascii="Verdana" w:hAnsi="Verdana"/>
          <w:sz w:val="20"/>
          <w:szCs w:val="20"/>
          <w:lang w:val="en-US"/>
        </w:rPr>
      </w:pPr>
      <w:r>
        <w:rPr>
          <w:rFonts w:ascii="Verdana" w:hAnsi="Verdana"/>
          <w:sz w:val="20"/>
          <w:szCs w:val="20"/>
          <w:lang w:val="en-US"/>
        </w:rPr>
        <w:t>Following the conclusion mentioned in the SEv conclusion report, an update of the harmonized classification is considered justified.</w:t>
      </w:r>
    </w:p>
    <w:p w14:paraId="522A18CC" w14:textId="77777777" w:rsidR="00BC1D4B" w:rsidRDefault="00ED1F84">
      <w:pPr>
        <w:spacing w:after="120"/>
        <w:ind w:right="-477"/>
        <w:jc w:val="both"/>
        <w:rPr>
          <w:rFonts w:ascii="Verdana" w:hAnsi="Verdana"/>
          <w:sz w:val="20"/>
          <w:szCs w:val="20"/>
          <w:lang w:val="en-US"/>
        </w:rPr>
      </w:pPr>
      <w:r>
        <w:rPr>
          <w:rFonts w:ascii="Verdana" w:hAnsi="Verdana"/>
          <w:sz w:val="20"/>
          <w:szCs w:val="20"/>
          <w:lang w:val="en-US"/>
        </w:rPr>
        <w:t xml:space="preserve">It is proposed to add classification for Skin Sens. 1 (H317) and to modify Acute Tox. 4 (H302) to Acute Tox. 3 (H301), Eye irrit. 2 (H315) to Eye Dam. 1 (H318) and Aquatic Chronic 2 (H411) to Aquatic Chronic 3 (H412). </w:t>
      </w:r>
    </w:p>
    <w:p w14:paraId="34062B4B" w14:textId="77777777" w:rsidR="00BC1D4B" w:rsidRDefault="00ED1F84">
      <w:pPr>
        <w:spacing w:after="120"/>
        <w:ind w:right="-477"/>
        <w:jc w:val="both"/>
      </w:pPr>
      <w:r>
        <w:rPr>
          <w:rFonts w:ascii="Verdana" w:hAnsi="Verdana"/>
          <w:sz w:val="20"/>
          <w:szCs w:val="20"/>
        </w:rPr>
        <w:t>Uncertainties in the mutagenic potential of DPG due to positive results in stomach and clear species differences in mutagenic potential were noticed. Nevertheless, although positive Ames assays were observed with hamster S9 mix, negative results using both rat and human S9 mix are reassuring. In conclusion, based on the available database and weight-of-evidence, no mutagenicity classification is warranted for DPG.</w:t>
      </w:r>
    </w:p>
    <w:p w14:paraId="6BB7A646" w14:textId="27A72E0F" w:rsidR="00BC1D4B" w:rsidRDefault="00ED1F84">
      <w:pPr>
        <w:spacing w:after="120"/>
        <w:ind w:right="-477"/>
        <w:jc w:val="both"/>
        <w:rPr>
          <w:rFonts w:ascii="Verdana" w:hAnsi="Verdana"/>
          <w:sz w:val="20"/>
          <w:szCs w:val="20"/>
        </w:rPr>
      </w:pPr>
      <w:r>
        <w:rPr>
          <w:rFonts w:ascii="Verdana" w:hAnsi="Verdana"/>
          <w:sz w:val="20"/>
          <w:szCs w:val="20"/>
        </w:rPr>
        <w:t xml:space="preserve">In addition to the endpoints identified during SEv, the analysis of the recent EOGRTS warrant a classification Repr. 1B for fertility and development. </w:t>
      </w:r>
      <w:r w:rsidR="00995653">
        <w:rPr>
          <w:rFonts w:ascii="Verdana" w:hAnsi="Verdana"/>
          <w:sz w:val="20"/>
          <w:szCs w:val="20"/>
        </w:rPr>
        <w:t>In addition, regarding neurotoxicity, a</w:t>
      </w:r>
      <w:r>
        <w:rPr>
          <w:rFonts w:ascii="Verdana" w:hAnsi="Verdana"/>
          <w:sz w:val="20"/>
          <w:szCs w:val="20"/>
        </w:rPr>
        <w:t xml:space="preserve"> classification STOT RE 2 (nervous system) is also considered justified for the substance.  </w:t>
      </w:r>
    </w:p>
    <w:p w14:paraId="7F72B6F3" w14:textId="77777777" w:rsidR="00BC1D4B" w:rsidRDefault="00ED1F84">
      <w:pPr>
        <w:spacing w:after="120"/>
        <w:ind w:right="-477"/>
        <w:jc w:val="both"/>
        <w:rPr>
          <w:rFonts w:ascii="Verdana" w:hAnsi="Verdana"/>
          <w:sz w:val="20"/>
          <w:szCs w:val="20"/>
          <w:lang w:val="en-US"/>
        </w:rPr>
      </w:pPr>
      <w:r>
        <w:rPr>
          <w:rFonts w:ascii="Verdana" w:hAnsi="Verdana"/>
          <w:sz w:val="20"/>
          <w:szCs w:val="20"/>
        </w:rPr>
        <w:t>The update of the harmonised classification</w:t>
      </w:r>
      <w:r>
        <w:rPr>
          <w:rFonts w:ascii="Verdana" w:hAnsi="Verdana"/>
          <w:sz w:val="20"/>
          <w:szCs w:val="20"/>
          <w:lang w:val="en-US"/>
        </w:rPr>
        <w:t xml:space="preserve"> is ongoing and the following modifications will be proposed by the aMSCA.</w:t>
      </w:r>
    </w:p>
    <w:p w14:paraId="6EE17B4A" w14:textId="77777777" w:rsidR="00BC1D4B" w:rsidRDefault="00BC1D4B">
      <w:pPr>
        <w:spacing w:after="120"/>
        <w:ind w:right="-477"/>
        <w:jc w:val="both"/>
        <w:rPr>
          <w:rFonts w:ascii="Verdana" w:hAnsi="Verdana"/>
          <w:sz w:val="20"/>
          <w:szCs w:val="20"/>
          <w:lang w:val="en-US"/>
        </w:rPr>
      </w:pPr>
    </w:p>
    <w:p w14:paraId="5B43BF31" w14:textId="77777777" w:rsidR="00BC1D4B" w:rsidRDefault="00ED1F84">
      <w:pPr>
        <w:spacing w:after="120"/>
        <w:ind w:right="-477"/>
        <w:jc w:val="both"/>
        <w:rPr>
          <w:b/>
        </w:rPr>
      </w:pPr>
      <w:r>
        <w:rPr>
          <w:rFonts w:ascii="Verdana" w:hAnsi="Verdana"/>
          <w:b/>
          <w:sz w:val="20"/>
          <w:szCs w:val="20"/>
          <w:lang w:val="en-US"/>
        </w:rPr>
        <w:t>Table 6: Proposed harmonised classification and labelling according to the CLP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52"/>
        <w:gridCol w:w="1772"/>
        <w:gridCol w:w="1327"/>
        <w:gridCol w:w="992"/>
        <w:gridCol w:w="1060"/>
        <w:gridCol w:w="1117"/>
        <w:gridCol w:w="982"/>
      </w:tblGrid>
      <w:tr w:rsidR="00BC1D4B" w14:paraId="5312D270" w14:textId="77777777" w:rsidTr="002F4101">
        <w:trPr>
          <w:jc w:val="center"/>
        </w:trPr>
        <w:tc>
          <w:tcPr>
            <w:tcW w:w="1052" w:type="dxa"/>
            <w:vMerge w:val="restart"/>
            <w:vAlign w:val="center"/>
          </w:tcPr>
          <w:p w14:paraId="1E682414" w14:textId="77777777" w:rsidR="00BC1D4B" w:rsidRDefault="00BC1D4B">
            <w:pPr>
              <w:spacing w:before="120"/>
              <w:jc w:val="center"/>
              <w:rPr>
                <w:rFonts w:ascii="Verdana" w:hAnsi="Verdana"/>
                <w:b/>
                <w:sz w:val="16"/>
                <w:szCs w:val="16"/>
              </w:rPr>
            </w:pPr>
          </w:p>
        </w:tc>
        <w:tc>
          <w:tcPr>
            <w:tcW w:w="1772" w:type="dxa"/>
            <w:vMerge w:val="restart"/>
            <w:vAlign w:val="center"/>
          </w:tcPr>
          <w:p w14:paraId="1C3CE145" w14:textId="77777777" w:rsidR="00BC1D4B" w:rsidRDefault="00ED1F84">
            <w:pPr>
              <w:spacing w:before="120"/>
              <w:jc w:val="center"/>
              <w:rPr>
                <w:rFonts w:ascii="Verdana" w:hAnsi="Verdana"/>
                <w:b/>
                <w:sz w:val="16"/>
                <w:szCs w:val="16"/>
              </w:rPr>
            </w:pPr>
            <w:r>
              <w:rPr>
                <w:rFonts w:ascii="Verdana" w:hAnsi="Verdana"/>
                <w:b/>
                <w:sz w:val="16"/>
                <w:szCs w:val="16"/>
              </w:rPr>
              <w:t>International Chemical Identification</w:t>
            </w:r>
          </w:p>
        </w:tc>
        <w:tc>
          <w:tcPr>
            <w:tcW w:w="2319" w:type="dxa"/>
            <w:gridSpan w:val="2"/>
            <w:vAlign w:val="center"/>
          </w:tcPr>
          <w:p w14:paraId="669ACAE9" w14:textId="77777777" w:rsidR="00BC1D4B" w:rsidRDefault="00ED1F84">
            <w:pPr>
              <w:spacing w:before="120"/>
              <w:jc w:val="center"/>
              <w:rPr>
                <w:rFonts w:ascii="Verdana" w:hAnsi="Verdana"/>
                <w:b/>
                <w:sz w:val="16"/>
                <w:szCs w:val="16"/>
              </w:rPr>
            </w:pPr>
            <w:r>
              <w:rPr>
                <w:rFonts w:ascii="Verdana" w:hAnsi="Verdana"/>
                <w:b/>
                <w:sz w:val="16"/>
                <w:szCs w:val="16"/>
              </w:rPr>
              <w:t>Classification</w:t>
            </w:r>
          </w:p>
        </w:tc>
        <w:tc>
          <w:tcPr>
            <w:tcW w:w="2177" w:type="dxa"/>
            <w:gridSpan w:val="2"/>
            <w:vAlign w:val="center"/>
          </w:tcPr>
          <w:p w14:paraId="5B674B59" w14:textId="77777777" w:rsidR="00BC1D4B" w:rsidRDefault="00ED1F84">
            <w:pPr>
              <w:spacing w:before="120"/>
              <w:jc w:val="center"/>
              <w:rPr>
                <w:rFonts w:ascii="Verdana" w:hAnsi="Verdana"/>
                <w:b/>
                <w:sz w:val="16"/>
                <w:szCs w:val="16"/>
              </w:rPr>
            </w:pPr>
            <w:r>
              <w:rPr>
                <w:rFonts w:ascii="Verdana" w:hAnsi="Verdana"/>
                <w:b/>
                <w:sz w:val="16"/>
                <w:szCs w:val="16"/>
              </w:rPr>
              <w:t>Labelling</w:t>
            </w:r>
          </w:p>
        </w:tc>
        <w:tc>
          <w:tcPr>
            <w:tcW w:w="982" w:type="dxa"/>
            <w:vMerge w:val="restart"/>
            <w:vAlign w:val="center"/>
          </w:tcPr>
          <w:p w14:paraId="24C27518" w14:textId="77777777" w:rsidR="00BC1D4B" w:rsidRDefault="00ED1F84">
            <w:pPr>
              <w:spacing w:before="120"/>
              <w:jc w:val="center"/>
              <w:rPr>
                <w:rFonts w:ascii="Verdana" w:hAnsi="Verdana"/>
                <w:b/>
                <w:sz w:val="16"/>
                <w:szCs w:val="16"/>
              </w:rPr>
            </w:pPr>
            <w:r>
              <w:rPr>
                <w:rFonts w:ascii="Verdana" w:hAnsi="Verdana"/>
                <w:b/>
                <w:sz w:val="16"/>
                <w:szCs w:val="16"/>
              </w:rPr>
              <w:t>Specific Conc. Limits, M-factors</w:t>
            </w:r>
          </w:p>
        </w:tc>
      </w:tr>
      <w:tr w:rsidR="00BC1D4B" w14:paraId="17C8D6B8" w14:textId="77777777" w:rsidTr="002F4101">
        <w:trPr>
          <w:jc w:val="center"/>
        </w:trPr>
        <w:tc>
          <w:tcPr>
            <w:tcW w:w="1052" w:type="dxa"/>
            <w:vMerge/>
            <w:vAlign w:val="center"/>
          </w:tcPr>
          <w:p w14:paraId="141FFFC9" w14:textId="77777777" w:rsidR="00BC1D4B" w:rsidRDefault="00BC1D4B">
            <w:pPr>
              <w:spacing w:before="120"/>
              <w:jc w:val="center"/>
              <w:rPr>
                <w:rFonts w:ascii="Verdana" w:hAnsi="Verdana"/>
                <w:b/>
                <w:sz w:val="16"/>
                <w:szCs w:val="16"/>
              </w:rPr>
            </w:pPr>
          </w:p>
        </w:tc>
        <w:tc>
          <w:tcPr>
            <w:tcW w:w="1772" w:type="dxa"/>
            <w:vMerge/>
            <w:vAlign w:val="center"/>
          </w:tcPr>
          <w:p w14:paraId="2AA4877B" w14:textId="77777777" w:rsidR="00BC1D4B" w:rsidRDefault="00BC1D4B">
            <w:pPr>
              <w:spacing w:before="120"/>
              <w:jc w:val="center"/>
              <w:rPr>
                <w:rFonts w:ascii="Verdana" w:hAnsi="Verdana"/>
                <w:b/>
                <w:sz w:val="16"/>
                <w:szCs w:val="16"/>
              </w:rPr>
            </w:pPr>
          </w:p>
        </w:tc>
        <w:tc>
          <w:tcPr>
            <w:tcW w:w="1327" w:type="dxa"/>
            <w:vAlign w:val="center"/>
          </w:tcPr>
          <w:p w14:paraId="04EE3BC6" w14:textId="77777777" w:rsidR="00BC1D4B" w:rsidRDefault="00ED1F84">
            <w:pPr>
              <w:spacing w:before="120"/>
              <w:jc w:val="center"/>
              <w:rPr>
                <w:rFonts w:ascii="Verdana" w:hAnsi="Verdana"/>
                <w:b/>
                <w:sz w:val="16"/>
                <w:szCs w:val="16"/>
              </w:rPr>
            </w:pPr>
            <w:r>
              <w:rPr>
                <w:rFonts w:ascii="Verdana" w:hAnsi="Verdana"/>
                <w:b/>
                <w:sz w:val="16"/>
                <w:szCs w:val="16"/>
              </w:rPr>
              <w:t>Hazard Class and Category Code(s)</w:t>
            </w:r>
          </w:p>
        </w:tc>
        <w:tc>
          <w:tcPr>
            <w:tcW w:w="992" w:type="dxa"/>
            <w:vAlign w:val="center"/>
          </w:tcPr>
          <w:p w14:paraId="4277D659" w14:textId="77777777" w:rsidR="00BC1D4B" w:rsidRDefault="00ED1F84">
            <w:pPr>
              <w:spacing w:before="120"/>
              <w:jc w:val="center"/>
              <w:rPr>
                <w:rFonts w:ascii="Verdana" w:hAnsi="Verdana"/>
                <w:b/>
                <w:sz w:val="16"/>
                <w:szCs w:val="16"/>
              </w:rPr>
            </w:pPr>
            <w:r>
              <w:rPr>
                <w:rFonts w:ascii="Verdana" w:hAnsi="Verdana"/>
                <w:b/>
                <w:sz w:val="16"/>
                <w:szCs w:val="16"/>
              </w:rPr>
              <w:t>Hazard statement Code(s)</w:t>
            </w:r>
          </w:p>
        </w:tc>
        <w:tc>
          <w:tcPr>
            <w:tcW w:w="1060" w:type="dxa"/>
            <w:vAlign w:val="center"/>
          </w:tcPr>
          <w:p w14:paraId="0A66EFC0" w14:textId="77777777" w:rsidR="00BC1D4B" w:rsidRDefault="00ED1F84">
            <w:pPr>
              <w:spacing w:before="120"/>
              <w:jc w:val="center"/>
              <w:rPr>
                <w:rFonts w:ascii="Verdana" w:hAnsi="Verdana"/>
                <w:b/>
                <w:sz w:val="16"/>
                <w:szCs w:val="16"/>
              </w:rPr>
            </w:pPr>
            <w:r>
              <w:rPr>
                <w:rFonts w:ascii="Verdana" w:hAnsi="Verdana"/>
                <w:b/>
                <w:sz w:val="16"/>
                <w:szCs w:val="16"/>
              </w:rPr>
              <w:t>Pictogram, Signal Word Code(s)</w:t>
            </w:r>
          </w:p>
        </w:tc>
        <w:tc>
          <w:tcPr>
            <w:tcW w:w="1117" w:type="dxa"/>
            <w:vAlign w:val="center"/>
          </w:tcPr>
          <w:p w14:paraId="2A083CF1" w14:textId="77777777" w:rsidR="00BC1D4B" w:rsidRDefault="00ED1F84">
            <w:pPr>
              <w:spacing w:before="120"/>
              <w:jc w:val="center"/>
              <w:rPr>
                <w:rFonts w:ascii="Verdana" w:hAnsi="Verdana"/>
                <w:b/>
                <w:sz w:val="16"/>
                <w:szCs w:val="16"/>
              </w:rPr>
            </w:pPr>
            <w:r>
              <w:rPr>
                <w:rFonts w:ascii="Verdana" w:hAnsi="Verdana"/>
                <w:b/>
                <w:sz w:val="16"/>
                <w:szCs w:val="16"/>
              </w:rPr>
              <w:t>Hazard statement Code(s)</w:t>
            </w:r>
          </w:p>
        </w:tc>
        <w:tc>
          <w:tcPr>
            <w:tcW w:w="982" w:type="dxa"/>
            <w:vMerge/>
            <w:vAlign w:val="center"/>
          </w:tcPr>
          <w:p w14:paraId="1916B921" w14:textId="77777777" w:rsidR="00BC1D4B" w:rsidRDefault="00BC1D4B">
            <w:pPr>
              <w:spacing w:before="120"/>
              <w:jc w:val="center"/>
              <w:rPr>
                <w:rFonts w:ascii="Verdana" w:hAnsi="Verdana"/>
                <w:b/>
                <w:sz w:val="16"/>
                <w:szCs w:val="16"/>
              </w:rPr>
            </w:pPr>
          </w:p>
        </w:tc>
      </w:tr>
      <w:tr w:rsidR="00BC1D4B" w14:paraId="7A09BFA1" w14:textId="77777777" w:rsidTr="002F4101">
        <w:trPr>
          <w:jc w:val="center"/>
        </w:trPr>
        <w:tc>
          <w:tcPr>
            <w:tcW w:w="1052" w:type="dxa"/>
            <w:vAlign w:val="center"/>
          </w:tcPr>
          <w:p w14:paraId="0EE21F5F" w14:textId="77777777" w:rsidR="00BC1D4B" w:rsidRDefault="00ED1F84">
            <w:pPr>
              <w:spacing w:before="120"/>
              <w:jc w:val="center"/>
              <w:rPr>
                <w:rFonts w:ascii="Verdana" w:hAnsi="Verdana"/>
                <w:sz w:val="16"/>
                <w:szCs w:val="16"/>
              </w:rPr>
            </w:pPr>
            <w:r>
              <w:rPr>
                <w:rFonts w:ascii="Verdana" w:hAnsi="Verdana"/>
                <w:sz w:val="16"/>
                <w:szCs w:val="16"/>
              </w:rPr>
              <w:t>Current Annex VI entry</w:t>
            </w:r>
          </w:p>
        </w:tc>
        <w:tc>
          <w:tcPr>
            <w:tcW w:w="1772" w:type="dxa"/>
            <w:vAlign w:val="center"/>
          </w:tcPr>
          <w:p w14:paraId="13DA40C7" w14:textId="77777777" w:rsidR="00BC1D4B" w:rsidRDefault="00ED1F84">
            <w:pPr>
              <w:spacing w:before="120"/>
              <w:jc w:val="center"/>
              <w:rPr>
                <w:rFonts w:ascii="Verdana" w:hAnsi="Verdana"/>
                <w:sz w:val="16"/>
                <w:szCs w:val="16"/>
              </w:rPr>
            </w:pPr>
            <w:r>
              <w:rPr>
                <w:rFonts w:ascii="Verdana" w:hAnsi="Verdana"/>
                <w:sz w:val="16"/>
                <w:szCs w:val="16"/>
              </w:rPr>
              <w:t>1,3-diphenylguanidine EC No 203-002-1  CAS No 102-06-7</w:t>
            </w:r>
          </w:p>
        </w:tc>
        <w:tc>
          <w:tcPr>
            <w:tcW w:w="1327" w:type="dxa"/>
          </w:tcPr>
          <w:p w14:paraId="36F3CDC9" w14:textId="77777777" w:rsidR="00BC1D4B" w:rsidRDefault="00ED1F84">
            <w:pPr>
              <w:spacing w:before="120"/>
              <w:jc w:val="center"/>
              <w:rPr>
                <w:rFonts w:ascii="Verdana" w:hAnsi="Verdana"/>
                <w:sz w:val="16"/>
                <w:szCs w:val="16"/>
                <w:lang w:val="fr-FR"/>
              </w:rPr>
            </w:pPr>
            <w:r>
              <w:rPr>
                <w:rFonts w:ascii="Verdana" w:hAnsi="Verdana"/>
                <w:sz w:val="16"/>
                <w:szCs w:val="16"/>
                <w:lang w:val="fr-FR"/>
              </w:rPr>
              <w:t>Repr. 2</w:t>
            </w:r>
          </w:p>
          <w:p w14:paraId="422A7A67" w14:textId="77777777" w:rsidR="00BC1D4B" w:rsidRDefault="00ED1F84">
            <w:pPr>
              <w:spacing w:before="120"/>
              <w:jc w:val="center"/>
              <w:rPr>
                <w:rFonts w:ascii="Verdana" w:hAnsi="Verdana"/>
                <w:sz w:val="16"/>
                <w:szCs w:val="16"/>
                <w:lang w:val="fr-FR"/>
              </w:rPr>
            </w:pPr>
            <w:r>
              <w:rPr>
                <w:rFonts w:ascii="Verdana" w:hAnsi="Verdana"/>
                <w:sz w:val="16"/>
                <w:szCs w:val="16"/>
                <w:lang w:val="fr-FR"/>
              </w:rPr>
              <w:t>Acute Tox. 4 *</w:t>
            </w:r>
          </w:p>
          <w:p w14:paraId="72A687D9" w14:textId="77777777" w:rsidR="00BC1D4B" w:rsidRDefault="00ED1F84">
            <w:pPr>
              <w:spacing w:before="120"/>
              <w:jc w:val="center"/>
              <w:rPr>
                <w:rFonts w:ascii="Verdana" w:hAnsi="Verdana"/>
                <w:sz w:val="16"/>
                <w:szCs w:val="16"/>
                <w:lang w:val="fr-FR"/>
              </w:rPr>
            </w:pPr>
            <w:r>
              <w:rPr>
                <w:rFonts w:ascii="Verdana" w:hAnsi="Verdana"/>
                <w:sz w:val="16"/>
                <w:szCs w:val="16"/>
                <w:lang w:val="fr-FR"/>
              </w:rPr>
              <w:t>Eye Irrit. 2</w:t>
            </w:r>
          </w:p>
          <w:p w14:paraId="79B68624" w14:textId="77777777" w:rsidR="00BC1D4B" w:rsidRDefault="00ED1F84">
            <w:pPr>
              <w:spacing w:before="120"/>
              <w:jc w:val="center"/>
              <w:rPr>
                <w:rFonts w:ascii="Verdana" w:hAnsi="Verdana"/>
                <w:sz w:val="16"/>
                <w:szCs w:val="16"/>
                <w:lang w:val="fr-FR"/>
              </w:rPr>
            </w:pPr>
            <w:r>
              <w:rPr>
                <w:rFonts w:ascii="Verdana" w:hAnsi="Verdana"/>
                <w:sz w:val="16"/>
                <w:szCs w:val="16"/>
                <w:lang w:val="fr-FR"/>
              </w:rPr>
              <w:t>STOT SE 3</w:t>
            </w:r>
          </w:p>
          <w:p w14:paraId="6A450C16" w14:textId="77777777" w:rsidR="00BC1D4B" w:rsidRDefault="00ED1F84">
            <w:pPr>
              <w:spacing w:before="120"/>
              <w:jc w:val="center"/>
              <w:rPr>
                <w:rFonts w:ascii="Verdana" w:hAnsi="Verdana"/>
                <w:sz w:val="16"/>
                <w:szCs w:val="16"/>
                <w:lang w:val="fr-FR"/>
              </w:rPr>
            </w:pPr>
            <w:r>
              <w:rPr>
                <w:rFonts w:ascii="Verdana" w:hAnsi="Verdana"/>
                <w:sz w:val="16"/>
                <w:szCs w:val="16"/>
                <w:lang w:val="fr-FR"/>
              </w:rPr>
              <w:t>Skin Irrit. 2</w:t>
            </w:r>
          </w:p>
          <w:p w14:paraId="75ED8F51" w14:textId="77777777" w:rsidR="00BC1D4B" w:rsidRDefault="00ED1F84">
            <w:pPr>
              <w:spacing w:before="120"/>
              <w:jc w:val="center"/>
              <w:rPr>
                <w:rFonts w:ascii="Verdana" w:hAnsi="Verdana"/>
                <w:sz w:val="16"/>
                <w:szCs w:val="16"/>
                <w:lang w:val="fr-FR"/>
              </w:rPr>
            </w:pPr>
            <w:r>
              <w:rPr>
                <w:rFonts w:ascii="Verdana" w:hAnsi="Verdana"/>
                <w:sz w:val="16"/>
                <w:szCs w:val="16"/>
                <w:lang w:val="fr-FR"/>
              </w:rPr>
              <w:t>Aquatic Chronic 2</w:t>
            </w:r>
          </w:p>
          <w:p w14:paraId="35A002C6" w14:textId="77777777" w:rsidR="00BC1D4B" w:rsidRDefault="00BC1D4B">
            <w:pPr>
              <w:spacing w:before="120"/>
              <w:jc w:val="center"/>
              <w:rPr>
                <w:rFonts w:ascii="Verdana" w:hAnsi="Verdana"/>
                <w:sz w:val="16"/>
                <w:szCs w:val="16"/>
              </w:rPr>
            </w:pPr>
          </w:p>
        </w:tc>
        <w:tc>
          <w:tcPr>
            <w:tcW w:w="992" w:type="dxa"/>
          </w:tcPr>
          <w:p w14:paraId="56973295" w14:textId="77777777" w:rsidR="00BC1D4B" w:rsidRDefault="00ED1F84">
            <w:pPr>
              <w:spacing w:before="120"/>
              <w:jc w:val="center"/>
              <w:rPr>
                <w:rFonts w:ascii="Verdana" w:hAnsi="Verdana"/>
                <w:sz w:val="16"/>
                <w:szCs w:val="16"/>
                <w:lang w:val="fr-FR"/>
              </w:rPr>
            </w:pPr>
            <w:r>
              <w:rPr>
                <w:rFonts w:ascii="Verdana" w:hAnsi="Verdana"/>
                <w:sz w:val="16"/>
                <w:szCs w:val="16"/>
                <w:lang w:val="fr-FR"/>
              </w:rPr>
              <w:t>H361f ***</w:t>
            </w:r>
          </w:p>
          <w:p w14:paraId="017C5101" w14:textId="77777777" w:rsidR="00BC1D4B" w:rsidRDefault="00ED1F84">
            <w:pPr>
              <w:spacing w:before="120"/>
              <w:jc w:val="center"/>
              <w:rPr>
                <w:rFonts w:ascii="Verdana" w:hAnsi="Verdana"/>
                <w:sz w:val="16"/>
                <w:szCs w:val="16"/>
                <w:lang w:val="fr-FR"/>
              </w:rPr>
            </w:pPr>
            <w:r>
              <w:rPr>
                <w:rFonts w:ascii="Verdana" w:hAnsi="Verdana"/>
                <w:sz w:val="16"/>
                <w:szCs w:val="16"/>
                <w:lang w:val="fr-FR"/>
              </w:rPr>
              <w:t>H302</w:t>
            </w:r>
          </w:p>
          <w:p w14:paraId="193C42CC" w14:textId="77777777" w:rsidR="00BC1D4B" w:rsidRDefault="00ED1F84">
            <w:pPr>
              <w:spacing w:before="120"/>
              <w:jc w:val="center"/>
              <w:rPr>
                <w:rFonts w:ascii="Verdana" w:hAnsi="Verdana"/>
                <w:sz w:val="16"/>
                <w:szCs w:val="16"/>
                <w:lang w:val="fr-FR"/>
              </w:rPr>
            </w:pPr>
            <w:r>
              <w:rPr>
                <w:rFonts w:ascii="Verdana" w:hAnsi="Verdana"/>
                <w:sz w:val="16"/>
                <w:szCs w:val="16"/>
                <w:lang w:val="fr-FR"/>
              </w:rPr>
              <w:t>H319</w:t>
            </w:r>
          </w:p>
          <w:p w14:paraId="37DB3EC3" w14:textId="77777777" w:rsidR="00BC1D4B" w:rsidRDefault="00ED1F84">
            <w:pPr>
              <w:spacing w:before="120"/>
              <w:jc w:val="center"/>
              <w:rPr>
                <w:rFonts w:ascii="Verdana" w:hAnsi="Verdana"/>
                <w:sz w:val="16"/>
                <w:szCs w:val="16"/>
                <w:lang w:val="fr-FR"/>
              </w:rPr>
            </w:pPr>
            <w:r>
              <w:rPr>
                <w:rFonts w:ascii="Verdana" w:hAnsi="Verdana"/>
                <w:sz w:val="16"/>
                <w:szCs w:val="16"/>
                <w:lang w:val="fr-FR"/>
              </w:rPr>
              <w:t>H335</w:t>
            </w:r>
          </w:p>
          <w:p w14:paraId="71039C16" w14:textId="77777777" w:rsidR="00BC1D4B" w:rsidRDefault="00ED1F84">
            <w:pPr>
              <w:spacing w:before="120"/>
              <w:jc w:val="center"/>
              <w:rPr>
                <w:rFonts w:ascii="Verdana" w:hAnsi="Verdana"/>
                <w:sz w:val="16"/>
                <w:szCs w:val="16"/>
                <w:lang w:val="fr-FR"/>
              </w:rPr>
            </w:pPr>
            <w:r>
              <w:rPr>
                <w:rFonts w:ascii="Verdana" w:hAnsi="Verdana"/>
                <w:sz w:val="16"/>
                <w:szCs w:val="16"/>
                <w:lang w:val="fr-FR"/>
              </w:rPr>
              <w:t>H315</w:t>
            </w:r>
          </w:p>
          <w:p w14:paraId="3287E709" w14:textId="77777777" w:rsidR="00BC1D4B" w:rsidRDefault="00ED1F84">
            <w:pPr>
              <w:spacing w:before="120"/>
              <w:jc w:val="center"/>
              <w:rPr>
                <w:rFonts w:ascii="Verdana" w:hAnsi="Verdana"/>
                <w:sz w:val="16"/>
                <w:szCs w:val="16"/>
                <w:lang w:val="fr-FR"/>
              </w:rPr>
            </w:pPr>
            <w:r>
              <w:rPr>
                <w:rFonts w:ascii="Verdana" w:hAnsi="Verdana"/>
                <w:sz w:val="16"/>
                <w:szCs w:val="16"/>
                <w:lang w:val="fr-FR"/>
              </w:rPr>
              <w:t>H411</w:t>
            </w:r>
          </w:p>
          <w:p w14:paraId="22B7259A" w14:textId="77777777" w:rsidR="00BC1D4B" w:rsidRDefault="00BC1D4B">
            <w:pPr>
              <w:spacing w:before="120"/>
              <w:jc w:val="center"/>
              <w:rPr>
                <w:rFonts w:ascii="Verdana" w:hAnsi="Verdana"/>
                <w:sz w:val="16"/>
                <w:szCs w:val="16"/>
              </w:rPr>
            </w:pPr>
          </w:p>
        </w:tc>
        <w:tc>
          <w:tcPr>
            <w:tcW w:w="1060" w:type="dxa"/>
            <w:vAlign w:val="center"/>
          </w:tcPr>
          <w:p w14:paraId="672A5CE9" w14:textId="77777777" w:rsidR="00BC1D4B" w:rsidRDefault="00ED1F84">
            <w:pPr>
              <w:spacing w:before="120"/>
              <w:jc w:val="center"/>
              <w:rPr>
                <w:rFonts w:ascii="Verdana" w:hAnsi="Verdana"/>
                <w:sz w:val="16"/>
                <w:szCs w:val="16"/>
                <w:lang w:val="fr-FR"/>
              </w:rPr>
            </w:pPr>
            <w:r>
              <w:rPr>
                <w:rFonts w:ascii="Verdana" w:hAnsi="Verdana"/>
                <w:sz w:val="16"/>
                <w:szCs w:val="16"/>
                <w:lang w:val="fr-FR"/>
              </w:rPr>
              <w:t>GHS08</w:t>
            </w:r>
          </w:p>
          <w:p w14:paraId="5F3B39EC" w14:textId="77777777" w:rsidR="00BC1D4B" w:rsidRDefault="00ED1F84">
            <w:pPr>
              <w:spacing w:before="120"/>
              <w:jc w:val="center"/>
              <w:rPr>
                <w:rFonts w:ascii="Verdana" w:hAnsi="Verdana"/>
                <w:sz w:val="16"/>
                <w:szCs w:val="16"/>
                <w:lang w:val="fr-FR"/>
              </w:rPr>
            </w:pPr>
            <w:r>
              <w:rPr>
                <w:rFonts w:ascii="Verdana" w:hAnsi="Verdana"/>
                <w:sz w:val="16"/>
                <w:szCs w:val="16"/>
                <w:lang w:val="fr-FR"/>
              </w:rPr>
              <w:t>GHS07</w:t>
            </w:r>
          </w:p>
          <w:p w14:paraId="7E2A066C" w14:textId="77777777" w:rsidR="00BC1D4B" w:rsidRDefault="00ED1F84">
            <w:pPr>
              <w:spacing w:before="120"/>
              <w:jc w:val="center"/>
              <w:rPr>
                <w:rFonts w:ascii="Verdana" w:hAnsi="Verdana"/>
                <w:sz w:val="16"/>
                <w:szCs w:val="16"/>
                <w:lang w:val="fr-FR"/>
              </w:rPr>
            </w:pPr>
            <w:r>
              <w:rPr>
                <w:rFonts w:ascii="Verdana" w:hAnsi="Verdana"/>
                <w:sz w:val="16"/>
                <w:szCs w:val="16"/>
                <w:lang w:val="fr-FR"/>
              </w:rPr>
              <w:t>GHS09</w:t>
            </w:r>
          </w:p>
          <w:p w14:paraId="2D454875" w14:textId="77777777" w:rsidR="00BC1D4B" w:rsidRDefault="00ED1F84">
            <w:pPr>
              <w:spacing w:before="120"/>
              <w:jc w:val="center"/>
              <w:rPr>
                <w:rFonts w:ascii="Verdana" w:hAnsi="Verdana"/>
                <w:sz w:val="16"/>
                <w:szCs w:val="16"/>
                <w:lang w:val="fr-FR"/>
              </w:rPr>
            </w:pPr>
            <w:r>
              <w:rPr>
                <w:rFonts w:ascii="Verdana" w:hAnsi="Verdana"/>
                <w:sz w:val="16"/>
                <w:szCs w:val="16"/>
                <w:lang w:val="fr-FR"/>
              </w:rPr>
              <w:t>Wng</w:t>
            </w:r>
          </w:p>
          <w:p w14:paraId="55F987A5" w14:textId="77777777" w:rsidR="00BC1D4B" w:rsidRDefault="00BC1D4B">
            <w:pPr>
              <w:spacing w:before="120"/>
              <w:jc w:val="center"/>
              <w:rPr>
                <w:rFonts w:ascii="Verdana" w:hAnsi="Verdana"/>
                <w:sz w:val="16"/>
                <w:szCs w:val="16"/>
              </w:rPr>
            </w:pPr>
          </w:p>
        </w:tc>
        <w:tc>
          <w:tcPr>
            <w:tcW w:w="1117" w:type="dxa"/>
          </w:tcPr>
          <w:p w14:paraId="60D5A84B" w14:textId="77777777" w:rsidR="00BC1D4B" w:rsidRDefault="00ED1F84">
            <w:pPr>
              <w:spacing w:before="120"/>
              <w:jc w:val="center"/>
              <w:rPr>
                <w:rFonts w:ascii="Verdana" w:hAnsi="Verdana"/>
                <w:sz w:val="16"/>
                <w:szCs w:val="16"/>
                <w:lang w:val="fr-FR"/>
              </w:rPr>
            </w:pPr>
            <w:r>
              <w:rPr>
                <w:rFonts w:ascii="Verdana" w:hAnsi="Verdana"/>
                <w:sz w:val="16"/>
                <w:szCs w:val="16"/>
                <w:lang w:val="fr-FR"/>
              </w:rPr>
              <w:t>H361f ***</w:t>
            </w:r>
          </w:p>
          <w:p w14:paraId="7FA63FE6" w14:textId="77777777" w:rsidR="00BC1D4B" w:rsidRDefault="00ED1F84">
            <w:pPr>
              <w:spacing w:before="120"/>
              <w:jc w:val="center"/>
              <w:rPr>
                <w:rFonts w:ascii="Verdana" w:hAnsi="Verdana"/>
                <w:sz w:val="16"/>
                <w:szCs w:val="16"/>
                <w:lang w:val="fr-FR"/>
              </w:rPr>
            </w:pPr>
            <w:r>
              <w:rPr>
                <w:rFonts w:ascii="Verdana" w:hAnsi="Verdana"/>
                <w:sz w:val="16"/>
                <w:szCs w:val="16"/>
                <w:lang w:val="fr-FR"/>
              </w:rPr>
              <w:t>H302</w:t>
            </w:r>
          </w:p>
          <w:p w14:paraId="27EE6805" w14:textId="77777777" w:rsidR="00BC1D4B" w:rsidRDefault="00ED1F84">
            <w:pPr>
              <w:spacing w:before="120"/>
              <w:jc w:val="center"/>
              <w:rPr>
                <w:rFonts w:ascii="Verdana" w:hAnsi="Verdana"/>
                <w:sz w:val="16"/>
                <w:szCs w:val="16"/>
                <w:lang w:val="fr-FR"/>
              </w:rPr>
            </w:pPr>
            <w:r>
              <w:rPr>
                <w:rFonts w:ascii="Verdana" w:hAnsi="Verdana"/>
                <w:sz w:val="16"/>
                <w:szCs w:val="16"/>
                <w:lang w:val="fr-FR"/>
              </w:rPr>
              <w:t>H319</w:t>
            </w:r>
          </w:p>
          <w:p w14:paraId="00195F43" w14:textId="77777777" w:rsidR="00BC1D4B" w:rsidRDefault="00ED1F84">
            <w:pPr>
              <w:spacing w:before="120"/>
              <w:jc w:val="center"/>
              <w:rPr>
                <w:rFonts w:ascii="Verdana" w:hAnsi="Verdana"/>
                <w:sz w:val="16"/>
                <w:szCs w:val="16"/>
                <w:lang w:val="fr-FR"/>
              </w:rPr>
            </w:pPr>
            <w:r>
              <w:rPr>
                <w:rFonts w:ascii="Verdana" w:hAnsi="Verdana"/>
                <w:sz w:val="16"/>
                <w:szCs w:val="16"/>
                <w:lang w:val="fr-FR"/>
              </w:rPr>
              <w:t>H335</w:t>
            </w:r>
          </w:p>
          <w:p w14:paraId="68683FD7" w14:textId="77777777" w:rsidR="00BC1D4B" w:rsidRDefault="00ED1F84">
            <w:pPr>
              <w:spacing w:before="120"/>
              <w:jc w:val="center"/>
              <w:rPr>
                <w:rFonts w:ascii="Verdana" w:hAnsi="Verdana"/>
                <w:sz w:val="16"/>
                <w:szCs w:val="16"/>
                <w:lang w:val="fr-FR"/>
              </w:rPr>
            </w:pPr>
            <w:r>
              <w:rPr>
                <w:rFonts w:ascii="Verdana" w:hAnsi="Verdana"/>
                <w:sz w:val="16"/>
                <w:szCs w:val="16"/>
                <w:lang w:val="fr-FR"/>
              </w:rPr>
              <w:t>H315</w:t>
            </w:r>
          </w:p>
          <w:p w14:paraId="02660549" w14:textId="77777777" w:rsidR="00BC1D4B" w:rsidRDefault="00ED1F84">
            <w:pPr>
              <w:spacing w:before="120"/>
              <w:jc w:val="center"/>
              <w:rPr>
                <w:rFonts w:ascii="Verdana" w:hAnsi="Verdana"/>
                <w:sz w:val="16"/>
                <w:szCs w:val="16"/>
                <w:lang w:val="fr-FR"/>
              </w:rPr>
            </w:pPr>
            <w:r>
              <w:rPr>
                <w:rFonts w:ascii="Verdana" w:hAnsi="Verdana"/>
                <w:sz w:val="16"/>
                <w:szCs w:val="16"/>
                <w:lang w:val="fr-FR"/>
              </w:rPr>
              <w:t>H411</w:t>
            </w:r>
          </w:p>
          <w:p w14:paraId="1EE56B08" w14:textId="77777777" w:rsidR="00BC1D4B" w:rsidRDefault="00BC1D4B">
            <w:pPr>
              <w:spacing w:before="120"/>
              <w:jc w:val="center"/>
              <w:rPr>
                <w:rFonts w:ascii="Verdana" w:hAnsi="Verdana"/>
                <w:sz w:val="16"/>
                <w:szCs w:val="16"/>
              </w:rPr>
            </w:pPr>
          </w:p>
        </w:tc>
        <w:tc>
          <w:tcPr>
            <w:tcW w:w="982" w:type="dxa"/>
            <w:vAlign w:val="center"/>
          </w:tcPr>
          <w:p w14:paraId="6247DD82" w14:textId="77777777" w:rsidR="00BC1D4B" w:rsidRDefault="00BC1D4B">
            <w:pPr>
              <w:spacing w:before="120"/>
              <w:jc w:val="center"/>
              <w:rPr>
                <w:rFonts w:ascii="Verdana" w:eastAsia="MS Mincho" w:hAnsi="Verdana"/>
                <w:sz w:val="16"/>
                <w:szCs w:val="16"/>
                <w:lang w:eastAsia="ja-JP"/>
              </w:rPr>
            </w:pPr>
          </w:p>
        </w:tc>
      </w:tr>
      <w:tr w:rsidR="00BC1D4B" w14:paraId="46402F5E" w14:textId="77777777" w:rsidTr="002F4101">
        <w:trPr>
          <w:jc w:val="center"/>
        </w:trPr>
        <w:tc>
          <w:tcPr>
            <w:tcW w:w="1052" w:type="dxa"/>
            <w:vAlign w:val="center"/>
          </w:tcPr>
          <w:p w14:paraId="630989E8" w14:textId="77777777" w:rsidR="00BC1D4B" w:rsidRDefault="00ED1F84">
            <w:pPr>
              <w:spacing w:before="120"/>
              <w:jc w:val="center"/>
              <w:rPr>
                <w:rFonts w:ascii="Verdana" w:hAnsi="Verdana"/>
                <w:sz w:val="16"/>
                <w:szCs w:val="16"/>
              </w:rPr>
            </w:pPr>
            <w:r>
              <w:rPr>
                <w:rFonts w:ascii="Verdana" w:hAnsi="Verdana"/>
                <w:sz w:val="16"/>
                <w:szCs w:val="16"/>
              </w:rPr>
              <w:t>Dossier submitters proposal</w:t>
            </w:r>
          </w:p>
        </w:tc>
        <w:tc>
          <w:tcPr>
            <w:tcW w:w="1772" w:type="dxa"/>
            <w:vAlign w:val="center"/>
          </w:tcPr>
          <w:p w14:paraId="7FFC8463" w14:textId="77777777" w:rsidR="00BC1D4B" w:rsidRDefault="00ED1F84">
            <w:pPr>
              <w:spacing w:before="120"/>
              <w:jc w:val="center"/>
              <w:rPr>
                <w:rFonts w:ascii="Verdana" w:hAnsi="Verdana"/>
                <w:sz w:val="16"/>
                <w:szCs w:val="16"/>
              </w:rPr>
            </w:pPr>
            <w:r>
              <w:rPr>
                <w:rFonts w:ascii="Verdana" w:hAnsi="Verdana"/>
                <w:sz w:val="16"/>
                <w:szCs w:val="16"/>
              </w:rPr>
              <w:t>1,3-diphenylguanidine EC No 203-002-1  CAS No 102-06-7</w:t>
            </w:r>
          </w:p>
        </w:tc>
        <w:tc>
          <w:tcPr>
            <w:tcW w:w="1327" w:type="dxa"/>
            <w:vAlign w:val="center"/>
          </w:tcPr>
          <w:p w14:paraId="156FB484" w14:textId="77777777" w:rsidR="00BC1D4B" w:rsidRDefault="00ED1F84">
            <w:pPr>
              <w:spacing w:before="120"/>
              <w:jc w:val="center"/>
              <w:rPr>
                <w:rFonts w:ascii="Verdana" w:hAnsi="Verdana"/>
                <w:sz w:val="16"/>
                <w:szCs w:val="16"/>
                <w:lang w:val="fr-FR"/>
              </w:rPr>
            </w:pPr>
            <w:r>
              <w:rPr>
                <w:rFonts w:ascii="Verdana" w:hAnsi="Verdana"/>
                <w:sz w:val="16"/>
                <w:szCs w:val="16"/>
                <w:lang w:val="fr-FR"/>
              </w:rPr>
              <w:t xml:space="preserve">Repr. 1B </w:t>
            </w:r>
          </w:p>
          <w:p w14:paraId="796CEAD1" w14:textId="77777777" w:rsidR="00BC1D4B" w:rsidRDefault="00ED1F84">
            <w:pPr>
              <w:spacing w:before="120"/>
              <w:jc w:val="center"/>
              <w:rPr>
                <w:rFonts w:ascii="Verdana" w:hAnsi="Verdana"/>
                <w:sz w:val="16"/>
                <w:szCs w:val="16"/>
                <w:lang w:val="fr-FR"/>
              </w:rPr>
            </w:pPr>
            <w:r>
              <w:rPr>
                <w:rFonts w:ascii="Verdana" w:hAnsi="Verdana"/>
                <w:sz w:val="16"/>
                <w:szCs w:val="16"/>
                <w:lang w:val="fr-FR"/>
              </w:rPr>
              <w:t xml:space="preserve">Acute Tox. 3 </w:t>
            </w:r>
          </w:p>
          <w:p w14:paraId="62793CF9" w14:textId="77777777" w:rsidR="00BC1D4B" w:rsidRDefault="00ED1F84">
            <w:pPr>
              <w:spacing w:before="120"/>
              <w:jc w:val="center"/>
              <w:rPr>
                <w:rFonts w:ascii="Verdana" w:hAnsi="Verdana"/>
                <w:sz w:val="16"/>
                <w:szCs w:val="16"/>
                <w:lang w:val="fr-FR"/>
              </w:rPr>
            </w:pPr>
            <w:r>
              <w:rPr>
                <w:rFonts w:ascii="Verdana" w:hAnsi="Verdana"/>
                <w:sz w:val="16"/>
                <w:szCs w:val="16"/>
                <w:lang w:val="fr-FR"/>
              </w:rPr>
              <w:t>Eye Dam. 1</w:t>
            </w:r>
          </w:p>
          <w:p w14:paraId="60250FC5" w14:textId="77777777" w:rsidR="00BC1D4B" w:rsidRDefault="00ED1F84">
            <w:pPr>
              <w:spacing w:before="120"/>
              <w:jc w:val="center"/>
              <w:rPr>
                <w:rFonts w:ascii="Verdana" w:hAnsi="Verdana"/>
                <w:sz w:val="16"/>
                <w:szCs w:val="16"/>
                <w:lang w:val="fr-FR"/>
              </w:rPr>
            </w:pPr>
            <w:r>
              <w:rPr>
                <w:rFonts w:ascii="Verdana" w:hAnsi="Verdana"/>
                <w:sz w:val="16"/>
                <w:szCs w:val="16"/>
                <w:lang w:val="fr-FR"/>
              </w:rPr>
              <w:lastRenderedPageBreak/>
              <w:t xml:space="preserve">Skin Irrit. 2 </w:t>
            </w:r>
          </w:p>
          <w:p w14:paraId="08DAE750" w14:textId="77777777" w:rsidR="00BC1D4B" w:rsidRDefault="00ED1F84">
            <w:pPr>
              <w:spacing w:before="120"/>
              <w:jc w:val="center"/>
              <w:rPr>
                <w:rFonts w:ascii="Verdana" w:hAnsi="Verdana"/>
                <w:sz w:val="16"/>
                <w:szCs w:val="16"/>
                <w:lang w:val="fr-FR"/>
              </w:rPr>
            </w:pPr>
            <w:r>
              <w:rPr>
                <w:rFonts w:ascii="Verdana" w:hAnsi="Verdana"/>
                <w:sz w:val="16"/>
                <w:szCs w:val="16"/>
                <w:lang w:val="fr-FR"/>
              </w:rPr>
              <w:t>Skin Sens. 1</w:t>
            </w:r>
          </w:p>
          <w:p w14:paraId="50E8AD5F" w14:textId="77777777" w:rsidR="00BC1D4B" w:rsidRDefault="00ED1F84">
            <w:pPr>
              <w:spacing w:before="120"/>
              <w:jc w:val="center"/>
              <w:rPr>
                <w:rFonts w:ascii="Verdana" w:hAnsi="Verdana"/>
                <w:sz w:val="16"/>
                <w:szCs w:val="16"/>
                <w:lang w:val="fr-FR"/>
              </w:rPr>
            </w:pPr>
            <w:r>
              <w:rPr>
                <w:rFonts w:ascii="Verdana" w:hAnsi="Verdana"/>
                <w:sz w:val="16"/>
                <w:szCs w:val="16"/>
                <w:lang w:val="fr-FR"/>
              </w:rPr>
              <w:t xml:space="preserve">STOT RE.2 </w:t>
            </w:r>
          </w:p>
          <w:p w14:paraId="094FF007" w14:textId="77777777" w:rsidR="00BC1D4B" w:rsidRDefault="00ED1F84">
            <w:pPr>
              <w:spacing w:before="120"/>
              <w:jc w:val="center"/>
              <w:rPr>
                <w:rFonts w:ascii="Verdana" w:hAnsi="Verdana"/>
                <w:sz w:val="16"/>
                <w:szCs w:val="16"/>
                <w:lang w:val="fr-FR"/>
              </w:rPr>
            </w:pPr>
            <w:r>
              <w:rPr>
                <w:rFonts w:ascii="Verdana" w:hAnsi="Verdana"/>
                <w:sz w:val="16"/>
                <w:szCs w:val="16"/>
                <w:lang w:val="fr-FR"/>
              </w:rPr>
              <w:t>STOT SE 3</w:t>
            </w:r>
          </w:p>
          <w:p w14:paraId="5AB80034" w14:textId="77777777" w:rsidR="00BC1D4B" w:rsidRDefault="00ED1F84">
            <w:pPr>
              <w:spacing w:before="120"/>
              <w:jc w:val="center"/>
              <w:rPr>
                <w:rFonts w:ascii="Verdana" w:hAnsi="Verdana"/>
                <w:sz w:val="16"/>
                <w:szCs w:val="16"/>
              </w:rPr>
            </w:pPr>
            <w:r>
              <w:rPr>
                <w:rFonts w:ascii="Verdana" w:hAnsi="Verdana"/>
                <w:sz w:val="16"/>
                <w:szCs w:val="16"/>
              </w:rPr>
              <w:t xml:space="preserve">Aquatic chronic 3 </w:t>
            </w:r>
          </w:p>
          <w:p w14:paraId="5FECA58D" w14:textId="77777777" w:rsidR="00BC1D4B" w:rsidRDefault="00BC1D4B">
            <w:pPr>
              <w:spacing w:before="120"/>
              <w:rPr>
                <w:rFonts w:ascii="Verdana" w:hAnsi="Verdana"/>
                <w:b/>
                <w:sz w:val="16"/>
                <w:szCs w:val="16"/>
                <w:highlight w:val="yellow"/>
              </w:rPr>
            </w:pPr>
          </w:p>
        </w:tc>
        <w:tc>
          <w:tcPr>
            <w:tcW w:w="992" w:type="dxa"/>
          </w:tcPr>
          <w:p w14:paraId="14980A30" w14:textId="77777777" w:rsidR="00BC1D4B" w:rsidRDefault="00ED1F84">
            <w:pPr>
              <w:spacing w:before="120"/>
              <w:jc w:val="center"/>
              <w:rPr>
                <w:rFonts w:ascii="Verdana" w:hAnsi="Verdana"/>
                <w:sz w:val="16"/>
                <w:szCs w:val="16"/>
              </w:rPr>
            </w:pPr>
            <w:r>
              <w:rPr>
                <w:rFonts w:ascii="Verdana" w:hAnsi="Verdana"/>
                <w:sz w:val="16"/>
                <w:szCs w:val="16"/>
              </w:rPr>
              <w:lastRenderedPageBreak/>
              <w:t>H360 FD</w:t>
            </w:r>
          </w:p>
          <w:p w14:paraId="27CB7F7F" w14:textId="77777777" w:rsidR="00BC1D4B" w:rsidRDefault="00ED1F84">
            <w:pPr>
              <w:spacing w:before="120"/>
              <w:jc w:val="center"/>
              <w:rPr>
                <w:rFonts w:ascii="Verdana" w:hAnsi="Verdana"/>
                <w:sz w:val="16"/>
                <w:szCs w:val="16"/>
              </w:rPr>
            </w:pPr>
            <w:r>
              <w:rPr>
                <w:rFonts w:ascii="Verdana" w:hAnsi="Verdana"/>
                <w:sz w:val="16"/>
                <w:szCs w:val="16"/>
              </w:rPr>
              <w:t>H301</w:t>
            </w:r>
          </w:p>
          <w:p w14:paraId="44E6FD7C" w14:textId="77777777" w:rsidR="00BC1D4B" w:rsidRDefault="00ED1F84">
            <w:pPr>
              <w:spacing w:before="120"/>
              <w:jc w:val="center"/>
              <w:rPr>
                <w:rFonts w:ascii="Verdana" w:hAnsi="Verdana"/>
                <w:sz w:val="16"/>
                <w:szCs w:val="16"/>
              </w:rPr>
            </w:pPr>
            <w:r>
              <w:rPr>
                <w:rFonts w:ascii="Verdana" w:hAnsi="Verdana"/>
                <w:sz w:val="16"/>
                <w:szCs w:val="16"/>
              </w:rPr>
              <w:t>H318</w:t>
            </w:r>
          </w:p>
          <w:p w14:paraId="6C97496C" w14:textId="77777777" w:rsidR="00BC1D4B" w:rsidRDefault="00ED1F84">
            <w:pPr>
              <w:spacing w:before="120"/>
              <w:jc w:val="center"/>
              <w:rPr>
                <w:rFonts w:ascii="Verdana" w:hAnsi="Verdana"/>
                <w:sz w:val="16"/>
                <w:szCs w:val="16"/>
              </w:rPr>
            </w:pPr>
            <w:r>
              <w:rPr>
                <w:rFonts w:ascii="Verdana" w:hAnsi="Verdana"/>
                <w:sz w:val="16"/>
                <w:szCs w:val="16"/>
              </w:rPr>
              <w:lastRenderedPageBreak/>
              <w:t>H315</w:t>
            </w:r>
          </w:p>
          <w:p w14:paraId="02E8AA1A" w14:textId="77777777" w:rsidR="00BC1D4B" w:rsidRDefault="00ED1F84">
            <w:pPr>
              <w:spacing w:before="120"/>
              <w:jc w:val="center"/>
              <w:rPr>
                <w:rFonts w:ascii="Verdana" w:hAnsi="Verdana"/>
                <w:sz w:val="16"/>
                <w:szCs w:val="16"/>
              </w:rPr>
            </w:pPr>
            <w:r>
              <w:rPr>
                <w:rFonts w:ascii="Verdana" w:hAnsi="Verdana"/>
                <w:sz w:val="16"/>
                <w:szCs w:val="16"/>
              </w:rPr>
              <w:t>H317</w:t>
            </w:r>
          </w:p>
          <w:p w14:paraId="32D25048" w14:textId="77777777" w:rsidR="00BC1D4B" w:rsidRDefault="00ED1F84">
            <w:pPr>
              <w:spacing w:before="120"/>
              <w:jc w:val="center"/>
              <w:rPr>
                <w:rFonts w:ascii="Verdana" w:hAnsi="Verdana"/>
                <w:sz w:val="16"/>
                <w:szCs w:val="16"/>
              </w:rPr>
            </w:pPr>
            <w:r>
              <w:rPr>
                <w:rFonts w:ascii="Verdana" w:hAnsi="Verdana"/>
                <w:sz w:val="16"/>
                <w:szCs w:val="16"/>
              </w:rPr>
              <w:t>H373</w:t>
            </w:r>
          </w:p>
          <w:p w14:paraId="495EB3C6" w14:textId="77777777" w:rsidR="00BC1D4B" w:rsidRDefault="00ED1F84">
            <w:pPr>
              <w:spacing w:before="120"/>
              <w:jc w:val="center"/>
              <w:rPr>
                <w:rFonts w:ascii="Verdana" w:hAnsi="Verdana"/>
                <w:sz w:val="16"/>
                <w:szCs w:val="16"/>
              </w:rPr>
            </w:pPr>
            <w:r>
              <w:rPr>
                <w:rFonts w:ascii="Verdana" w:hAnsi="Verdana"/>
                <w:sz w:val="16"/>
                <w:szCs w:val="16"/>
              </w:rPr>
              <w:t>H335</w:t>
            </w:r>
          </w:p>
          <w:p w14:paraId="512386B3" w14:textId="77777777" w:rsidR="00BC1D4B" w:rsidRDefault="00ED1F84">
            <w:pPr>
              <w:spacing w:before="120"/>
              <w:jc w:val="center"/>
              <w:rPr>
                <w:rFonts w:ascii="Verdana" w:hAnsi="Verdana"/>
                <w:sz w:val="16"/>
                <w:szCs w:val="16"/>
                <w:highlight w:val="yellow"/>
              </w:rPr>
            </w:pPr>
            <w:r>
              <w:rPr>
                <w:rFonts w:ascii="Verdana" w:hAnsi="Verdana"/>
                <w:sz w:val="16"/>
                <w:szCs w:val="16"/>
              </w:rPr>
              <w:t>H412</w:t>
            </w:r>
          </w:p>
        </w:tc>
        <w:tc>
          <w:tcPr>
            <w:tcW w:w="1060" w:type="dxa"/>
          </w:tcPr>
          <w:p w14:paraId="5AF35DB6" w14:textId="77777777" w:rsidR="00BC1D4B" w:rsidRDefault="00ED1F84">
            <w:pPr>
              <w:spacing w:before="120"/>
              <w:jc w:val="center"/>
              <w:rPr>
                <w:rFonts w:ascii="Verdana" w:hAnsi="Verdana"/>
                <w:sz w:val="16"/>
                <w:szCs w:val="16"/>
              </w:rPr>
            </w:pPr>
            <w:r>
              <w:rPr>
                <w:rFonts w:ascii="Verdana" w:hAnsi="Verdana"/>
                <w:sz w:val="16"/>
                <w:szCs w:val="16"/>
              </w:rPr>
              <w:lastRenderedPageBreak/>
              <w:t>GHS 08</w:t>
            </w:r>
          </w:p>
          <w:p w14:paraId="455F0368" w14:textId="77777777" w:rsidR="00BC1D4B" w:rsidRDefault="00ED1F84">
            <w:pPr>
              <w:spacing w:before="120"/>
              <w:jc w:val="center"/>
              <w:rPr>
                <w:rFonts w:ascii="Verdana" w:hAnsi="Verdana"/>
                <w:sz w:val="16"/>
                <w:szCs w:val="16"/>
              </w:rPr>
            </w:pPr>
            <w:r>
              <w:rPr>
                <w:rFonts w:ascii="Verdana" w:hAnsi="Verdana"/>
                <w:sz w:val="16"/>
                <w:szCs w:val="16"/>
              </w:rPr>
              <w:t>GHS 06</w:t>
            </w:r>
          </w:p>
          <w:p w14:paraId="69128306" w14:textId="77777777" w:rsidR="00BC1D4B" w:rsidRDefault="00ED1F84">
            <w:pPr>
              <w:spacing w:before="120"/>
              <w:jc w:val="center"/>
              <w:rPr>
                <w:rFonts w:ascii="Verdana" w:hAnsi="Verdana"/>
                <w:sz w:val="16"/>
                <w:szCs w:val="16"/>
              </w:rPr>
            </w:pPr>
            <w:r>
              <w:rPr>
                <w:rFonts w:ascii="Verdana" w:hAnsi="Verdana"/>
                <w:sz w:val="16"/>
                <w:szCs w:val="16"/>
              </w:rPr>
              <w:t>GHS 05</w:t>
            </w:r>
          </w:p>
          <w:p w14:paraId="063959A5" w14:textId="77777777" w:rsidR="00BC1D4B" w:rsidRDefault="00ED1F84">
            <w:pPr>
              <w:spacing w:before="120"/>
              <w:jc w:val="center"/>
              <w:rPr>
                <w:rFonts w:ascii="Verdana" w:hAnsi="Verdana"/>
                <w:sz w:val="16"/>
                <w:szCs w:val="16"/>
              </w:rPr>
            </w:pPr>
            <w:r>
              <w:rPr>
                <w:rFonts w:ascii="Verdana" w:hAnsi="Verdana"/>
                <w:sz w:val="16"/>
                <w:szCs w:val="16"/>
              </w:rPr>
              <w:lastRenderedPageBreak/>
              <w:t>GHS 07</w:t>
            </w:r>
          </w:p>
          <w:p w14:paraId="6130C7F6" w14:textId="77777777" w:rsidR="00BC1D4B" w:rsidRDefault="00ED1F84">
            <w:pPr>
              <w:spacing w:before="120"/>
              <w:jc w:val="center"/>
              <w:rPr>
                <w:rFonts w:ascii="Verdana" w:hAnsi="Verdana"/>
                <w:sz w:val="16"/>
                <w:szCs w:val="16"/>
                <w:highlight w:val="yellow"/>
              </w:rPr>
            </w:pPr>
            <w:r>
              <w:rPr>
                <w:rFonts w:ascii="Verdana" w:hAnsi="Verdana"/>
                <w:sz w:val="16"/>
                <w:szCs w:val="16"/>
              </w:rPr>
              <w:t>Dgr</w:t>
            </w:r>
          </w:p>
        </w:tc>
        <w:tc>
          <w:tcPr>
            <w:tcW w:w="1117" w:type="dxa"/>
          </w:tcPr>
          <w:p w14:paraId="27740AFA" w14:textId="77777777" w:rsidR="00BC1D4B" w:rsidRDefault="00ED1F84">
            <w:pPr>
              <w:spacing w:before="120"/>
              <w:jc w:val="center"/>
              <w:rPr>
                <w:rFonts w:ascii="Verdana" w:hAnsi="Verdana"/>
                <w:sz w:val="16"/>
                <w:szCs w:val="16"/>
              </w:rPr>
            </w:pPr>
            <w:r>
              <w:rPr>
                <w:rFonts w:ascii="Verdana" w:hAnsi="Verdana"/>
                <w:sz w:val="16"/>
                <w:szCs w:val="16"/>
              </w:rPr>
              <w:lastRenderedPageBreak/>
              <w:t xml:space="preserve"> H360 FD</w:t>
            </w:r>
          </w:p>
          <w:p w14:paraId="29D5CDCC" w14:textId="77777777" w:rsidR="00BC1D4B" w:rsidRDefault="00ED1F84">
            <w:pPr>
              <w:spacing w:before="120"/>
              <w:jc w:val="center"/>
              <w:rPr>
                <w:rFonts w:ascii="Verdana" w:hAnsi="Verdana"/>
                <w:sz w:val="16"/>
                <w:szCs w:val="16"/>
              </w:rPr>
            </w:pPr>
            <w:r>
              <w:rPr>
                <w:rFonts w:ascii="Verdana" w:hAnsi="Verdana"/>
                <w:sz w:val="16"/>
                <w:szCs w:val="16"/>
              </w:rPr>
              <w:t>H301</w:t>
            </w:r>
          </w:p>
          <w:p w14:paraId="0A44CEB3" w14:textId="77777777" w:rsidR="00BC1D4B" w:rsidRDefault="00ED1F84">
            <w:pPr>
              <w:spacing w:before="120"/>
              <w:jc w:val="center"/>
              <w:rPr>
                <w:rFonts w:ascii="Verdana" w:hAnsi="Verdana"/>
                <w:sz w:val="16"/>
                <w:szCs w:val="16"/>
              </w:rPr>
            </w:pPr>
            <w:r>
              <w:rPr>
                <w:rFonts w:ascii="Verdana" w:hAnsi="Verdana"/>
                <w:sz w:val="16"/>
                <w:szCs w:val="16"/>
              </w:rPr>
              <w:t>H318</w:t>
            </w:r>
          </w:p>
          <w:p w14:paraId="0CBA565D" w14:textId="77777777" w:rsidR="00BC1D4B" w:rsidRDefault="00ED1F84">
            <w:pPr>
              <w:spacing w:before="120"/>
              <w:jc w:val="center"/>
              <w:rPr>
                <w:rFonts w:ascii="Verdana" w:hAnsi="Verdana"/>
                <w:sz w:val="16"/>
                <w:szCs w:val="16"/>
              </w:rPr>
            </w:pPr>
            <w:r>
              <w:rPr>
                <w:rFonts w:ascii="Verdana" w:hAnsi="Verdana"/>
                <w:sz w:val="16"/>
                <w:szCs w:val="16"/>
              </w:rPr>
              <w:lastRenderedPageBreak/>
              <w:t>H315</w:t>
            </w:r>
          </w:p>
          <w:p w14:paraId="638FDD23" w14:textId="77777777" w:rsidR="00BC1D4B" w:rsidRDefault="00ED1F84">
            <w:pPr>
              <w:spacing w:before="120"/>
              <w:jc w:val="center"/>
              <w:rPr>
                <w:rFonts w:ascii="Verdana" w:hAnsi="Verdana"/>
                <w:sz w:val="16"/>
                <w:szCs w:val="16"/>
              </w:rPr>
            </w:pPr>
            <w:r>
              <w:rPr>
                <w:rFonts w:ascii="Verdana" w:hAnsi="Verdana"/>
                <w:sz w:val="16"/>
                <w:szCs w:val="16"/>
              </w:rPr>
              <w:t>H317</w:t>
            </w:r>
          </w:p>
          <w:p w14:paraId="21238020" w14:textId="77777777" w:rsidR="00BC1D4B" w:rsidRDefault="00ED1F84">
            <w:pPr>
              <w:spacing w:before="120"/>
              <w:jc w:val="center"/>
              <w:rPr>
                <w:rFonts w:ascii="Verdana" w:hAnsi="Verdana"/>
                <w:sz w:val="16"/>
                <w:szCs w:val="16"/>
              </w:rPr>
            </w:pPr>
            <w:r>
              <w:rPr>
                <w:rFonts w:ascii="Verdana" w:hAnsi="Verdana"/>
                <w:sz w:val="16"/>
                <w:szCs w:val="16"/>
              </w:rPr>
              <w:t>H373</w:t>
            </w:r>
          </w:p>
          <w:p w14:paraId="69F7217E" w14:textId="77777777" w:rsidR="00BC1D4B" w:rsidRDefault="00ED1F84">
            <w:pPr>
              <w:spacing w:before="120"/>
              <w:jc w:val="center"/>
              <w:rPr>
                <w:rFonts w:ascii="Verdana" w:hAnsi="Verdana"/>
                <w:sz w:val="16"/>
                <w:szCs w:val="16"/>
              </w:rPr>
            </w:pPr>
            <w:r>
              <w:rPr>
                <w:rFonts w:ascii="Verdana" w:hAnsi="Verdana"/>
                <w:sz w:val="16"/>
                <w:szCs w:val="16"/>
              </w:rPr>
              <w:t>H335</w:t>
            </w:r>
          </w:p>
          <w:p w14:paraId="48CCBEC2" w14:textId="77777777" w:rsidR="00BC1D4B" w:rsidRDefault="00ED1F84">
            <w:pPr>
              <w:spacing w:before="120"/>
              <w:jc w:val="center"/>
              <w:rPr>
                <w:rFonts w:ascii="Verdana" w:hAnsi="Verdana"/>
                <w:sz w:val="16"/>
                <w:szCs w:val="16"/>
                <w:highlight w:val="yellow"/>
              </w:rPr>
            </w:pPr>
            <w:r>
              <w:rPr>
                <w:rFonts w:ascii="Verdana" w:hAnsi="Verdana"/>
                <w:sz w:val="16"/>
                <w:szCs w:val="16"/>
              </w:rPr>
              <w:t>H412</w:t>
            </w:r>
          </w:p>
        </w:tc>
        <w:tc>
          <w:tcPr>
            <w:tcW w:w="982" w:type="dxa"/>
            <w:vAlign w:val="center"/>
          </w:tcPr>
          <w:p w14:paraId="71BEE619" w14:textId="77777777" w:rsidR="00BC1D4B" w:rsidRDefault="00ED1F84">
            <w:pPr>
              <w:spacing w:before="120"/>
              <w:jc w:val="center"/>
              <w:rPr>
                <w:rFonts w:ascii="Verdana" w:eastAsia="MS Mincho" w:hAnsi="Verdana"/>
                <w:sz w:val="16"/>
                <w:szCs w:val="16"/>
                <w:highlight w:val="yellow"/>
                <w:lang w:eastAsia="ja-JP"/>
              </w:rPr>
            </w:pPr>
            <w:r>
              <w:rPr>
                <w:rFonts w:ascii="Verdana" w:eastAsia="MS Mincho" w:hAnsi="Verdana"/>
                <w:sz w:val="16"/>
                <w:szCs w:val="16"/>
                <w:lang w:eastAsia="ja-JP"/>
              </w:rPr>
              <w:lastRenderedPageBreak/>
              <w:t>Oral: ATE=110 mg/kg</w:t>
            </w:r>
          </w:p>
          <w:p w14:paraId="438E542E" w14:textId="77777777" w:rsidR="00BC1D4B" w:rsidRDefault="00BC1D4B">
            <w:pPr>
              <w:spacing w:before="120"/>
              <w:jc w:val="center"/>
              <w:rPr>
                <w:rFonts w:ascii="Verdana" w:eastAsia="MS Mincho" w:hAnsi="Verdana"/>
                <w:sz w:val="16"/>
                <w:szCs w:val="16"/>
                <w:highlight w:val="yellow"/>
                <w:lang w:eastAsia="ja-JP"/>
              </w:rPr>
            </w:pPr>
          </w:p>
        </w:tc>
      </w:tr>
    </w:tbl>
    <w:p w14:paraId="27660E01" w14:textId="77777777" w:rsidR="00BC1D4B" w:rsidRDefault="00BC1D4B">
      <w:pPr>
        <w:spacing w:after="120"/>
        <w:ind w:right="-477"/>
        <w:jc w:val="both"/>
      </w:pPr>
    </w:p>
    <w:p w14:paraId="11340293" w14:textId="77777777" w:rsidR="00BC1D4B" w:rsidRDefault="00BC1D4B">
      <w:pPr>
        <w:spacing w:after="120"/>
        <w:ind w:right="-477"/>
        <w:jc w:val="both"/>
      </w:pPr>
    </w:p>
    <w:p w14:paraId="13537C73" w14:textId="77777777" w:rsidR="00BC1D4B" w:rsidRDefault="00ED1F84">
      <w:pPr>
        <w:pStyle w:val="Titre3"/>
        <w:rPr>
          <w:lang w:val="nl-BE"/>
        </w:rPr>
      </w:pPr>
      <w:bookmarkStart w:id="17" w:name="_Toc137044471"/>
      <w:r>
        <w:rPr>
          <w:lang w:val="nl-BE"/>
        </w:rPr>
        <w:t xml:space="preserve">Setting of DNELs </w:t>
      </w:r>
      <w:r>
        <w:t>considering</w:t>
      </w:r>
      <w:r>
        <w:rPr>
          <w:lang w:val="nl-BE"/>
        </w:rPr>
        <w:t xml:space="preserve"> the recent EOGRTS study</w:t>
      </w:r>
      <w:bookmarkEnd w:id="17"/>
      <w:r>
        <w:rPr>
          <w:lang w:val="nl-BE"/>
        </w:rPr>
        <w:t xml:space="preserve"> </w:t>
      </w:r>
    </w:p>
    <w:p w14:paraId="04DA005A"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The EOGRTS study is a key study for reproductive toxicity and the effects observed were considered relevant for DNEL derivation. Indeed, significant pups mortality was observed in F1 lactating pups from 5 mg/kg bw/d during PND1 to 4. The same tendency was recorded in F2 lactating pups with statistical significance at the mid dose. Considering the severity of this effect and its statistically significance at the lowest dose in F1, it was considered as the critical effect, and the LOAEL of 5 mg/kg bw/d as Point of Departure (PoD) for the calculation of the Derived no effect level (DNEL) for reproductive toxicity of DPG. Assessment factors were applied in accordance to ECHA guidance document R8</w:t>
      </w:r>
      <w:r>
        <w:rPr>
          <w:rFonts w:ascii="Verdana" w:eastAsia="Calibri" w:hAnsi="Verdana"/>
          <w:sz w:val="20"/>
          <w:szCs w:val="20"/>
          <w:vertAlign w:val="superscript"/>
          <w:lang w:val="en-US"/>
        </w:rPr>
        <w:t xml:space="preserve"> </w:t>
      </w:r>
      <w:r>
        <w:rPr>
          <w:rFonts w:ascii="Verdana" w:eastAsia="Calibri" w:hAnsi="Verdana"/>
          <w:sz w:val="20"/>
          <w:szCs w:val="20"/>
          <w:lang w:val="en-US"/>
        </w:rPr>
        <w:t>(ECHA, 2012).</w:t>
      </w:r>
    </w:p>
    <w:p w14:paraId="3A4C357E"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When the starting point for the DNEL calculation is a LOAEL, an assessment factor (dose-response assessment factor) ranging from 3 (as minimum/majority of cases) to 10 (as maximum/exceptional cases) is applied. Considering the severity of the effect (mortality of pups) and the uncertainties regarding the shape and slope of the dose-response curve, an increase of the assessment factor is justified. Considering also that the effect is characterized from a study of good quality and of relevant statistical power, the aMSCA recommends an assessment factor of 5 for the extrapolation of the LOAEL to the NOAEL. </w:t>
      </w:r>
    </w:p>
    <w:p w14:paraId="18ACF07A"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The DNELs as calculated by the aMSCA are listed in the table below.</w:t>
      </w:r>
    </w:p>
    <w:p w14:paraId="3D9239A9" w14:textId="77777777" w:rsidR="00BC1D4B" w:rsidRDefault="00BC1D4B">
      <w:pPr>
        <w:spacing w:after="120"/>
        <w:ind w:right="-477"/>
        <w:jc w:val="both"/>
        <w:rPr>
          <w:rFonts w:ascii="Verdana" w:hAnsi="Verdana"/>
          <w:b/>
          <w:sz w:val="20"/>
          <w:szCs w:val="20"/>
          <w:lang w:val="en-US"/>
        </w:rPr>
      </w:pPr>
    </w:p>
    <w:p w14:paraId="2DBACADB" w14:textId="77777777" w:rsidR="00BC1D4B" w:rsidRDefault="00ED1F84">
      <w:pPr>
        <w:spacing w:after="120"/>
        <w:ind w:right="-477"/>
        <w:jc w:val="both"/>
        <w:rPr>
          <w:rFonts w:ascii="Verdana" w:eastAsia="Calibri" w:hAnsi="Verdana"/>
          <w:sz w:val="20"/>
          <w:szCs w:val="20"/>
        </w:rPr>
      </w:pPr>
      <w:r>
        <w:rPr>
          <w:rFonts w:ascii="Verdana" w:hAnsi="Verdana"/>
          <w:b/>
          <w:sz w:val="20"/>
          <w:szCs w:val="20"/>
          <w:lang w:val="en-US"/>
        </w:rPr>
        <w:t>Table 7: DNEL revision according to the aMSCA</w:t>
      </w:r>
    </w:p>
    <w:tbl>
      <w:tblPr>
        <w:tblStyle w:val="Grilledutableau4"/>
        <w:tblW w:w="8311" w:type="dxa"/>
        <w:tblLook w:val="04A0" w:firstRow="1" w:lastRow="0" w:firstColumn="1" w:lastColumn="0" w:noHBand="0" w:noVBand="1"/>
      </w:tblPr>
      <w:tblGrid>
        <w:gridCol w:w="1401"/>
        <w:gridCol w:w="1033"/>
        <w:gridCol w:w="1226"/>
        <w:gridCol w:w="1129"/>
        <w:gridCol w:w="1119"/>
        <w:gridCol w:w="1096"/>
        <w:gridCol w:w="1274"/>
        <w:gridCol w:w="837"/>
      </w:tblGrid>
      <w:tr w:rsidR="00BC1D4B" w14:paraId="0179F7CE" w14:textId="77777777">
        <w:tc>
          <w:tcPr>
            <w:tcW w:w="1278" w:type="dxa"/>
          </w:tcPr>
          <w:p w14:paraId="720511D1"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Endpoint of concern</w:t>
            </w:r>
          </w:p>
        </w:tc>
        <w:tc>
          <w:tcPr>
            <w:tcW w:w="946" w:type="dxa"/>
          </w:tcPr>
          <w:p w14:paraId="47896C19"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 xml:space="preserve">Type of effects </w:t>
            </w:r>
          </w:p>
        </w:tc>
        <w:tc>
          <w:tcPr>
            <w:tcW w:w="1103" w:type="dxa"/>
          </w:tcPr>
          <w:p w14:paraId="7E04C795"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Population</w:t>
            </w:r>
          </w:p>
        </w:tc>
        <w:tc>
          <w:tcPr>
            <w:tcW w:w="1019" w:type="dxa"/>
          </w:tcPr>
          <w:p w14:paraId="18698A6E"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 xml:space="preserve">Route of exposure </w:t>
            </w:r>
          </w:p>
        </w:tc>
        <w:tc>
          <w:tcPr>
            <w:tcW w:w="1091" w:type="dxa"/>
          </w:tcPr>
          <w:p w14:paraId="23F055A2"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 xml:space="preserve">dose descriptor </w:t>
            </w:r>
          </w:p>
        </w:tc>
        <w:tc>
          <w:tcPr>
            <w:tcW w:w="1091" w:type="dxa"/>
          </w:tcPr>
          <w:p w14:paraId="5612001E"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 xml:space="preserve">Corrected starting point </w:t>
            </w:r>
          </w:p>
        </w:tc>
        <w:tc>
          <w:tcPr>
            <w:tcW w:w="1547" w:type="dxa"/>
          </w:tcPr>
          <w:p w14:paraId="0B9B57B1"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Total assessment factor</w:t>
            </w:r>
          </w:p>
        </w:tc>
        <w:tc>
          <w:tcPr>
            <w:tcW w:w="236" w:type="dxa"/>
          </w:tcPr>
          <w:p w14:paraId="617FDE24"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DNELs</w:t>
            </w:r>
          </w:p>
        </w:tc>
      </w:tr>
      <w:tr w:rsidR="00BC1D4B" w14:paraId="28C0008B" w14:textId="77777777">
        <w:tc>
          <w:tcPr>
            <w:tcW w:w="1278" w:type="dxa"/>
            <w:vMerge w:val="restart"/>
            <w:vAlign w:val="center"/>
          </w:tcPr>
          <w:p w14:paraId="3F243C74"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 xml:space="preserve">Reproductive toxicity </w:t>
            </w:r>
          </w:p>
        </w:tc>
        <w:tc>
          <w:tcPr>
            <w:tcW w:w="946" w:type="dxa"/>
            <w:vMerge w:val="restart"/>
            <w:vAlign w:val="center"/>
          </w:tcPr>
          <w:p w14:paraId="6C3004D5" w14:textId="77777777" w:rsidR="00BC1D4B" w:rsidRDefault="00ED1F84">
            <w:pPr>
              <w:spacing w:after="200" w:line="276" w:lineRule="auto"/>
              <w:jc w:val="center"/>
              <w:rPr>
                <w:rFonts w:ascii="Verdana" w:eastAsia="Calibri" w:hAnsi="Verdana"/>
                <w:sz w:val="18"/>
                <w:szCs w:val="18"/>
                <w:lang w:val="en-US"/>
              </w:rPr>
            </w:pPr>
            <w:r>
              <w:rPr>
                <w:rFonts w:ascii="Verdana" w:eastAsia="Calibri" w:hAnsi="Verdana"/>
                <w:sz w:val="18"/>
                <w:szCs w:val="18"/>
                <w:lang w:val="en-US"/>
              </w:rPr>
              <w:t>Post-natal mortality of pups</w:t>
            </w:r>
          </w:p>
        </w:tc>
        <w:tc>
          <w:tcPr>
            <w:tcW w:w="1103" w:type="dxa"/>
            <w:vMerge w:val="restart"/>
            <w:vAlign w:val="center"/>
          </w:tcPr>
          <w:p w14:paraId="09364AC1" w14:textId="77777777" w:rsidR="00BC1D4B" w:rsidRDefault="00ED1F84">
            <w:pPr>
              <w:spacing w:after="200" w:line="276" w:lineRule="auto"/>
              <w:jc w:val="center"/>
              <w:rPr>
                <w:rFonts w:ascii="Verdana" w:eastAsia="Calibri" w:hAnsi="Verdana"/>
                <w:sz w:val="18"/>
                <w:szCs w:val="18"/>
                <w:lang w:val="en-US"/>
              </w:rPr>
            </w:pPr>
            <w:r>
              <w:rPr>
                <w:rFonts w:ascii="Verdana" w:eastAsia="Calibri" w:hAnsi="Verdana"/>
                <w:sz w:val="18"/>
                <w:szCs w:val="18"/>
                <w:lang w:val="en-US"/>
              </w:rPr>
              <w:t>Workers</w:t>
            </w:r>
          </w:p>
        </w:tc>
        <w:tc>
          <w:tcPr>
            <w:tcW w:w="1019" w:type="dxa"/>
          </w:tcPr>
          <w:p w14:paraId="02DE8CD5"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Inhalation</w:t>
            </w:r>
          </w:p>
        </w:tc>
        <w:tc>
          <w:tcPr>
            <w:tcW w:w="1091" w:type="dxa"/>
            <w:vMerge w:val="restart"/>
            <w:vAlign w:val="center"/>
          </w:tcPr>
          <w:p w14:paraId="2ECD7C21" w14:textId="77777777" w:rsidR="00BC1D4B" w:rsidRDefault="00ED1F84">
            <w:pPr>
              <w:spacing w:after="200" w:line="276" w:lineRule="auto"/>
              <w:jc w:val="center"/>
              <w:rPr>
                <w:rFonts w:ascii="Verdana" w:eastAsia="Calibri" w:hAnsi="Verdana"/>
                <w:sz w:val="18"/>
                <w:szCs w:val="18"/>
                <w:lang w:val="en-US"/>
              </w:rPr>
            </w:pPr>
            <w:r>
              <w:rPr>
                <w:rFonts w:ascii="Verdana" w:eastAsia="Calibri" w:hAnsi="Verdana"/>
                <w:sz w:val="18"/>
                <w:szCs w:val="18"/>
                <w:lang w:val="en-US"/>
              </w:rPr>
              <w:t>LOAEL = 5 mg/kg bw/d</w:t>
            </w:r>
          </w:p>
          <w:p w14:paraId="1C1FD309" w14:textId="77777777" w:rsidR="00BC1D4B" w:rsidRDefault="00BC1D4B">
            <w:pPr>
              <w:spacing w:after="200" w:line="276" w:lineRule="auto"/>
              <w:jc w:val="center"/>
              <w:rPr>
                <w:rFonts w:ascii="Verdana" w:eastAsia="Calibri" w:hAnsi="Verdana"/>
                <w:sz w:val="18"/>
                <w:szCs w:val="18"/>
                <w:lang w:val="en-US"/>
              </w:rPr>
            </w:pPr>
          </w:p>
        </w:tc>
        <w:tc>
          <w:tcPr>
            <w:tcW w:w="1091" w:type="dxa"/>
          </w:tcPr>
          <w:p w14:paraId="0BEFD0F9"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fr-FR"/>
              </w:rPr>
              <w:t>12.3 mg/m</w:t>
            </w:r>
            <w:r>
              <w:rPr>
                <w:rFonts w:ascii="Verdana" w:eastAsia="Calibri" w:hAnsi="Verdana"/>
                <w:sz w:val="18"/>
                <w:szCs w:val="18"/>
                <w:vertAlign w:val="superscript"/>
                <w:lang w:val="fr-FR"/>
              </w:rPr>
              <w:t>3</w:t>
            </w:r>
          </w:p>
        </w:tc>
        <w:tc>
          <w:tcPr>
            <w:tcW w:w="1547" w:type="dxa"/>
          </w:tcPr>
          <w:p w14:paraId="0A3085A0"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 xml:space="preserve">62.5 </w:t>
            </w:r>
          </w:p>
        </w:tc>
        <w:tc>
          <w:tcPr>
            <w:tcW w:w="236" w:type="dxa"/>
          </w:tcPr>
          <w:p w14:paraId="02830234" w14:textId="77777777" w:rsidR="00BC1D4B" w:rsidRDefault="00ED1F84">
            <w:pPr>
              <w:spacing w:after="200" w:line="276" w:lineRule="auto"/>
              <w:rPr>
                <w:rFonts w:ascii="Verdana" w:eastAsia="Calibri" w:hAnsi="Verdana"/>
                <w:sz w:val="18"/>
                <w:szCs w:val="18"/>
                <w:lang w:val="fr-FR"/>
              </w:rPr>
            </w:pPr>
            <w:r>
              <w:rPr>
                <w:rFonts w:ascii="Verdana" w:eastAsia="Calibri" w:hAnsi="Verdana"/>
                <w:sz w:val="18"/>
                <w:szCs w:val="18"/>
                <w:lang w:val="en-US"/>
              </w:rPr>
              <w:t>0.197 mg/m</w:t>
            </w:r>
            <w:r>
              <w:rPr>
                <w:rFonts w:ascii="Verdana" w:eastAsia="Calibri" w:hAnsi="Verdana"/>
                <w:sz w:val="18"/>
                <w:szCs w:val="18"/>
                <w:vertAlign w:val="superscript"/>
                <w:lang w:val="en-US"/>
              </w:rPr>
              <w:t>3</w:t>
            </w:r>
          </w:p>
          <w:p w14:paraId="76F82568" w14:textId="77777777" w:rsidR="00BC1D4B" w:rsidRDefault="00BC1D4B">
            <w:pPr>
              <w:spacing w:after="200" w:line="276" w:lineRule="auto"/>
              <w:rPr>
                <w:rFonts w:ascii="Verdana" w:eastAsia="Calibri" w:hAnsi="Verdana"/>
                <w:sz w:val="18"/>
                <w:szCs w:val="18"/>
                <w:lang w:val="en-US"/>
              </w:rPr>
            </w:pPr>
          </w:p>
        </w:tc>
      </w:tr>
      <w:tr w:rsidR="00BC1D4B" w14:paraId="45F9148D" w14:textId="77777777">
        <w:tc>
          <w:tcPr>
            <w:tcW w:w="1278" w:type="dxa"/>
            <w:vMerge/>
          </w:tcPr>
          <w:p w14:paraId="68E1A557" w14:textId="77777777" w:rsidR="00BC1D4B" w:rsidRDefault="00BC1D4B">
            <w:pPr>
              <w:spacing w:after="200" w:line="276" w:lineRule="auto"/>
              <w:rPr>
                <w:rFonts w:ascii="Verdana" w:eastAsia="Calibri" w:hAnsi="Verdana"/>
                <w:sz w:val="18"/>
                <w:szCs w:val="18"/>
                <w:lang w:val="en-US"/>
              </w:rPr>
            </w:pPr>
          </w:p>
        </w:tc>
        <w:tc>
          <w:tcPr>
            <w:tcW w:w="946" w:type="dxa"/>
            <w:vMerge/>
            <w:vAlign w:val="center"/>
          </w:tcPr>
          <w:p w14:paraId="3390FA6F" w14:textId="77777777" w:rsidR="00BC1D4B" w:rsidRDefault="00BC1D4B">
            <w:pPr>
              <w:spacing w:after="200" w:line="276" w:lineRule="auto"/>
              <w:jc w:val="center"/>
              <w:rPr>
                <w:rFonts w:ascii="Verdana" w:eastAsia="Calibri" w:hAnsi="Verdana"/>
                <w:sz w:val="18"/>
                <w:szCs w:val="18"/>
                <w:lang w:val="en-US"/>
              </w:rPr>
            </w:pPr>
          </w:p>
        </w:tc>
        <w:tc>
          <w:tcPr>
            <w:tcW w:w="1103" w:type="dxa"/>
            <w:vMerge/>
          </w:tcPr>
          <w:p w14:paraId="5BE44984" w14:textId="77777777" w:rsidR="00BC1D4B" w:rsidRDefault="00BC1D4B">
            <w:pPr>
              <w:spacing w:after="200" w:line="276" w:lineRule="auto"/>
              <w:rPr>
                <w:rFonts w:ascii="Verdana" w:eastAsia="Calibri" w:hAnsi="Verdana"/>
                <w:sz w:val="18"/>
                <w:szCs w:val="18"/>
                <w:lang w:val="en-US"/>
              </w:rPr>
            </w:pPr>
          </w:p>
        </w:tc>
        <w:tc>
          <w:tcPr>
            <w:tcW w:w="1019" w:type="dxa"/>
          </w:tcPr>
          <w:p w14:paraId="5FE53AF2"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Dermal</w:t>
            </w:r>
          </w:p>
        </w:tc>
        <w:tc>
          <w:tcPr>
            <w:tcW w:w="1091" w:type="dxa"/>
            <w:vMerge/>
          </w:tcPr>
          <w:p w14:paraId="781348A0" w14:textId="77777777" w:rsidR="00BC1D4B" w:rsidRDefault="00BC1D4B">
            <w:pPr>
              <w:spacing w:after="200" w:line="276" w:lineRule="auto"/>
              <w:rPr>
                <w:rFonts w:ascii="Verdana" w:eastAsia="Calibri" w:hAnsi="Verdana"/>
                <w:sz w:val="18"/>
                <w:szCs w:val="18"/>
                <w:lang w:val="en-US"/>
              </w:rPr>
            </w:pPr>
          </w:p>
        </w:tc>
        <w:tc>
          <w:tcPr>
            <w:tcW w:w="1091" w:type="dxa"/>
          </w:tcPr>
          <w:p w14:paraId="16D625DA"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70 mg/kg bw/d</w:t>
            </w:r>
          </w:p>
        </w:tc>
        <w:tc>
          <w:tcPr>
            <w:tcW w:w="1547" w:type="dxa"/>
          </w:tcPr>
          <w:p w14:paraId="3076DC43"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250</w:t>
            </w:r>
          </w:p>
        </w:tc>
        <w:tc>
          <w:tcPr>
            <w:tcW w:w="236" w:type="dxa"/>
          </w:tcPr>
          <w:p w14:paraId="5AECB56E"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 xml:space="preserve">0.280 </w:t>
            </w:r>
            <w:r>
              <w:rPr>
                <w:rFonts w:ascii="Verdana" w:eastAsia="Calibri" w:hAnsi="Verdana"/>
                <w:sz w:val="18"/>
                <w:szCs w:val="18"/>
              </w:rPr>
              <w:t>mg/kg bw/d</w:t>
            </w:r>
          </w:p>
        </w:tc>
      </w:tr>
      <w:tr w:rsidR="00BC1D4B" w14:paraId="3F29F8D1" w14:textId="77777777" w:rsidTr="002F4101">
        <w:trPr>
          <w:trHeight w:val="219"/>
        </w:trPr>
        <w:tc>
          <w:tcPr>
            <w:tcW w:w="1278" w:type="dxa"/>
            <w:vMerge/>
          </w:tcPr>
          <w:p w14:paraId="7F964C05" w14:textId="77777777" w:rsidR="00BC1D4B" w:rsidRDefault="00BC1D4B">
            <w:pPr>
              <w:spacing w:after="200" w:line="276" w:lineRule="auto"/>
              <w:rPr>
                <w:rFonts w:ascii="Verdana" w:eastAsia="Calibri" w:hAnsi="Verdana"/>
                <w:sz w:val="18"/>
                <w:szCs w:val="18"/>
                <w:lang w:val="en-US"/>
              </w:rPr>
            </w:pPr>
          </w:p>
        </w:tc>
        <w:tc>
          <w:tcPr>
            <w:tcW w:w="946" w:type="dxa"/>
            <w:vMerge/>
            <w:vAlign w:val="center"/>
          </w:tcPr>
          <w:p w14:paraId="43EF641C" w14:textId="77777777" w:rsidR="00BC1D4B" w:rsidRDefault="00BC1D4B">
            <w:pPr>
              <w:spacing w:after="200" w:line="276" w:lineRule="auto"/>
              <w:jc w:val="center"/>
              <w:rPr>
                <w:rFonts w:ascii="Verdana" w:eastAsia="Calibri" w:hAnsi="Verdana"/>
                <w:sz w:val="18"/>
                <w:szCs w:val="18"/>
                <w:lang w:val="en-US"/>
              </w:rPr>
            </w:pPr>
          </w:p>
        </w:tc>
        <w:tc>
          <w:tcPr>
            <w:tcW w:w="1103" w:type="dxa"/>
            <w:vMerge w:val="restart"/>
            <w:vAlign w:val="center"/>
          </w:tcPr>
          <w:p w14:paraId="51E06F98" w14:textId="77777777" w:rsidR="00BC1D4B" w:rsidRDefault="00ED1F84">
            <w:pPr>
              <w:spacing w:after="200" w:line="276" w:lineRule="auto"/>
              <w:jc w:val="center"/>
              <w:rPr>
                <w:rFonts w:ascii="Verdana" w:eastAsia="Calibri" w:hAnsi="Verdana"/>
                <w:sz w:val="18"/>
                <w:szCs w:val="18"/>
                <w:lang w:val="en-US"/>
              </w:rPr>
            </w:pPr>
            <w:r>
              <w:rPr>
                <w:rFonts w:ascii="Verdana" w:eastAsia="Calibri" w:hAnsi="Verdana"/>
                <w:sz w:val="18"/>
                <w:szCs w:val="18"/>
                <w:lang w:val="en-US"/>
              </w:rPr>
              <w:t>Consumers</w:t>
            </w:r>
          </w:p>
        </w:tc>
        <w:tc>
          <w:tcPr>
            <w:tcW w:w="1019" w:type="dxa"/>
          </w:tcPr>
          <w:p w14:paraId="2A2609DD"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Oral</w:t>
            </w:r>
          </w:p>
        </w:tc>
        <w:tc>
          <w:tcPr>
            <w:tcW w:w="1091" w:type="dxa"/>
            <w:vMerge/>
          </w:tcPr>
          <w:p w14:paraId="10552F7E" w14:textId="77777777" w:rsidR="00BC1D4B" w:rsidRDefault="00BC1D4B">
            <w:pPr>
              <w:spacing w:after="200" w:line="276" w:lineRule="auto"/>
              <w:rPr>
                <w:rFonts w:ascii="Verdana" w:eastAsia="Calibri" w:hAnsi="Verdana"/>
                <w:sz w:val="18"/>
                <w:szCs w:val="18"/>
                <w:lang w:val="en-US"/>
              </w:rPr>
            </w:pPr>
          </w:p>
        </w:tc>
        <w:tc>
          <w:tcPr>
            <w:tcW w:w="1091" w:type="dxa"/>
          </w:tcPr>
          <w:p w14:paraId="2F0B9DD6"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5 mg/kg bw/d</w:t>
            </w:r>
          </w:p>
        </w:tc>
        <w:tc>
          <w:tcPr>
            <w:tcW w:w="1547" w:type="dxa"/>
          </w:tcPr>
          <w:p w14:paraId="6BB2E2E5"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500</w:t>
            </w:r>
          </w:p>
        </w:tc>
        <w:tc>
          <w:tcPr>
            <w:tcW w:w="236" w:type="dxa"/>
          </w:tcPr>
          <w:p w14:paraId="48B76852"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 xml:space="preserve">0.010 </w:t>
            </w:r>
            <w:r>
              <w:rPr>
                <w:rFonts w:ascii="Verdana" w:eastAsia="Calibri" w:hAnsi="Verdana"/>
                <w:sz w:val="18"/>
                <w:szCs w:val="18"/>
              </w:rPr>
              <w:t xml:space="preserve">mg/kg </w:t>
            </w:r>
            <w:r>
              <w:rPr>
                <w:rFonts w:ascii="Verdana" w:eastAsia="Calibri" w:hAnsi="Verdana"/>
                <w:sz w:val="18"/>
                <w:szCs w:val="18"/>
              </w:rPr>
              <w:lastRenderedPageBreak/>
              <w:t>bw/d</w:t>
            </w:r>
          </w:p>
        </w:tc>
      </w:tr>
      <w:tr w:rsidR="00BC1D4B" w14:paraId="37249842" w14:textId="77777777">
        <w:tc>
          <w:tcPr>
            <w:tcW w:w="1278" w:type="dxa"/>
            <w:vMerge/>
          </w:tcPr>
          <w:p w14:paraId="483B3A66" w14:textId="77777777" w:rsidR="00BC1D4B" w:rsidRDefault="00BC1D4B">
            <w:pPr>
              <w:spacing w:after="200" w:line="276" w:lineRule="auto"/>
              <w:rPr>
                <w:rFonts w:ascii="Verdana" w:eastAsia="Calibri" w:hAnsi="Verdana"/>
                <w:sz w:val="18"/>
                <w:szCs w:val="18"/>
                <w:lang w:val="en-US"/>
              </w:rPr>
            </w:pPr>
          </w:p>
        </w:tc>
        <w:tc>
          <w:tcPr>
            <w:tcW w:w="946" w:type="dxa"/>
            <w:vMerge/>
            <w:vAlign w:val="center"/>
          </w:tcPr>
          <w:p w14:paraId="233C380B" w14:textId="77777777" w:rsidR="00BC1D4B" w:rsidRDefault="00BC1D4B">
            <w:pPr>
              <w:spacing w:after="200" w:line="276" w:lineRule="auto"/>
              <w:jc w:val="center"/>
              <w:rPr>
                <w:rFonts w:ascii="Verdana" w:eastAsia="Calibri" w:hAnsi="Verdana"/>
                <w:sz w:val="18"/>
                <w:szCs w:val="18"/>
                <w:lang w:val="en-US"/>
              </w:rPr>
            </w:pPr>
          </w:p>
        </w:tc>
        <w:tc>
          <w:tcPr>
            <w:tcW w:w="1103" w:type="dxa"/>
            <w:vMerge/>
          </w:tcPr>
          <w:p w14:paraId="583EC16E" w14:textId="77777777" w:rsidR="00BC1D4B" w:rsidRDefault="00BC1D4B">
            <w:pPr>
              <w:spacing w:after="200" w:line="276" w:lineRule="auto"/>
              <w:rPr>
                <w:rFonts w:ascii="Verdana" w:eastAsia="Calibri" w:hAnsi="Verdana"/>
                <w:sz w:val="18"/>
                <w:szCs w:val="18"/>
                <w:lang w:val="en-US"/>
              </w:rPr>
            </w:pPr>
          </w:p>
        </w:tc>
        <w:tc>
          <w:tcPr>
            <w:tcW w:w="1019" w:type="dxa"/>
          </w:tcPr>
          <w:p w14:paraId="7A8F8514"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Inhalation</w:t>
            </w:r>
          </w:p>
        </w:tc>
        <w:tc>
          <w:tcPr>
            <w:tcW w:w="1091" w:type="dxa"/>
            <w:vMerge/>
          </w:tcPr>
          <w:p w14:paraId="6EF15496" w14:textId="77777777" w:rsidR="00BC1D4B" w:rsidRDefault="00BC1D4B">
            <w:pPr>
              <w:spacing w:after="200" w:line="276" w:lineRule="auto"/>
              <w:rPr>
                <w:rFonts w:ascii="Verdana" w:eastAsia="Calibri" w:hAnsi="Verdana"/>
                <w:sz w:val="18"/>
                <w:szCs w:val="18"/>
                <w:lang w:val="en-US"/>
              </w:rPr>
            </w:pPr>
          </w:p>
        </w:tc>
        <w:tc>
          <w:tcPr>
            <w:tcW w:w="1091" w:type="dxa"/>
          </w:tcPr>
          <w:p w14:paraId="3B46F64E"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4.35 mg/m</w:t>
            </w:r>
            <w:r>
              <w:rPr>
                <w:rFonts w:ascii="Verdana" w:eastAsia="Calibri" w:hAnsi="Verdana"/>
                <w:sz w:val="18"/>
                <w:szCs w:val="18"/>
                <w:vertAlign w:val="superscript"/>
                <w:lang w:val="en-US"/>
              </w:rPr>
              <w:t>3</w:t>
            </w:r>
          </w:p>
        </w:tc>
        <w:tc>
          <w:tcPr>
            <w:tcW w:w="1547" w:type="dxa"/>
          </w:tcPr>
          <w:p w14:paraId="2C63D2E6"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125</w:t>
            </w:r>
          </w:p>
        </w:tc>
        <w:tc>
          <w:tcPr>
            <w:tcW w:w="236" w:type="dxa"/>
          </w:tcPr>
          <w:p w14:paraId="0C9E7CC0" w14:textId="77777777" w:rsidR="00BC1D4B" w:rsidRDefault="00ED1F84">
            <w:pPr>
              <w:spacing w:after="200" w:line="276" w:lineRule="auto"/>
              <w:rPr>
                <w:rFonts w:ascii="Verdana" w:eastAsia="Calibri" w:hAnsi="Verdana"/>
                <w:sz w:val="18"/>
                <w:szCs w:val="18"/>
                <w:lang w:val="fr-FR"/>
              </w:rPr>
            </w:pPr>
            <w:r>
              <w:rPr>
                <w:rFonts w:ascii="Verdana" w:eastAsia="Calibri" w:hAnsi="Verdana"/>
                <w:sz w:val="18"/>
                <w:szCs w:val="18"/>
                <w:lang w:val="en-US"/>
              </w:rPr>
              <w:t>0.035 mg/m</w:t>
            </w:r>
            <w:r>
              <w:rPr>
                <w:rFonts w:ascii="Verdana" w:eastAsia="Calibri" w:hAnsi="Verdana"/>
                <w:sz w:val="18"/>
                <w:szCs w:val="18"/>
                <w:vertAlign w:val="superscript"/>
                <w:lang w:val="en-US"/>
              </w:rPr>
              <w:t>3</w:t>
            </w:r>
          </w:p>
        </w:tc>
      </w:tr>
      <w:tr w:rsidR="00BC1D4B" w14:paraId="6D20B2BF" w14:textId="77777777">
        <w:tc>
          <w:tcPr>
            <w:tcW w:w="1278" w:type="dxa"/>
            <w:vMerge/>
          </w:tcPr>
          <w:p w14:paraId="11F1F2E6" w14:textId="77777777" w:rsidR="00BC1D4B" w:rsidRDefault="00BC1D4B">
            <w:pPr>
              <w:spacing w:after="200" w:line="276" w:lineRule="auto"/>
              <w:rPr>
                <w:rFonts w:ascii="Verdana" w:eastAsia="Calibri" w:hAnsi="Verdana"/>
                <w:sz w:val="18"/>
                <w:szCs w:val="18"/>
                <w:lang w:val="en-US"/>
              </w:rPr>
            </w:pPr>
          </w:p>
        </w:tc>
        <w:tc>
          <w:tcPr>
            <w:tcW w:w="946" w:type="dxa"/>
            <w:vMerge/>
            <w:vAlign w:val="center"/>
          </w:tcPr>
          <w:p w14:paraId="0A0009A5" w14:textId="77777777" w:rsidR="00BC1D4B" w:rsidRDefault="00BC1D4B">
            <w:pPr>
              <w:spacing w:after="200" w:line="276" w:lineRule="auto"/>
              <w:jc w:val="center"/>
              <w:rPr>
                <w:rFonts w:ascii="Verdana" w:eastAsia="Calibri" w:hAnsi="Verdana"/>
                <w:sz w:val="18"/>
                <w:szCs w:val="18"/>
                <w:lang w:val="en-US"/>
              </w:rPr>
            </w:pPr>
          </w:p>
        </w:tc>
        <w:tc>
          <w:tcPr>
            <w:tcW w:w="1103" w:type="dxa"/>
            <w:vMerge/>
          </w:tcPr>
          <w:p w14:paraId="3E7EB93C" w14:textId="77777777" w:rsidR="00BC1D4B" w:rsidRDefault="00BC1D4B">
            <w:pPr>
              <w:spacing w:after="200" w:line="276" w:lineRule="auto"/>
              <w:rPr>
                <w:rFonts w:ascii="Verdana" w:eastAsia="Calibri" w:hAnsi="Verdana"/>
                <w:sz w:val="18"/>
                <w:szCs w:val="18"/>
                <w:lang w:val="en-US"/>
              </w:rPr>
            </w:pPr>
          </w:p>
        </w:tc>
        <w:tc>
          <w:tcPr>
            <w:tcW w:w="1019" w:type="dxa"/>
          </w:tcPr>
          <w:p w14:paraId="1E9518C7"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 xml:space="preserve">Dermal </w:t>
            </w:r>
          </w:p>
        </w:tc>
        <w:tc>
          <w:tcPr>
            <w:tcW w:w="1091" w:type="dxa"/>
            <w:vMerge/>
          </w:tcPr>
          <w:p w14:paraId="58E445EF" w14:textId="77777777" w:rsidR="00BC1D4B" w:rsidRDefault="00BC1D4B">
            <w:pPr>
              <w:spacing w:after="200" w:line="276" w:lineRule="auto"/>
              <w:rPr>
                <w:rFonts w:ascii="Verdana" w:eastAsia="Calibri" w:hAnsi="Verdana"/>
                <w:sz w:val="18"/>
                <w:szCs w:val="18"/>
                <w:lang w:val="en-US"/>
              </w:rPr>
            </w:pPr>
          </w:p>
        </w:tc>
        <w:tc>
          <w:tcPr>
            <w:tcW w:w="1091" w:type="dxa"/>
          </w:tcPr>
          <w:p w14:paraId="485BD224"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50 mg/kg bw/d</w:t>
            </w:r>
          </w:p>
        </w:tc>
        <w:tc>
          <w:tcPr>
            <w:tcW w:w="1547" w:type="dxa"/>
          </w:tcPr>
          <w:p w14:paraId="059993A3"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500</w:t>
            </w:r>
          </w:p>
        </w:tc>
        <w:tc>
          <w:tcPr>
            <w:tcW w:w="236" w:type="dxa"/>
          </w:tcPr>
          <w:p w14:paraId="6FC17E8C" w14:textId="77777777" w:rsidR="00BC1D4B" w:rsidRDefault="00ED1F84">
            <w:pPr>
              <w:spacing w:after="200" w:line="276" w:lineRule="auto"/>
              <w:rPr>
                <w:rFonts w:ascii="Verdana" w:eastAsia="Calibri" w:hAnsi="Verdana"/>
                <w:sz w:val="18"/>
                <w:szCs w:val="18"/>
                <w:lang w:val="en-US"/>
              </w:rPr>
            </w:pPr>
            <w:r>
              <w:rPr>
                <w:rFonts w:ascii="Verdana" w:eastAsia="Calibri" w:hAnsi="Verdana"/>
                <w:sz w:val="18"/>
                <w:szCs w:val="18"/>
                <w:lang w:val="en-US"/>
              </w:rPr>
              <w:t xml:space="preserve">0.100 </w:t>
            </w:r>
            <w:r>
              <w:rPr>
                <w:rFonts w:ascii="Verdana" w:eastAsia="Calibri" w:hAnsi="Verdana"/>
                <w:sz w:val="18"/>
                <w:szCs w:val="18"/>
              </w:rPr>
              <w:t>mg/kg bw/d</w:t>
            </w:r>
          </w:p>
        </w:tc>
      </w:tr>
    </w:tbl>
    <w:p w14:paraId="1A764D30" w14:textId="77777777" w:rsidR="00BC1D4B" w:rsidRDefault="00BC1D4B">
      <w:pPr>
        <w:jc w:val="both"/>
        <w:rPr>
          <w:rFonts w:ascii="Verdana" w:hAnsi="Verdana"/>
          <w:sz w:val="20"/>
          <w:szCs w:val="20"/>
          <w:lang w:val="en-US"/>
        </w:rPr>
      </w:pPr>
    </w:p>
    <w:p w14:paraId="477BF165" w14:textId="77777777" w:rsidR="00BC1D4B" w:rsidRDefault="00ED1F84">
      <w:pPr>
        <w:jc w:val="both"/>
        <w:rPr>
          <w:rFonts w:ascii="Verdana" w:hAnsi="Verdana"/>
          <w:sz w:val="20"/>
          <w:szCs w:val="20"/>
          <w:lang w:val="en-US"/>
        </w:rPr>
      </w:pPr>
      <w:r>
        <w:rPr>
          <w:rFonts w:ascii="Verdana" w:hAnsi="Verdana"/>
          <w:sz w:val="20"/>
          <w:szCs w:val="20"/>
          <w:lang w:val="en-US"/>
        </w:rPr>
        <w:t xml:space="preserve">The detailed revision of the DNEL on the basis of this study is available in Annex I (section 2.1.1). </w:t>
      </w:r>
    </w:p>
    <w:p w14:paraId="78E88A0D" w14:textId="77777777" w:rsidR="00BC1D4B" w:rsidRDefault="00ED1F84">
      <w:pPr>
        <w:jc w:val="both"/>
        <w:rPr>
          <w:rFonts w:ascii="Verdana" w:hAnsi="Verdana"/>
          <w:sz w:val="20"/>
          <w:szCs w:val="20"/>
          <w:lang w:val="en-US"/>
        </w:rPr>
      </w:pPr>
      <w:r>
        <w:rPr>
          <w:rFonts w:ascii="Verdana" w:hAnsi="Verdana"/>
          <w:sz w:val="20"/>
          <w:szCs w:val="20"/>
          <w:lang w:val="en-US"/>
        </w:rPr>
        <w:t>The DNELs recommended by the aMSCA are below Registrants’ DNEL due to the use of an assessment factor of 5 instead of 3 for dose-reponse/severity.</w:t>
      </w:r>
    </w:p>
    <w:p w14:paraId="0C05172D" w14:textId="77777777" w:rsidR="00BC1D4B" w:rsidRDefault="00ED1F84">
      <w:pPr>
        <w:pStyle w:val="Titre3"/>
        <w:rPr>
          <w:rFonts w:eastAsia="Calibri"/>
          <w:lang w:val="en-US"/>
        </w:rPr>
      </w:pPr>
      <w:bookmarkStart w:id="18" w:name="_Toc137044472"/>
      <w:r>
        <w:rPr>
          <w:rFonts w:eastAsia="Calibri"/>
          <w:lang w:val="en-US"/>
        </w:rPr>
        <w:t xml:space="preserve">Endocrine disruption </w:t>
      </w:r>
      <w:r>
        <w:rPr>
          <w:rFonts w:eastAsia="Calibri"/>
        </w:rPr>
        <w:t>properties</w:t>
      </w:r>
      <w:r>
        <w:rPr>
          <w:rFonts w:eastAsia="Calibri"/>
          <w:lang w:val="en-US"/>
        </w:rPr>
        <w:t xml:space="preserve"> assessment</w:t>
      </w:r>
      <w:bookmarkEnd w:id="18"/>
      <w:r>
        <w:rPr>
          <w:rFonts w:eastAsia="Calibri"/>
          <w:lang w:val="en-US"/>
        </w:rPr>
        <w:t xml:space="preserve"> </w:t>
      </w:r>
    </w:p>
    <w:p w14:paraId="3A56D5F7"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xml:space="preserve">In 2020, ANSES published the substance evaluation conclusion report on DPG (ANSES, 2020). No conclusion on endocrine disrupting properties could have been made at that time as a datagap covering adverse effects on the full range of reproductive endpoints was identified. It was recommended to reassess the DPG for potential endocrine disruptor properties following the analysis of the requested EOGRTS study. </w:t>
      </w:r>
    </w:p>
    <w:p w14:paraId="305B3C8C" w14:textId="77777777" w:rsidR="00BC1D4B" w:rsidRDefault="00BC1D4B">
      <w:pPr>
        <w:pStyle w:val="Corpsdetexte"/>
        <w:spacing w:after="0"/>
        <w:jc w:val="both"/>
        <w:rPr>
          <w:rFonts w:ascii="Verdana" w:hAnsi="Verdana"/>
          <w:sz w:val="20"/>
          <w:szCs w:val="20"/>
          <w:lang w:val="en-US"/>
        </w:rPr>
      </w:pPr>
    </w:p>
    <w:p w14:paraId="372E9C34"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After reception of the EOGRTS study on rats (unpublished study report, 2021), several reproductive and developmental effects raised concerns about endocrine disruption properties of DPG:</w:t>
      </w:r>
    </w:p>
    <w:p w14:paraId="122B4C76" w14:textId="77777777" w:rsidR="00BC1D4B" w:rsidRDefault="00BC1D4B">
      <w:pPr>
        <w:pStyle w:val="Corpsdetexte"/>
        <w:spacing w:after="0"/>
        <w:jc w:val="both"/>
        <w:rPr>
          <w:rFonts w:ascii="Verdana" w:hAnsi="Verdana"/>
          <w:sz w:val="20"/>
          <w:szCs w:val="20"/>
          <w:lang w:val="en-US"/>
        </w:rPr>
      </w:pPr>
    </w:p>
    <w:p w14:paraId="22210EFB"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Increase in adrenal gland weight</w:t>
      </w:r>
    </w:p>
    <w:p w14:paraId="69486AEE"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Effects on thyroid hormones</w:t>
      </w:r>
    </w:p>
    <w:p w14:paraId="1A3B0BB3"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Two females developed an adenocarcinoma in mammary gland</w:t>
      </w:r>
    </w:p>
    <w:p w14:paraId="663C8055"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An increased duration of gestation was observed on an individual basis</w:t>
      </w:r>
    </w:p>
    <w:p w14:paraId="3A142076"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Females presenting reproduction difficulties</w:t>
      </w:r>
    </w:p>
    <w:p w14:paraId="312E11B4"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xml:space="preserve">- Post-implantation loss </w:t>
      </w:r>
    </w:p>
    <w:p w14:paraId="4F6A0121" w14:textId="77777777" w:rsidR="00BC1D4B" w:rsidRDefault="00ED1F84">
      <w:pPr>
        <w:pStyle w:val="Corpsdetexte"/>
        <w:jc w:val="both"/>
        <w:rPr>
          <w:rFonts w:ascii="Verdana" w:hAnsi="Verdana"/>
          <w:sz w:val="20"/>
          <w:szCs w:val="20"/>
          <w:lang w:val="en-US"/>
        </w:rPr>
      </w:pPr>
      <w:r>
        <w:rPr>
          <w:rFonts w:ascii="Verdana" w:hAnsi="Verdana"/>
          <w:sz w:val="20"/>
          <w:szCs w:val="20"/>
          <w:lang w:val="en-US"/>
        </w:rPr>
        <w:t xml:space="preserve">- Estrous cycle alterations </w:t>
      </w:r>
    </w:p>
    <w:p w14:paraId="30BA278E" w14:textId="77777777" w:rsidR="00BC1D4B" w:rsidRDefault="00ED1F84">
      <w:pPr>
        <w:pStyle w:val="Corpsdetexte"/>
        <w:jc w:val="both"/>
        <w:rPr>
          <w:rFonts w:ascii="Verdana" w:hAnsi="Verdana"/>
          <w:sz w:val="20"/>
          <w:szCs w:val="20"/>
          <w:lang w:val="en-US"/>
        </w:rPr>
      </w:pPr>
      <w:r>
        <w:rPr>
          <w:rFonts w:ascii="Verdana" w:hAnsi="Verdana"/>
          <w:sz w:val="20"/>
          <w:szCs w:val="20"/>
          <w:lang w:val="en-US"/>
        </w:rPr>
        <w:t>Changes in estrous cyclicity was also observed in rats and mice in a NTP 90-day study (NTP, 1995).</w:t>
      </w:r>
    </w:p>
    <w:p w14:paraId="708C40E2" w14:textId="77777777" w:rsidR="00BC1D4B" w:rsidRDefault="00ED1F84">
      <w:pPr>
        <w:pStyle w:val="Corpsdetexte"/>
        <w:jc w:val="both"/>
        <w:rPr>
          <w:rFonts w:ascii="Verdana" w:hAnsi="Verdana"/>
          <w:sz w:val="20"/>
          <w:szCs w:val="20"/>
          <w:lang w:val="en-US"/>
        </w:rPr>
      </w:pPr>
      <w:r>
        <w:rPr>
          <w:rFonts w:ascii="Verdana" w:hAnsi="Verdana"/>
          <w:sz w:val="20"/>
          <w:szCs w:val="20"/>
          <w:lang w:val="en-US"/>
        </w:rPr>
        <w:t>DPG underwent testing for endocrine disruption potential using the Tier 1 screening assays developed for the U.S. EPA’s EDSP (Kreider &amp; Panko, 2016). The published information indicates, on the basis of the weight of evidence (WoE) analysis, that DPG is unlikely to act as an endocrine disruptor through EATS modes of action. This information was complemented with a literature review of the potential mode of action of DPG, ToxCast data, Danish QSAR data and OECD QSAR Toolbox data on DPG.</w:t>
      </w:r>
      <w:r>
        <w:t xml:space="preserve"> </w:t>
      </w:r>
      <w:r>
        <w:rPr>
          <w:rFonts w:ascii="Verdana" w:hAnsi="Verdana"/>
          <w:sz w:val="20"/>
          <w:szCs w:val="20"/>
          <w:lang w:val="en-US"/>
        </w:rPr>
        <w:t xml:space="preserve">Additional OECD level 1 and 2 data did not bring relevant information pointing toward an endocrine activity. </w:t>
      </w:r>
    </w:p>
    <w:p w14:paraId="4FA2172F" w14:textId="77777777" w:rsidR="00BC1D4B" w:rsidRDefault="00ED1F84">
      <w:pPr>
        <w:pStyle w:val="Corpsdetexte"/>
        <w:jc w:val="both"/>
        <w:rPr>
          <w:rFonts w:ascii="Verdana" w:hAnsi="Verdana"/>
          <w:sz w:val="20"/>
          <w:szCs w:val="20"/>
          <w:lang w:val="en-US"/>
        </w:rPr>
      </w:pPr>
      <w:r>
        <w:rPr>
          <w:rFonts w:ascii="Verdana" w:hAnsi="Verdana"/>
          <w:sz w:val="20"/>
          <w:szCs w:val="20"/>
          <w:lang w:val="en-US"/>
        </w:rPr>
        <w:t xml:space="preserve">Although reprotoxic adverse effects were noted for the substance DPG, it is not possible on the basis of the available data to establish an endocrine mode of action corresponding to the adverse effects. </w:t>
      </w:r>
    </w:p>
    <w:p w14:paraId="1860544C" w14:textId="55A8E902" w:rsidR="00BC1D4B" w:rsidRDefault="00ED1F84">
      <w:pPr>
        <w:pStyle w:val="Corpsdetexte"/>
        <w:jc w:val="both"/>
        <w:rPr>
          <w:rFonts w:ascii="Verdana" w:hAnsi="Verdana"/>
          <w:sz w:val="20"/>
          <w:szCs w:val="20"/>
          <w:lang w:val="en-US"/>
        </w:rPr>
      </w:pPr>
      <w:r>
        <w:rPr>
          <w:rFonts w:ascii="Verdana" w:hAnsi="Verdana"/>
          <w:sz w:val="20"/>
          <w:szCs w:val="20"/>
          <w:lang w:val="en-US"/>
        </w:rPr>
        <w:t>Thus, there are no sufficient indications to consider that the substance has ED properties</w:t>
      </w:r>
      <w:r w:rsidR="00A21496">
        <w:rPr>
          <w:rFonts w:ascii="Verdana" w:hAnsi="Verdana"/>
          <w:sz w:val="20"/>
          <w:szCs w:val="20"/>
          <w:lang w:val="en-US"/>
        </w:rPr>
        <w:t>.</w:t>
      </w:r>
      <w:r>
        <w:rPr>
          <w:rFonts w:ascii="Verdana" w:hAnsi="Verdana"/>
          <w:sz w:val="20"/>
          <w:szCs w:val="20"/>
          <w:lang w:val="en-US"/>
        </w:rPr>
        <w:t xml:space="preserve"> A detailed assessment of the information available can be found in </w:t>
      </w:r>
      <w:r>
        <w:rPr>
          <w:rFonts w:ascii="Verdana" w:hAnsi="Verdana"/>
          <w:sz w:val="20"/>
          <w:szCs w:val="20"/>
          <w:lang w:val="en-US"/>
        </w:rPr>
        <w:lastRenderedPageBreak/>
        <w:t>Annex I (section 2.1.2). A summary of the EOGRTS study is available in Annex I (section 2.1.3).</w:t>
      </w:r>
    </w:p>
    <w:p w14:paraId="428EA281" w14:textId="77777777" w:rsidR="00BC1D4B" w:rsidRDefault="00ED1F84">
      <w:pPr>
        <w:pStyle w:val="Titre3"/>
        <w:rPr>
          <w:rFonts w:eastAsia="Calibri"/>
          <w:lang w:val="en-US"/>
        </w:rPr>
      </w:pPr>
      <w:bookmarkStart w:id="19" w:name="_Toc137044473"/>
      <w:r>
        <w:rPr>
          <w:rFonts w:eastAsia="Calibri"/>
          <w:lang w:val="en-US"/>
        </w:rPr>
        <w:t xml:space="preserve">Hazards </w:t>
      </w:r>
      <w:r>
        <w:rPr>
          <w:rFonts w:eastAsia="Calibri"/>
        </w:rPr>
        <w:t>related</w:t>
      </w:r>
      <w:r>
        <w:rPr>
          <w:rFonts w:eastAsia="Calibri"/>
          <w:lang w:val="en-US"/>
        </w:rPr>
        <w:t xml:space="preserve"> to degradation products and impurities</w:t>
      </w:r>
      <w:bookmarkEnd w:id="19"/>
    </w:p>
    <w:p w14:paraId="74FCFFDC" w14:textId="084BF09A" w:rsidR="00BC1D4B" w:rsidRDefault="00ED1F84" w:rsidP="00CF2ED6">
      <w:pPr>
        <w:jc w:val="both"/>
        <w:rPr>
          <w:rFonts w:ascii="Verdana" w:eastAsia="Calibri" w:hAnsi="Verdana"/>
          <w:sz w:val="20"/>
          <w:szCs w:val="20"/>
          <w:lang w:val="en-US"/>
        </w:rPr>
      </w:pPr>
      <w:r>
        <w:rPr>
          <w:rFonts w:ascii="Verdana" w:eastAsia="Calibri" w:hAnsi="Verdana"/>
          <w:sz w:val="20"/>
          <w:szCs w:val="20"/>
          <w:lang w:val="en-US"/>
        </w:rPr>
        <w:t>As mentioned in the registration dossier, the major degradation products of DPG consist of aniline</w:t>
      </w:r>
      <w:r>
        <w:t xml:space="preserve"> </w:t>
      </w:r>
      <w:r>
        <w:rPr>
          <w:rFonts w:ascii="Verdana" w:eastAsia="Calibri" w:hAnsi="Verdana"/>
          <w:sz w:val="20"/>
          <w:szCs w:val="20"/>
          <w:lang w:val="en-US"/>
        </w:rPr>
        <w:t xml:space="preserve">(CAS no. 62-53-3, EC no. 200-539-3), N-nitroso-diphenylurea and phenyl guanidine. </w:t>
      </w:r>
      <w:r>
        <w:rPr>
          <w:rFonts w:ascii="Verdana" w:hAnsi="Verdana"/>
          <w:sz w:val="20"/>
          <w:szCs w:val="20"/>
        </w:rPr>
        <w:t>In addition, aniline is also present as an impurity</w:t>
      </w:r>
      <w:r>
        <w:t xml:space="preserve"> (</w:t>
      </w:r>
      <w:r>
        <w:rPr>
          <w:rFonts w:ascii="Verdana" w:hAnsi="Verdana"/>
          <w:sz w:val="20"/>
          <w:szCs w:val="20"/>
        </w:rPr>
        <w:t>ANSES, 2020).</w:t>
      </w:r>
      <w:r>
        <w:t xml:space="preserve"> </w:t>
      </w:r>
      <w:r>
        <w:rPr>
          <w:rFonts w:ascii="Verdana" w:eastAsia="Calibri" w:hAnsi="Verdana"/>
          <w:sz w:val="20"/>
          <w:szCs w:val="20"/>
          <w:lang w:val="en-US"/>
        </w:rPr>
        <w:t xml:space="preserve"> Aniline is the only chemical among these degradation products which is registered under REACh regulation. This substance has a harmonised classification (index number 612-008-00-7)</w:t>
      </w:r>
      <w:r>
        <w:rPr>
          <w:rStyle w:val="Appelnotedebasdep"/>
          <w:rFonts w:eastAsia="Calibri"/>
          <w:szCs w:val="20"/>
          <w:lang w:val="en-US"/>
        </w:rPr>
        <w:footnoteReference w:id="9"/>
      </w:r>
      <w:r>
        <w:rPr>
          <w:rFonts w:ascii="Verdana" w:eastAsia="Calibri" w:hAnsi="Verdana"/>
          <w:sz w:val="20"/>
          <w:szCs w:val="20"/>
          <w:lang w:val="en-US"/>
        </w:rPr>
        <w:t xml:space="preserve"> under CLP regulation. The hazard class and categories of aniline include acute toxicity 3, eye damage 1, skin sensitive 1, mutagenic 2, carcinogenic 2, repeated toxicity 1 and aquatic acute toxicity 1. </w:t>
      </w:r>
      <w:r w:rsidR="00DF6D4C">
        <w:rPr>
          <w:rFonts w:ascii="Verdana" w:eastAsia="Calibri" w:hAnsi="Verdana"/>
          <w:sz w:val="20"/>
          <w:szCs w:val="20"/>
          <w:lang w:val="en-US"/>
        </w:rPr>
        <w:t>On the basis of its classification</w:t>
      </w:r>
      <w:r w:rsidR="00DF6D4C" w:rsidRPr="00DF6D4C">
        <w:rPr>
          <w:rFonts w:ascii="Verdana" w:eastAsia="Calibri" w:hAnsi="Verdana"/>
          <w:sz w:val="20"/>
          <w:szCs w:val="20"/>
          <w:lang w:val="en-US"/>
        </w:rPr>
        <w:t xml:space="preserve"> as carcinogenic category 2 and mutagenic category 2</w:t>
      </w:r>
      <w:r w:rsidR="00DF6D4C">
        <w:rPr>
          <w:rFonts w:ascii="Verdana" w:eastAsia="Calibri" w:hAnsi="Verdana"/>
          <w:sz w:val="20"/>
          <w:szCs w:val="20"/>
          <w:lang w:val="en-US"/>
        </w:rPr>
        <w:t>,</w:t>
      </w:r>
      <w:r w:rsidR="00DF6D4C" w:rsidRPr="00DF6D4C">
        <w:rPr>
          <w:rFonts w:ascii="Verdana" w:eastAsia="Calibri" w:hAnsi="Verdana"/>
          <w:sz w:val="20"/>
          <w:szCs w:val="20"/>
          <w:lang w:val="en-US"/>
        </w:rPr>
        <w:t xml:space="preserve"> </w:t>
      </w:r>
      <w:r w:rsidR="00837EF3">
        <w:rPr>
          <w:rFonts w:ascii="Verdana" w:eastAsia="Calibri" w:hAnsi="Verdana"/>
          <w:sz w:val="20"/>
          <w:szCs w:val="20"/>
          <w:lang w:val="en-US"/>
        </w:rPr>
        <w:t xml:space="preserve">Aniline was included in the </w:t>
      </w:r>
      <w:r w:rsidR="00CF2ED6" w:rsidRPr="00CF2ED6">
        <w:rPr>
          <w:rFonts w:ascii="Verdana" w:eastAsia="Calibri" w:hAnsi="Verdana"/>
          <w:sz w:val="20"/>
          <w:szCs w:val="20"/>
          <w:lang w:val="en-US"/>
        </w:rPr>
        <w:t>Commission Directive (EU) 2021/903</w:t>
      </w:r>
      <w:r w:rsidR="00CF2ED6">
        <w:rPr>
          <w:rStyle w:val="Appelnotedebasdep"/>
          <w:rFonts w:eastAsia="Calibri"/>
          <w:szCs w:val="20"/>
          <w:lang w:val="en-US"/>
        </w:rPr>
        <w:footnoteReference w:id="10"/>
      </w:r>
      <w:r w:rsidR="00CF2ED6" w:rsidRPr="00CF2ED6">
        <w:rPr>
          <w:rFonts w:ascii="Verdana" w:eastAsia="Calibri" w:hAnsi="Verdana"/>
          <w:sz w:val="20"/>
          <w:szCs w:val="20"/>
          <w:lang w:val="en-US"/>
        </w:rPr>
        <w:t xml:space="preserve"> which is an amendment to EU Toy Safety Directive (TSD) Directive 2009/48/EC (EU TSD) on 4 June 2021.</w:t>
      </w:r>
      <w:r w:rsidR="00CF2ED6">
        <w:rPr>
          <w:rFonts w:ascii="Verdana" w:eastAsia="Calibri" w:hAnsi="Verdana"/>
          <w:sz w:val="20"/>
          <w:szCs w:val="20"/>
          <w:lang w:val="en-US"/>
        </w:rPr>
        <w:t xml:space="preserve"> </w:t>
      </w:r>
      <w:r w:rsidR="00461F09">
        <w:rPr>
          <w:rFonts w:ascii="Verdana" w:eastAsia="Calibri" w:hAnsi="Verdana"/>
          <w:sz w:val="20"/>
          <w:szCs w:val="20"/>
          <w:lang w:val="en-US"/>
        </w:rPr>
        <w:t>S</w:t>
      </w:r>
      <w:r w:rsidR="00CF2ED6" w:rsidRPr="00CF2ED6">
        <w:rPr>
          <w:rFonts w:ascii="Verdana" w:eastAsia="Calibri" w:hAnsi="Verdana"/>
          <w:sz w:val="20"/>
          <w:szCs w:val="20"/>
          <w:lang w:val="en-US"/>
        </w:rPr>
        <w:t>pecific limi</w:t>
      </w:r>
      <w:r w:rsidR="00CF2ED6">
        <w:rPr>
          <w:rFonts w:ascii="Verdana" w:eastAsia="Calibri" w:hAnsi="Verdana"/>
          <w:sz w:val="20"/>
          <w:szCs w:val="20"/>
          <w:lang w:val="en-US"/>
        </w:rPr>
        <w:t xml:space="preserve">t values for </w:t>
      </w:r>
      <w:r w:rsidR="00461F09">
        <w:rPr>
          <w:rFonts w:ascii="Verdana" w:eastAsia="Calibri" w:hAnsi="Verdana"/>
          <w:sz w:val="20"/>
          <w:szCs w:val="20"/>
          <w:lang w:val="en-US"/>
        </w:rPr>
        <w:t>aniline were established for certain categories of</w:t>
      </w:r>
      <w:r w:rsidR="00CF2ED6">
        <w:rPr>
          <w:rFonts w:ascii="Verdana" w:eastAsia="Calibri" w:hAnsi="Verdana"/>
          <w:sz w:val="20"/>
          <w:szCs w:val="20"/>
          <w:lang w:val="en-US"/>
        </w:rPr>
        <w:t xml:space="preserve"> </w:t>
      </w:r>
      <w:r w:rsidR="00CF2ED6" w:rsidRPr="00CF2ED6">
        <w:rPr>
          <w:rFonts w:ascii="Verdana" w:eastAsia="Calibri" w:hAnsi="Verdana"/>
          <w:sz w:val="20"/>
          <w:szCs w:val="20"/>
          <w:lang w:val="en-US"/>
        </w:rPr>
        <w:t xml:space="preserve">toys. </w:t>
      </w:r>
      <w:r>
        <w:rPr>
          <w:rFonts w:ascii="Verdana" w:eastAsia="Calibri" w:hAnsi="Verdana"/>
          <w:sz w:val="20"/>
          <w:szCs w:val="20"/>
          <w:lang w:val="en-US"/>
        </w:rPr>
        <w:t>Worst-case concentration of aniline in articles</w:t>
      </w:r>
      <w:r w:rsidR="00F87C25">
        <w:rPr>
          <w:rFonts w:ascii="Verdana" w:eastAsia="Calibri" w:hAnsi="Verdana"/>
          <w:sz w:val="20"/>
          <w:szCs w:val="20"/>
          <w:lang w:val="en-US"/>
        </w:rPr>
        <w:t xml:space="preserve"> (≤0.0041%)</w:t>
      </w:r>
      <w:r>
        <w:rPr>
          <w:rFonts w:ascii="Verdana" w:eastAsia="Calibri" w:hAnsi="Verdana"/>
          <w:sz w:val="20"/>
          <w:szCs w:val="20"/>
          <w:lang w:val="en-US"/>
        </w:rPr>
        <w:t xml:space="preserve"> was provided by the Registrants and a risk assessment for all uses mentioned in the CSR was performed during the substance evaluation process. With regard to aniline risk assessment, RCR &lt; 1 were calculated and no further risk management is needed. No new data were added to the dossier and aniline was not reassessed in the course of this RMOA. </w:t>
      </w:r>
    </w:p>
    <w:p w14:paraId="2DC4771B" w14:textId="759DABB4" w:rsidR="00BC1D4B" w:rsidRDefault="00ED1F84" w:rsidP="001B0030">
      <w:pPr>
        <w:jc w:val="both"/>
        <w:rPr>
          <w:rFonts w:ascii="Verdana" w:eastAsia="Calibri" w:hAnsi="Verdana"/>
          <w:sz w:val="20"/>
          <w:szCs w:val="20"/>
          <w:lang w:val="en-US"/>
        </w:rPr>
      </w:pPr>
      <w:r>
        <w:rPr>
          <w:rFonts w:ascii="Verdana" w:eastAsia="Calibri" w:hAnsi="Verdana"/>
          <w:sz w:val="20"/>
          <w:szCs w:val="20"/>
          <w:lang w:val="en-US"/>
        </w:rPr>
        <w:t>It was not possible to evaluate the hazards and risk related to the two other degradation products. No toxicological profile or data on the concentration of these substances in products containing DPG or in derivatives rubber articles is available. No information has been identified in the literature that investigates the presence of DPG degradation products</w:t>
      </w:r>
      <w:r>
        <w:t xml:space="preserve"> </w:t>
      </w:r>
      <w:r>
        <w:rPr>
          <w:rFonts w:ascii="Verdana" w:eastAsia="Calibri" w:hAnsi="Verdana"/>
          <w:sz w:val="20"/>
          <w:szCs w:val="20"/>
          <w:lang w:val="en-US"/>
        </w:rPr>
        <w:t>N-nitroso-diphenylurea and phenyl guanidine in rubber articles.</w:t>
      </w:r>
      <w:r w:rsidR="00357587">
        <w:rPr>
          <w:rFonts w:ascii="Verdana" w:eastAsia="Calibri" w:hAnsi="Verdana"/>
          <w:sz w:val="20"/>
          <w:szCs w:val="20"/>
          <w:lang w:val="en-US"/>
        </w:rPr>
        <w:t xml:space="preserve"> </w:t>
      </w:r>
      <w:r w:rsidR="00461F09">
        <w:rPr>
          <w:rFonts w:ascii="Verdana" w:eastAsia="Calibri" w:hAnsi="Verdana"/>
          <w:sz w:val="20"/>
          <w:szCs w:val="20"/>
          <w:lang w:val="en-US"/>
        </w:rPr>
        <w:t>An a</w:t>
      </w:r>
      <w:r w:rsidR="00121374">
        <w:rPr>
          <w:rFonts w:ascii="Verdana" w:eastAsia="Calibri" w:hAnsi="Verdana"/>
          <w:sz w:val="20"/>
          <w:szCs w:val="20"/>
          <w:lang w:val="en-US"/>
        </w:rPr>
        <w:t xml:space="preserve">lkylating </w:t>
      </w:r>
      <w:r w:rsidR="00461F09">
        <w:rPr>
          <w:rFonts w:ascii="Verdana" w:eastAsia="Calibri" w:hAnsi="Verdana"/>
          <w:sz w:val="20"/>
          <w:szCs w:val="20"/>
          <w:lang w:val="en-US"/>
        </w:rPr>
        <w:t>potential</w:t>
      </w:r>
      <w:r w:rsidR="00121374">
        <w:rPr>
          <w:rFonts w:ascii="Verdana" w:eastAsia="Calibri" w:hAnsi="Verdana"/>
          <w:sz w:val="20"/>
          <w:szCs w:val="20"/>
          <w:lang w:val="en-US"/>
        </w:rPr>
        <w:t xml:space="preserve"> of</w:t>
      </w:r>
      <w:r w:rsidR="004C4121">
        <w:rPr>
          <w:rFonts w:ascii="Verdana" w:eastAsia="Calibri" w:hAnsi="Verdana"/>
          <w:sz w:val="20"/>
          <w:szCs w:val="20"/>
          <w:lang w:val="en-US"/>
        </w:rPr>
        <w:t xml:space="preserve"> </w:t>
      </w:r>
      <w:r w:rsidR="00121374">
        <w:rPr>
          <w:rFonts w:ascii="Verdana" w:eastAsia="Calibri" w:hAnsi="Verdana"/>
          <w:sz w:val="20"/>
          <w:szCs w:val="20"/>
          <w:lang w:val="en-US"/>
        </w:rPr>
        <w:t>n</w:t>
      </w:r>
      <w:r w:rsidR="0082175B" w:rsidRPr="0082175B">
        <w:rPr>
          <w:rFonts w:ascii="Verdana" w:eastAsia="Calibri" w:hAnsi="Verdana"/>
          <w:sz w:val="20"/>
          <w:szCs w:val="20"/>
          <w:lang w:val="en-US"/>
        </w:rPr>
        <w:t xml:space="preserve">itrosophenylurea </w:t>
      </w:r>
      <w:r w:rsidR="00837EF3">
        <w:rPr>
          <w:rFonts w:ascii="Verdana" w:eastAsia="Calibri" w:hAnsi="Verdana"/>
          <w:sz w:val="20"/>
          <w:szCs w:val="20"/>
          <w:lang w:val="en-US"/>
        </w:rPr>
        <w:t xml:space="preserve">(a </w:t>
      </w:r>
      <w:r w:rsidR="004C4121">
        <w:rPr>
          <w:rFonts w:ascii="Verdana" w:eastAsia="Calibri" w:hAnsi="Verdana"/>
          <w:sz w:val="20"/>
          <w:szCs w:val="20"/>
          <w:lang w:val="en-US"/>
        </w:rPr>
        <w:t>mono-alkylated analogous substance</w:t>
      </w:r>
      <w:r w:rsidR="00837EF3">
        <w:rPr>
          <w:rFonts w:ascii="Verdana" w:eastAsia="Calibri" w:hAnsi="Verdana"/>
          <w:sz w:val="20"/>
          <w:szCs w:val="20"/>
          <w:lang w:val="en-US"/>
        </w:rPr>
        <w:t>)</w:t>
      </w:r>
      <w:r w:rsidR="004C4121" w:rsidRPr="004C4121">
        <w:rPr>
          <w:rFonts w:ascii="Verdana" w:eastAsia="Calibri" w:hAnsi="Verdana"/>
          <w:sz w:val="20"/>
          <w:szCs w:val="20"/>
          <w:lang w:val="en-US"/>
        </w:rPr>
        <w:t xml:space="preserve"> </w:t>
      </w:r>
      <w:r w:rsidR="004C4121">
        <w:rPr>
          <w:rFonts w:ascii="Verdana" w:eastAsia="Calibri" w:hAnsi="Verdana"/>
          <w:sz w:val="20"/>
          <w:szCs w:val="20"/>
          <w:lang w:val="en-US"/>
        </w:rPr>
        <w:t xml:space="preserve">is </w:t>
      </w:r>
      <w:r w:rsidR="00461F09">
        <w:rPr>
          <w:rFonts w:ascii="Verdana" w:eastAsia="Calibri" w:hAnsi="Verdana"/>
          <w:sz w:val="20"/>
          <w:szCs w:val="20"/>
          <w:lang w:val="en-US"/>
        </w:rPr>
        <w:t xml:space="preserve">identified although its potency is </w:t>
      </w:r>
      <w:r w:rsidR="00121374" w:rsidRPr="00121374">
        <w:rPr>
          <w:rFonts w:ascii="Verdana" w:eastAsia="Calibri" w:hAnsi="Verdana"/>
          <w:sz w:val="20"/>
          <w:szCs w:val="20"/>
          <w:lang w:val="en-US"/>
        </w:rPr>
        <w:t xml:space="preserve">20,000-fold </w:t>
      </w:r>
      <w:r w:rsidR="004C4121">
        <w:rPr>
          <w:rFonts w:ascii="Verdana" w:eastAsia="Calibri" w:hAnsi="Verdana"/>
          <w:sz w:val="20"/>
          <w:szCs w:val="20"/>
          <w:lang w:val="en-US"/>
        </w:rPr>
        <w:t xml:space="preserve">lower than </w:t>
      </w:r>
      <w:r w:rsidR="001B0030">
        <w:rPr>
          <w:rFonts w:ascii="Verdana" w:eastAsia="Calibri" w:hAnsi="Verdana"/>
          <w:sz w:val="20"/>
          <w:szCs w:val="20"/>
          <w:lang w:val="en-US"/>
        </w:rPr>
        <w:t xml:space="preserve">for </w:t>
      </w:r>
      <w:r w:rsidR="00121374">
        <w:rPr>
          <w:rFonts w:ascii="Verdana" w:eastAsia="Calibri" w:hAnsi="Verdana"/>
          <w:sz w:val="20"/>
          <w:szCs w:val="20"/>
          <w:lang w:val="en-US"/>
        </w:rPr>
        <w:t>others N-alkyl-N-nitrosourea</w:t>
      </w:r>
      <w:r w:rsidR="001B0030">
        <w:rPr>
          <w:rFonts w:ascii="Verdana" w:eastAsia="Calibri" w:hAnsi="Verdana"/>
          <w:sz w:val="20"/>
          <w:szCs w:val="20"/>
          <w:lang w:val="en-US"/>
        </w:rPr>
        <w:t xml:space="preserve">, </w:t>
      </w:r>
      <w:r w:rsidR="001B0030" w:rsidRPr="001B0030">
        <w:rPr>
          <w:rFonts w:ascii="Verdana" w:eastAsia="Calibri" w:hAnsi="Verdana"/>
          <w:sz w:val="20"/>
          <w:szCs w:val="20"/>
          <w:lang w:val="en-US"/>
        </w:rPr>
        <w:t>nitrosomethylurea</w:t>
      </w:r>
      <w:r w:rsidR="001B0030" w:rsidRPr="004C4121">
        <w:rPr>
          <w:rFonts w:ascii="Verdana" w:eastAsia="Calibri" w:hAnsi="Verdana"/>
          <w:sz w:val="20"/>
          <w:szCs w:val="20"/>
          <w:lang w:val="en-US"/>
        </w:rPr>
        <w:t xml:space="preserve"> </w:t>
      </w:r>
      <w:r w:rsidR="001B0030">
        <w:rPr>
          <w:rFonts w:ascii="Verdana" w:eastAsia="Calibri" w:hAnsi="Verdana"/>
          <w:sz w:val="20"/>
          <w:szCs w:val="20"/>
          <w:lang w:val="en-US"/>
        </w:rPr>
        <w:t xml:space="preserve">for example </w:t>
      </w:r>
      <w:r w:rsidR="004C4121" w:rsidRPr="004C4121">
        <w:rPr>
          <w:rFonts w:ascii="Verdana" w:eastAsia="Calibri" w:hAnsi="Verdana"/>
          <w:sz w:val="20"/>
          <w:szCs w:val="20"/>
          <w:lang w:val="en-US"/>
        </w:rPr>
        <w:t xml:space="preserve">(Manso et </w:t>
      </w:r>
      <w:r w:rsidR="004C4121" w:rsidRPr="002F4101">
        <w:rPr>
          <w:rFonts w:ascii="Verdana" w:eastAsia="Calibri" w:hAnsi="Verdana"/>
          <w:i/>
          <w:sz w:val="20"/>
          <w:szCs w:val="20"/>
          <w:lang w:val="en-US"/>
        </w:rPr>
        <w:t>al</w:t>
      </w:r>
      <w:r w:rsidR="00E936FE">
        <w:rPr>
          <w:rFonts w:ascii="Verdana" w:eastAsia="Calibri" w:hAnsi="Verdana"/>
          <w:sz w:val="20"/>
          <w:szCs w:val="20"/>
          <w:lang w:val="en-US"/>
        </w:rPr>
        <w:t>.</w:t>
      </w:r>
      <w:r w:rsidR="004C4121" w:rsidRPr="00E936FE">
        <w:rPr>
          <w:rFonts w:ascii="Verdana" w:eastAsia="Calibri" w:hAnsi="Verdana"/>
          <w:sz w:val="20"/>
          <w:szCs w:val="20"/>
          <w:lang w:val="en-US"/>
        </w:rPr>
        <w:t xml:space="preserve"> </w:t>
      </w:r>
      <w:r w:rsidR="00837EF3">
        <w:rPr>
          <w:rFonts w:ascii="Verdana" w:eastAsia="Calibri" w:hAnsi="Verdana"/>
          <w:sz w:val="20"/>
          <w:szCs w:val="20"/>
          <w:lang w:val="en-US"/>
        </w:rPr>
        <w:t>2008)</w:t>
      </w:r>
      <w:r w:rsidR="004C4121">
        <w:rPr>
          <w:rFonts w:ascii="Verdana" w:eastAsia="Calibri" w:hAnsi="Verdana"/>
          <w:sz w:val="20"/>
          <w:szCs w:val="20"/>
          <w:lang w:val="en-US"/>
        </w:rPr>
        <w:t xml:space="preserve">. </w:t>
      </w:r>
      <w:r w:rsidR="001B0030">
        <w:rPr>
          <w:rFonts w:ascii="Verdana" w:eastAsia="Calibri" w:hAnsi="Verdana"/>
          <w:sz w:val="20"/>
          <w:szCs w:val="20"/>
          <w:lang w:val="en-US"/>
        </w:rPr>
        <w:t>The carcinogenic action of n</w:t>
      </w:r>
      <w:r w:rsidR="00E936FE">
        <w:rPr>
          <w:rFonts w:ascii="Verdana" w:eastAsia="Calibri" w:hAnsi="Verdana"/>
          <w:sz w:val="20"/>
          <w:szCs w:val="20"/>
          <w:lang w:val="en-US"/>
        </w:rPr>
        <w:t>itrosophenylurea</w:t>
      </w:r>
      <w:r w:rsidR="001B0030">
        <w:rPr>
          <w:rFonts w:ascii="Verdana" w:eastAsia="Calibri" w:hAnsi="Verdana"/>
          <w:sz w:val="20"/>
          <w:szCs w:val="20"/>
          <w:lang w:val="en-US"/>
        </w:rPr>
        <w:t xml:space="preserve"> was also investigated in</w:t>
      </w:r>
      <w:r w:rsidR="00461F09">
        <w:rPr>
          <w:rFonts w:ascii="Verdana" w:eastAsia="Calibri" w:hAnsi="Verdana"/>
          <w:sz w:val="20"/>
          <w:szCs w:val="20"/>
          <w:lang w:val="en-US"/>
        </w:rPr>
        <w:t xml:space="preserve"> a non-guideline study by</w:t>
      </w:r>
      <w:r w:rsidR="00E936FE">
        <w:rPr>
          <w:rFonts w:ascii="Verdana" w:eastAsia="Calibri" w:hAnsi="Verdana"/>
          <w:sz w:val="20"/>
          <w:szCs w:val="20"/>
          <w:lang w:val="en-US"/>
        </w:rPr>
        <w:t xml:space="preserve"> </w:t>
      </w:r>
      <w:r w:rsidR="001B0030">
        <w:rPr>
          <w:rFonts w:ascii="Verdana" w:eastAsia="Calibri" w:hAnsi="Verdana"/>
          <w:sz w:val="20"/>
          <w:szCs w:val="20"/>
          <w:lang w:val="en-US"/>
        </w:rPr>
        <w:t>Lijinski &amp; Winter (1981), and was</w:t>
      </w:r>
      <w:r w:rsidR="001B0030" w:rsidRPr="001B0030">
        <w:rPr>
          <w:rFonts w:ascii="Verdana" w:eastAsia="Calibri" w:hAnsi="Verdana"/>
          <w:sz w:val="20"/>
          <w:szCs w:val="20"/>
          <w:lang w:val="en-US"/>
        </w:rPr>
        <w:t xml:space="preserve"> </w:t>
      </w:r>
      <w:r w:rsidR="001B0030">
        <w:rPr>
          <w:rFonts w:ascii="Verdana" w:eastAsia="Calibri" w:hAnsi="Verdana"/>
          <w:sz w:val="20"/>
          <w:szCs w:val="20"/>
          <w:lang w:val="en-US"/>
        </w:rPr>
        <w:t xml:space="preserve">found to </w:t>
      </w:r>
      <w:r w:rsidR="00A21FD4">
        <w:rPr>
          <w:rFonts w:ascii="Verdana" w:eastAsia="Calibri" w:hAnsi="Verdana"/>
          <w:sz w:val="20"/>
          <w:szCs w:val="20"/>
          <w:lang w:val="en-US"/>
        </w:rPr>
        <w:t>induce skin tumors</w:t>
      </w:r>
      <w:r w:rsidR="001B0030">
        <w:rPr>
          <w:rFonts w:ascii="Verdana" w:eastAsia="Calibri" w:hAnsi="Verdana"/>
          <w:sz w:val="20"/>
          <w:szCs w:val="20"/>
          <w:lang w:val="en-US"/>
        </w:rPr>
        <w:t xml:space="preserve"> </w:t>
      </w:r>
      <w:r w:rsidR="00A21FD4">
        <w:rPr>
          <w:rFonts w:ascii="Verdana" w:eastAsia="Calibri" w:hAnsi="Verdana"/>
          <w:sz w:val="20"/>
          <w:szCs w:val="20"/>
          <w:lang w:val="en-US"/>
        </w:rPr>
        <w:t>in 1 out of 20 mice.</w:t>
      </w:r>
      <w:r w:rsidR="001B0030">
        <w:rPr>
          <w:rFonts w:ascii="Verdana" w:eastAsia="Calibri" w:hAnsi="Verdana"/>
          <w:sz w:val="20"/>
          <w:szCs w:val="20"/>
          <w:lang w:val="en-US"/>
        </w:rPr>
        <w:t xml:space="preserve"> </w:t>
      </w:r>
      <w:r w:rsidR="00A21FD4">
        <w:rPr>
          <w:rFonts w:ascii="Verdana" w:eastAsia="Calibri" w:hAnsi="Verdana"/>
          <w:sz w:val="20"/>
          <w:szCs w:val="20"/>
          <w:lang w:val="en-US"/>
        </w:rPr>
        <w:t>In comparison,</w:t>
      </w:r>
      <w:r w:rsidR="001B0030" w:rsidRPr="001B0030">
        <w:rPr>
          <w:rFonts w:ascii="Verdana" w:eastAsia="Calibri" w:hAnsi="Verdana"/>
          <w:sz w:val="20"/>
          <w:szCs w:val="20"/>
          <w:lang w:val="en-US"/>
        </w:rPr>
        <w:t xml:space="preserve"> nitrosomethylurea</w:t>
      </w:r>
      <w:r w:rsidR="00A21FD4">
        <w:rPr>
          <w:rFonts w:ascii="Verdana" w:eastAsia="Calibri" w:hAnsi="Verdana"/>
          <w:sz w:val="20"/>
          <w:szCs w:val="20"/>
          <w:lang w:val="en-US"/>
        </w:rPr>
        <w:t xml:space="preserve"> was found to induce</w:t>
      </w:r>
      <w:r w:rsidR="001B0030" w:rsidRPr="001B0030">
        <w:rPr>
          <w:rFonts w:ascii="Verdana" w:eastAsia="Calibri" w:hAnsi="Verdana"/>
          <w:sz w:val="20"/>
          <w:szCs w:val="20"/>
          <w:lang w:val="en-US"/>
        </w:rPr>
        <w:t xml:space="preserve"> tumors in 11 </w:t>
      </w:r>
      <w:r w:rsidR="001B0030">
        <w:rPr>
          <w:rFonts w:ascii="Verdana" w:eastAsia="Calibri" w:hAnsi="Verdana"/>
          <w:sz w:val="20"/>
          <w:szCs w:val="20"/>
          <w:lang w:val="en-US"/>
        </w:rPr>
        <w:t xml:space="preserve">out </w:t>
      </w:r>
      <w:r w:rsidR="001B0030" w:rsidRPr="001B0030">
        <w:rPr>
          <w:rFonts w:ascii="Verdana" w:eastAsia="Calibri" w:hAnsi="Verdana"/>
          <w:sz w:val="20"/>
          <w:szCs w:val="20"/>
          <w:lang w:val="en-US"/>
        </w:rPr>
        <w:t>of 20 mice</w:t>
      </w:r>
      <w:r w:rsidR="00E936FE">
        <w:rPr>
          <w:rFonts w:ascii="Verdana" w:eastAsia="Calibri" w:hAnsi="Verdana"/>
          <w:sz w:val="20"/>
          <w:szCs w:val="20"/>
          <w:lang w:val="en-US"/>
        </w:rPr>
        <w:t xml:space="preserve">. </w:t>
      </w:r>
      <w:r w:rsidR="00E936FE" w:rsidRPr="00C76832">
        <w:rPr>
          <w:rFonts w:ascii="Verdana" w:eastAsia="Calibri" w:hAnsi="Verdana"/>
          <w:sz w:val="20"/>
          <w:szCs w:val="20"/>
          <w:lang w:val="en-US"/>
        </w:rPr>
        <w:t>By analogy</w:t>
      </w:r>
      <w:r w:rsidR="004C4121" w:rsidRPr="00C76832">
        <w:rPr>
          <w:rFonts w:ascii="Verdana" w:eastAsia="Calibri" w:hAnsi="Verdana"/>
          <w:sz w:val="20"/>
          <w:szCs w:val="20"/>
          <w:lang w:val="en-US"/>
        </w:rPr>
        <w:t xml:space="preserve">, </w:t>
      </w:r>
      <w:r w:rsidR="00C76832" w:rsidRPr="002F4101">
        <w:rPr>
          <w:rFonts w:ascii="Verdana" w:eastAsia="Calibri" w:hAnsi="Verdana"/>
          <w:sz w:val="20"/>
          <w:szCs w:val="20"/>
          <w:lang w:val="en-US"/>
        </w:rPr>
        <w:t xml:space="preserve">N-nitroso-diphenylurea is </w:t>
      </w:r>
      <w:r w:rsidR="004E1797" w:rsidRPr="004E1797">
        <w:rPr>
          <w:rFonts w:ascii="Verdana" w:eastAsia="Calibri" w:hAnsi="Verdana"/>
          <w:sz w:val="20"/>
          <w:szCs w:val="20"/>
          <w:lang w:val="en-US"/>
        </w:rPr>
        <w:t>expected</w:t>
      </w:r>
      <w:r w:rsidR="00C76832" w:rsidRPr="002F4101">
        <w:rPr>
          <w:rFonts w:ascii="Verdana" w:eastAsia="Calibri" w:hAnsi="Verdana"/>
          <w:sz w:val="20"/>
          <w:szCs w:val="20"/>
          <w:lang w:val="en-US"/>
        </w:rPr>
        <w:t xml:space="preserve"> to induce similar effects</w:t>
      </w:r>
      <w:r w:rsidR="00A21FD4">
        <w:rPr>
          <w:rFonts w:ascii="Verdana" w:eastAsia="Calibri" w:hAnsi="Verdana"/>
          <w:sz w:val="20"/>
          <w:szCs w:val="20"/>
          <w:lang w:val="en-US"/>
        </w:rPr>
        <w:t xml:space="preserve"> to the mono-alkylated analogous substance </w:t>
      </w:r>
      <w:r w:rsidR="00A21FD4" w:rsidRPr="00A21FD4">
        <w:rPr>
          <w:rFonts w:ascii="Verdana" w:eastAsia="Calibri" w:hAnsi="Verdana"/>
          <w:sz w:val="20"/>
          <w:szCs w:val="20"/>
          <w:lang w:val="en-US"/>
        </w:rPr>
        <w:t>nitrosophenylurea</w:t>
      </w:r>
      <w:r w:rsidR="00A21FD4">
        <w:rPr>
          <w:rFonts w:ascii="Verdana" w:eastAsia="Calibri" w:hAnsi="Verdana"/>
          <w:sz w:val="20"/>
          <w:szCs w:val="20"/>
          <w:lang w:val="en-US"/>
        </w:rPr>
        <w:t>. Thus, no clear conclusion on carcinogenic potential can be drawn</w:t>
      </w:r>
      <w:r w:rsidR="004C4121" w:rsidRPr="00C76832">
        <w:rPr>
          <w:rFonts w:ascii="Verdana" w:eastAsia="Calibri" w:hAnsi="Verdana"/>
          <w:sz w:val="20"/>
          <w:szCs w:val="20"/>
          <w:lang w:val="en-US"/>
        </w:rPr>
        <w:t xml:space="preserve">. </w:t>
      </w:r>
      <w:r>
        <w:rPr>
          <w:rFonts w:ascii="Verdana" w:eastAsia="Calibri" w:hAnsi="Verdana"/>
          <w:sz w:val="20"/>
          <w:szCs w:val="20"/>
          <w:lang w:val="en-US"/>
        </w:rPr>
        <w:t xml:space="preserve">Due to the absence of </w:t>
      </w:r>
      <w:r w:rsidR="00A21FD4">
        <w:rPr>
          <w:rFonts w:ascii="Verdana" w:eastAsia="Calibri" w:hAnsi="Verdana"/>
          <w:sz w:val="20"/>
          <w:szCs w:val="20"/>
          <w:lang w:val="en-US"/>
        </w:rPr>
        <w:t xml:space="preserve">reliable </w:t>
      </w:r>
      <w:r>
        <w:rPr>
          <w:rFonts w:ascii="Verdana" w:eastAsia="Calibri" w:hAnsi="Verdana"/>
          <w:sz w:val="20"/>
          <w:szCs w:val="20"/>
          <w:lang w:val="en-US"/>
        </w:rPr>
        <w:t xml:space="preserve">information on hazard and exposure </w:t>
      </w:r>
      <w:r w:rsidR="002C7304">
        <w:rPr>
          <w:rFonts w:ascii="Verdana" w:eastAsia="Calibri" w:hAnsi="Verdana"/>
          <w:sz w:val="20"/>
          <w:szCs w:val="20"/>
          <w:lang w:val="en-US"/>
        </w:rPr>
        <w:t xml:space="preserve">of </w:t>
      </w:r>
      <w:r w:rsidR="002C7304" w:rsidRPr="002C7304">
        <w:rPr>
          <w:rFonts w:ascii="Verdana" w:eastAsia="Calibri" w:hAnsi="Verdana"/>
          <w:sz w:val="20"/>
          <w:szCs w:val="20"/>
          <w:lang w:val="en-US"/>
        </w:rPr>
        <w:t>N-nitroso-diphenylurea and phenyl guanidine</w:t>
      </w:r>
      <w:r>
        <w:rPr>
          <w:rFonts w:ascii="Verdana" w:eastAsia="Calibri" w:hAnsi="Verdana"/>
          <w:sz w:val="20"/>
          <w:szCs w:val="20"/>
          <w:lang w:val="en-US"/>
        </w:rPr>
        <w:t xml:space="preserve">, further investigations could not proceed. </w:t>
      </w:r>
    </w:p>
    <w:p w14:paraId="651A0F30" w14:textId="6B53A7E6" w:rsidR="00BC1D4B" w:rsidRDefault="002C7304">
      <w:pPr>
        <w:jc w:val="both"/>
        <w:rPr>
          <w:rFonts w:ascii="Verdana" w:eastAsia="Calibri" w:hAnsi="Verdana"/>
          <w:sz w:val="20"/>
          <w:szCs w:val="20"/>
        </w:rPr>
      </w:pPr>
      <w:r>
        <w:rPr>
          <w:rFonts w:ascii="Verdana" w:hAnsi="Verdana"/>
          <w:sz w:val="20"/>
          <w:szCs w:val="20"/>
        </w:rPr>
        <w:t xml:space="preserve">In addition, </w:t>
      </w:r>
      <w:r w:rsidR="00ED1F84">
        <w:rPr>
          <w:rFonts w:ascii="Verdana" w:hAnsi="Verdana"/>
          <w:sz w:val="20"/>
          <w:szCs w:val="20"/>
        </w:rPr>
        <w:t xml:space="preserve">1,3-diphenylurea was </w:t>
      </w:r>
      <w:r w:rsidR="005E67C7">
        <w:rPr>
          <w:rFonts w:ascii="Verdana" w:hAnsi="Verdana"/>
          <w:sz w:val="20"/>
          <w:szCs w:val="20"/>
        </w:rPr>
        <w:t xml:space="preserve">pointed out </w:t>
      </w:r>
      <w:r w:rsidR="00ED1F84">
        <w:rPr>
          <w:rFonts w:ascii="Verdana" w:hAnsi="Verdana"/>
          <w:sz w:val="20"/>
          <w:szCs w:val="20"/>
        </w:rPr>
        <w:t xml:space="preserve">in the literature as a degradation product of 1,3-diphenylguanidine. This substance, with a low potential for toxicity (self-classification Acute Tox. 4), was not </w:t>
      </w:r>
      <w:r w:rsidR="005E67C7">
        <w:rPr>
          <w:rFonts w:ascii="Verdana" w:hAnsi="Verdana"/>
          <w:sz w:val="20"/>
          <w:szCs w:val="20"/>
        </w:rPr>
        <w:t xml:space="preserve">reported </w:t>
      </w:r>
      <w:r w:rsidR="009B2FB5">
        <w:rPr>
          <w:rFonts w:ascii="Verdana" w:hAnsi="Verdana"/>
          <w:sz w:val="20"/>
          <w:szCs w:val="20"/>
        </w:rPr>
        <w:t xml:space="preserve">as a degradation product </w:t>
      </w:r>
      <w:r w:rsidR="00ED1F84">
        <w:rPr>
          <w:rFonts w:ascii="Verdana" w:hAnsi="Verdana"/>
          <w:sz w:val="20"/>
          <w:szCs w:val="20"/>
        </w:rPr>
        <w:t xml:space="preserve">by the Registrants. </w:t>
      </w:r>
    </w:p>
    <w:p w14:paraId="33C5901C" w14:textId="77777777" w:rsidR="00BC1D4B" w:rsidRDefault="00BC1D4B">
      <w:pPr>
        <w:jc w:val="both"/>
        <w:rPr>
          <w:rFonts w:ascii="Verdana" w:eastAsia="Calibri" w:hAnsi="Verdana"/>
          <w:sz w:val="20"/>
          <w:szCs w:val="20"/>
        </w:rPr>
      </w:pPr>
    </w:p>
    <w:p w14:paraId="3D365CB0" w14:textId="77777777" w:rsidR="00BC1D4B" w:rsidRDefault="00ED1F84">
      <w:pPr>
        <w:jc w:val="both"/>
        <w:rPr>
          <w:rFonts w:ascii="Calibri" w:eastAsia="Calibri" w:hAnsi="Calibri"/>
          <w:sz w:val="22"/>
          <w:szCs w:val="22"/>
          <w:lang w:val="en-US"/>
        </w:rPr>
      </w:pPr>
      <w:r>
        <w:rPr>
          <w:rFonts w:ascii="Verdana" w:eastAsia="Calibri" w:hAnsi="Verdana"/>
          <w:sz w:val="20"/>
          <w:szCs w:val="20"/>
          <w:lang w:val="en-US"/>
        </w:rPr>
        <w:br w:type="page" w:clear="all"/>
      </w:r>
    </w:p>
    <w:p w14:paraId="698E8F98" w14:textId="77777777" w:rsidR="00BC1D4B" w:rsidRDefault="00ED1F84">
      <w:pPr>
        <w:pStyle w:val="Titre2"/>
        <w:rPr>
          <w:lang w:val="en-US"/>
        </w:rPr>
      </w:pPr>
      <w:bookmarkStart w:id="20" w:name="_Toc137044474"/>
      <w:r>
        <w:rPr>
          <w:lang w:val="en-US"/>
        </w:rPr>
        <w:lastRenderedPageBreak/>
        <w:t xml:space="preserve">Exposure and risk </w:t>
      </w:r>
      <w:r>
        <w:t>characterisation</w:t>
      </w:r>
      <w:bookmarkEnd w:id="20"/>
    </w:p>
    <w:p w14:paraId="1D27BB3F" w14:textId="089436D9" w:rsidR="00BC1D4B" w:rsidRDefault="00ED1F84">
      <w:pPr>
        <w:pStyle w:val="Corpsdetexte"/>
        <w:jc w:val="both"/>
        <w:rPr>
          <w:rFonts w:ascii="Verdana" w:hAnsi="Verdana"/>
          <w:sz w:val="20"/>
          <w:szCs w:val="20"/>
          <w:lang w:val="en-US"/>
        </w:rPr>
      </w:pPr>
      <w:r>
        <w:rPr>
          <w:rFonts w:ascii="Verdana" w:hAnsi="Verdana"/>
          <w:sz w:val="20"/>
          <w:szCs w:val="20"/>
          <w:lang w:val="en-US"/>
        </w:rPr>
        <w:t>The aMSCA noticed that, since</w:t>
      </w:r>
      <w:r w:rsidR="0088712F">
        <w:rPr>
          <w:rFonts w:ascii="Verdana" w:hAnsi="Verdana"/>
          <w:sz w:val="20"/>
          <w:szCs w:val="20"/>
          <w:lang w:val="en-US"/>
        </w:rPr>
        <w:t xml:space="preserve"> </w:t>
      </w:r>
      <w:r>
        <w:rPr>
          <w:rFonts w:ascii="Verdana" w:hAnsi="Verdana"/>
          <w:sz w:val="20"/>
          <w:szCs w:val="20"/>
          <w:lang w:val="en-US"/>
        </w:rPr>
        <w:t>the publication of the conclusion document in 2020, the quantity of DPG manufactured in and / or imported to the European Economic Area increased from ≥ 1000 to &lt; 10,000 tonnes/year to ≥ 10,000 to &lt; 100,000 tonnes/year.</w:t>
      </w:r>
    </w:p>
    <w:p w14:paraId="1847317D" w14:textId="77777777" w:rsidR="00BC1D4B" w:rsidRDefault="00ED1F84">
      <w:pPr>
        <w:pStyle w:val="Titre3"/>
        <w:rPr>
          <w:rFonts w:eastAsia="Calibri"/>
        </w:rPr>
      </w:pPr>
      <w:bookmarkStart w:id="21" w:name="_Toc137044475"/>
      <w:r>
        <w:rPr>
          <w:rFonts w:eastAsia="Calibri"/>
        </w:rPr>
        <w:t>Exposure and risk characterisation for Human Health</w:t>
      </w:r>
      <w:bookmarkEnd w:id="21"/>
    </w:p>
    <w:p w14:paraId="7E423477" w14:textId="77777777" w:rsidR="00BC1D4B" w:rsidRDefault="00ED1F84">
      <w:pPr>
        <w:pStyle w:val="Corpsdetexte"/>
        <w:jc w:val="both"/>
        <w:rPr>
          <w:rFonts w:ascii="Verdana" w:hAnsi="Verdana"/>
          <w:sz w:val="20"/>
          <w:szCs w:val="20"/>
        </w:rPr>
      </w:pPr>
      <w:r>
        <w:rPr>
          <w:rFonts w:ascii="Verdana" w:hAnsi="Verdana"/>
          <w:sz w:val="20"/>
          <w:szCs w:val="20"/>
        </w:rPr>
        <w:t xml:space="preserve">In the context of this RMOA, only the latest version of the CSR that have been revised further to the recent EOGRTS (2021) study were analysed. </w:t>
      </w:r>
    </w:p>
    <w:p w14:paraId="4CE3B1F1" w14:textId="77777777" w:rsidR="00BC1D4B" w:rsidRDefault="00ED1F84">
      <w:pPr>
        <w:pStyle w:val="Corpsdetexte"/>
        <w:jc w:val="both"/>
        <w:rPr>
          <w:rFonts w:ascii="Verdana" w:hAnsi="Verdana"/>
          <w:sz w:val="20"/>
          <w:szCs w:val="20"/>
        </w:rPr>
      </w:pPr>
      <w:r>
        <w:rPr>
          <w:rFonts w:ascii="Verdana" w:hAnsi="Verdana"/>
          <w:sz w:val="20"/>
          <w:szCs w:val="20"/>
        </w:rPr>
        <w:t xml:space="preserve">Overall, 24 exposure scenarios were considered. </w:t>
      </w:r>
      <w:r>
        <w:rPr>
          <w:rFonts w:ascii="Verdana" w:hAnsi="Verdana"/>
          <w:sz w:val="20"/>
          <w:lang w:val="en-US"/>
        </w:rPr>
        <w:t xml:space="preserve">The scenarios are </w:t>
      </w:r>
      <w:r>
        <w:rPr>
          <w:rFonts w:ascii="Verdana" w:hAnsi="Verdana"/>
          <w:sz w:val="20"/>
        </w:rPr>
        <w:t>related to: manufacturing of DPG, formulation and re-packaging, manufacturing of General rubber goods and tyres, use of tyres, storage of used tyres before recycling, tyres recycling (End of Life Tyres, ELT), re-use of ELT and use of General Rubber Goods (GRG) articles.</w:t>
      </w:r>
    </w:p>
    <w:p w14:paraId="562E3601" w14:textId="77777777" w:rsidR="00BC1D4B" w:rsidRDefault="00ED1F84">
      <w:pPr>
        <w:pStyle w:val="Corpsdetexte"/>
        <w:jc w:val="both"/>
        <w:rPr>
          <w:rFonts w:ascii="Verdana" w:eastAsia="Calibri" w:hAnsi="Verdana"/>
          <w:sz w:val="20"/>
          <w:szCs w:val="20"/>
        </w:rPr>
      </w:pPr>
      <w:r>
        <w:rPr>
          <w:rFonts w:ascii="Verdana" w:eastAsia="Calibri" w:hAnsi="Verdana"/>
          <w:sz w:val="20"/>
          <w:szCs w:val="20"/>
        </w:rPr>
        <w:t xml:space="preserve">The exposure assessment was based on the chemical safety report as provided by the Registrants. CHESAR 3.6 with in-built ECETOC TRA was used by Registrants for Tier 1 modelisation and RISKOF DERM and ART for Tier 2 for workers. For consumers, the tools used by Registrants were </w:t>
      </w:r>
      <w:r>
        <w:rPr>
          <w:rFonts w:ascii="Verdana" w:hAnsi="Verdana"/>
          <w:sz w:val="20"/>
          <w:szCs w:val="20"/>
        </w:rPr>
        <w:t>ECETOC TRA for tier 1 and/or ConsExpo for Tier 2</w:t>
      </w:r>
      <w:r>
        <w:t>.</w:t>
      </w:r>
    </w:p>
    <w:p w14:paraId="45DA9AD5" w14:textId="77777777" w:rsidR="00BC1D4B" w:rsidRDefault="00ED1F84">
      <w:pPr>
        <w:pStyle w:val="Corpsdetexte"/>
        <w:jc w:val="both"/>
        <w:rPr>
          <w:rFonts w:ascii="Verdana" w:eastAsia="Calibri" w:hAnsi="Verdana"/>
          <w:sz w:val="20"/>
          <w:szCs w:val="20"/>
        </w:rPr>
      </w:pPr>
      <w:r>
        <w:rPr>
          <w:rFonts w:ascii="Verdana" w:eastAsia="Calibri" w:hAnsi="Verdana"/>
          <w:sz w:val="20"/>
          <w:szCs w:val="20"/>
        </w:rPr>
        <w:t>The Risk characterisation ratio (RCRs) were calculated for workers and general population considering the updated long-term DNEL based on reproductive toxicity. As detailed in the section 1.4.2, the DNELs were reassessed by aMSCA. The DNELs recommended by aMSCA are below Registrants’ DNEL due to the use of an assessment factor of 5 instead of 3 for dose-response/severity.</w:t>
      </w:r>
    </w:p>
    <w:p w14:paraId="6E72A861" w14:textId="77777777" w:rsidR="00BC1D4B" w:rsidRDefault="00ED1F84">
      <w:pPr>
        <w:pStyle w:val="Corpsdetexte"/>
        <w:jc w:val="both"/>
        <w:rPr>
          <w:rFonts w:ascii="Verdana" w:eastAsia="Calibri" w:hAnsi="Verdana"/>
          <w:sz w:val="20"/>
          <w:szCs w:val="20"/>
        </w:rPr>
      </w:pPr>
      <w:r>
        <w:rPr>
          <w:rFonts w:ascii="Verdana" w:eastAsia="Calibri" w:hAnsi="Verdana"/>
          <w:sz w:val="20"/>
          <w:szCs w:val="20"/>
        </w:rPr>
        <w:t xml:space="preserve">The exposure scenarios, the associated PROCs and the calculated risks are detailed in tables 21 and 26 in annex I. </w:t>
      </w:r>
    </w:p>
    <w:p w14:paraId="3FB28A9F" w14:textId="43F418A8" w:rsidR="00BC1D4B" w:rsidRDefault="00ED1F84">
      <w:pPr>
        <w:pStyle w:val="Corpsdetexte"/>
        <w:jc w:val="both"/>
        <w:rPr>
          <w:rFonts w:ascii="Verdana" w:eastAsia="Calibri" w:hAnsi="Verdana"/>
          <w:sz w:val="20"/>
          <w:szCs w:val="20"/>
        </w:rPr>
      </w:pPr>
      <w:r>
        <w:rPr>
          <w:rFonts w:ascii="Verdana" w:eastAsia="Calibri" w:hAnsi="Verdana"/>
          <w:sz w:val="20"/>
          <w:szCs w:val="20"/>
        </w:rPr>
        <w:t>Overall, RCR &gt; 1 are observed in contributing scenario of most exposure scenario</w:t>
      </w:r>
      <w:r w:rsidR="0088712F">
        <w:rPr>
          <w:rFonts w:ascii="Verdana" w:eastAsia="Calibri" w:hAnsi="Verdana"/>
          <w:sz w:val="20"/>
          <w:szCs w:val="20"/>
        </w:rPr>
        <w:t>s</w:t>
      </w:r>
      <w:r>
        <w:rPr>
          <w:rFonts w:ascii="Verdana" w:eastAsia="Calibri" w:hAnsi="Verdana"/>
          <w:sz w:val="20"/>
          <w:szCs w:val="20"/>
        </w:rPr>
        <w:t xml:space="preserve"> for industrial and professional workers and in one scenario for consumers. </w:t>
      </w:r>
    </w:p>
    <w:p w14:paraId="3F7CD97E" w14:textId="490987F7" w:rsidR="00BC1D4B" w:rsidRDefault="00ED1F84">
      <w:pPr>
        <w:pStyle w:val="Corpsdetexte"/>
        <w:jc w:val="both"/>
        <w:rPr>
          <w:rFonts w:ascii="Verdana" w:eastAsia="Calibri" w:hAnsi="Verdana"/>
          <w:sz w:val="20"/>
          <w:szCs w:val="20"/>
        </w:rPr>
      </w:pPr>
      <w:r>
        <w:rPr>
          <w:rFonts w:ascii="Verdana" w:eastAsia="Calibri" w:hAnsi="Verdana"/>
          <w:sz w:val="20"/>
          <w:szCs w:val="20"/>
        </w:rPr>
        <w:t xml:space="preserve">For industrial workers, contributing scenario leading to RCR &gt; 1 were identified in several exposure scenarios. The RCRs calculated were between </w:t>
      </w:r>
      <w:r w:rsidR="00750E91">
        <w:rPr>
          <w:rFonts w:ascii="Verdana" w:eastAsia="Calibri" w:hAnsi="Verdana"/>
          <w:sz w:val="20"/>
          <w:szCs w:val="20"/>
        </w:rPr>
        <w:t xml:space="preserve">&gt;1 </w:t>
      </w:r>
      <w:r w:rsidRPr="00750E91">
        <w:rPr>
          <w:rFonts w:ascii="Verdana" w:eastAsia="Calibri" w:hAnsi="Verdana"/>
          <w:sz w:val="20"/>
          <w:szCs w:val="20"/>
        </w:rPr>
        <w:t>and 1.61</w:t>
      </w:r>
      <w:r>
        <w:rPr>
          <w:rFonts w:ascii="Verdana" w:eastAsia="Calibri" w:hAnsi="Verdana"/>
          <w:sz w:val="20"/>
          <w:szCs w:val="20"/>
        </w:rPr>
        <w:t xml:space="preserve">. </w:t>
      </w:r>
    </w:p>
    <w:p w14:paraId="33B0878C" w14:textId="77777777" w:rsidR="00BC1D4B" w:rsidRDefault="00ED1F84">
      <w:pPr>
        <w:pStyle w:val="Corpsdetexte"/>
        <w:spacing w:after="0"/>
        <w:jc w:val="both"/>
        <w:rPr>
          <w:rFonts w:ascii="Verdana" w:eastAsia="Calibri" w:hAnsi="Verdana"/>
          <w:sz w:val="20"/>
          <w:szCs w:val="20"/>
        </w:rPr>
      </w:pPr>
      <w:r>
        <w:rPr>
          <w:rFonts w:ascii="Verdana" w:eastAsia="Calibri" w:hAnsi="Verdana"/>
          <w:sz w:val="20"/>
          <w:szCs w:val="20"/>
        </w:rPr>
        <w:t>Considering professional workers,</w:t>
      </w:r>
      <w:r>
        <w:t xml:space="preserve"> </w:t>
      </w:r>
      <w:r>
        <w:rPr>
          <w:rFonts w:ascii="Verdana" w:eastAsia="Calibri" w:hAnsi="Verdana"/>
          <w:sz w:val="20"/>
          <w:szCs w:val="20"/>
        </w:rPr>
        <w:t>contributing scenario with RCR &gt; 1 were identified for:</w:t>
      </w:r>
    </w:p>
    <w:p w14:paraId="164CD85C" w14:textId="77777777" w:rsidR="00BC1D4B" w:rsidRDefault="00ED1F84" w:rsidP="00563EB3">
      <w:pPr>
        <w:pStyle w:val="Corpsdetexte"/>
        <w:numPr>
          <w:ilvl w:val="0"/>
          <w:numId w:val="24"/>
        </w:numPr>
        <w:tabs>
          <w:tab w:val="num" w:pos="360"/>
        </w:tabs>
        <w:spacing w:after="0"/>
        <w:jc w:val="both"/>
        <w:rPr>
          <w:rFonts w:ascii="Verdana" w:eastAsia="Calibri" w:hAnsi="Verdana"/>
          <w:sz w:val="20"/>
          <w:szCs w:val="20"/>
        </w:rPr>
      </w:pPr>
      <w:r>
        <w:rPr>
          <w:rFonts w:ascii="Verdana" w:eastAsia="Calibri" w:hAnsi="Verdana"/>
          <w:sz w:val="20"/>
          <w:szCs w:val="20"/>
        </w:rPr>
        <w:t xml:space="preserve">exposure scenario 6 (Service life (professional worker) - GRG articles - conveyor belt), </w:t>
      </w:r>
    </w:p>
    <w:p w14:paraId="1D14F460" w14:textId="77777777" w:rsidR="00BC1D4B" w:rsidRDefault="00ED1F84" w:rsidP="00563EB3">
      <w:pPr>
        <w:pStyle w:val="Corpsdetexte"/>
        <w:numPr>
          <w:ilvl w:val="0"/>
          <w:numId w:val="24"/>
        </w:numPr>
        <w:tabs>
          <w:tab w:val="num" w:pos="360"/>
        </w:tabs>
        <w:spacing w:after="0"/>
        <w:jc w:val="both"/>
        <w:rPr>
          <w:rFonts w:ascii="Verdana" w:eastAsia="Calibri" w:hAnsi="Verdana"/>
          <w:sz w:val="20"/>
          <w:szCs w:val="20"/>
        </w:rPr>
      </w:pPr>
      <w:r>
        <w:rPr>
          <w:rFonts w:ascii="Verdana" w:eastAsia="Calibri" w:hAnsi="Verdana"/>
          <w:sz w:val="20"/>
          <w:szCs w:val="20"/>
        </w:rPr>
        <w:t xml:space="preserve">exposure scenario 12 (Service life (professional worker) - End of Life Tyre: ELT pre-processing storage.), </w:t>
      </w:r>
    </w:p>
    <w:p w14:paraId="47EFCE22" w14:textId="77777777" w:rsidR="00BC1D4B" w:rsidRDefault="00ED1F84" w:rsidP="00563EB3">
      <w:pPr>
        <w:pStyle w:val="Corpsdetexte"/>
        <w:numPr>
          <w:ilvl w:val="0"/>
          <w:numId w:val="24"/>
        </w:numPr>
        <w:tabs>
          <w:tab w:val="num" w:pos="360"/>
        </w:tabs>
        <w:spacing w:after="0"/>
        <w:jc w:val="both"/>
        <w:rPr>
          <w:rFonts w:ascii="Verdana" w:eastAsia="Calibri" w:hAnsi="Verdana"/>
          <w:sz w:val="20"/>
          <w:szCs w:val="20"/>
        </w:rPr>
      </w:pPr>
      <w:r>
        <w:rPr>
          <w:rFonts w:ascii="Verdana" w:eastAsia="Calibri" w:hAnsi="Verdana"/>
          <w:sz w:val="20"/>
          <w:szCs w:val="20"/>
        </w:rPr>
        <w:t>exposure scenario 21 (Service life (professional worker) - ELT articles – installation of shock absorbing tiles)</w:t>
      </w:r>
    </w:p>
    <w:p w14:paraId="55C3BE39" w14:textId="77777777" w:rsidR="00BC1D4B" w:rsidRDefault="00ED1F84" w:rsidP="00563EB3">
      <w:pPr>
        <w:pStyle w:val="Corpsdetexte"/>
        <w:numPr>
          <w:ilvl w:val="0"/>
          <w:numId w:val="24"/>
        </w:numPr>
        <w:tabs>
          <w:tab w:val="num" w:pos="360"/>
        </w:tabs>
        <w:spacing w:after="0"/>
        <w:jc w:val="both"/>
        <w:rPr>
          <w:rFonts w:ascii="Verdana" w:eastAsia="Calibri" w:hAnsi="Verdana"/>
          <w:sz w:val="20"/>
          <w:szCs w:val="20"/>
        </w:rPr>
      </w:pPr>
      <w:r>
        <w:rPr>
          <w:rFonts w:ascii="Verdana" w:eastAsia="Calibri" w:hAnsi="Verdana"/>
          <w:sz w:val="20"/>
          <w:szCs w:val="20"/>
        </w:rPr>
        <w:t>exposure scenario 23 (Service life (professional worker) – re-use of ELT articles – installation of synthetic turf fields).</w:t>
      </w:r>
    </w:p>
    <w:p w14:paraId="516582AC" w14:textId="20072DAA" w:rsidR="00BC1D4B" w:rsidRDefault="00ED1F84">
      <w:pPr>
        <w:pStyle w:val="Corpsdetexte"/>
        <w:jc w:val="both"/>
        <w:rPr>
          <w:rFonts w:ascii="Verdana" w:eastAsia="Calibri" w:hAnsi="Verdana"/>
          <w:sz w:val="20"/>
          <w:szCs w:val="20"/>
        </w:rPr>
      </w:pPr>
      <w:r>
        <w:rPr>
          <w:rFonts w:ascii="Verdana" w:eastAsia="Calibri" w:hAnsi="Verdana"/>
          <w:sz w:val="20"/>
          <w:szCs w:val="20"/>
        </w:rPr>
        <w:t xml:space="preserve">The RCRs calculated were </w:t>
      </w:r>
      <w:r w:rsidRPr="00750E91">
        <w:rPr>
          <w:rFonts w:ascii="Verdana" w:eastAsia="Calibri" w:hAnsi="Verdana"/>
          <w:sz w:val="20"/>
          <w:szCs w:val="20"/>
        </w:rPr>
        <w:t xml:space="preserve">between </w:t>
      </w:r>
      <w:r w:rsidR="00750E91" w:rsidRPr="00750E91">
        <w:rPr>
          <w:rFonts w:ascii="Verdana" w:eastAsia="Calibri" w:hAnsi="Verdana"/>
          <w:sz w:val="20"/>
          <w:szCs w:val="20"/>
        </w:rPr>
        <w:t>&gt;</w:t>
      </w:r>
      <w:r w:rsidR="00127023">
        <w:rPr>
          <w:rFonts w:ascii="Verdana" w:eastAsia="Calibri" w:hAnsi="Verdana"/>
          <w:sz w:val="20"/>
          <w:szCs w:val="20"/>
        </w:rPr>
        <w:t xml:space="preserve"> </w:t>
      </w:r>
      <w:r w:rsidR="00750E91" w:rsidRPr="00750E91">
        <w:rPr>
          <w:rFonts w:ascii="Verdana" w:eastAsia="Calibri" w:hAnsi="Verdana"/>
          <w:sz w:val="20"/>
          <w:szCs w:val="20"/>
        </w:rPr>
        <w:t>1</w:t>
      </w:r>
      <w:r w:rsidR="00127023">
        <w:rPr>
          <w:rFonts w:ascii="Verdana" w:eastAsia="Calibri" w:hAnsi="Verdana"/>
          <w:sz w:val="20"/>
          <w:szCs w:val="20"/>
        </w:rPr>
        <w:t xml:space="preserve"> </w:t>
      </w:r>
      <w:r w:rsidRPr="00750E91">
        <w:rPr>
          <w:rFonts w:ascii="Verdana" w:eastAsia="Calibri" w:hAnsi="Verdana"/>
          <w:sz w:val="20"/>
          <w:szCs w:val="20"/>
        </w:rPr>
        <w:t>and 1.31.</w:t>
      </w:r>
    </w:p>
    <w:p w14:paraId="0D23C198" w14:textId="5CB56C1D" w:rsidR="00BC1D4B" w:rsidRDefault="00ED1F84">
      <w:pPr>
        <w:pStyle w:val="Corpsdetexte"/>
        <w:jc w:val="both"/>
        <w:rPr>
          <w:rFonts w:ascii="Verdana" w:eastAsia="Calibri" w:hAnsi="Verdana"/>
          <w:sz w:val="20"/>
          <w:szCs w:val="20"/>
        </w:rPr>
      </w:pPr>
      <w:r>
        <w:rPr>
          <w:rFonts w:ascii="Verdana" w:eastAsia="Calibri" w:hAnsi="Verdana"/>
          <w:sz w:val="20"/>
          <w:szCs w:val="20"/>
        </w:rPr>
        <w:t>For consumers, the contributing scenario 2 of the exposure scenario 11 (</w:t>
      </w:r>
      <w:r>
        <w:rPr>
          <w:rFonts w:ascii="Verdana" w:eastAsia="Calibri" w:hAnsi="Verdana"/>
          <w:bCs/>
          <w:sz w:val="20"/>
          <w:szCs w:val="20"/>
          <w:lang w:val="en-US"/>
        </w:rPr>
        <w:t xml:space="preserve">Service life (consumers) - Consumer use of tyres (vehicles)) </w:t>
      </w:r>
      <w:r>
        <w:rPr>
          <w:rFonts w:ascii="Verdana" w:eastAsia="Calibri" w:hAnsi="Verdana"/>
          <w:sz w:val="20"/>
          <w:szCs w:val="20"/>
        </w:rPr>
        <w:t xml:space="preserve">present a RCR for dermal route equal to 1.12 and a RCR for combined routes equal to 1.13. The situation considered for RCR calculation was a worst case situation of new tyre change (higher % of DPG compare to used tyre) with a % of DPG value of 0.08 (% of DPG </w:t>
      </w:r>
      <w:r>
        <w:rPr>
          <w:rFonts w:ascii="Verdana" w:eastAsia="Calibri" w:hAnsi="Verdana"/>
          <w:sz w:val="20"/>
          <w:szCs w:val="20"/>
        </w:rPr>
        <w:lastRenderedPageBreak/>
        <w:t xml:space="preserve">in full new tyre). DPG content in used tyres is considered to be 0.04%. In this scenario, only the Tier I tool ECETOC TRA has been used. On the other hand, no data have been </w:t>
      </w:r>
      <w:r w:rsidR="0088712F">
        <w:rPr>
          <w:rFonts w:ascii="Verdana" w:eastAsia="Calibri" w:hAnsi="Verdana"/>
          <w:sz w:val="20"/>
          <w:szCs w:val="20"/>
        </w:rPr>
        <w:t xml:space="preserve">identified </w:t>
      </w:r>
      <w:r>
        <w:rPr>
          <w:rFonts w:ascii="Verdana" w:eastAsia="Calibri" w:hAnsi="Verdana"/>
          <w:sz w:val="20"/>
          <w:szCs w:val="20"/>
        </w:rPr>
        <w:t>by the aMSCA to confirm the concentration of DPG present in tyres, whether manufactured in Europe or imported from outside Europe.</w:t>
      </w:r>
    </w:p>
    <w:p w14:paraId="2FC691A0" w14:textId="77777777" w:rsidR="00BC1D4B" w:rsidRDefault="00ED1F84">
      <w:pPr>
        <w:rPr>
          <w:u w:val="single"/>
          <w:lang w:val="en-US"/>
        </w:rPr>
      </w:pPr>
      <w:r>
        <w:rPr>
          <w:rFonts w:ascii="Verdana" w:hAnsi="Verdana"/>
          <w:b/>
          <w:sz w:val="22"/>
          <w:u w:val="single"/>
          <w:lang w:val="en-US"/>
        </w:rPr>
        <w:t>Exposure to DPG reported in literature and potential risks</w:t>
      </w:r>
    </w:p>
    <w:p w14:paraId="6FCD83CF" w14:textId="77777777" w:rsidR="00BC1D4B" w:rsidRDefault="00ED1F84">
      <w:pPr>
        <w:spacing w:after="240"/>
        <w:jc w:val="both"/>
        <w:rPr>
          <w:rFonts w:ascii="Verdana" w:hAnsi="Verdana"/>
          <w:b/>
          <w:sz w:val="20"/>
          <w:szCs w:val="20"/>
          <w:lang w:val="en-US"/>
        </w:rPr>
      </w:pPr>
      <w:r>
        <w:rPr>
          <w:rFonts w:ascii="Verdana" w:hAnsi="Verdana"/>
          <w:b/>
          <w:sz w:val="20"/>
          <w:szCs w:val="20"/>
          <w:lang w:val="en-US"/>
        </w:rPr>
        <w:t xml:space="preserve">Presence of DPG in gloves and shoes </w:t>
      </w:r>
    </w:p>
    <w:p w14:paraId="3A46907D" w14:textId="38DFB56D" w:rsidR="00BC1D4B" w:rsidRDefault="00ED1F84">
      <w:pPr>
        <w:spacing w:after="240"/>
        <w:jc w:val="both"/>
        <w:rPr>
          <w:rFonts w:ascii="Verdana" w:hAnsi="Verdana"/>
          <w:sz w:val="20"/>
          <w:szCs w:val="20"/>
          <w:lang w:val="en-US"/>
        </w:rPr>
      </w:pPr>
      <w:r>
        <w:rPr>
          <w:rFonts w:ascii="Verdana" w:hAnsi="Verdana"/>
          <w:sz w:val="20"/>
          <w:szCs w:val="20"/>
          <w:lang w:val="en-US"/>
        </w:rPr>
        <w:t xml:space="preserve">Contact allergy to DPG is largely reported in the literature (Hansen </w:t>
      </w:r>
      <w:r>
        <w:rPr>
          <w:rFonts w:ascii="Verdana" w:hAnsi="Verdana"/>
          <w:i/>
          <w:sz w:val="20"/>
          <w:szCs w:val="20"/>
          <w:lang w:val="en-US"/>
        </w:rPr>
        <w:t>et al</w:t>
      </w:r>
      <w:r>
        <w:rPr>
          <w:rFonts w:ascii="Verdana" w:hAnsi="Verdana"/>
          <w:sz w:val="20"/>
          <w:szCs w:val="20"/>
          <w:lang w:val="en-US"/>
        </w:rPr>
        <w:t xml:space="preserve">. 2021). The main type of reactions and population identified are sensitization reactions to rubber gloves in healthcare workers.  Indeed, the presence of DPG is reported in rubber gloves (Dejonckheere </w:t>
      </w:r>
      <w:r>
        <w:rPr>
          <w:rFonts w:ascii="Verdana" w:hAnsi="Verdana"/>
          <w:i/>
          <w:sz w:val="20"/>
          <w:szCs w:val="20"/>
          <w:lang w:val="en-US"/>
        </w:rPr>
        <w:t>et al</w:t>
      </w:r>
      <w:r>
        <w:rPr>
          <w:rFonts w:ascii="Verdana" w:hAnsi="Verdana"/>
          <w:sz w:val="20"/>
          <w:szCs w:val="20"/>
          <w:lang w:val="en-US"/>
        </w:rPr>
        <w:t xml:space="preserve">. 2019, Hamnerius </w:t>
      </w:r>
      <w:r>
        <w:rPr>
          <w:rFonts w:ascii="Verdana" w:hAnsi="Verdana"/>
          <w:i/>
          <w:sz w:val="20"/>
          <w:szCs w:val="20"/>
          <w:lang w:val="en-US"/>
        </w:rPr>
        <w:t>et al</w:t>
      </w:r>
      <w:r>
        <w:rPr>
          <w:rFonts w:ascii="Verdana" w:hAnsi="Verdana"/>
          <w:sz w:val="20"/>
          <w:szCs w:val="20"/>
          <w:lang w:val="en-US"/>
        </w:rPr>
        <w:t>. 2014, Cr</w:t>
      </w:r>
      <w:r w:rsidR="00392E28">
        <w:rPr>
          <w:rFonts w:ascii="Verdana" w:hAnsi="Verdana"/>
          <w:sz w:val="20"/>
          <w:szCs w:val="20"/>
          <w:lang w:val="en-US"/>
        </w:rPr>
        <w:t>e</w:t>
      </w:r>
      <w:r>
        <w:rPr>
          <w:rFonts w:ascii="Verdana" w:hAnsi="Verdana"/>
          <w:sz w:val="20"/>
          <w:szCs w:val="20"/>
          <w:lang w:val="en-US"/>
        </w:rPr>
        <w:t xml:space="preserve">py 2016). These studies were conducted in different countries worldwide. Several other studies report foot dermatitis due to the presence of DPG in shoes (Traidl </w:t>
      </w:r>
      <w:r>
        <w:rPr>
          <w:rFonts w:ascii="Verdana" w:hAnsi="Verdana"/>
          <w:i/>
          <w:sz w:val="20"/>
          <w:szCs w:val="20"/>
          <w:lang w:val="en-US"/>
        </w:rPr>
        <w:t>et al</w:t>
      </w:r>
      <w:r>
        <w:rPr>
          <w:rFonts w:ascii="Verdana" w:hAnsi="Verdana"/>
          <w:sz w:val="20"/>
          <w:szCs w:val="20"/>
          <w:lang w:val="en-US"/>
        </w:rPr>
        <w:t xml:space="preserve">. 2021, Suhail </w:t>
      </w:r>
      <w:r>
        <w:rPr>
          <w:rFonts w:ascii="Verdana" w:hAnsi="Verdana"/>
          <w:i/>
          <w:sz w:val="20"/>
          <w:szCs w:val="20"/>
          <w:lang w:val="en-US"/>
        </w:rPr>
        <w:t>et al</w:t>
      </w:r>
      <w:r>
        <w:rPr>
          <w:rFonts w:ascii="Verdana" w:hAnsi="Verdana"/>
          <w:sz w:val="20"/>
          <w:szCs w:val="20"/>
          <w:lang w:val="en-US"/>
        </w:rPr>
        <w:t xml:space="preserve">. 2009, Saha </w:t>
      </w:r>
      <w:r>
        <w:rPr>
          <w:rFonts w:ascii="Verdana" w:hAnsi="Verdana"/>
          <w:i/>
          <w:sz w:val="20"/>
          <w:szCs w:val="20"/>
          <w:lang w:val="en-US"/>
        </w:rPr>
        <w:t>et al</w:t>
      </w:r>
      <w:r>
        <w:rPr>
          <w:rFonts w:ascii="Verdana" w:hAnsi="Verdana"/>
          <w:sz w:val="20"/>
          <w:szCs w:val="20"/>
          <w:lang w:val="en-US"/>
        </w:rPr>
        <w:t xml:space="preserve">. 1993, Ross 1969). </w:t>
      </w:r>
    </w:p>
    <w:p w14:paraId="4021E1A7"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Corazza </w:t>
      </w:r>
      <w:r>
        <w:rPr>
          <w:rFonts w:ascii="Verdana" w:hAnsi="Verdana"/>
          <w:i/>
          <w:sz w:val="20"/>
          <w:szCs w:val="20"/>
          <w:lang w:val="en-US"/>
        </w:rPr>
        <w:t>et al</w:t>
      </w:r>
      <w:r>
        <w:rPr>
          <w:rFonts w:ascii="Verdana" w:hAnsi="Verdana"/>
          <w:sz w:val="20"/>
          <w:szCs w:val="20"/>
          <w:lang w:val="en-US"/>
        </w:rPr>
        <w:t>. (2021) also reported the presence of DPG in boxing gloves.</w:t>
      </w:r>
    </w:p>
    <w:p w14:paraId="6EDAA020"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A harmonized classification as Skin Sens. 1A, H317 is proposed by aMSCA. </w:t>
      </w:r>
    </w:p>
    <w:p w14:paraId="543DF15F" w14:textId="77777777" w:rsidR="00BC1D4B" w:rsidRDefault="00ED1F84">
      <w:pPr>
        <w:spacing w:after="240"/>
        <w:jc w:val="both"/>
        <w:rPr>
          <w:rFonts w:ascii="Verdana" w:hAnsi="Verdana"/>
          <w:b/>
          <w:sz w:val="20"/>
          <w:szCs w:val="20"/>
          <w:lang w:val="en-US"/>
        </w:rPr>
      </w:pPr>
      <w:r>
        <w:rPr>
          <w:rFonts w:ascii="Verdana" w:hAnsi="Verdana"/>
          <w:b/>
          <w:sz w:val="20"/>
          <w:szCs w:val="20"/>
          <w:lang w:val="en-US"/>
        </w:rPr>
        <w:t>Presence of DPG in drinking water</w:t>
      </w:r>
    </w:p>
    <w:p w14:paraId="6761AC31" w14:textId="77777777" w:rsidR="00BC1D4B" w:rsidRDefault="00ED1F84">
      <w:pPr>
        <w:spacing w:after="240"/>
        <w:jc w:val="both"/>
        <w:rPr>
          <w:rFonts w:ascii="Verdana" w:hAnsi="Verdana"/>
          <w:sz w:val="20"/>
          <w:szCs w:val="20"/>
          <w:lang w:val="en-US"/>
        </w:rPr>
      </w:pPr>
      <w:r>
        <w:rPr>
          <w:rFonts w:ascii="Verdana" w:hAnsi="Verdana"/>
          <w:sz w:val="20"/>
          <w:szCs w:val="20"/>
          <w:lang w:val="en-US"/>
        </w:rPr>
        <w:t>Several recent publications indicate the presence of DPG in drinking water sources, drinking water treatment plants and</w:t>
      </w:r>
      <w:r>
        <w:rPr>
          <w:rStyle w:val="Marquedecommentaire"/>
        </w:rPr>
        <w:t xml:space="preserve"> </w:t>
      </w:r>
      <w:r>
        <w:rPr>
          <w:rFonts w:ascii="Verdana" w:hAnsi="Verdana"/>
          <w:sz w:val="20"/>
          <w:szCs w:val="20"/>
          <w:lang w:val="en-US"/>
        </w:rPr>
        <w:t>drinking water.</w:t>
      </w:r>
    </w:p>
    <w:p w14:paraId="2917B61C"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Zhang </w:t>
      </w:r>
      <w:r>
        <w:rPr>
          <w:rFonts w:ascii="Verdana" w:hAnsi="Verdana"/>
          <w:i/>
          <w:sz w:val="20"/>
          <w:szCs w:val="20"/>
          <w:lang w:val="en-US"/>
        </w:rPr>
        <w:t>et al</w:t>
      </w:r>
      <w:r>
        <w:rPr>
          <w:rFonts w:ascii="Verdana" w:hAnsi="Verdana"/>
          <w:sz w:val="20"/>
          <w:szCs w:val="20"/>
          <w:lang w:val="en-US"/>
        </w:rPr>
        <w:t>. (2023) studied the presence of tire additives in drinking water treatment plant. The presence of DPG and 1,3-diphenylurea, a transformation product of DPG, were reported. In the source samples of drinking water, the authors indicated that the concentration of detected accelerators (which included DPG and 1,3-diphenylurea) ranged from 35.5 ng/L to 183 ng/L. In the DWTP samples, concentrations of detected compounds (which included DPG and 1,3-diphenylurea) ranged from tens to hundreds of nanograms per liter.</w:t>
      </w:r>
    </w:p>
    <w:p w14:paraId="0DB20FA4"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Ichihara </w:t>
      </w:r>
      <w:r>
        <w:rPr>
          <w:rFonts w:ascii="Verdana" w:hAnsi="Verdana"/>
          <w:i/>
          <w:sz w:val="20"/>
          <w:szCs w:val="20"/>
          <w:lang w:val="en-US"/>
        </w:rPr>
        <w:t>et al</w:t>
      </w:r>
      <w:r>
        <w:rPr>
          <w:rFonts w:ascii="Verdana" w:hAnsi="Verdana"/>
          <w:sz w:val="20"/>
          <w:szCs w:val="20"/>
          <w:lang w:val="en-US"/>
        </w:rPr>
        <w:t xml:space="preserve">. (2023) analyzed the presence of guanidine derivatives in different type of water in Japan. DPG was detected in tap water with frequency of detection of 100% from 2 samples (concentration not specified). </w:t>
      </w:r>
    </w:p>
    <w:p w14:paraId="030EB44A"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Gollong </w:t>
      </w:r>
      <w:r>
        <w:rPr>
          <w:rFonts w:ascii="Verdana" w:hAnsi="Verdana"/>
          <w:i/>
          <w:sz w:val="20"/>
          <w:szCs w:val="20"/>
          <w:lang w:val="en-US"/>
        </w:rPr>
        <w:t>et al</w:t>
      </w:r>
      <w:r>
        <w:rPr>
          <w:rFonts w:ascii="Verdana" w:hAnsi="Verdana"/>
          <w:sz w:val="20"/>
          <w:szCs w:val="20"/>
          <w:lang w:val="en-US"/>
        </w:rPr>
        <w:t xml:space="preserve">. (2022), analyzed the presence of chemicals in </w:t>
      </w:r>
      <w:r>
        <w:rPr>
          <w:rFonts w:ascii="Verdana" w:hAnsi="Verdana"/>
          <w:sz w:val="20"/>
          <w:szCs w:val="20"/>
        </w:rPr>
        <w:t xml:space="preserve">a drinking water production and wastewater treatment plant in Germany. </w:t>
      </w:r>
      <w:r>
        <w:rPr>
          <w:rFonts w:ascii="Verdana" w:hAnsi="Verdana"/>
          <w:sz w:val="20"/>
          <w:szCs w:val="20"/>
          <w:lang w:val="en-US"/>
        </w:rPr>
        <w:t>DPG was detected at a median concentration of 4 ng/L (probably a median of the concentration of DPG in all types of water tested in the study, not only drinking water).</w:t>
      </w:r>
    </w:p>
    <w:p w14:paraId="662726B7" w14:textId="77777777" w:rsidR="00BC1D4B" w:rsidRDefault="00ED1F84">
      <w:pPr>
        <w:jc w:val="both"/>
        <w:rPr>
          <w:rFonts w:ascii="Verdana" w:hAnsi="Verdana"/>
          <w:sz w:val="20"/>
          <w:szCs w:val="20"/>
        </w:rPr>
      </w:pPr>
      <w:r>
        <w:rPr>
          <w:rFonts w:ascii="Verdana" w:hAnsi="Verdana"/>
          <w:sz w:val="20"/>
          <w:szCs w:val="20"/>
          <w:lang w:val="en-US"/>
        </w:rPr>
        <w:t xml:space="preserve">One of the possible source of DPG emission may be the migration from water pipe designed to transport treated drinking water. Tang </w:t>
      </w:r>
      <w:r>
        <w:rPr>
          <w:rFonts w:ascii="Verdana" w:hAnsi="Verdana"/>
          <w:i/>
          <w:sz w:val="20"/>
          <w:szCs w:val="20"/>
          <w:lang w:val="en-US"/>
        </w:rPr>
        <w:t>et al</w:t>
      </w:r>
      <w:r>
        <w:rPr>
          <w:rFonts w:ascii="Verdana" w:hAnsi="Verdana"/>
          <w:sz w:val="20"/>
          <w:szCs w:val="20"/>
          <w:lang w:val="en-US"/>
        </w:rPr>
        <w:t xml:space="preserve">. (2015) investigated the presence and distribution of selected </w:t>
      </w:r>
      <w:r>
        <w:rPr>
          <w:rFonts w:ascii="Verdana" w:hAnsi="Verdana"/>
          <w:sz w:val="20"/>
          <w:szCs w:val="20"/>
        </w:rPr>
        <w:t>semi-volatile organic compounds</w:t>
      </w:r>
      <w:r>
        <w:rPr>
          <w:rFonts w:ascii="Verdana" w:hAnsi="Verdana"/>
          <w:sz w:val="20"/>
          <w:szCs w:val="20"/>
          <w:lang w:val="en-US"/>
        </w:rPr>
        <w:t xml:space="preserve"> from source water to tap water in Changsha, China. The potential migration of specific compounds from pipe material into water at different periods of pipeline life was studied. DPG was found to be migrating from high density polyethylene (HDPE) pipe material. DPG was found in drinking water </w:t>
      </w:r>
      <w:r>
        <w:rPr>
          <w:rFonts w:ascii="Verdana" w:hAnsi="Verdana"/>
          <w:sz w:val="20"/>
          <w:szCs w:val="20"/>
        </w:rPr>
        <w:t xml:space="preserve">at different sampling sites at concentrations up to 0.56 mg/L (0.23-0.47 mg/L in the residential district). </w:t>
      </w:r>
    </w:p>
    <w:p w14:paraId="07051E4B" w14:textId="1B98259B" w:rsidR="00BC1D4B" w:rsidRDefault="00ED1F84" w:rsidP="00A21496">
      <w:pPr>
        <w:jc w:val="both"/>
        <w:rPr>
          <w:rFonts w:ascii="Verdana" w:hAnsi="Verdana"/>
          <w:sz w:val="20"/>
          <w:szCs w:val="20"/>
        </w:rPr>
      </w:pPr>
      <w:r>
        <w:rPr>
          <w:rFonts w:ascii="Verdana" w:hAnsi="Verdana"/>
          <w:sz w:val="20"/>
          <w:szCs w:val="20"/>
        </w:rPr>
        <w:t xml:space="preserve">Diera </w:t>
      </w:r>
      <w:r>
        <w:rPr>
          <w:rFonts w:ascii="Verdana" w:hAnsi="Verdana"/>
          <w:i/>
          <w:sz w:val="20"/>
          <w:szCs w:val="20"/>
        </w:rPr>
        <w:t>et al</w:t>
      </w:r>
      <w:r>
        <w:rPr>
          <w:rFonts w:ascii="Verdana" w:hAnsi="Verdana"/>
          <w:sz w:val="20"/>
          <w:szCs w:val="20"/>
        </w:rPr>
        <w:t xml:space="preserve">. (2023) studied the migration of compounds from high-density polyethylene pipes in a drinking water distribution system in Denmark. Among them DPG was detected in the water. The proposed origin was polyethylene (PE) and rubber seals. Five rubber seals from different valves commonly used in the water distribution system, consisting of EPDM (Ethylene Propylene Diene Monomer </w:t>
      </w:r>
      <w:r>
        <w:rPr>
          <w:rFonts w:ascii="Verdana" w:hAnsi="Verdana"/>
          <w:sz w:val="20"/>
          <w:szCs w:val="20"/>
        </w:rPr>
        <w:lastRenderedPageBreak/>
        <w:t>Rubber) and NBR (Nitrile Butadiene Rubber) rubber were investigated. DPG was found in EPDM rubber gasket plate, which is used to make custom gaskets in waterworks.</w:t>
      </w:r>
      <w:r w:rsidR="00A21496">
        <w:rPr>
          <w:rFonts w:ascii="Verdana" w:hAnsi="Verdana"/>
          <w:sz w:val="20"/>
          <w:szCs w:val="20"/>
        </w:rPr>
        <w:t xml:space="preserve"> DPG i</w:t>
      </w:r>
      <w:r w:rsidR="00F324AF">
        <w:rPr>
          <w:rFonts w:ascii="Verdana" w:hAnsi="Verdana"/>
          <w:sz w:val="20"/>
          <w:szCs w:val="20"/>
        </w:rPr>
        <w:t>s included in the positive list (Combined List – lists of substances under review)</w:t>
      </w:r>
      <w:r w:rsidR="00A21496">
        <w:rPr>
          <w:rFonts w:ascii="Verdana" w:hAnsi="Verdana"/>
          <w:sz w:val="20"/>
          <w:szCs w:val="20"/>
        </w:rPr>
        <w:t xml:space="preserve"> of the </w:t>
      </w:r>
      <w:r w:rsidR="00A21496" w:rsidRPr="00A21496">
        <w:rPr>
          <w:rFonts w:ascii="Verdana" w:hAnsi="Verdana"/>
          <w:sz w:val="20"/>
          <w:szCs w:val="20"/>
        </w:rPr>
        <w:t>4</w:t>
      </w:r>
      <w:r w:rsidR="00A21496">
        <w:rPr>
          <w:rFonts w:ascii="Verdana" w:hAnsi="Verdana"/>
          <w:sz w:val="20"/>
          <w:szCs w:val="20"/>
        </w:rPr>
        <w:t xml:space="preserve">MSI Common Approach on Organic </w:t>
      </w:r>
      <w:r w:rsidR="00A21496" w:rsidRPr="00A21496">
        <w:rPr>
          <w:rFonts w:ascii="Verdana" w:hAnsi="Verdana"/>
          <w:sz w:val="20"/>
          <w:szCs w:val="20"/>
        </w:rPr>
        <w:t>Materials in Contact with Drinking Wate</w:t>
      </w:r>
      <w:r w:rsidR="00A21496">
        <w:rPr>
          <w:rFonts w:ascii="Verdana" w:hAnsi="Verdana"/>
          <w:sz w:val="20"/>
          <w:szCs w:val="20"/>
        </w:rPr>
        <w:t>r</w:t>
      </w:r>
      <w:r w:rsidR="00A21496">
        <w:rPr>
          <w:rStyle w:val="Appelnotedebasdep"/>
          <w:szCs w:val="20"/>
        </w:rPr>
        <w:footnoteReference w:id="11"/>
      </w:r>
      <w:r w:rsidR="00A21496">
        <w:rPr>
          <w:rFonts w:ascii="Verdana" w:hAnsi="Verdana"/>
          <w:sz w:val="20"/>
          <w:szCs w:val="20"/>
        </w:rPr>
        <w:t>.</w:t>
      </w:r>
      <w:r w:rsidR="00F324AF">
        <w:rPr>
          <w:rFonts w:ascii="Verdana" w:hAnsi="Verdana"/>
          <w:sz w:val="20"/>
          <w:szCs w:val="20"/>
        </w:rPr>
        <w:t xml:space="preserve"> </w:t>
      </w:r>
      <w:r w:rsidR="005D5A85">
        <w:rPr>
          <w:rFonts w:ascii="Verdana" w:hAnsi="Verdana"/>
          <w:sz w:val="20"/>
          <w:szCs w:val="20"/>
        </w:rPr>
        <w:t>The NL authority member state indicate a Maximum Tolerable Concentration (MTC) of 0.0025 mg/L for the use of this substance as rubber in contact with drinking water</w:t>
      </w:r>
      <w:r w:rsidR="00F324AF">
        <w:rPr>
          <w:rFonts w:ascii="Verdana" w:hAnsi="Verdana"/>
          <w:sz w:val="20"/>
          <w:szCs w:val="20"/>
        </w:rPr>
        <w:t>.</w:t>
      </w:r>
    </w:p>
    <w:p w14:paraId="6A67C543" w14:textId="77777777" w:rsidR="00BC1D4B" w:rsidRDefault="00ED1F84">
      <w:pPr>
        <w:jc w:val="both"/>
        <w:rPr>
          <w:rFonts w:ascii="Verdana" w:hAnsi="Verdana"/>
          <w:sz w:val="20"/>
          <w:szCs w:val="20"/>
        </w:rPr>
      </w:pPr>
      <w:r>
        <w:rPr>
          <w:rFonts w:ascii="Verdana" w:hAnsi="Verdana"/>
          <w:sz w:val="20"/>
          <w:szCs w:val="20"/>
        </w:rPr>
        <w:t xml:space="preserve">DPG was also detected in drinking water sources in Germany (Neuwald </w:t>
      </w:r>
      <w:r>
        <w:rPr>
          <w:rFonts w:ascii="Verdana" w:hAnsi="Verdana"/>
          <w:i/>
          <w:sz w:val="20"/>
          <w:szCs w:val="20"/>
        </w:rPr>
        <w:t>et al</w:t>
      </w:r>
      <w:r>
        <w:rPr>
          <w:rFonts w:ascii="Verdana" w:hAnsi="Verdana"/>
          <w:sz w:val="20"/>
          <w:szCs w:val="20"/>
        </w:rPr>
        <w:t xml:space="preserve">. 2022) at a median concentration of 0.17 </w:t>
      </w:r>
      <w:r>
        <w:rPr>
          <w:rFonts w:ascii="Verdana" w:hAnsi="Verdana" w:cs="Calibri"/>
          <w:sz w:val="20"/>
          <w:szCs w:val="20"/>
        </w:rPr>
        <w:t>n</w:t>
      </w:r>
      <w:r>
        <w:rPr>
          <w:rFonts w:ascii="Verdana" w:hAnsi="Verdana"/>
          <w:sz w:val="20"/>
          <w:szCs w:val="20"/>
        </w:rPr>
        <w:t>g/L with a frequency of detection of 17%. The authors also studied the emission pattern of 34 substances by using a correlation analysis to investigate patterns of co-occurrence. DPG did not correlate well with the other compounds tested and the authors concluded that DPG emission into drinking water sources is likely related to leachate from road run-off during rain events and that consequently DPG concentrations may be more dependent on the sampling time than on the sampling location.</w:t>
      </w:r>
    </w:p>
    <w:p w14:paraId="2A078703" w14:textId="77777777" w:rsidR="00BC1D4B" w:rsidRDefault="00ED1F84">
      <w:pPr>
        <w:jc w:val="both"/>
        <w:rPr>
          <w:rFonts w:ascii="Verdana" w:hAnsi="Verdana"/>
          <w:b/>
          <w:sz w:val="20"/>
          <w:szCs w:val="20"/>
          <w:lang w:val="en-US"/>
        </w:rPr>
      </w:pPr>
      <w:r>
        <w:rPr>
          <w:rFonts w:ascii="Verdana" w:hAnsi="Verdana"/>
          <w:b/>
          <w:sz w:val="20"/>
          <w:szCs w:val="20"/>
          <w:lang w:val="en-US"/>
        </w:rPr>
        <w:t>Presence of DPG in indoor dust</w:t>
      </w:r>
    </w:p>
    <w:p w14:paraId="7DD3589A"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The presence of DPG was reported in indoor dust. </w:t>
      </w:r>
    </w:p>
    <w:p w14:paraId="2FFAF5F8"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Tan </w:t>
      </w:r>
      <w:r>
        <w:rPr>
          <w:rFonts w:ascii="Verdana" w:hAnsi="Verdana"/>
          <w:i/>
          <w:sz w:val="20"/>
          <w:szCs w:val="20"/>
          <w:lang w:val="en-US"/>
        </w:rPr>
        <w:t>et al</w:t>
      </w:r>
      <w:r>
        <w:rPr>
          <w:rFonts w:ascii="Verdana" w:hAnsi="Verdana"/>
          <w:sz w:val="20"/>
          <w:szCs w:val="20"/>
          <w:lang w:val="en-US"/>
        </w:rPr>
        <w:t>. (2021) studied the presence of synthetic antioxidants in house dust from different locations in the Asia-Pacific Region and the United States. Among them, DPG was detected with a median concentration of 5030−11 400 ng/g in house dust from the studied regions except for Hanoi (305 ng/g).</w:t>
      </w:r>
    </w:p>
    <w:p w14:paraId="49BB05D5" w14:textId="77777777" w:rsidR="00BC1D4B" w:rsidRDefault="00ED1F84">
      <w:pPr>
        <w:spacing w:after="240"/>
        <w:jc w:val="both"/>
        <w:rPr>
          <w:rFonts w:ascii="Verdana" w:hAnsi="Verdana"/>
          <w:sz w:val="20"/>
          <w:szCs w:val="20"/>
          <w:lang w:val="en-US"/>
        </w:rPr>
      </w:pPr>
      <w:r>
        <w:rPr>
          <w:rFonts w:ascii="Verdana" w:hAnsi="Verdana"/>
          <w:sz w:val="20"/>
          <w:szCs w:val="20"/>
          <w:lang w:val="en-US"/>
        </w:rPr>
        <w:t>Li &amp; Kannan (2023) studied the occurrence of DPG in indoor dust from 11 countries.</w:t>
      </w:r>
      <w:r>
        <w:rPr>
          <w:rFonts w:ascii="Verdana" w:hAnsi="Verdana"/>
          <w:sz w:val="20"/>
          <w:szCs w:val="20"/>
        </w:rPr>
        <w:t xml:space="preserve"> </w:t>
      </w:r>
      <w:r>
        <w:rPr>
          <w:rFonts w:ascii="Verdana" w:hAnsi="Verdana"/>
          <w:sz w:val="20"/>
          <w:szCs w:val="20"/>
          <w:lang w:val="en-US"/>
        </w:rPr>
        <w:t>DPG was found in 100% of the house dust samples, at median concentrations of 140 ng/g (range: 2.1 – 11 000 ng/g).</w:t>
      </w:r>
      <w:r>
        <w:rPr>
          <w:rFonts w:ascii="Verdana" w:hAnsi="Verdana"/>
          <w:sz w:val="20"/>
          <w:szCs w:val="20"/>
        </w:rPr>
        <w:t xml:space="preserve"> </w:t>
      </w:r>
      <w:r>
        <w:rPr>
          <w:rFonts w:ascii="Verdana" w:hAnsi="Verdana"/>
          <w:sz w:val="20"/>
          <w:szCs w:val="20"/>
          <w:lang w:val="en-US"/>
        </w:rPr>
        <w:t>Elevated concentrations of DPG were found in dust from certain microenvironments (e.g., offices and cars). The authors assessed human exposure to DPG through dust ingestion and the following ranges were 0.07−4.40, 0.09−5.20, 0.03−1.70, 0.02−1.04, and 0.01−0.87 ng/kg bw/day for infants, toddlers, children, teenagers, and adults, respectively.</w:t>
      </w:r>
    </w:p>
    <w:p w14:paraId="26DB94F2" w14:textId="77777777" w:rsidR="00BC1D4B" w:rsidRDefault="00ED1F84">
      <w:pPr>
        <w:spacing w:after="240"/>
        <w:jc w:val="both"/>
      </w:pPr>
      <w:r>
        <w:rPr>
          <w:rFonts w:ascii="Verdana" w:hAnsi="Verdana"/>
          <w:sz w:val="20"/>
          <w:szCs w:val="20"/>
          <w:lang w:val="en-US"/>
        </w:rPr>
        <w:t xml:space="preserve">Shin </w:t>
      </w:r>
      <w:r>
        <w:rPr>
          <w:rFonts w:ascii="Verdana" w:hAnsi="Verdana"/>
          <w:i/>
          <w:sz w:val="20"/>
          <w:szCs w:val="20"/>
          <w:lang w:val="en-US"/>
        </w:rPr>
        <w:t>et al</w:t>
      </w:r>
      <w:r>
        <w:rPr>
          <w:rFonts w:ascii="Verdana" w:hAnsi="Verdana"/>
          <w:sz w:val="20"/>
          <w:szCs w:val="20"/>
          <w:lang w:val="en-US"/>
        </w:rPr>
        <w:t xml:space="preserve">. (2020) measured the concentrations of consumer product chemicals in California house dust. The </w:t>
      </w:r>
      <w:r>
        <w:rPr>
          <w:rFonts w:ascii="Verdana" w:hAnsi="Verdana"/>
          <w:sz w:val="20"/>
          <w:szCs w:val="20"/>
        </w:rPr>
        <w:t>median concentration of DPG was 3218 ng/g of dust and was detected in all dust samples.</w:t>
      </w:r>
      <w:r>
        <w:t xml:space="preserve"> </w:t>
      </w:r>
    </w:p>
    <w:p w14:paraId="50EDD637" w14:textId="77777777" w:rsidR="00BC1D4B" w:rsidRDefault="00ED1F84">
      <w:pPr>
        <w:spacing w:after="240"/>
        <w:jc w:val="both"/>
        <w:rPr>
          <w:rFonts w:ascii="Verdana" w:hAnsi="Verdana"/>
          <w:b/>
          <w:sz w:val="20"/>
          <w:szCs w:val="20"/>
          <w:lang w:val="en-US"/>
        </w:rPr>
      </w:pPr>
      <w:r>
        <w:rPr>
          <w:rFonts w:ascii="Verdana" w:hAnsi="Verdana"/>
          <w:b/>
          <w:sz w:val="20"/>
          <w:szCs w:val="20"/>
          <w:lang w:val="en-US"/>
        </w:rPr>
        <w:t xml:space="preserve">Presence of DPG in air </w:t>
      </w:r>
    </w:p>
    <w:p w14:paraId="4F3FCEB3"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Johannessen </w:t>
      </w:r>
      <w:r>
        <w:rPr>
          <w:rFonts w:ascii="Verdana" w:hAnsi="Verdana"/>
          <w:i/>
          <w:sz w:val="20"/>
          <w:szCs w:val="20"/>
          <w:lang w:val="en-US"/>
        </w:rPr>
        <w:t>et al</w:t>
      </w:r>
      <w:r>
        <w:rPr>
          <w:rFonts w:ascii="Verdana" w:hAnsi="Verdana"/>
          <w:sz w:val="20"/>
          <w:szCs w:val="20"/>
          <w:lang w:val="en-US"/>
        </w:rPr>
        <w:t>. (2022) studied the airborne concentrations of chemicals associated with tire-wear in megacities using passive samplers. DPG was detected in every studied megacity above limits of quantification at estimated concentrations between 45.0 to 199 pg/m</w:t>
      </w:r>
      <w:r>
        <w:rPr>
          <w:rFonts w:ascii="Verdana" w:hAnsi="Verdana"/>
          <w:sz w:val="20"/>
          <w:szCs w:val="20"/>
          <w:vertAlign w:val="superscript"/>
          <w:lang w:val="en-US"/>
        </w:rPr>
        <w:t>3</w:t>
      </w:r>
      <w:r>
        <w:rPr>
          <w:rFonts w:ascii="Verdana" w:hAnsi="Verdana"/>
          <w:sz w:val="20"/>
          <w:szCs w:val="20"/>
          <w:lang w:val="en-US"/>
        </w:rPr>
        <w:t xml:space="preserve"> (mean = 93.9 pg/m</w:t>
      </w:r>
      <w:r>
        <w:rPr>
          <w:rFonts w:ascii="Verdana" w:hAnsi="Verdana"/>
          <w:sz w:val="20"/>
          <w:szCs w:val="20"/>
          <w:vertAlign w:val="superscript"/>
          <w:lang w:val="en-US"/>
        </w:rPr>
        <w:t>3</w:t>
      </w:r>
      <w:r>
        <w:rPr>
          <w:rFonts w:ascii="Verdana" w:hAnsi="Verdana"/>
          <w:sz w:val="20"/>
          <w:szCs w:val="20"/>
          <w:lang w:val="en-US"/>
        </w:rPr>
        <w:t xml:space="preserve">). DPG was detected in the highest estimated concentration out of any analyte included in this study. </w:t>
      </w:r>
    </w:p>
    <w:p w14:paraId="5DE9973F" w14:textId="77777777" w:rsidR="00BC1D4B" w:rsidRDefault="00ED1F84">
      <w:pPr>
        <w:jc w:val="both"/>
        <w:rPr>
          <w:rFonts w:ascii="Verdana" w:hAnsi="Verdana"/>
          <w:b/>
          <w:sz w:val="20"/>
          <w:szCs w:val="20"/>
          <w:lang w:val="en-US"/>
        </w:rPr>
      </w:pPr>
      <w:r>
        <w:rPr>
          <w:rFonts w:ascii="Verdana" w:hAnsi="Verdana"/>
          <w:b/>
          <w:sz w:val="20"/>
          <w:szCs w:val="20"/>
          <w:lang w:val="en-US"/>
        </w:rPr>
        <w:t>Other contamination with DPG</w:t>
      </w:r>
    </w:p>
    <w:p w14:paraId="655C2D24" w14:textId="77777777" w:rsidR="00BC1D4B" w:rsidRDefault="00ED1F84">
      <w:pPr>
        <w:jc w:val="both"/>
        <w:rPr>
          <w:rFonts w:ascii="Verdana" w:hAnsi="Verdana"/>
          <w:sz w:val="20"/>
          <w:szCs w:val="20"/>
          <w:lang w:val="en-US"/>
        </w:rPr>
      </w:pPr>
      <w:r>
        <w:rPr>
          <w:rFonts w:ascii="Verdana" w:hAnsi="Verdana"/>
          <w:sz w:val="20"/>
          <w:szCs w:val="20"/>
          <w:lang w:val="en-US"/>
        </w:rPr>
        <w:t xml:space="preserve">Lin </w:t>
      </w:r>
      <w:r>
        <w:rPr>
          <w:rFonts w:ascii="Verdana" w:hAnsi="Verdana"/>
          <w:i/>
          <w:sz w:val="20"/>
          <w:szCs w:val="20"/>
          <w:lang w:val="en-US"/>
        </w:rPr>
        <w:t>et al</w:t>
      </w:r>
      <w:r>
        <w:rPr>
          <w:rFonts w:ascii="Verdana" w:hAnsi="Verdana"/>
          <w:sz w:val="20"/>
          <w:szCs w:val="20"/>
          <w:lang w:val="en-US"/>
        </w:rPr>
        <w:t xml:space="preserve">. (2007) detected a contaminant during the content uniformity test of a drug product (tablet formulation) and concluded that it was </w:t>
      </w:r>
      <w:r>
        <w:rPr>
          <w:rFonts w:ascii="Verdana" w:hAnsi="Verdana"/>
          <w:sz w:val="20"/>
          <w:szCs w:val="20"/>
        </w:rPr>
        <w:t>most likely DPG</w:t>
      </w:r>
      <w:r>
        <w:rPr>
          <w:rFonts w:ascii="Verdana" w:hAnsi="Verdana"/>
          <w:sz w:val="20"/>
          <w:szCs w:val="20"/>
          <w:lang w:val="en-US"/>
        </w:rPr>
        <w:t>.</w:t>
      </w:r>
      <w:r>
        <w:rPr>
          <w:rFonts w:ascii="Verdana" w:hAnsi="Verdana"/>
          <w:sz w:val="20"/>
          <w:szCs w:val="20"/>
        </w:rPr>
        <w:t xml:space="preserve"> </w:t>
      </w:r>
      <w:r>
        <w:rPr>
          <w:rFonts w:ascii="Verdana" w:hAnsi="Verdana"/>
          <w:sz w:val="20"/>
          <w:szCs w:val="20"/>
          <w:lang w:val="en-US"/>
        </w:rPr>
        <w:t>They proposed as the potential source of DPG as coming from the safety filler of the pipette bulb used to prepare the sample solutions during the drug analysis.</w:t>
      </w:r>
    </w:p>
    <w:p w14:paraId="1C3CB571" w14:textId="77777777" w:rsidR="00BC1D4B" w:rsidRDefault="00ED1F84">
      <w:pPr>
        <w:jc w:val="both"/>
        <w:rPr>
          <w:rFonts w:ascii="Verdana" w:hAnsi="Verdana"/>
          <w:sz w:val="20"/>
          <w:szCs w:val="20"/>
          <w:lang w:val="en-US"/>
        </w:rPr>
      </w:pPr>
      <w:r>
        <w:rPr>
          <w:rFonts w:ascii="Verdana" w:hAnsi="Verdana"/>
          <w:sz w:val="20"/>
          <w:szCs w:val="20"/>
          <w:lang w:val="en-US"/>
        </w:rPr>
        <w:lastRenderedPageBreak/>
        <w:t xml:space="preserve">Zidan </w:t>
      </w:r>
      <w:r>
        <w:rPr>
          <w:rFonts w:ascii="Verdana" w:hAnsi="Verdana"/>
          <w:i/>
          <w:sz w:val="20"/>
          <w:szCs w:val="20"/>
          <w:lang w:val="en-US"/>
        </w:rPr>
        <w:t>et al</w:t>
      </w:r>
      <w:r>
        <w:rPr>
          <w:rFonts w:ascii="Verdana" w:hAnsi="Verdana"/>
          <w:sz w:val="20"/>
          <w:szCs w:val="20"/>
          <w:lang w:val="en-US"/>
        </w:rPr>
        <w:t>. (2017) also detected the presence of DPG in a pharmaceutical product (oxytocin). DPG was coming from rubber closures used in pre-filled syringes. DPG was able to interact with oxytocin.</w:t>
      </w:r>
    </w:p>
    <w:p w14:paraId="60097116" w14:textId="77777777" w:rsidR="00BC1D4B" w:rsidRDefault="00BC1D4B">
      <w:pPr>
        <w:pStyle w:val="Corpsdetexte"/>
        <w:rPr>
          <w:rFonts w:ascii="Verdana" w:hAnsi="Verdana"/>
          <w:b/>
          <w:sz w:val="20"/>
          <w:lang w:val="en-US"/>
        </w:rPr>
      </w:pPr>
    </w:p>
    <w:p w14:paraId="65444C4E" w14:textId="77777777" w:rsidR="00BC1D4B" w:rsidRDefault="00BC1D4B">
      <w:pPr>
        <w:pStyle w:val="Corpsdetexte"/>
        <w:rPr>
          <w:rFonts w:ascii="Verdana" w:hAnsi="Verdana"/>
          <w:b/>
          <w:sz w:val="20"/>
          <w:lang w:val="en-US"/>
        </w:rPr>
      </w:pPr>
    </w:p>
    <w:p w14:paraId="08303B15" w14:textId="77777777" w:rsidR="00BC1D4B" w:rsidRDefault="00BC1D4B">
      <w:pPr>
        <w:pStyle w:val="Corpsdetexte"/>
        <w:rPr>
          <w:rFonts w:ascii="Verdana" w:hAnsi="Verdana"/>
          <w:b/>
          <w:sz w:val="20"/>
          <w:lang w:val="en-US"/>
        </w:rPr>
      </w:pPr>
    </w:p>
    <w:p w14:paraId="3D5759F0" w14:textId="77777777" w:rsidR="00BC1D4B" w:rsidRDefault="00ED1F84">
      <w:pPr>
        <w:pStyle w:val="Corpsdetexte"/>
        <w:rPr>
          <w:rFonts w:ascii="Verdana" w:hAnsi="Verdana"/>
          <w:b/>
          <w:sz w:val="22"/>
          <w:szCs w:val="22"/>
          <w:u w:val="single"/>
          <w:lang w:val="en-US"/>
        </w:rPr>
      </w:pPr>
      <w:r>
        <w:rPr>
          <w:rFonts w:ascii="Verdana" w:hAnsi="Verdana"/>
          <w:b/>
          <w:sz w:val="22"/>
          <w:szCs w:val="22"/>
          <w:u w:val="single"/>
          <w:lang w:val="en-US"/>
        </w:rPr>
        <w:t xml:space="preserve">Risk estimations based on literature data </w:t>
      </w:r>
    </w:p>
    <w:p w14:paraId="5B2226B3" w14:textId="77777777" w:rsidR="00BC1D4B" w:rsidRDefault="00ED1F84">
      <w:pPr>
        <w:pStyle w:val="Corpsdetexte"/>
        <w:rPr>
          <w:rFonts w:ascii="Verdana" w:hAnsi="Verdana"/>
          <w:sz w:val="20"/>
          <w:lang w:val="en-US"/>
        </w:rPr>
      </w:pPr>
      <w:r>
        <w:rPr>
          <w:rFonts w:ascii="Verdana" w:hAnsi="Verdana"/>
          <w:sz w:val="20"/>
          <w:lang w:val="en-US"/>
        </w:rPr>
        <w:t>It is highlighted that data are scarce and have limitations. These calculations are therefore performed to obtain an estimates whether risks may occur through the different reported sources of exposures.</w:t>
      </w:r>
    </w:p>
    <w:p w14:paraId="48338B0D" w14:textId="77777777" w:rsidR="00BC1D4B" w:rsidRDefault="00ED1F84">
      <w:pPr>
        <w:pStyle w:val="Corpsdetexte"/>
        <w:rPr>
          <w:rFonts w:ascii="Verdana" w:hAnsi="Verdana"/>
          <w:b/>
          <w:sz w:val="20"/>
          <w:lang w:val="en-US"/>
        </w:rPr>
      </w:pPr>
      <w:r>
        <w:rPr>
          <w:rFonts w:ascii="Verdana" w:hAnsi="Verdana"/>
          <w:b/>
          <w:sz w:val="20"/>
          <w:lang w:val="en-US"/>
        </w:rPr>
        <w:t>Drinking water:</w:t>
      </w:r>
    </w:p>
    <w:p w14:paraId="7C6A4C62" w14:textId="77777777" w:rsidR="00BC1D4B" w:rsidRDefault="00ED1F84">
      <w:pPr>
        <w:pStyle w:val="Corpsdetexte"/>
        <w:jc w:val="both"/>
        <w:rPr>
          <w:rFonts w:ascii="Verdana" w:hAnsi="Verdana"/>
          <w:sz w:val="20"/>
          <w:lang w:val="en-US"/>
        </w:rPr>
      </w:pPr>
      <w:r>
        <w:rPr>
          <w:rFonts w:ascii="Verdana" w:hAnsi="Verdana"/>
          <w:sz w:val="20"/>
          <w:lang w:val="en-US"/>
        </w:rPr>
        <w:t xml:space="preserve">Risk calculation was performed based on publications where a specific concentration of DPG was clearly indicated. </w:t>
      </w:r>
    </w:p>
    <w:p w14:paraId="15014391" w14:textId="77777777" w:rsidR="00BC1D4B" w:rsidRDefault="00ED1F84">
      <w:pPr>
        <w:pStyle w:val="Corpsdetexte"/>
        <w:jc w:val="both"/>
        <w:rPr>
          <w:rFonts w:ascii="Verdana" w:hAnsi="Verdana"/>
          <w:sz w:val="20"/>
          <w:lang w:val="en-US"/>
        </w:rPr>
      </w:pPr>
      <w:r>
        <w:rPr>
          <w:rFonts w:ascii="Verdana" w:hAnsi="Verdana"/>
          <w:sz w:val="20"/>
          <w:lang w:val="en-US"/>
        </w:rPr>
        <w:t xml:space="preserve">In Gollong </w:t>
      </w:r>
      <w:r>
        <w:rPr>
          <w:rFonts w:ascii="Verdana" w:hAnsi="Verdana"/>
          <w:i/>
          <w:sz w:val="20"/>
          <w:lang w:val="en-US"/>
        </w:rPr>
        <w:t>et al</w:t>
      </w:r>
      <w:r>
        <w:rPr>
          <w:rFonts w:ascii="Verdana" w:hAnsi="Verdana"/>
          <w:sz w:val="20"/>
          <w:lang w:val="en-US"/>
        </w:rPr>
        <w:t xml:space="preserve">. (2022), the concentration indicated is probably a median of DPG concentrations in all the types of water tested in the study and therefore not specific to drinking water samples. </w:t>
      </w:r>
    </w:p>
    <w:p w14:paraId="6C89BDCE" w14:textId="77777777" w:rsidR="00BC1D4B" w:rsidRDefault="00ED1F84">
      <w:pPr>
        <w:pStyle w:val="Corpsdetexte"/>
        <w:jc w:val="both"/>
        <w:rPr>
          <w:rFonts w:ascii="Verdana" w:hAnsi="Verdana"/>
          <w:sz w:val="20"/>
          <w:lang w:val="en-US"/>
        </w:rPr>
      </w:pPr>
      <w:r>
        <w:rPr>
          <w:rFonts w:ascii="Verdana" w:hAnsi="Verdana"/>
          <w:sz w:val="20"/>
          <w:lang w:val="en-US"/>
        </w:rPr>
        <w:t xml:space="preserve">In Neuwald </w:t>
      </w:r>
      <w:r>
        <w:rPr>
          <w:rFonts w:ascii="Verdana" w:hAnsi="Verdana"/>
          <w:i/>
          <w:sz w:val="20"/>
          <w:lang w:val="en-US"/>
        </w:rPr>
        <w:t>et al</w:t>
      </w:r>
      <w:r>
        <w:rPr>
          <w:rFonts w:ascii="Verdana" w:hAnsi="Verdana"/>
          <w:sz w:val="20"/>
          <w:lang w:val="en-US"/>
        </w:rPr>
        <w:t xml:space="preserve">. (2022), the concentration of DPG was calculated in sources of drinking water and not in the treated water. </w:t>
      </w:r>
    </w:p>
    <w:p w14:paraId="7B438783" w14:textId="77777777" w:rsidR="00BC1D4B" w:rsidRDefault="00ED1F84">
      <w:pPr>
        <w:pStyle w:val="Corpsdetexte"/>
        <w:jc w:val="both"/>
        <w:rPr>
          <w:rFonts w:ascii="Verdana" w:hAnsi="Verdana"/>
          <w:sz w:val="20"/>
          <w:lang w:val="en-US"/>
        </w:rPr>
      </w:pPr>
      <w:r>
        <w:rPr>
          <w:rFonts w:ascii="Verdana" w:hAnsi="Verdana"/>
          <w:sz w:val="20"/>
          <w:lang w:val="en-US"/>
        </w:rPr>
        <w:t xml:space="preserve">In Tang </w:t>
      </w:r>
      <w:r>
        <w:rPr>
          <w:rFonts w:ascii="Verdana" w:hAnsi="Verdana"/>
          <w:i/>
          <w:sz w:val="20"/>
          <w:lang w:val="en-US"/>
        </w:rPr>
        <w:t>et al</w:t>
      </w:r>
      <w:r>
        <w:rPr>
          <w:rFonts w:ascii="Verdana" w:hAnsi="Verdana"/>
          <w:sz w:val="20"/>
          <w:lang w:val="en-US"/>
        </w:rPr>
        <w:t>. (2015), the maximum DPG concentration in the residential district has been selected (0.47 mg/L) for risk estimation.</w:t>
      </w:r>
    </w:p>
    <w:p w14:paraId="68B29A35" w14:textId="77777777" w:rsidR="00BC1D4B" w:rsidRDefault="00ED1F84">
      <w:pPr>
        <w:pStyle w:val="Corpsdetexte"/>
        <w:jc w:val="both"/>
        <w:rPr>
          <w:rFonts w:ascii="Verdana" w:hAnsi="Verdana"/>
          <w:sz w:val="20"/>
          <w:lang w:val="en-US"/>
        </w:rPr>
      </w:pPr>
      <w:r>
        <w:rPr>
          <w:rFonts w:ascii="Verdana" w:hAnsi="Verdana"/>
          <w:noProof/>
          <w:sz w:val="20"/>
          <w:lang w:val="fr-FR" w:eastAsia="fr-FR"/>
        </w:rPr>
        <mc:AlternateContent>
          <mc:Choice Requires="wps">
            <w:drawing>
              <wp:anchor distT="0" distB="0" distL="114300" distR="114300" simplePos="0" relativeHeight="251659264" behindDoc="0" locked="0" layoutInCell="1" allowOverlap="1">
                <wp:simplePos x="0" y="0"/>
                <wp:positionH relativeFrom="column">
                  <wp:posOffset>-48326</wp:posOffset>
                </wp:positionH>
                <wp:positionV relativeFrom="paragraph">
                  <wp:posOffset>429070</wp:posOffset>
                </wp:positionV>
                <wp:extent cx="2755075" cy="320633"/>
                <wp:effectExtent l="0" t="0" r="26670" b="22860"/>
                <wp:wrapNone/>
                <wp:docPr id="3" name="Rectangle 11"/>
                <wp:cNvGraphicFramePr/>
                <a:graphic xmlns:a="http://schemas.openxmlformats.org/drawingml/2006/main">
                  <a:graphicData uri="http://schemas.microsoft.com/office/word/2010/wordprocessingShape">
                    <wps:wsp>
                      <wps:cNvSpPr/>
                      <wps:spPr bwMode="auto">
                        <a:xfrm>
                          <a:off x="0" y="0"/>
                          <a:ext cx="2755075" cy="320633"/>
                        </a:xfrm>
                        <a:prstGeom prst="rect">
                          <a:avLst/>
                        </a:prstGeom>
                        <a:noFill/>
                        <a:ln w="25400" cap="flat" cmpd="sng" algn="ctr">
                          <a:solidFill>
                            <a:srgbClr val="4F81BD">
                              <a:shade val="50000"/>
                            </a:srgbClr>
                          </a:solidFill>
                          <a:prstDash val="solid"/>
                        </a:ln>
                        <a:effectLst/>
                      </wps:spPr>
                      <wps:bodyPr rot="0">
                        <a:prstTxWarp prst="textNoShape">
                          <a:avLst/>
                        </a:prstTxWarp>
                        <a:noAutofit/>
                      </wps:bodyPr>
                    </wps:wsp>
                  </a:graphicData>
                </a:graphic>
              </wp:anchor>
            </w:drawing>
          </mc:Choice>
          <mc:Fallback>
            <w:pict>
              <v:rect w14:anchorId="256F60DB" id="Rectangle 11" o:spid="_x0000_s1026" style="position:absolute;margin-left:-3.8pt;margin-top:33.8pt;width:216.95pt;height:2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" filled="f" strokecolor="#385d8a" strokeweight="2pt"/>
            </w:pict>
          </mc:Fallback>
        </mc:AlternateContent>
      </w:r>
      <w:r>
        <w:rPr>
          <w:rFonts w:ascii="Verdana" w:hAnsi="Verdana"/>
          <w:sz w:val="20"/>
          <w:lang w:val="en-US"/>
        </w:rPr>
        <w:t>The exposure assessment is based on the following calculation method (Anses, 2018):</w:t>
      </w:r>
    </w:p>
    <w:p w14:paraId="26D2D991" w14:textId="77777777" w:rsidR="00BC1D4B" w:rsidRDefault="00ED1F84">
      <w:pPr>
        <w:pStyle w:val="Corpsdetexte"/>
        <w:jc w:val="both"/>
        <w:rPr>
          <w:rFonts w:ascii="Verdana" w:hAnsi="Verdana"/>
          <w:sz w:val="20"/>
          <w:lang w:val="en-US"/>
        </w:rPr>
      </w:pPr>
      <w:r>
        <w:rPr>
          <w:rFonts w:ascii="Verdana" w:hAnsi="Verdana"/>
          <w:sz w:val="20"/>
          <w:lang w:val="en-US"/>
        </w:rPr>
        <w:t>Exposure = C</w:t>
      </w:r>
      <w:r>
        <w:rPr>
          <w:rFonts w:ascii="Verdana" w:hAnsi="Verdana"/>
          <w:sz w:val="20"/>
          <w:vertAlign w:val="subscript"/>
          <w:lang w:val="en-US"/>
        </w:rPr>
        <w:t xml:space="preserve">water </w:t>
      </w:r>
      <w:r>
        <w:rPr>
          <w:rFonts w:ascii="Verdana" w:hAnsi="Verdana"/>
          <w:sz w:val="20"/>
          <w:lang w:val="en-US"/>
        </w:rPr>
        <w:t>x consumption/ bw</w:t>
      </w:r>
    </w:p>
    <w:p w14:paraId="01F16240" w14:textId="77777777" w:rsidR="00BC1D4B" w:rsidRDefault="00ED1F84">
      <w:pPr>
        <w:pStyle w:val="Corpsdetexte"/>
        <w:spacing w:after="0"/>
        <w:jc w:val="both"/>
        <w:rPr>
          <w:rFonts w:ascii="Verdana" w:hAnsi="Verdana"/>
          <w:sz w:val="20"/>
          <w:lang w:val="en-US"/>
        </w:rPr>
      </w:pPr>
      <w:r>
        <w:rPr>
          <w:rFonts w:ascii="Verdana" w:hAnsi="Verdana"/>
          <w:sz w:val="20"/>
          <w:lang w:val="en-US"/>
        </w:rPr>
        <w:t>Where:</w:t>
      </w:r>
    </w:p>
    <w:p w14:paraId="2452EB2C" w14:textId="77777777" w:rsidR="00BC1D4B" w:rsidRDefault="00ED1F84">
      <w:pPr>
        <w:pStyle w:val="Corpsdetexte"/>
        <w:spacing w:after="0"/>
        <w:ind w:firstLine="720"/>
        <w:rPr>
          <w:rFonts w:ascii="Verdana" w:hAnsi="Verdana"/>
          <w:sz w:val="20"/>
          <w:lang w:val="en-US"/>
        </w:rPr>
      </w:pPr>
      <w:r>
        <w:rPr>
          <w:rFonts w:ascii="Verdana" w:hAnsi="Verdana"/>
          <w:b/>
          <w:sz w:val="20"/>
          <w:lang w:val="en-US"/>
        </w:rPr>
        <w:t>Exposure:</w:t>
      </w:r>
      <w:r>
        <w:rPr>
          <w:rFonts w:ascii="Verdana" w:hAnsi="Verdana"/>
          <w:sz w:val="20"/>
          <w:lang w:val="en-US"/>
        </w:rPr>
        <w:t xml:space="preserve"> µg/kg bw/d</w:t>
      </w:r>
    </w:p>
    <w:p w14:paraId="1C14BA20" w14:textId="77777777" w:rsidR="00BC1D4B" w:rsidRDefault="00ED1F84">
      <w:pPr>
        <w:pStyle w:val="Corpsdetexte"/>
        <w:spacing w:after="0"/>
        <w:ind w:firstLine="720"/>
        <w:rPr>
          <w:rFonts w:ascii="Verdana" w:hAnsi="Verdana"/>
          <w:sz w:val="20"/>
          <w:lang w:val="en-US"/>
        </w:rPr>
      </w:pPr>
      <w:r>
        <w:rPr>
          <w:rFonts w:ascii="Verdana" w:hAnsi="Verdana"/>
          <w:b/>
          <w:sz w:val="20"/>
          <w:lang w:val="en-US"/>
        </w:rPr>
        <w:t>C</w:t>
      </w:r>
      <w:r>
        <w:rPr>
          <w:rFonts w:ascii="Verdana" w:hAnsi="Verdana"/>
          <w:b/>
          <w:sz w:val="20"/>
          <w:vertAlign w:val="subscript"/>
          <w:lang w:val="en-US"/>
        </w:rPr>
        <w:t>water</w:t>
      </w:r>
      <w:r>
        <w:rPr>
          <w:rFonts w:ascii="Verdana" w:hAnsi="Verdana"/>
          <w:b/>
          <w:sz w:val="20"/>
          <w:lang w:val="en-US"/>
        </w:rPr>
        <w:t>:</w:t>
      </w:r>
      <w:r>
        <w:rPr>
          <w:rFonts w:ascii="Verdana" w:hAnsi="Verdana"/>
          <w:sz w:val="20"/>
          <w:lang w:val="en-US"/>
        </w:rPr>
        <w:t xml:space="preserve"> concentration of DPG in water in µg/L</w:t>
      </w:r>
    </w:p>
    <w:p w14:paraId="62351E83" w14:textId="77777777" w:rsidR="00BC1D4B" w:rsidRDefault="00ED1F84">
      <w:pPr>
        <w:pStyle w:val="Corpsdetexte"/>
        <w:spacing w:after="0"/>
        <w:ind w:left="720"/>
        <w:rPr>
          <w:rFonts w:ascii="Verdana" w:hAnsi="Verdana"/>
          <w:sz w:val="20"/>
          <w:lang w:val="en-US"/>
        </w:rPr>
      </w:pPr>
      <w:r>
        <w:rPr>
          <w:rFonts w:ascii="Verdana" w:hAnsi="Verdana"/>
          <w:b/>
          <w:sz w:val="20"/>
          <w:lang w:val="en-US"/>
        </w:rPr>
        <w:t>Consumption:</w:t>
      </w:r>
      <w:r>
        <w:rPr>
          <w:rFonts w:ascii="Verdana" w:hAnsi="Verdana"/>
          <w:sz w:val="20"/>
          <w:lang w:val="en-US"/>
        </w:rPr>
        <w:t xml:space="preserve"> 2L/d for adults, 1L/d for children, 0.75 L/d for infants (WHO, 2022)</w:t>
      </w:r>
    </w:p>
    <w:p w14:paraId="2AE06CF8" w14:textId="77777777" w:rsidR="00BC1D4B" w:rsidRDefault="00ED1F84">
      <w:pPr>
        <w:pStyle w:val="Corpsdetexte"/>
        <w:spacing w:after="0"/>
        <w:ind w:left="720"/>
        <w:rPr>
          <w:rFonts w:ascii="Verdana" w:hAnsi="Verdana"/>
          <w:sz w:val="20"/>
          <w:lang w:val="en-US"/>
        </w:rPr>
      </w:pPr>
      <w:r>
        <w:rPr>
          <w:rFonts w:ascii="Verdana" w:hAnsi="Verdana"/>
          <w:b/>
          <w:sz w:val="20"/>
          <w:lang w:val="en-US"/>
        </w:rPr>
        <w:t xml:space="preserve">bw: </w:t>
      </w:r>
      <w:r>
        <w:rPr>
          <w:rFonts w:ascii="Verdana" w:hAnsi="Verdana"/>
          <w:sz w:val="20"/>
          <w:lang w:val="en-US"/>
        </w:rPr>
        <w:t>60 kg for adults, 10 kg for children, 5 kg for infants (WHO, 2022)</w:t>
      </w:r>
    </w:p>
    <w:p w14:paraId="7EC136B7" w14:textId="77777777" w:rsidR="00BC1D4B" w:rsidRDefault="00BC1D4B">
      <w:pPr>
        <w:pStyle w:val="Corpsdetexte"/>
        <w:spacing w:after="0"/>
        <w:ind w:left="720"/>
        <w:rPr>
          <w:rFonts w:ascii="Verdana" w:hAnsi="Verdana"/>
          <w:sz w:val="20"/>
          <w:lang w:val="en-US"/>
        </w:rPr>
      </w:pPr>
    </w:p>
    <w:p w14:paraId="555CF567" w14:textId="77777777" w:rsidR="00BC1D4B" w:rsidRDefault="00ED1F84">
      <w:pPr>
        <w:pStyle w:val="Lgende"/>
        <w:rPr>
          <w:lang w:val="en-US"/>
        </w:rPr>
      </w:pPr>
      <w:r>
        <w:t>Table 8: Exposure and risk characterisation in drinking water</w:t>
      </w:r>
    </w:p>
    <w:tbl>
      <w:tblPr>
        <w:tblStyle w:val="TableauGrille4-Accentuation3"/>
        <w:tblW w:w="6147" w:type="pct"/>
        <w:tblInd w:w="-289" w:type="dxa"/>
        <w:tblLook w:val="04A0" w:firstRow="1" w:lastRow="0" w:firstColumn="1" w:lastColumn="0" w:noHBand="0" w:noVBand="1"/>
      </w:tblPr>
      <w:tblGrid>
        <w:gridCol w:w="1454"/>
        <w:gridCol w:w="1746"/>
        <w:gridCol w:w="1639"/>
        <w:gridCol w:w="965"/>
        <w:gridCol w:w="1125"/>
        <w:gridCol w:w="1019"/>
        <w:gridCol w:w="1284"/>
        <w:gridCol w:w="974"/>
      </w:tblGrid>
      <w:tr w:rsidR="00BC1D4B" w14:paraId="2511D8A1" w14:textId="77777777" w:rsidTr="00BC1D4B">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71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3F520C" w14:textId="77777777" w:rsidR="00BC1D4B" w:rsidRDefault="00ED1F84">
            <w:pPr>
              <w:jc w:val="center"/>
              <w:rPr>
                <w:rFonts w:ascii="Verdana" w:hAnsi="Verdana"/>
                <w:sz w:val="18"/>
                <w:szCs w:val="18"/>
                <w:lang w:val="en-US"/>
              </w:rPr>
            </w:pPr>
            <w:r>
              <w:rPr>
                <w:rFonts w:ascii="Verdana" w:hAnsi="Verdana"/>
                <w:color w:val="auto"/>
                <w:sz w:val="18"/>
                <w:szCs w:val="18"/>
                <w:lang w:val="en-US"/>
              </w:rPr>
              <w:t>Publications</w:t>
            </w:r>
          </w:p>
        </w:tc>
        <w:tc>
          <w:tcPr>
            <w:tcW w:w="8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3B8A33" w14:textId="77777777" w:rsidR="00BC1D4B" w:rsidRDefault="00ED1F84">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color w:val="auto"/>
                <w:sz w:val="18"/>
                <w:szCs w:val="18"/>
                <w:lang w:val="en-US"/>
              </w:rPr>
              <w:t>Concentrations of DPG (</w:t>
            </w:r>
            <w:r>
              <w:rPr>
                <w:rFonts w:ascii="Verdana" w:hAnsi="Verdana" w:cstheme="minorHAnsi"/>
                <w:color w:val="auto"/>
                <w:sz w:val="18"/>
                <w:szCs w:val="18"/>
                <w:lang w:val="en-US"/>
              </w:rPr>
              <w:t>µ</w:t>
            </w:r>
            <w:r>
              <w:rPr>
                <w:rFonts w:ascii="Verdana" w:hAnsi="Verdana"/>
                <w:color w:val="auto"/>
                <w:sz w:val="18"/>
                <w:szCs w:val="18"/>
                <w:lang w:val="en-US"/>
              </w:rPr>
              <w:t>g/L)</w:t>
            </w:r>
          </w:p>
        </w:tc>
        <w:tc>
          <w:tcPr>
            <w:tcW w:w="8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319952" w14:textId="77777777" w:rsidR="00BC1D4B" w:rsidRDefault="00ED1F84">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color w:val="auto"/>
                <w:sz w:val="18"/>
                <w:szCs w:val="18"/>
                <w:lang w:val="en-US"/>
              </w:rPr>
              <w:t>Concentration type</w:t>
            </w:r>
          </w:p>
        </w:tc>
        <w:tc>
          <w:tcPr>
            <w:tcW w:w="103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3D3F9" w14:textId="77777777" w:rsidR="00BC1D4B" w:rsidRDefault="00ED1F84">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color w:val="auto"/>
                <w:sz w:val="18"/>
                <w:szCs w:val="18"/>
                <w:lang w:val="en-US"/>
              </w:rPr>
              <w:t xml:space="preserve">Exposure </w:t>
            </w:r>
            <w:r>
              <w:rPr>
                <w:rFonts w:ascii="Verdana" w:hAnsi="Verdana"/>
                <w:b w:val="0"/>
                <w:color w:val="auto"/>
                <w:sz w:val="18"/>
                <w:szCs w:val="18"/>
                <w:lang w:val="en-US"/>
              </w:rPr>
              <w:t>(µg/kg bw/d)</w:t>
            </w:r>
          </w:p>
        </w:tc>
        <w:tc>
          <w:tcPr>
            <w:tcW w:w="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77FAF5" w14:textId="77777777" w:rsidR="00BC1D4B" w:rsidRDefault="00ED1F84">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color w:val="auto"/>
                <w:sz w:val="18"/>
                <w:szCs w:val="18"/>
                <w:lang w:val="en-US"/>
              </w:rPr>
              <w:t>DNEL</w:t>
            </w:r>
            <w:r>
              <w:rPr>
                <w:rFonts w:ascii="Verdana" w:hAnsi="Verdana"/>
                <w:color w:val="auto"/>
                <w:sz w:val="18"/>
                <w:szCs w:val="18"/>
                <w:vertAlign w:val="subscript"/>
                <w:lang w:val="en-US"/>
              </w:rPr>
              <w:t>ora</w:t>
            </w:r>
            <w:r>
              <w:rPr>
                <w:rFonts w:ascii="Verdana" w:hAnsi="Verdana"/>
                <w:sz w:val="18"/>
                <w:szCs w:val="18"/>
                <w:vertAlign w:val="subscript"/>
                <w:lang w:val="en-US"/>
              </w:rPr>
              <w:t>l</w:t>
            </w:r>
            <w:r>
              <w:rPr>
                <w:rFonts w:ascii="Verdana" w:hAnsi="Verdana"/>
                <w:color w:val="auto"/>
                <w:sz w:val="18"/>
                <w:szCs w:val="18"/>
                <w:lang w:val="en-US"/>
              </w:rPr>
              <w:t xml:space="preserve"> (</w:t>
            </w:r>
            <w:r>
              <w:rPr>
                <w:rFonts w:ascii="Verdana" w:eastAsia="Calibri" w:hAnsi="Verdana" w:cs="Calibri"/>
                <w:color w:val="auto"/>
                <w:sz w:val="18"/>
                <w:szCs w:val="18"/>
                <w:lang w:val="en-US"/>
              </w:rPr>
              <w:t>µ</w:t>
            </w:r>
            <w:r>
              <w:rPr>
                <w:rFonts w:ascii="Verdana" w:eastAsia="Calibri" w:hAnsi="Verdana"/>
                <w:color w:val="auto"/>
                <w:sz w:val="18"/>
                <w:szCs w:val="18"/>
                <w:lang w:val="en-US"/>
              </w:rPr>
              <w:t>g/kg bw/d)</w:t>
            </w:r>
          </w:p>
        </w:tc>
        <w:tc>
          <w:tcPr>
            <w:tcW w:w="111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E35A73" w14:textId="77777777" w:rsidR="00BC1D4B" w:rsidRDefault="00ED1F84">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color w:val="auto"/>
                <w:sz w:val="18"/>
                <w:szCs w:val="18"/>
                <w:lang w:val="en-US"/>
              </w:rPr>
              <w:t>Risk characterization</w:t>
            </w:r>
          </w:p>
        </w:tc>
      </w:tr>
      <w:tr w:rsidR="00BC1D4B" w14:paraId="1DCF3CF3" w14:textId="77777777" w:rsidTr="00BC1D4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04CB7" w14:textId="77777777" w:rsidR="00BC1D4B" w:rsidRDefault="00ED1F84">
            <w:pPr>
              <w:jc w:val="center"/>
              <w:rPr>
                <w:rFonts w:ascii="Verdana" w:hAnsi="Verdana"/>
                <w:sz w:val="18"/>
                <w:szCs w:val="18"/>
                <w:lang w:val="en-US"/>
              </w:rPr>
            </w:pPr>
            <w:r>
              <w:rPr>
                <w:rFonts w:ascii="Verdana" w:hAnsi="Verdana"/>
                <w:sz w:val="18"/>
                <w:szCs w:val="18"/>
                <w:lang w:val="en-US"/>
              </w:rPr>
              <w:t xml:space="preserve">Gollong </w:t>
            </w:r>
            <w:r>
              <w:rPr>
                <w:rFonts w:ascii="Verdana" w:hAnsi="Verdana"/>
                <w:i/>
                <w:sz w:val="18"/>
                <w:szCs w:val="18"/>
                <w:lang w:val="en-US"/>
              </w:rPr>
              <w:t>et al</w:t>
            </w:r>
            <w:r>
              <w:rPr>
                <w:rFonts w:ascii="Verdana" w:hAnsi="Verdana"/>
                <w:sz w:val="18"/>
                <w:szCs w:val="18"/>
                <w:lang w:val="en-US"/>
              </w:rPr>
              <w:t>. 2022</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BD31C"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4.10</w:t>
            </w:r>
            <w:r>
              <w:rPr>
                <w:rFonts w:ascii="Verdana" w:hAnsi="Verdana"/>
                <w:sz w:val="18"/>
                <w:szCs w:val="18"/>
                <w:vertAlign w:val="superscript"/>
                <w:lang w:val="en-US"/>
              </w:rPr>
              <w:t>-3</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EAFB7"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Median concentration</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7D173"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Adults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1E0A"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1.33.10</w:t>
            </w:r>
            <w:r>
              <w:rPr>
                <w:rFonts w:ascii="Verdana" w:hAnsi="Verdana"/>
                <w:sz w:val="18"/>
                <w:szCs w:val="18"/>
                <w:vertAlign w:val="superscript"/>
                <w:lang w:val="en-US"/>
              </w:rPr>
              <w:t>-4</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C49CF"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10</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884C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Adults</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ACCCA"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1.33.10</w:t>
            </w:r>
            <w:r>
              <w:rPr>
                <w:rFonts w:ascii="Verdana" w:hAnsi="Verdana"/>
                <w:sz w:val="18"/>
                <w:szCs w:val="18"/>
                <w:vertAlign w:val="superscript"/>
                <w:lang w:val="en-US"/>
              </w:rPr>
              <w:t>-5</w:t>
            </w:r>
          </w:p>
        </w:tc>
      </w:tr>
      <w:tr w:rsidR="00BC1D4B" w14:paraId="6FD0B959" w14:textId="77777777" w:rsidTr="00BC1D4B">
        <w:trPr>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1E868" w14:textId="77777777" w:rsidR="00BC1D4B" w:rsidRDefault="00BC1D4B">
            <w:pPr>
              <w:jc w:val="center"/>
              <w:rPr>
                <w:rFonts w:ascii="Verdana"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A51C"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42061"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AF0C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Children</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4877E"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4.10</w:t>
            </w:r>
            <w:r>
              <w:rPr>
                <w:rFonts w:ascii="Verdana" w:hAnsi="Verdana"/>
                <w:sz w:val="18"/>
                <w:szCs w:val="18"/>
                <w:vertAlign w:val="superscript"/>
                <w:lang w:val="en-US"/>
              </w:rPr>
              <w:t>-4</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ECE42"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B7984"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Children</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197FE"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4.10</w:t>
            </w:r>
            <w:r>
              <w:rPr>
                <w:rFonts w:ascii="Verdana" w:hAnsi="Verdana"/>
                <w:sz w:val="18"/>
                <w:szCs w:val="18"/>
                <w:vertAlign w:val="superscript"/>
                <w:lang w:val="en-US"/>
              </w:rPr>
              <w:t>-5</w:t>
            </w:r>
          </w:p>
        </w:tc>
      </w:tr>
      <w:tr w:rsidR="00BC1D4B" w14:paraId="52FAE97D" w14:textId="77777777" w:rsidTr="00BC1D4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36F83" w14:textId="77777777" w:rsidR="00BC1D4B" w:rsidRDefault="00BC1D4B">
            <w:pPr>
              <w:jc w:val="center"/>
              <w:rPr>
                <w:rFonts w:ascii="Verdana"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9C8E2"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C6D33"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63B55"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Infants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F04D2"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6.10</w:t>
            </w:r>
            <w:r>
              <w:rPr>
                <w:rFonts w:ascii="Verdana" w:hAnsi="Verdana"/>
                <w:sz w:val="18"/>
                <w:szCs w:val="18"/>
                <w:vertAlign w:val="superscript"/>
                <w:lang w:val="en-US"/>
              </w:rPr>
              <w:t>-4</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8B711"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3EBA7"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Infants</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455C2"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6.10</w:t>
            </w:r>
            <w:r>
              <w:rPr>
                <w:rFonts w:ascii="Verdana" w:hAnsi="Verdana"/>
                <w:sz w:val="18"/>
                <w:szCs w:val="18"/>
                <w:vertAlign w:val="superscript"/>
                <w:lang w:val="en-US"/>
              </w:rPr>
              <w:t>-5</w:t>
            </w:r>
          </w:p>
        </w:tc>
      </w:tr>
      <w:tr w:rsidR="00BC1D4B" w14:paraId="315EB65E" w14:textId="77777777" w:rsidTr="00BC1D4B">
        <w:trPr>
          <w:trHeight w:val="225"/>
        </w:trPr>
        <w:tc>
          <w:tcPr>
            <w:cnfStyle w:val="001000000000" w:firstRow="0" w:lastRow="0" w:firstColumn="1" w:lastColumn="0" w:oddVBand="0" w:evenVBand="0" w:oddHBand="0" w:evenHBand="0" w:firstRowFirstColumn="0" w:firstRowLastColumn="0" w:lastRowFirstColumn="0" w:lastRowLastColumn="0"/>
            <w:tcW w:w="7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3D8B" w14:textId="77777777" w:rsidR="00BC1D4B" w:rsidRDefault="00ED1F84">
            <w:pPr>
              <w:jc w:val="center"/>
              <w:rPr>
                <w:rFonts w:ascii="Verdana" w:hAnsi="Verdana"/>
                <w:sz w:val="18"/>
                <w:szCs w:val="18"/>
                <w:lang w:val="en-US"/>
              </w:rPr>
            </w:pPr>
            <w:r>
              <w:rPr>
                <w:rFonts w:ascii="Verdana" w:hAnsi="Verdana"/>
                <w:sz w:val="18"/>
                <w:szCs w:val="18"/>
                <w:lang w:val="en-US"/>
              </w:rPr>
              <w:t xml:space="preserve">Tang </w:t>
            </w:r>
            <w:r>
              <w:rPr>
                <w:rFonts w:ascii="Verdana" w:hAnsi="Verdana"/>
                <w:i/>
                <w:sz w:val="18"/>
                <w:szCs w:val="18"/>
                <w:lang w:val="en-US"/>
              </w:rPr>
              <w:t>et al</w:t>
            </w:r>
            <w:r>
              <w:rPr>
                <w:rFonts w:ascii="Verdana" w:hAnsi="Verdana"/>
                <w:sz w:val="18"/>
                <w:szCs w:val="18"/>
                <w:lang w:val="en-US"/>
              </w:rPr>
              <w:t>. 2015</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1F53B"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470</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9BC77"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Maximal concentration</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FE783"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Adults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174F7"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15.67</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1029E"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E4DE6"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Adults</w:t>
            </w:r>
          </w:p>
        </w:tc>
        <w:tc>
          <w:tcPr>
            <w:tcW w:w="477" w:type="pct"/>
            <w:tcBorders>
              <w:top w:val="single" w:sz="4" w:space="0" w:color="auto"/>
              <w:left w:val="single" w:sz="4" w:space="0" w:color="auto"/>
              <w:bottom w:val="single" w:sz="4" w:space="0" w:color="auto"/>
              <w:right w:val="single" w:sz="4" w:space="0" w:color="auto"/>
            </w:tcBorders>
            <w:shd w:val="clear" w:color="auto" w:fill="FF0000"/>
            <w:vAlign w:val="center"/>
          </w:tcPr>
          <w:p w14:paraId="7DBF5CF9"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1.567</w:t>
            </w:r>
          </w:p>
        </w:tc>
      </w:tr>
      <w:tr w:rsidR="00BC1D4B" w14:paraId="18A59910" w14:textId="77777777" w:rsidTr="00BC1D4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6FC02" w14:textId="77777777" w:rsidR="00BC1D4B" w:rsidRDefault="00BC1D4B">
            <w:pPr>
              <w:jc w:val="center"/>
              <w:rPr>
                <w:rFonts w:ascii="Verdana"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E939E"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20BC3"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9F8E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Children</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9CB1"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47</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0FAAF"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D0E2"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Children</w:t>
            </w:r>
          </w:p>
        </w:tc>
        <w:tc>
          <w:tcPr>
            <w:tcW w:w="477" w:type="pct"/>
            <w:tcBorders>
              <w:top w:val="single" w:sz="4" w:space="0" w:color="auto"/>
              <w:left w:val="single" w:sz="4" w:space="0" w:color="auto"/>
              <w:bottom w:val="single" w:sz="4" w:space="0" w:color="auto"/>
              <w:right w:val="single" w:sz="4" w:space="0" w:color="auto"/>
            </w:tcBorders>
            <w:shd w:val="clear" w:color="auto" w:fill="FF0000"/>
            <w:vAlign w:val="center"/>
          </w:tcPr>
          <w:p w14:paraId="4423489D"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4.7</w:t>
            </w:r>
          </w:p>
        </w:tc>
      </w:tr>
      <w:tr w:rsidR="00BC1D4B" w14:paraId="31E45125" w14:textId="77777777" w:rsidTr="00BC1D4B">
        <w:trPr>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DAF1D" w14:textId="77777777" w:rsidR="00BC1D4B" w:rsidRDefault="00BC1D4B">
            <w:pPr>
              <w:jc w:val="center"/>
              <w:rPr>
                <w:rFonts w:ascii="Verdana"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3BD21"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B93C6"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0E546"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Infants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8A02C"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70.5</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587A3"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12EEA"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Infants</w:t>
            </w:r>
          </w:p>
        </w:tc>
        <w:tc>
          <w:tcPr>
            <w:tcW w:w="477" w:type="pct"/>
            <w:tcBorders>
              <w:top w:val="single" w:sz="4" w:space="0" w:color="auto"/>
              <w:left w:val="single" w:sz="4" w:space="0" w:color="auto"/>
              <w:bottom w:val="single" w:sz="4" w:space="0" w:color="auto"/>
              <w:right w:val="single" w:sz="4" w:space="0" w:color="auto"/>
            </w:tcBorders>
            <w:shd w:val="clear" w:color="auto" w:fill="FF0000"/>
            <w:vAlign w:val="center"/>
          </w:tcPr>
          <w:p w14:paraId="3A71916A"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7.05</w:t>
            </w:r>
          </w:p>
        </w:tc>
      </w:tr>
      <w:tr w:rsidR="00BC1D4B" w14:paraId="45757F72" w14:textId="77777777" w:rsidTr="00BC1D4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9D6C7" w14:textId="77777777" w:rsidR="00BC1D4B" w:rsidRDefault="00ED1F84">
            <w:pPr>
              <w:jc w:val="center"/>
              <w:rPr>
                <w:rFonts w:ascii="Verdana" w:hAnsi="Verdana"/>
                <w:sz w:val="18"/>
                <w:szCs w:val="18"/>
                <w:lang w:val="en-US"/>
              </w:rPr>
            </w:pPr>
            <w:r>
              <w:rPr>
                <w:rFonts w:ascii="Verdana" w:hAnsi="Verdana"/>
                <w:sz w:val="18"/>
                <w:szCs w:val="18"/>
                <w:lang w:val="en-US"/>
              </w:rPr>
              <w:t xml:space="preserve">Neuwald </w:t>
            </w:r>
            <w:r>
              <w:rPr>
                <w:rFonts w:ascii="Verdana" w:hAnsi="Verdana"/>
                <w:i/>
                <w:sz w:val="18"/>
                <w:szCs w:val="18"/>
                <w:lang w:val="en-US"/>
              </w:rPr>
              <w:t>et al</w:t>
            </w:r>
            <w:r>
              <w:rPr>
                <w:rFonts w:ascii="Verdana" w:hAnsi="Verdana"/>
                <w:sz w:val="18"/>
                <w:szCs w:val="18"/>
                <w:lang w:val="en-US"/>
              </w:rPr>
              <w:t>. 2022</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15E11"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1.7.10</w:t>
            </w:r>
            <w:r>
              <w:rPr>
                <w:rFonts w:ascii="Verdana" w:hAnsi="Verdana"/>
                <w:sz w:val="18"/>
                <w:szCs w:val="18"/>
                <w:vertAlign w:val="superscript"/>
                <w:lang w:val="en-US"/>
              </w:rPr>
              <w:t>-4</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A0D9"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Median concentration</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1632D"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Adults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66D9F"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5.67.10</w:t>
            </w:r>
            <w:r>
              <w:rPr>
                <w:rFonts w:ascii="Verdana" w:hAnsi="Verdana"/>
                <w:sz w:val="18"/>
                <w:szCs w:val="18"/>
                <w:vertAlign w:val="superscript"/>
                <w:lang w:val="en-US"/>
              </w:rPr>
              <w:t>-6</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8300B"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81A8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Adults</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2CC6"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5.67.10</w:t>
            </w:r>
            <w:r>
              <w:rPr>
                <w:rFonts w:ascii="Verdana" w:hAnsi="Verdana"/>
                <w:sz w:val="18"/>
                <w:szCs w:val="18"/>
                <w:vertAlign w:val="superscript"/>
                <w:lang w:val="en-US"/>
              </w:rPr>
              <w:t>-7</w:t>
            </w:r>
          </w:p>
        </w:tc>
      </w:tr>
      <w:tr w:rsidR="00BC1D4B" w14:paraId="00D193EE" w14:textId="77777777" w:rsidTr="00BC1D4B">
        <w:trPr>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7183F" w14:textId="77777777" w:rsidR="00BC1D4B" w:rsidRDefault="00BC1D4B">
            <w:pPr>
              <w:jc w:val="center"/>
              <w:rPr>
                <w:rFonts w:ascii="Verdana"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A0EF0"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BF629"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F6F2A"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Children</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88A27"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1.7.10</w:t>
            </w:r>
            <w:r>
              <w:rPr>
                <w:rFonts w:ascii="Verdana" w:hAnsi="Verdana"/>
                <w:sz w:val="18"/>
                <w:szCs w:val="18"/>
                <w:vertAlign w:val="superscript"/>
                <w:lang w:val="en-US"/>
              </w:rPr>
              <w:t>-5</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8E996"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5FD3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Children</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07CD3"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1.7.10</w:t>
            </w:r>
            <w:r>
              <w:rPr>
                <w:rFonts w:ascii="Verdana" w:hAnsi="Verdana"/>
                <w:sz w:val="18"/>
                <w:szCs w:val="18"/>
                <w:vertAlign w:val="superscript"/>
                <w:lang w:val="en-US"/>
              </w:rPr>
              <w:t>-6</w:t>
            </w:r>
          </w:p>
        </w:tc>
      </w:tr>
      <w:tr w:rsidR="00BC1D4B" w14:paraId="12645CE5" w14:textId="77777777" w:rsidTr="00BC1D4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4CCCF" w14:textId="77777777" w:rsidR="00BC1D4B" w:rsidRDefault="00BC1D4B">
            <w:pPr>
              <w:jc w:val="center"/>
              <w:rPr>
                <w:rFonts w:ascii="Verdana"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1CF48"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9D754"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69EC4"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Infants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5723C"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2.55.10</w:t>
            </w:r>
            <w:r>
              <w:rPr>
                <w:rFonts w:ascii="Verdana" w:hAnsi="Verdana"/>
                <w:sz w:val="18"/>
                <w:szCs w:val="18"/>
                <w:vertAlign w:val="superscript"/>
                <w:lang w:val="en-US"/>
              </w:rPr>
              <w:t>-5</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C4800"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330E5"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Infants</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795A3"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vertAlign w:val="superscript"/>
                <w:lang w:val="en-US"/>
              </w:rPr>
            </w:pPr>
            <w:r>
              <w:rPr>
                <w:rFonts w:ascii="Verdana" w:hAnsi="Verdana"/>
                <w:sz w:val="18"/>
                <w:szCs w:val="18"/>
                <w:lang w:val="en-US"/>
              </w:rPr>
              <w:t>2.55.10</w:t>
            </w:r>
            <w:r>
              <w:rPr>
                <w:rFonts w:ascii="Verdana" w:hAnsi="Verdana"/>
                <w:sz w:val="18"/>
                <w:szCs w:val="18"/>
                <w:vertAlign w:val="superscript"/>
                <w:lang w:val="en-US"/>
              </w:rPr>
              <w:t>-6</w:t>
            </w:r>
          </w:p>
        </w:tc>
      </w:tr>
    </w:tbl>
    <w:p w14:paraId="2F4C6607" w14:textId="77777777" w:rsidR="00BC1D4B" w:rsidRDefault="00BC1D4B">
      <w:pPr>
        <w:pStyle w:val="Corpsdetexte"/>
        <w:jc w:val="both"/>
        <w:rPr>
          <w:rFonts w:ascii="Verdana" w:hAnsi="Verdana"/>
          <w:sz w:val="20"/>
          <w:lang w:val="en-US"/>
        </w:rPr>
      </w:pPr>
    </w:p>
    <w:p w14:paraId="20F2F429" w14:textId="3AD502E4" w:rsidR="00BC1D4B" w:rsidRDefault="00ED1F84">
      <w:pPr>
        <w:pStyle w:val="Corpsdetexte"/>
        <w:jc w:val="both"/>
        <w:rPr>
          <w:rFonts w:ascii="Verdana" w:hAnsi="Verdana"/>
          <w:sz w:val="20"/>
          <w:lang w:val="en-US"/>
        </w:rPr>
      </w:pPr>
      <w:r>
        <w:rPr>
          <w:rFonts w:ascii="Verdana" w:hAnsi="Verdana"/>
          <w:sz w:val="20"/>
          <w:lang w:val="en-US"/>
        </w:rPr>
        <w:t xml:space="preserve">Overall, risks were highlighted when the maximal DPG concentration from the Tang </w:t>
      </w:r>
      <w:r>
        <w:rPr>
          <w:rFonts w:ascii="Verdana" w:hAnsi="Verdana"/>
          <w:i/>
          <w:sz w:val="20"/>
          <w:lang w:val="en-US"/>
        </w:rPr>
        <w:t>et al</w:t>
      </w:r>
      <w:r>
        <w:rPr>
          <w:rFonts w:ascii="Verdana" w:hAnsi="Verdana"/>
          <w:sz w:val="20"/>
          <w:lang w:val="en-US"/>
        </w:rPr>
        <w:t>. (2015) study was considered. In this study, DPG is found to be migrating from high density polyethylene (HDPE) pipe material used for water distribution. It is important to note that there are significant disparities in DPG concentrations between the publications</w:t>
      </w:r>
      <w:r w:rsidR="00750E91">
        <w:rPr>
          <w:rFonts w:ascii="Verdana" w:hAnsi="Verdana"/>
          <w:sz w:val="20"/>
          <w:lang w:val="en-US"/>
        </w:rPr>
        <w:t xml:space="preserve"> that could be related to</w:t>
      </w:r>
      <w:r w:rsidR="006376DC">
        <w:rPr>
          <w:rFonts w:ascii="Verdana" w:hAnsi="Verdana"/>
          <w:sz w:val="20"/>
          <w:lang w:val="en-US"/>
        </w:rPr>
        <w:t xml:space="preserve"> the source and quality of water, and the value used to describe the data set (maximal or median concentration)</w:t>
      </w:r>
      <w:r>
        <w:rPr>
          <w:rFonts w:ascii="Verdana" w:hAnsi="Verdana"/>
          <w:sz w:val="20"/>
          <w:lang w:val="en-US"/>
        </w:rPr>
        <w:t xml:space="preserve">. </w:t>
      </w:r>
    </w:p>
    <w:p w14:paraId="074D8A27" w14:textId="77777777" w:rsidR="00BC1D4B" w:rsidRDefault="00ED1F84">
      <w:pPr>
        <w:pStyle w:val="Corpsdetexte"/>
        <w:jc w:val="both"/>
        <w:rPr>
          <w:rFonts w:ascii="Verdana" w:hAnsi="Verdana"/>
          <w:b/>
          <w:sz w:val="20"/>
          <w:lang w:val="en-US"/>
        </w:rPr>
      </w:pPr>
      <w:r>
        <w:rPr>
          <w:rFonts w:ascii="Verdana" w:hAnsi="Verdana"/>
          <w:b/>
          <w:sz w:val="20"/>
          <w:lang w:val="en-US"/>
        </w:rPr>
        <w:t xml:space="preserve">Dust ingestion: </w:t>
      </w:r>
    </w:p>
    <w:p w14:paraId="44B9A0E8" w14:textId="77777777" w:rsidR="00BC1D4B" w:rsidRDefault="00ED1F84">
      <w:pPr>
        <w:pStyle w:val="Corpsdetexte"/>
        <w:jc w:val="both"/>
        <w:rPr>
          <w:rFonts w:ascii="Verdana" w:hAnsi="Verdana"/>
          <w:sz w:val="20"/>
          <w:lang w:val="en-US"/>
        </w:rPr>
      </w:pPr>
      <w:r>
        <w:rPr>
          <w:rFonts w:ascii="Verdana" w:hAnsi="Verdana"/>
          <w:sz w:val="20"/>
          <w:lang w:val="en-US"/>
        </w:rPr>
        <w:t>Risk estimation was performed for the publication below in where an exposure assessment to DPG was conducted.</w:t>
      </w:r>
    </w:p>
    <w:p w14:paraId="205EBA9A" w14:textId="77777777" w:rsidR="00BC1D4B" w:rsidRDefault="00ED1F84">
      <w:pPr>
        <w:pStyle w:val="Corpsdetexte"/>
        <w:jc w:val="both"/>
        <w:rPr>
          <w:rFonts w:ascii="Verdana" w:hAnsi="Verdana"/>
          <w:sz w:val="20"/>
          <w:lang w:val="en-US"/>
        </w:rPr>
      </w:pPr>
      <w:r>
        <w:rPr>
          <w:rFonts w:ascii="Verdana" w:hAnsi="Verdana"/>
          <w:sz w:val="20"/>
          <w:lang w:val="en-US"/>
        </w:rPr>
        <w:t xml:space="preserve">Li &amp; Kannan (2023) assessed human exposure to DPG through dust ingestion and the following ranges were 0.07−4.40, 0.09−5.20, 0.03−1.70, 0.02−1.04, and 0.01−0.87 ng/kg body weight (BW)/day for infants, toddlers, children, teenagers, and adults, respectively. These exposure are all below the DNEL recommended by aMSCA. Concentrations reported in other studies (Tan </w:t>
      </w:r>
      <w:r>
        <w:rPr>
          <w:rFonts w:ascii="Verdana" w:hAnsi="Verdana"/>
          <w:i/>
          <w:sz w:val="20"/>
          <w:lang w:val="en-US"/>
        </w:rPr>
        <w:t>et al</w:t>
      </w:r>
      <w:r>
        <w:rPr>
          <w:rFonts w:ascii="Verdana" w:hAnsi="Verdana"/>
          <w:sz w:val="20"/>
          <w:lang w:val="en-US"/>
        </w:rPr>
        <w:t xml:space="preserve">., 2021 and Shin </w:t>
      </w:r>
      <w:r>
        <w:rPr>
          <w:rFonts w:ascii="Verdana" w:hAnsi="Verdana"/>
          <w:i/>
          <w:sz w:val="20"/>
          <w:lang w:val="en-US"/>
        </w:rPr>
        <w:t>et al</w:t>
      </w:r>
      <w:r>
        <w:rPr>
          <w:rFonts w:ascii="Verdana" w:hAnsi="Verdana"/>
          <w:sz w:val="20"/>
          <w:lang w:val="en-US"/>
        </w:rPr>
        <w:t xml:space="preserve">., 2020) were in the same range of concentrations. </w:t>
      </w:r>
    </w:p>
    <w:p w14:paraId="6D296302" w14:textId="77777777" w:rsidR="00BC1D4B" w:rsidRDefault="00BC1D4B">
      <w:pPr>
        <w:spacing w:after="0"/>
        <w:jc w:val="both"/>
        <w:rPr>
          <w:rFonts w:ascii="Verdana" w:hAnsi="Verdana" w:cs="Verdana"/>
          <w:color w:val="000000"/>
          <w:sz w:val="20"/>
          <w:szCs w:val="20"/>
        </w:rPr>
      </w:pPr>
    </w:p>
    <w:p w14:paraId="67C8455A" w14:textId="77777777" w:rsidR="00BC1D4B" w:rsidRDefault="00BC1D4B">
      <w:pPr>
        <w:pStyle w:val="Corpsdetexte"/>
        <w:jc w:val="both"/>
        <w:rPr>
          <w:rFonts w:ascii="Verdana" w:eastAsia="Calibri" w:hAnsi="Verdana"/>
          <w:b/>
          <w:sz w:val="20"/>
          <w:szCs w:val="20"/>
        </w:rPr>
      </w:pPr>
    </w:p>
    <w:p w14:paraId="091970D4" w14:textId="77777777" w:rsidR="00BC1D4B" w:rsidRDefault="00BC1D4B">
      <w:pPr>
        <w:pStyle w:val="Corpsdetexte"/>
        <w:jc w:val="both"/>
        <w:rPr>
          <w:rFonts w:ascii="Verdana" w:eastAsia="Calibri" w:hAnsi="Verdana"/>
          <w:b/>
          <w:sz w:val="20"/>
          <w:szCs w:val="20"/>
        </w:rPr>
      </w:pPr>
    </w:p>
    <w:p w14:paraId="300A3468" w14:textId="79B1861A" w:rsidR="00BC1D4B" w:rsidRDefault="00ED1F84">
      <w:pPr>
        <w:pStyle w:val="Corpsdetexte"/>
        <w:jc w:val="both"/>
        <w:rPr>
          <w:rFonts w:ascii="Verdana" w:eastAsia="Calibri" w:hAnsi="Verdana"/>
          <w:b/>
          <w:sz w:val="20"/>
          <w:szCs w:val="20"/>
        </w:rPr>
      </w:pPr>
      <w:r>
        <w:rPr>
          <w:rFonts w:ascii="Verdana" w:eastAsia="Calibri" w:hAnsi="Verdana"/>
          <w:b/>
          <w:sz w:val="20"/>
          <w:szCs w:val="20"/>
        </w:rPr>
        <w:t xml:space="preserve">In conclusion, when considering all the exposure scenarios presented in the CSRs and the revised DNELs recommended by the aMSCA, some RCR are between </w:t>
      </w:r>
      <w:r w:rsidR="00750E91">
        <w:rPr>
          <w:rFonts w:ascii="Verdana" w:eastAsia="Calibri" w:hAnsi="Verdana"/>
          <w:b/>
          <w:sz w:val="20"/>
          <w:szCs w:val="20"/>
        </w:rPr>
        <w:t>&gt;</w:t>
      </w:r>
      <w:r>
        <w:rPr>
          <w:rFonts w:ascii="Verdana" w:eastAsia="Calibri" w:hAnsi="Verdana"/>
          <w:b/>
          <w:sz w:val="20"/>
          <w:szCs w:val="20"/>
        </w:rPr>
        <w:t>1 and 1.61:</w:t>
      </w:r>
    </w:p>
    <w:p w14:paraId="128946E3" w14:textId="77777777" w:rsidR="00BC1D4B" w:rsidRDefault="00ED1F84" w:rsidP="00563EB3">
      <w:pPr>
        <w:pStyle w:val="Corpsdetexte"/>
        <w:numPr>
          <w:ilvl w:val="0"/>
          <w:numId w:val="25"/>
        </w:numPr>
        <w:tabs>
          <w:tab w:val="num" w:pos="360"/>
        </w:tabs>
        <w:jc w:val="both"/>
        <w:rPr>
          <w:rFonts w:ascii="Verdana" w:eastAsia="Calibri" w:hAnsi="Verdana"/>
          <w:b/>
          <w:sz w:val="20"/>
          <w:szCs w:val="20"/>
        </w:rPr>
      </w:pPr>
      <w:r>
        <w:rPr>
          <w:rFonts w:ascii="Verdana" w:eastAsia="Calibri" w:hAnsi="Verdana"/>
          <w:b/>
          <w:sz w:val="20"/>
          <w:szCs w:val="20"/>
        </w:rPr>
        <w:t>most scenarios for industrial workers and several scenarios for professional workers</w:t>
      </w:r>
    </w:p>
    <w:p w14:paraId="3771226B" w14:textId="669E02AE" w:rsidR="00BC1D4B" w:rsidRDefault="00ED1F84" w:rsidP="00563EB3">
      <w:pPr>
        <w:pStyle w:val="Corpsdetexte"/>
        <w:numPr>
          <w:ilvl w:val="0"/>
          <w:numId w:val="25"/>
        </w:numPr>
        <w:tabs>
          <w:tab w:val="num" w:pos="360"/>
        </w:tabs>
        <w:jc w:val="both"/>
        <w:rPr>
          <w:rFonts w:ascii="Verdana" w:eastAsia="Calibri" w:hAnsi="Verdana"/>
          <w:b/>
          <w:sz w:val="20"/>
          <w:szCs w:val="20"/>
        </w:rPr>
      </w:pPr>
      <w:r>
        <w:rPr>
          <w:rFonts w:ascii="Verdana" w:eastAsia="Calibri" w:hAnsi="Verdana"/>
          <w:b/>
          <w:sz w:val="20"/>
          <w:szCs w:val="20"/>
        </w:rPr>
        <w:t>change of new tyres by consumers (RCR =1.13)</w:t>
      </w:r>
    </w:p>
    <w:p w14:paraId="0A42464E" w14:textId="77777777" w:rsidR="00BC1D4B" w:rsidRDefault="00ED1F84">
      <w:pPr>
        <w:pStyle w:val="Corpsdetexte"/>
        <w:jc w:val="both"/>
        <w:rPr>
          <w:rFonts w:ascii="Verdana" w:eastAsia="Calibri" w:hAnsi="Verdana"/>
          <w:sz w:val="20"/>
          <w:szCs w:val="20"/>
        </w:rPr>
      </w:pPr>
      <w:r>
        <w:rPr>
          <w:rFonts w:ascii="Verdana" w:eastAsia="Calibri" w:hAnsi="Verdana"/>
          <w:sz w:val="20"/>
          <w:szCs w:val="20"/>
        </w:rPr>
        <w:t>It has to be noted that in most of the exposure scenario (except for scenario 1a and 1b), only a Tier I assessment tool was used. Moreover, dermal route is identified as a significant route of exposure in many of the exposure scenario in which RCR were greater than 1 and the RMMs did not systematically include glove wearing. Gloves may be added to lower the risks. Additional operational conditions (OCs) and RMMs may be also implemented. However, it is noted that implementation and compliance to additional OCs and RMMs may be more difficult to achieve in professional situations than in industrial installation.</w:t>
      </w:r>
    </w:p>
    <w:p w14:paraId="2B8FD33D" w14:textId="105EB2B0" w:rsidR="00BC1D4B" w:rsidRDefault="00ED1F84">
      <w:pPr>
        <w:pStyle w:val="Corpsdetexte"/>
        <w:jc w:val="both"/>
        <w:rPr>
          <w:rFonts w:ascii="Verdana" w:eastAsia="Calibri" w:hAnsi="Verdana"/>
          <w:sz w:val="20"/>
          <w:szCs w:val="20"/>
        </w:rPr>
      </w:pPr>
      <w:r>
        <w:rPr>
          <w:rFonts w:ascii="Verdana" w:eastAsia="Calibri" w:hAnsi="Verdana"/>
          <w:b/>
          <w:sz w:val="20"/>
          <w:szCs w:val="20"/>
        </w:rPr>
        <w:t xml:space="preserve">Considering the low magnitude of risks, exposure assessment with Tier II tools and addition of RMM may result in refinement and possibly control of </w:t>
      </w:r>
      <w:r>
        <w:rPr>
          <w:rFonts w:ascii="Verdana" w:eastAsia="Calibri" w:hAnsi="Verdana"/>
          <w:b/>
          <w:sz w:val="20"/>
          <w:szCs w:val="20"/>
        </w:rPr>
        <w:lastRenderedPageBreak/>
        <w:t>risks. The aMSCA therefore recommend that registration dossiers above 10 tpa are updated considering the DNEL as described in section 1.4.2 and section 2.1.1 of Annex I to provide demonstration that risks are adequately controlled for all registered uses of the substance.</w:t>
      </w:r>
      <w:r>
        <w:rPr>
          <w:rFonts w:ascii="Verdana" w:eastAsia="Calibri" w:hAnsi="Verdana"/>
          <w:sz w:val="20"/>
          <w:szCs w:val="20"/>
        </w:rPr>
        <w:t xml:space="preserve"> </w:t>
      </w:r>
      <w:r w:rsidR="001C4F9F">
        <w:rPr>
          <w:rFonts w:ascii="Verdana" w:eastAsia="Calibri" w:hAnsi="Verdana"/>
          <w:sz w:val="20"/>
          <w:szCs w:val="20"/>
        </w:rPr>
        <w:t>It is however not possible for the aMSCA to go further in the analysis. D</w:t>
      </w:r>
      <w:r>
        <w:rPr>
          <w:rFonts w:ascii="Verdana" w:eastAsia="Calibri" w:hAnsi="Verdana"/>
          <w:sz w:val="20"/>
          <w:szCs w:val="20"/>
        </w:rPr>
        <w:t xml:space="preserve">espite a refinement and the addition of OCs and RMMs, </w:t>
      </w:r>
      <w:r w:rsidR="00970A20">
        <w:rPr>
          <w:rFonts w:ascii="Verdana" w:eastAsia="Calibri" w:hAnsi="Verdana"/>
          <w:sz w:val="20"/>
          <w:szCs w:val="20"/>
        </w:rPr>
        <w:t>there is a possibility that</w:t>
      </w:r>
      <w:r w:rsidR="001C4F9F">
        <w:rPr>
          <w:rFonts w:ascii="Verdana" w:eastAsia="Calibri" w:hAnsi="Verdana"/>
          <w:sz w:val="20"/>
          <w:szCs w:val="20"/>
        </w:rPr>
        <w:t xml:space="preserve"> </w:t>
      </w:r>
      <w:r>
        <w:rPr>
          <w:rFonts w:ascii="Verdana" w:eastAsia="Calibri" w:hAnsi="Verdana"/>
          <w:sz w:val="20"/>
          <w:szCs w:val="20"/>
        </w:rPr>
        <w:t xml:space="preserve">risks remain. </w:t>
      </w:r>
    </w:p>
    <w:p w14:paraId="0110B51D" w14:textId="77777777" w:rsidR="00BC1D4B" w:rsidRDefault="00ED1F84">
      <w:pPr>
        <w:pStyle w:val="Corpsdetexte"/>
        <w:jc w:val="both"/>
        <w:rPr>
          <w:rFonts w:ascii="Verdana" w:eastAsia="Calibri" w:hAnsi="Verdana"/>
          <w:sz w:val="20"/>
          <w:szCs w:val="20"/>
        </w:rPr>
      </w:pPr>
      <w:r>
        <w:rPr>
          <w:rFonts w:ascii="Verdana" w:eastAsia="Calibri" w:hAnsi="Verdana"/>
          <w:b/>
          <w:sz w:val="20"/>
          <w:szCs w:val="20"/>
        </w:rPr>
        <w:t xml:space="preserve">Besides, in addition to the information given in the CSR, data from the literature provided indications of sources of exposure to DPG. </w:t>
      </w:r>
      <w:r>
        <w:rPr>
          <w:rFonts w:ascii="Verdana" w:eastAsia="Calibri" w:hAnsi="Verdana"/>
          <w:sz w:val="20"/>
          <w:szCs w:val="20"/>
        </w:rPr>
        <w:t xml:space="preserve">Contact allergy due to the presence of DPG in gloves, shoes and socks is reported. DPG was detected in drinking water and drinking water sources in several publications. DPG was also detected in indoor dust and in the air of megacities in countries across the word. It can be noted that DPG concentrations varied a lot between publications. This may be explained by the differences of sensitivity in the detection methods. Other parameters may also have influenced but are not known. The identified and possible sources include releases from tire particles, from the use of rubber goods and in particular from pipes used in drinking water distribution. One publication also reported the contamination of pharmaceutical products by DPG coming from the material used to manipulate the drugs. </w:t>
      </w:r>
    </w:p>
    <w:p w14:paraId="7900C883" w14:textId="77777777" w:rsidR="00BC1D4B" w:rsidRDefault="00ED1F84">
      <w:pPr>
        <w:spacing w:after="0"/>
        <w:jc w:val="both"/>
        <w:rPr>
          <w:rFonts w:ascii="Verdana" w:hAnsi="Verdana"/>
          <w:sz w:val="20"/>
          <w:szCs w:val="20"/>
          <w:lang w:val="en-US"/>
        </w:rPr>
      </w:pPr>
      <w:r>
        <w:rPr>
          <w:rFonts w:ascii="Verdana" w:hAnsi="Verdana" w:cs="Verdana"/>
          <w:color w:val="000000"/>
          <w:sz w:val="20"/>
          <w:szCs w:val="20"/>
          <w:lang w:val="en-US"/>
        </w:rPr>
        <w:t xml:space="preserve">Risk calculation were performed with the concentrations of DPG in water (drinking water and drinking water sources) from 3 publications. Risks were determined for infants, children and adults for the concentration of </w:t>
      </w:r>
      <w:r>
        <w:rPr>
          <w:rFonts w:ascii="Verdana" w:hAnsi="Verdana"/>
          <w:sz w:val="20"/>
          <w:szCs w:val="20"/>
          <w:lang w:val="en-US"/>
        </w:rPr>
        <w:t xml:space="preserve">470 µg/L of DPG in drinking water (Tang et al. 2015). The origin of DPG in this publication is from migration from HDPE pipes material. This type of pipe is also used in Europe (Diera </w:t>
      </w:r>
      <w:r>
        <w:rPr>
          <w:rFonts w:ascii="Verdana" w:hAnsi="Verdana"/>
          <w:i/>
          <w:sz w:val="20"/>
          <w:szCs w:val="20"/>
          <w:lang w:val="en-US"/>
        </w:rPr>
        <w:t>et al</w:t>
      </w:r>
      <w:r>
        <w:rPr>
          <w:rFonts w:ascii="Verdana" w:hAnsi="Verdana"/>
          <w:sz w:val="20"/>
          <w:szCs w:val="20"/>
          <w:lang w:val="en-US"/>
        </w:rPr>
        <w:t xml:space="preserve">., 2023). However, it is difficult to know if the material composition in China and in Europe is similar. Therefore, it is not known whether the concentration reported in the publication of Tang </w:t>
      </w:r>
      <w:r>
        <w:rPr>
          <w:rFonts w:ascii="Verdana" w:hAnsi="Verdana"/>
          <w:i/>
          <w:sz w:val="20"/>
          <w:szCs w:val="20"/>
          <w:lang w:val="en-US"/>
        </w:rPr>
        <w:t>et al</w:t>
      </w:r>
      <w:r>
        <w:rPr>
          <w:rFonts w:ascii="Verdana" w:hAnsi="Verdana"/>
          <w:sz w:val="20"/>
          <w:szCs w:val="20"/>
          <w:lang w:val="en-US"/>
        </w:rPr>
        <w:t>. (2015) is representative of the DPG concentration in drinking water in Europe. Nevertheless, a potential risk due to the presence of DPG in drinking water cannot be dismissed.</w:t>
      </w:r>
    </w:p>
    <w:p w14:paraId="2E194586" w14:textId="77777777" w:rsidR="00BC1D4B" w:rsidRDefault="00BC1D4B">
      <w:pPr>
        <w:spacing w:after="0"/>
        <w:jc w:val="both"/>
        <w:rPr>
          <w:rFonts w:ascii="Verdana" w:hAnsi="Verdana" w:cs="Verdana"/>
          <w:color w:val="000000"/>
          <w:sz w:val="20"/>
          <w:szCs w:val="20"/>
          <w:lang w:val="en-US"/>
        </w:rPr>
      </w:pPr>
    </w:p>
    <w:p w14:paraId="1A8CF555" w14:textId="1556B758" w:rsidR="00BC1D4B" w:rsidRDefault="00ED1F84">
      <w:pPr>
        <w:spacing w:after="0"/>
        <w:jc w:val="both"/>
        <w:rPr>
          <w:rFonts w:ascii="Verdana" w:hAnsi="Verdana" w:cs="Verdana"/>
          <w:color w:val="000000"/>
          <w:sz w:val="20"/>
          <w:szCs w:val="20"/>
          <w:lang w:val="en-US"/>
        </w:rPr>
      </w:pPr>
      <w:r>
        <w:rPr>
          <w:rFonts w:ascii="Verdana" w:hAnsi="Verdana" w:cs="Verdana"/>
          <w:color w:val="000000"/>
          <w:sz w:val="20"/>
          <w:szCs w:val="20"/>
          <w:lang w:val="en-US"/>
        </w:rPr>
        <w:t xml:space="preserve">Overall, DPG has been detected in many sources other than those covered by the exposure scenario of the CSRs and the extent of the articles where DPG is present is not known. </w:t>
      </w:r>
      <w:r>
        <w:rPr>
          <w:rFonts w:ascii="Verdana" w:hAnsi="Verdana" w:cs="Verdana"/>
          <w:b/>
          <w:color w:val="000000"/>
          <w:sz w:val="20"/>
          <w:szCs w:val="20"/>
          <w:lang w:val="en-US"/>
        </w:rPr>
        <w:t>T</w:t>
      </w:r>
      <w:r>
        <w:rPr>
          <w:rFonts w:ascii="Verdana" w:hAnsi="Verdana" w:cs="Verdana"/>
          <w:b/>
          <w:color w:val="000000"/>
          <w:sz w:val="20"/>
          <w:szCs w:val="20"/>
        </w:rPr>
        <w:t>his raise uncertainties on the representativeness of the exposure scenarios presented in the CSR regarding the possible extent of the articles in which DPG is present. There are also uncertainties on the residual amount of DPG present in articles for which no data has been found in the literature.</w:t>
      </w:r>
    </w:p>
    <w:p w14:paraId="2CAC7494" w14:textId="77777777" w:rsidR="00BC1D4B" w:rsidRDefault="00BC1D4B">
      <w:pPr>
        <w:spacing w:after="0"/>
        <w:jc w:val="both"/>
        <w:rPr>
          <w:rFonts w:ascii="Verdana" w:hAnsi="Verdana" w:cs="Verdana"/>
          <w:color w:val="000000"/>
          <w:sz w:val="20"/>
          <w:szCs w:val="20"/>
          <w:lang w:val="en-US"/>
        </w:rPr>
      </w:pPr>
    </w:p>
    <w:p w14:paraId="6F011C2B" w14:textId="77777777" w:rsidR="00BC1D4B" w:rsidRDefault="00ED1F84">
      <w:pPr>
        <w:spacing w:after="0"/>
        <w:jc w:val="both"/>
        <w:rPr>
          <w:rFonts w:ascii="Verdana" w:hAnsi="Verdana" w:cs="Verdana"/>
          <w:color w:val="000000"/>
          <w:sz w:val="20"/>
          <w:szCs w:val="20"/>
          <w:lang w:val="en-US"/>
        </w:rPr>
      </w:pPr>
      <w:r>
        <w:rPr>
          <w:rFonts w:ascii="Verdana" w:hAnsi="Verdana" w:cs="Verdana"/>
          <w:color w:val="000000"/>
          <w:sz w:val="20"/>
          <w:szCs w:val="20"/>
          <w:lang w:val="en-US"/>
        </w:rPr>
        <w:t xml:space="preserve">The exposure of DPG to the general population is therefore from multiple sources and appears to be continuous. As a classification as Repr. 1B – H360FD is proposed by aMSCA, the presence of DPG in many sources raise concern. </w:t>
      </w:r>
    </w:p>
    <w:p w14:paraId="2DED0319" w14:textId="77777777" w:rsidR="00BC1D4B" w:rsidRDefault="00BC1D4B">
      <w:pPr>
        <w:spacing w:after="0"/>
        <w:jc w:val="both"/>
        <w:rPr>
          <w:rFonts w:ascii="Verdana" w:hAnsi="Verdana" w:cs="Verdana"/>
          <w:color w:val="000000"/>
          <w:sz w:val="20"/>
          <w:szCs w:val="20"/>
          <w:lang w:val="en-US"/>
        </w:rPr>
      </w:pPr>
    </w:p>
    <w:p w14:paraId="789CA3DB" w14:textId="77777777" w:rsidR="00BC1D4B" w:rsidRDefault="00BC1D4B">
      <w:pPr>
        <w:pStyle w:val="Corpsdetexte"/>
        <w:jc w:val="both"/>
        <w:rPr>
          <w:rFonts w:eastAsia="Calibri"/>
          <w:sz w:val="20"/>
          <w:szCs w:val="20"/>
        </w:rPr>
      </w:pPr>
    </w:p>
    <w:p w14:paraId="2C46F73B" w14:textId="77777777" w:rsidR="00BC1D4B" w:rsidRDefault="00ED1F84">
      <w:pPr>
        <w:pStyle w:val="Titre3"/>
        <w:rPr>
          <w:rFonts w:eastAsia="Calibri"/>
          <w:lang w:val="en-US"/>
        </w:rPr>
      </w:pPr>
      <w:bookmarkStart w:id="22" w:name="_Toc137044476"/>
      <w:r>
        <w:rPr>
          <w:rFonts w:eastAsia="Calibri"/>
          <w:lang w:val="en-US"/>
        </w:rPr>
        <w:t xml:space="preserve">Exposure and risk </w:t>
      </w:r>
      <w:r>
        <w:rPr>
          <w:rFonts w:eastAsia="Calibri"/>
        </w:rPr>
        <w:t>characterisation</w:t>
      </w:r>
      <w:r>
        <w:rPr>
          <w:rFonts w:eastAsia="Calibri"/>
          <w:lang w:val="en-US"/>
        </w:rPr>
        <w:t xml:space="preserve"> for the environment</w:t>
      </w:r>
      <w:bookmarkEnd w:id="22"/>
    </w:p>
    <w:p w14:paraId="398750D9" w14:textId="7E098F69" w:rsidR="00BC1D4B" w:rsidRDefault="00ED1F84">
      <w:pPr>
        <w:jc w:val="both"/>
        <w:rPr>
          <w:rFonts w:ascii="Verdana" w:eastAsia="Calibri" w:hAnsi="Verdana"/>
          <w:sz w:val="20"/>
          <w:szCs w:val="20"/>
          <w:lang w:val="en-US"/>
        </w:rPr>
      </w:pPr>
      <w:r>
        <w:rPr>
          <w:rFonts w:ascii="Verdana" w:eastAsia="Calibri" w:hAnsi="Verdana"/>
          <w:sz w:val="20"/>
          <w:szCs w:val="20"/>
          <w:lang w:val="en-US"/>
        </w:rPr>
        <w:t xml:space="preserve">Based on the aMSCA assessment of exposure scenarios available in the registration dossiers, environmental risk assessment shows unacceptable risks for exposure to surface water and sediment in scenario 1a (Manufacture of the substance-Registrant 1) following direct release of the substance to the water. This conclusion differ from the registrant. The aMSCA revised the flow rate of the river and the dilution factor which were found to be inaccurate. This corrected value has a major impact on the dilution of DPG in the water course and the overall risk calculation. </w:t>
      </w:r>
    </w:p>
    <w:p w14:paraId="17357A70"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lastRenderedPageBreak/>
        <w:t xml:space="preserve">Environmental risk assessment shows unacceptable risks for exposure to agricultural soil and groundwater in scenario 1b (Manufacture of the substance-Registrant 2) following effluent treatment in the sewage treatment plant located on the site of the manufacture. However, the registrant mentioned that no application of the STP sludge is made on agricultural soil and that particular considerations are made on the waste treatment operations. Thus, the aMSCA considers </w:t>
      </w:r>
      <w:r w:rsidRPr="00502515">
        <w:rPr>
          <w:rFonts w:ascii="Verdana" w:eastAsia="Calibri" w:hAnsi="Verdana"/>
          <w:sz w:val="20"/>
          <w:szCs w:val="20"/>
          <w:lang w:val="en-US"/>
        </w:rPr>
        <w:t>that the risks are acceptable if the appropriate risk management measure are applied.</w:t>
      </w:r>
      <w:r>
        <w:rPr>
          <w:rFonts w:ascii="Verdana" w:eastAsia="Calibri" w:hAnsi="Verdana"/>
          <w:sz w:val="20"/>
          <w:szCs w:val="20"/>
          <w:lang w:val="en-US"/>
        </w:rPr>
        <w:t xml:space="preserve"> </w:t>
      </w:r>
    </w:p>
    <w:p w14:paraId="79A6D9D9"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 xml:space="preserve">Environmental risk assessment shows unacceptable risk for scenarios 2, 3 and 4 (Formulation or re-packing scenarios) for fresh water and sediments following direct release of the substance to the water. In these scenarios, the Registrants mentioned that there is no DPG-containing wastewater in this process. The aMSCA considers the zero emission as an unrealistic emission scenario and applied the </w:t>
      </w:r>
      <w:r w:rsidRPr="00502515">
        <w:rPr>
          <w:rFonts w:ascii="Verdana" w:eastAsia="Calibri" w:hAnsi="Verdana"/>
          <w:sz w:val="20"/>
          <w:szCs w:val="20"/>
          <w:lang w:val="en-US"/>
        </w:rPr>
        <w:t>default value</w:t>
      </w:r>
      <w:r>
        <w:rPr>
          <w:rFonts w:ascii="Verdana" w:eastAsia="Calibri" w:hAnsi="Verdana"/>
          <w:sz w:val="20"/>
          <w:szCs w:val="20"/>
          <w:lang w:val="en-US"/>
        </w:rPr>
        <w:t xml:space="preserve"> for release to wastewater as indicated in the R.16 Guidance document. A "zero release" from installations is usually not applicable. In occupational exposure assessment, the "no or zero exposure" when substances are used by workers is not accepted. If the substance is used in closed systems, there is always exposure (at least due to unavoidable leakages) though possibly on a very low level. In addition, it is highly likely that the powdered substance will be released to and distributed in the environment. At least during the cleaning of the facility, the use of water is highly likely. </w:t>
      </w:r>
    </w:p>
    <w:p w14:paraId="11005EC2"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However, from a regulatory perspective, "no release" on local level can be assumed in case the substance is handled under operational conditions that are comparable to "strictly controlled conditions" for isolated intermediates. Moreover, additional information was provided by one of the two manufacturers for scenario 2 (F - Formulation or re-packing – Masterbatches manufacture). In the confidential document submitted</w:t>
      </w:r>
      <w:r>
        <w:t xml:space="preserve"> </w:t>
      </w:r>
      <w:r>
        <w:rPr>
          <w:rFonts w:ascii="Verdana" w:eastAsia="Calibri" w:hAnsi="Verdana"/>
          <w:sz w:val="20"/>
          <w:szCs w:val="20"/>
          <w:lang w:val="en-US"/>
        </w:rPr>
        <w:t xml:space="preserve">(personal communication to the aMSCA), the registrant gives details on the processes of formulation, the operators’ duties, and the cleaning and waste management. It is mentioned that the bags use for packaging, the floor and equipment are not washed with water. The waste (bags) is monitored. The mixing tank cleaning is done dry or scraping with rags soaked in solvent, there is no cleaning with water installation. The extruder is cooled with cold water but the cooling system is tight and not in contact with the product. Information on frequency and the recommended cleaning technique, and what happens with the solid waste and waste water from wet cleaning is crucial.  These measures, if applied correctly, allow to reduce efficiently the release of DPG in the environment. Thus, the aMSCA considers the risks acceptable following the application of appropriate risk management measure as indicated by the registrant.    </w:t>
      </w:r>
    </w:p>
    <w:p w14:paraId="563FF4F1" w14:textId="77777777" w:rsidR="00BC1D4B" w:rsidRDefault="00ED1F84">
      <w:pPr>
        <w:pStyle w:val="Corpsdetexte"/>
        <w:jc w:val="both"/>
        <w:rPr>
          <w:rFonts w:ascii="Verdana" w:eastAsia="Calibri" w:hAnsi="Verdana"/>
          <w:b/>
          <w:sz w:val="20"/>
          <w:szCs w:val="20"/>
          <w:lang w:val="en-US"/>
        </w:rPr>
      </w:pPr>
      <w:r>
        <w:rPr>
          <w:rFonts w:ascii="Verdana" w:eastAsia="Calibri" w:hAnsi="Verdana"/>
          <w:b/>
          <w:sz w:val="20"/>
          <w:szCs w:val="20"/>
          <w:lang w:val="en-US"/>
        </w:rPr>
        <w:t>After consideration of the risks identified for the surface water and sediment at the industrial sites, and in the absence of data from the Registrants mentioning the concentration of the substance in the water course, the aMSCA is of the opinion that measurements and monitoring data (samples to be taken at relevant release events) in surface water are necessary to confirm that the appropriate risk management measure are effective in limiting the emission of DPG in the environment to a safe level. A</w:t>
      </w:r>
      <w:bookmarkStart w:id="23" w:name="_MailEndCompose"/>
      <w:bookmarkEnd w:id="23"/>
      <w:r>
        <w:rPr>
          <w:rFonts w:ascii="Verdana" w:eastAsia="Calibri" w:hAnsi="Verdana"/>
          <w:b/>
          <w:sz w:val="20"/>
          <w:szCs w:val="20"/>
          <w:lang w:val="en-US"/>
        </w:rPr>
        <w:t xml:space="preserve"> more detailed description of the operational conditions should be provided for the second manufacturer as well. </w:t>
      </w:r>
    </w:p>
    <w:p w14:paraId="6EA4B1CA" w14:textId="77777777" w:rsidR="00BC1D4B" w:rsidRDefault="00ED1F84">
      <w:pPr>
        <w:pStyle w:val="Corpsdetexte"/>
        <w:jc w:val="both"/>
        <w:rPr>
          <w:rFonts w:ascii="Verdana" w:hAnsi="Verdana"/>
          <w:sz w:val="20"/>
          <w:szCs w:val="20"/>
        </w:rPr>
      </w:pPr>
      <w:r>
        <w:rPr>
          <w:rFonts w:ascii="Verdana" w:eastAsia="Calibri" w:hAnsi="Verdana"/>
          <w:sz w:val="20"/>
          <w:szCs w:val="20"/>
        </w:rPr>
        <w:t>Scenario 8 and 9 (Manufacture of Tyres) indicated that the predicted environmental concentration of DPG is 0.15 µg/L in groundwater. M</w:t>
      </w:r>
      <w:r>
        <w:rPr>
          <w:rFonts w:ascii="Verdana" w:hAnsi="Verdana"/>
          <w:sz w:val="20"/>
          <w:szCs w:val="20"/>
        </w:rPr>
        <w:t>onitoring data obtained from Norman database</w:t>
      </w:r>
      <w:r>
        <w:rPr>
          <w:rStyle w:val="Appelnotedebasdep"/>
          <w:szCs w:val="20"/>
        </w:rPr>
        <w:footnoteReference w:id="12"/>
      </w:r>
      <w:r>
        <w:rPr>
          <w:rFonts w:ascii="Verdana" w:hAnsi="Verdana"/>
          <w:sz w:val="20"/>
          <w:szCs w:val="20"/>
        </w:rPr>
        <w:t xml:space="preserve"> and the literature review (as detailed in Annex I section 3.2.5) also indicated the presence of DPG in the aquatic environment. </w:t>
      </w:r>
      <w:r>
        <w:rPr>
          <w:rFonts w:ascii="Verdana" w:eastAsia="Calibri" w:hAnsi="Verdana"/>
          <w:sz w:val="20"/>
          <w:szCs w:val="20"/>
          <w:lang w:val="en-US"/>
        </w:rPr>
        <w:t xml:space="preserve">There is however an uncertainty whether the available surface water monitoring data represent local </w:t>
      </w:r>
      <w:r>
        <w:rPr>
          <w:rFonts w:ascii="Verdana" w:eastAsia="Calibri" w:hAnsi="Verdana"/>
          <w:sz w:val="20"/>
          <w:szCs w:val="20"/>
          <w:lang w:val="en-US"/>
        </w:rPr>
        <w:lastRenderedPageBreak/>
        <w:t xml:space="preserve">assessment (as closely as possible to the emission source) that inform in particular on industrial uses for which risks are identified. </w:t>
      </w:r>
      <w:r>
        <w:rPr>
          <w:rFonts w:ascii="Verdana" w:hAnsi="Verdana"/>
          <w:sz w:val="20"/>
          <w:szCs w:val="20"/>
        </w:rPr>
        <w:t>The source could come from industrial releases of DPG in water. However</w:t>
      </w:r>
      <w:r w:rsidRPr="00E605B6">
        <w:rPr>
          <w:rFonts w:ascii="Verdana" w:hAnsi="Verdana"/>
          <w:sz w:val="20"/>
          <w:szCs w:val="20"/>
        </w:rPr>
        <w:t>, the occurrence and widespread distribution of DPG in the aquatic environment indicate a diffuse form of pollution</w:t>
      </w:r>
      <w:r>
        <w:rPr>
          <w:rFonts w:ascii="Verdana" w:hAnsi="Verdana"/>
          <w:sz w:val="20"/>
          <w:szCs w:val="20"/>
        </w:rPr>
        <w:t>.</w:t>
      </w:r>
    </w:p>
    <w:p w14:paraId="6BA50FC5" w14:textId="77777777" w:rsidR="00BC1D4B" w:rsidRDefault="00ED1F84">
      <w:pPr>
        <w:pStyle w:val="Corpsdetexte"/>
        <w:jc w:val="both"/>
        <w:rPr>
          <w:rFonts w:ascii="Verdana" w:eastAsia="Calibri" w:hAnsi="Verdana"/>
          <w:sz w:val="20"/>
          <w:szCs w:val="20"/>
          <w:lang w:val="en-US"/>
        </w:rPr>
      </w:pPr>
      <w:r>
        <w:rPr>
          <w:rFonts w:ascii="Verdana" w:eastAsia="Calibri" w:hAnsi="Verdana"/>
          <w:sz w:val="20"/>
          <w:szCs w:val="20"/>
          <w:lang w:val="en-US"/>
        </w:rPr>
        <w:t>From the Norman database, the reported values are lower than the PNEC for surface water (30 µg/L). However, the samples might not be fully representative of the environmental situation as they were obtained in only one campaign of 3 months in 2019, and they come from a single hydro-geological region of Eastern Europe (Danube river basin).</w:t>
      </w:r>
    </w:p>
    <w:p w14:paraId="365AF10D" w14:textId="77777777" w:rsidR="00BC1D4B" w:rsidRDefault="00ED1F84">
      <w:pPr>
        <w:jc w:val="both"/>
        <w:rPr>
          <w:rFonts w:ascii="Verdana" w:eastAsia="Calibri" w:hAnsi="Verdana"/>
          <w:sz w:val="20"/>
          <w:szCs w:val="20"/>
          <w:lang w:val="en-US"/>
        </w:rPr>
      </w:pPr>
      <w:r>
        <w:rPr>
          <w:rFonts w:ascii="Verdana" w:eastAsia="Calibri" w:hAnsi="Verdana"/>
          <w:sz w:val="20"/>
          <w:szCs w:val="20"/>
        </w:rPr>
        <w:t>The monitoring values from the literature, at the exception of surface runoff following intermittent rainfall events, are also under the hazard threshold values (PNEC values) for the aquatic environment. This indicate the absence of risk for aquatic organisms following the uses of DPG, at the exception of particular or punctual events. In addition, the increase in the concentration of DPG in the aquatic environment after a rainfall event could allow to link the widespread occurrence of DPG to other sources of pollution.</w:t>
      </w:r>
      <w:r>
        <w:rPr>
          <w:rFonts w:ascii="Verdana" w:eastAsia="Calibri" w:hAnsi="Verdana"/>
          <w:sz w:val="20"/>
          <w:szCs w:val="20"/>
          <w:lang w:val="en-US"/>
        </w:rPr>
        <w:t xml:space="preserve"> Exposure scenarios as developed by the registrants are limited to the manufacture and formulation of DPG, and consider a limited amount of manufactured articles. Uncertainties remain regarding additional exposure scenarios that might cover the diversity of articles containing DPG, give information on the concentration of DPG in articles or take into account the release of DPG during the service life of articles (leaching). The exposure and risks related to tyres abrasion and release of DPG in the aquatic environment is of concern. Monitoring information showed that DPG is a ubiquitous substance and literature indicate that tyres abrasion could be a major source of DPG release in the environment. However, the exposure scenarios as provided in the registration dossier do not reflect the exposition of the substance to the aquatic environment as found in the literature and do not consider the risk associated to tyres abrasion or leaching from other rubber articles.</w:t>
      </w:r>
    </w:p>
    <w:p w14:paraId="59DE5C8F" w14:textId="6503F1AA" w:rsidR="00BC1D4B" w:rsidRDefault="00ED1F84">
      <w:pPr>
        <w:jc w:val="both"/>
        <w:rPr>
          <w:rFonts w:ascii="Verdana" w:hAnsi="Verdana"/>
          <w:sz w:val="20"/>
          <w:szCs w:val="20"/>
        </w:rPr>
      </w:pPr>
      <w:r>
        <w:rPr>
          <w:rFonts w:ascii="Verdana" w:eastAsia="Calibri" w:hAnsi="Verdana"/>
          <w:sz w:val="20"/>
          <w:szCs w:val="20"/>
          <w:lang w:val="en-US"/>
        </w:rPr>
        <w:t>Also, the mobility property of DPG needs to be considered as it might not be efficiently removed from the WWTP</w:t>
      </w:r>
      <w:r w:rsidR="00681A9A">
        <w:rPr>
          <w:rFonts w:ascii="Verdana" w:eastAsia="Calibri" w:hAnsi="Verdana"/>
          <w:sz w:val="20"/>
          <w:szCs w:val="20"/>
          <w:lang w:val="en-US"/>
        </w:rPr>
        <w:t xml:space="preserve"> (including domestic or municipal sewage treatment plants-STP or industrial wastewater treatment plants)</w:t>
      </w:r>
      <w:r>
        <w:rPr>
          <w:rFonts w:ascii="Verdana" w:eastAsia="Calibri" w:hAnsi="Verdana"/>
          <w:sz w:val="20"/>
          <w:szCs w:val="20"/>
          <w:lang w:val="en-US"/>
        </w:rPr>
        <w:t>.</w:t>
      </w:r>
      <w:r>
        <w:rPr>
          <w:rFonts w:ascii="Verdana" w:hAnsi="Verdana"/>
          <w:sz w:val="20"/>
          <w:szCs w:val="20"/>
        </w:rPr>
        <w:t xml:space="preserve"> Monitoring the influent and effluent concentration of DPG at the WWTP could help understand the behaviour and fate of the substance. The higher concentration of DPG found in monitoring data from WWTP compared to the other aquatic environment raised the question if the exposure scenarios proposed by the Registrants cover all the uses of DPG.</w:t>
      </w:r>
      <w:r>
        <w:t xml:space="preserve"> </w:t>
      </w:r>
      <w:r>
        <w:rPr>
          <w:rFonts w:ascii="Verdana" w:hAnsi="Verdana"/>
          <w:sz w:val="20"/>
          <w:szCs w:val="20"/>
        </w:rPr>
        <w:t>In particular, the release of DPG from high density polyethylene (HDPE) pipe material use for drinking water distribution is of concern.</w:t>
      </w:r>
    </w:p>
    <w:p w14:paraId="4291B5D0" w14:textId="77777777" w:rsidR="00BC1D4B" w:rsidRDefault="00ED1F84">
      <w:pPr>
        <w:jc w:val="both"/>
        <w:rPr>
          <w:rFonts w:ascii="Verdana" w:hAnsi="Verdana"/>
          <w:sz w:val="20"/>
          <w:szCs w:val="20"/>
        </w:rPr>
      </w:pPr>
      <w:r>
        <w:rPr>
          <w:rFonts w:ascii="Verdana" w:hAnsi="Verdana"/>
          <w:sz w:val="20"/>
          <w:szCs w:val="20"/>
        </w:rPr>
        <w:t xml:space="preserve">Due to the possibility that rubber is used in a very wide range of articles, the aMSCA identifies uncertainties on whether all sources of exposure to humans and the environment from articles are identified and assessed in the registration dossier. </w:t>
      </w:r>
    </w:p>
    <w:p w14:paraId="631A0385" w14:textId="77777777" w:rsidR="00BC1D4B" w:rsidRDefault="00BC1D4B">
      <w:pPr>
        <w:pStyle w:val="Corpsdetexte"/>
        <w:jc w:val="both"/>
        <w:rPr>
          <w:rFonts w:ascii="Verdana" w:eastAsia="Calibri" w:hAnsi="Verdana"/>
          <w:sz w:val="20"/>
          <w:szCs w:val="20"/>
          <w:lang w:val="en-US"/>
        </w:rPr>
      </w:pPr>
    </w:p>
    <w:p w14:paraId="78060404" w14:textId="77777777" w:rsidR="00BC1D4B" w:rsidRDefault="00ED1F84">
      <w:pPr>
        <w:spacing w:after="200" w:line="276" w:lineRule="auto"/>
        <w:rPr>
          <w:rFonts w:ascii="Verdana" w:hAnsi="Verdana" w:cs="Arial"/>
          <w:b/>
          <w:color w:val="0046AD"/>
          <w:szCs w:val="22"/>
          <w:lang w:val="en-US"/>
        </w:rPr>
      </w:pPr>
      <w:r>
        <w:rPr>
          <w:lang w:val="en-US"/>
        </w:rPr>
        <w:br w:type="page" w:clear="all"/>
      </w:r>
    </w:p>
    <w:p w14:paraId="19D51394" w14:textId="77777777" w:rsidR="00BC1D4B" w:rsidRDefault="00ED1F84">
      <w:pPr>
        <w:pStyle w:val="Titre2"/>
        <w:tabs>
          <w:tab w:val="clear" w:pos="1077"/>
          <w:tab w:val="num" w:pos="284"/>
        </w:tabs>
        <w:ind w:left="0" w:firstLine="0"/>
        <w:rPr>
          <w:lang w:val="en-US"/>
        </w:rPr>
      </w:pPr>
      <w:bookmarkStart w:id="24" w:name="_Toc137044477"/>
      <w:r>
        <w:rPr>
          <w:lang w:val="en-US"/>
        </w:rPr>
        <w:lastRenderedPageBreak/>
        <w:t xml:space="preserve">Information on vulcanization by-products and </w:t>
      </w:r>
      <w:r>
        <w:t>alternatives</w:t>
      </w:r>
      <w:bookmarkEnd w:id="24"/>
    </w:p>
    <w:p w14:paraId="1E5CCDA3"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The problems caused by the formation of nitrosamines during the vulcanization of rubbers have long been known. Thirteen nitrosamines are classified Carc. 1B by CLP (Ineris, 2014) and cancer mortality has been associated with exposure to nitrosamines in rubber workers (Straif, 2000), so that their formation or presence must be prevented. The major source of nitrosamines in rubber products is amine-containing accelerators. This question was therefore further investigated in relation to DPG.</w:t>
      </w:r>
    </w:p>
    <w:p w14:paraId="6949BAE2"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Nitrosamines and nitrosatable substances formation requires both a substrate of the nitrosatable substrate type (primary amine, secondary amine or quaternary ammonium salt) and a nitrosating agent (for example nitrates) (ANSES, 2012). Nitrosamines are brought into rubber products during vulcanization steps as a result of the nitrosation of secondary aminated vulcanization accelerators with nitrogen oxides in the industrial atmosphere and/or nitrites of uncertain origin. Nitrosamines migrate to the surface of rubber products during storage and usage.</w:t>
      </w:r>
    </w:p>
    <w:p w14:paraId="4AFE2369" w14:textId="4C90C94D" w:rsidR="00BC1D4B" w:rsidRDefault="00ED1F84">
      <w:pPr>
        <w:jc w:val="both"/>
        <w:rPr>
          <w:rFonts w:ascii="Verdana" w:eastAsia="Calibri" w:hAnsi="Verdana"/>
          <w:sz w:val="20"/>
          <w:szCs w:val="20"/>
          <w:lang w:val="en-US"/>
        </w:rPr>
      </w:pPr>
      <w:r>
        <w:rPr>
          <w:rFonts w:ascii="Verdana" w:eastAsia="Calibri" w:hAnsi="Verdana"/>
          <w:sz w:val="20"/>
          <w:szCs w:val="20"/>
          <w:lang w:val="en-US"/>
        </w:rPr>
        <w:t xml:space="preserve">Data are available to assess the presence and the risk related to the presence of nitrosamine in consumers products and articles. Migration of nitrosamines from various latex products; e.g., nipples, condoms, gloves and balloons has been studied as reported in Feng </w:t>
      </w:r>
      <w:r>
        <w:rPr>
          <w:rFonts w:ascii="Verdana" w:eastAsia="Calibri" w:hAnsi="Verdana"/>
          <w:i/>
          <w:sz w:val="20"/>
          <w:szCs w:val="20"/>
          <w:lang w:val="en-US"/>
        </w:rPr>
        <w:t>et al</w:t>
      </w:r>
      <w:r>
        <w:rPr>
          <w:rFonts w:ascii="Verdana" w:eastAsia="Calibri" w:hAnsi="Verdana"/>
          <w:sz w:val="20"/>
          <w:szCs w:val="20"/>
          <w:lang w:val="en-US"/>
        </w:rPr>
        <w:t>. (2012). The authors found that, of 20 sampled gloves and balloons, 85% released nitrosamines above the recommended limit in Directive 93/11/EEC. This European directive 93/11/CEE concerning the release of the N-nitrosamines and N-nitrosatable substances from elastomer or rubber teats and soothers prohibit the trade in and use of articles which do not comply with a limit of 0,01 mg in total of N-nitrosamines released/kg and 0,1 mg in total of N-nitrosatable substances/kg. Also, the European directive 2009/48/CE prohibited the use of nitrosamines and nitrosatable substances in toys intended for use by children under 36 months or in other toys intended to be placed in the mouth if the migration of the substances is equal to or higher than 0</w:t>
      </w:r>
      <w:r w:rsidR="00127023">
        <w:rPr>
          <w:rFonts w:ascii="Verdana" w:eastAsia="Calibri" w:hAnsi="Verdana"/>
          <w:sz w:val="20"/>
          <w:szCs w:val="20"/>
          <w:lang w:val="en-US"/>
        </w:rPr>
        <w:t>.</w:t>
      </w:r>
      <w:r>
        <w:rPr>
          <w:rFonts w:ascii="Verdana" w:eastAsia="Calibri" w:hAnsi="Verdana"/>
          <w:sz w:val="20"/>
          <w:szCs w:val="20"/>
          <w:lang w:val="en-US"/>
        </w:rPr>
        <w:t>05 mg/kg for nitrosamines and 1 mg/kg for nitrosatable substances.</w:t>
      </w:r>
    </w:p>
    <w:p w14:paraId="12A14DE3"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 xml:space="preserve">Focusing on nitrosamines emissions from rubber infill, RIVM surveyed in 2007 an experimental assay in order to characterise nitrosamines emissions above football pitches. None of the air samples nor the materials analysis showed the presence of nitrosamines (all below the detection limit). They were only released in two migration tests at a limited extent (4.5 µg/kg). RIVM concluded nitrosamines did not pose a health issue from synthetic turf fields (RIVM, 2007, cited in ANSES 2018). </w:t>
      </w:r>
    </w:p>
    <w:p w14:paraId="5135AFAB"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According to the Ineris document (2014), the reduction of nitrosamine formation could be achieve if one, or many, of the following techniques are used:</w:t>
      </w:r>
    </w:p>
    <w:p w14:paraId="13A1016D"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 Nitrosation inhibitor addition (alpha-tocophérol, urea, acide amidosulfonique);</w:t>
      </w:r>
    </w:p>
    <w:p w14:paraId="22C05EF5"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 Elimination of nitrosing agent (nitrite-free formulated salt);</w:t>
      </w:r>
    </w:p>
    <w:p w14:paraId="4907A4DC"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 Elimination of secondary amines sources responsible of generating nitrosamines (by substitution or the use of a different technique);</w:t>
      </w:r>
    </w:p>
    <w:p w14:paraId="454C6D2E"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 Use of another mode of vulcanization (replacing the chemical process using nitrate and nitrite by an heating process</w:t>
      </w:r>
      <w:r>
        <w:t xml:space="preserve"> </w:t>
      </w:r>
      <w:r>
        <w:rPr>
          <w:rFonts w:ascii="Verdana" w:eastAsia="Calibri" w:hAnsi="Verdana"/>
          <w:sz w:val="20"/>
          <w:szCs w:val="20"/>
          <w:lang w:val="en-US"/>
        </w:rPr>
        <w:t xml:space="preserve">using hot air oven or microwaves), </w:t>
      </w:r>
    </w:p>
    <w:p w14:paraId="20054EB6" w14:textId="370EEA2F" w:rsidR="00BC1D4B" w:rsidRDefault="00ED1F84">
      <w:pPr>
        <w:jc w:val="both"/>
        <w:rPr>
          <w:rFonts w:ascii="Verdana" w:eastAsia="Calibri" w:hAnsi="Verdana"/>
          <w:sz w:val="20"/>
          <w:szCs w:val="20"/>
          <w:lang w:val="en-US"/>
        </w:rPr>
      </w:pPr>
      <w:r>
        <w:rPr>
          <w:rFonts w:ascii="Verdana" w:eastAsia="Calibri" w:hAnsi="Verdana"/>
          <w:sz w:val="20"/>
          <w:szCs w:val="20"/>
          <w:lang w:val="en-US"/>
        </w:rPr>
        <w:t>Substitution of accelerators forming harmful nitrosamines is already ongoing. Patent describing a rubber composition free of carcinogenic nitrosamine precursors have been published and DPG is mentioned as an alternative to carcinogenic nitrosamine precursors (European Patent office EP0695780B2,</w:t>
      </w:r>
      <w:r>
        <w:t xml:space="preserve"> </w:t>
      </w:r>
      <w:r>
        <w:rPr>
          <w:rFonts w:ascii="Verdana" w:eastAsia="Calibri" w:hAnsi="Verdana"/>
          <w:sz w:val="20"/>
          <w:szCs w:val="20"/>
          <w:lang w:val="en-US"/>
        </w:rPr>
        <w:t>2006).</w:t>
      </w:r>
      <w:r w:rsidR="008E3F1C">
        <w:rPr>
          <w:rFonts w:ascii="Verdana" w:eastAsia="Calibri" w:hAnsi="Verdana"/>
          <w:sz w:val="20"/>
          <w:szCs w:val="20"/>
          <w:lang w:val="en-US"/>
        </w:rPr>
        <w:t xml:space="preserve"> This </w:t>
      </w:r>
      <w:r w:rsidR="008E3F1C">
        <w:rPr>
          <w:rFonts w:ascii="Verdana" w:eastAsia="Calibri" w:hAnsi="Verdana"/>
          <w:sz w:val="20"/>
          <w:szCs w:val="20"/>
          <w:lang w:val="en-US"/>
        </w:rPr>
        <w:lastRenderedPageBreak/>
        <w:t xml:space="preserve">alternative </w:t>
      </w:r>
      <w:r w:rsidR="00441E01">
        <w:rPr>
          <w:rFonts w:ascii="Verdana" w:eastAsia="Calibri" w:hAnsi="Verdana"/>
          <w:sz w:val="20"/>
          <w:szCs w:val="20"/>
          <w:lang w:val="en-US"/>
        </w:rPr>
        <w:t>however does not prevent</w:t>
      </w:r>
      <w:r w:rsidR="008E3F1C">
        <w:rPr>
          <w:rFonts w:ascii="Verdana" w:eastAsia="Calibri" w:hAnsi="Verdana"/>
          <w:sz w:val="20"/>
          <w:szCs w:val="20"/>
          <w:lang w:val="en-US"/>
        </w:rPr>
        <w:t xml:space="preserve"> </w:t>
      </w:r>
      <w:r w:rsidR="00441E01">
        <w:rPr>
          <w:rFonts w:ascii="Verdana" w:eastAsia="Calibri" w:hAnsi="Verdana"/>
          <w:sz w:val="20"/>
          <w:szCs w:val="20"/>
          <w:lang w:val="en-US"/>
        </w:rPr>
        <w:t>totally the</w:t>
      </w:r>
      <w:r w:rsidR="008E3F1C">
        <w:rPr>
          <w:rFonts w:ascii="Verdana" w:eastAsia="Calibri" w:hAnsi="Verdana"/>
          <w:sz w:val="20"/>
          <w:szCs w:val="20"/>
          <w:lang w:val="en-US"/>
        </w:rPr>
        <w:t xml:space="preserve"> presence </w:t>
      </w:r>
      <w:r w:rsidR="00441E01">
        <w:rPr>
          <w:rFonts w:ascii="Verdana" w:eastAsia="Calibri" w:hAnsi="Verdana"/>
          <w:sz w:val="20"/>
          <w:szCs w:val="20"/>
          <w:lang w:val="en-US"/>
        </w:rPr>
        <w:t xml:space="preserve">of nitrosamines </w:t>
      </w:r>
      <w:r w:rsidR="008E3F1C">
        <w:rPr>
          <w:rFonts w:ascii="Verdana" w:eastAsia="Calibri" w:hAnsi="Verdana"/>
          <w:sz w:val="20"/>
          <w:szCs w:val="20"/>
          <w:lang w:val="en-US"/>
        </w:rPr>
        <w:t>in articles.</w:t>
      </w:r>
    </w:p>
    <w:p w14:paraId="06A95D29" w14:textId="0CA4CD17" w:rsidR="00BC1D4B" w:rsidRDefault="00ED1F84">
      <w:pPr>
        <w:jc w:val="both"/>
        <w:rPr>
          <w:rFonts w:ascii="Verdana" w:eastAsia="Calibri" w:hAnsi="Verdana"/>
          <w:sz w:val="20"/>
          <w:szCs w:val="20"/>
          <w:lang w:val="en-US"/>
        </w:rPr>
      </w:pPr>
      <w:r>
        <w:rPr>
          <w:rFonts w:ascii="Verdana" w:eastAsia="Calibri" w:hAnsi="Verdana"/>
          <w:sz w:val="20"/>
          <w:szCs w:val="20"/>
          <w:lang w:val="en-US"/>
        </w:rPr>
        <w:t xml:space="preserve">Moreover, the Registrants present DPG as a nitrosamine-free accelerator for vulcanization of rubbers. This statement is also in line with the Ineris (2014) document mentioning that DPG is one of the substitute substances (together with ZBEC (Zinc dibenzyl Dithiocarbamate), CBS (N-Cyclohexyl-2-benzothiazole sulfenamide), TBzTD (Tetrabenzylthiuram Disulfide) and MBT (2-mercapto Benzothiazole)) which can suppress the sources of secondary amines leading to nitrosamines formation. Finally, the degradation products aniline, N-nitrosodiphenylurea and phenyl guanidine are not identified as nitrosamines and are not listed as classified nitrosamines in the Ineris document. </w:t>
      </w:r>
      <w:r w:rsidR="008E3F1C">
        <w:rPr>
          <w:rFonts w:ascii="Verdana" w:eastAsia="Calibri" w:hAnsi="Verdana"/>
          <w:sz w:val="20"/>
          <w:szCs w:val="20"/>
          <w:lang w:val="en-US"/>
        </w:rPr>
        <w:t xml:space="preserve">Nitrosodiphenylurea is rather identified as nitrosourea for which scarce data are available. </w:t>
      </w:r>
    </w:p>
    <w:p w14:paraId="2A67947C"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 xml:space="preserve">New techniques are also evolving, for example using the inclusion complex of diphenylguanidine-hydroxypropyl-β-cyclodextrin (DPG-HP-β-CD) by ball milling has been shown to improve the water solubility, bioavailability, reliable stability, and low toxicity (Zhang </w:t>
      </w:r>
      <w:r>
        <w:rPr>
          <w:rFonts w:ascii="Verdana" w:eastAsia="Calibri" w:hAnsi="Verdana"/>
          <w:i/>
          <w:sz w:val="20"/>
          <w:szCs w:val="20"/>
          <w:lang w:val="en-US"/>
        </w:rPr>
        <w:t>et al</w:t>
      </w:r>
      <w:r>
        <w:rPr>
          <w:rFonts w:ascii="Verdana" w:eastAsia="Calibri" w:hAnsi="Verdana"/>
          <w:sz w:val="20"/>
          <w:szCs w:val="20"/>
          <w:lang w:val="en-US"/>
        </w:rPr>
        <w:t>., 2022). As indicated by the authors, this technique could help reduce the usage of DPG, leading to the reduction of toxicity and environmental hazards.</w:t>
      </w:r>
    </w:p>
    <w:p w14:paraId="62B8216D" w14:textId="77777777" w:rsidR="00BC1D4B" w:rsidRDefault="00ED1F84">
      <w:pPr>
        <w:jc w:val="both"/>
        <w:rPr>
          <w:rFonts w:ascii="Verdana" w:eastAsia="Calibri" w:hAnsi="Verdana"/>
          <w:b/>
          <w:sz w:val="20"/>
          <w:szCs w:val="20"/>
          <w:lang w:val="en-US"/>
        </w:rPr>
      </w:pPr>
      <w:r>
        <w:rPr>
          <w:rFonts w:ascii="Verdana" w:eastAsia="Calibri" w:hAnsi="Verdana"/>
          <w:b/>
          <w:sz w:val="20"/>
          <w:szCs w:val="20"/>
          <w:lang w:val="en-US"/>
        </w:rPr>
        <w:t>For public consultation:</w:t>
      </w:r>
    </w:p>
    <w:p w14:paraId="4CE73E45" w14:textId="77777777" w:rsidR="00BC1D4B" w:rsidRDefault="00ED1F84">
      <w:pPr>
        <w:jc w:val="both"/>
        <w:rPr>
          <w:rFonts w:ascii="Verdana" w:eastAsia="Calibri" w:hAnsi="Verdana"/>
          <w:sz w:val="20"/>
          <w:szCs w:val="20"/>
          <w:lang w:val="en-US"/>
        </w:rPr>
      </w:pPr>
      <w:r>
        <w:rPr>
          <w:rFonts w:ascii="Verdana" w:eastAsia="Calibri" w:hAnsi="Verdana"/>
          <w:sz w:val="20"/>
          <w:szCs w:val="20"/>
          <w:lang w:val="en-US"/>
        </w:rPr>
        <w:t>Additional information are welcome regarding the presence and risks related to degradation products of DPG, by-products formation in the manufacture and formulation steps involving DPG, and the substances and processes involved in the vulcanization of rubbers used for general rubber goods and tyres production.</w:t>
      </w:r>
    </w:p>
    <w:p w14:paraId="5E4CB794" w14:textId="77777777" w:rsidR="00BC1D4B" w:rsidRDefault="00BC1D4B">
      <w:pPr>
        <w:jc w:val="both"/>
        <w:rPr>
          <w:rFonts w:ascii="Verdana" w:eastAsia="Calibri" w:hAnsi="Verdana"/>
          <w:sz w:val="20"/>
          <w:szCs w:val="20"/>
          <w:lang w:val="en-US"/>
        </w:rPr>
      </w:pPr>
    </w:p>
    <w:p w14:paraId="402B92CA" w14:textId="77777777" w:rsidR="00BC1D4B" w:rsidRDefault="00ED1F84">
      <w:pPr>
        <w:jc w:val="both"/>
        <w:rPr>
          <w:sz w:val="28"/>
          <w:lang w:val="en-US"/>
        </w:rPr>
      </w:pPr>
      <w:r>
        <w:rPr>
          <w:lang w:val="en-US"/>
        </w:rPr>
        <w:br w:type="page" w:clear="all"/>
      </w:r>
    </w:p>
    <w:p w14:paraId="62AB2A0B" w14:textId="77777777" w:rsidR="00BC1D4B" w:rsidRDefault="00ED1F84">
      <w:pPr>
        <w:pStyle w:val="Titre1"/>
      </w:pPr>
      <w:bookmarkStart w:id="25" w:name="_Toc137044478"/>
      <w:r>
        <w:lastRenderedPageBreak/>
        <w:t>Justification for the need for regulatory risk management action at EU level</w:t>
      </w:r>
      <w:bookmarkEnd w:id="25"/>
    </w:p>
    <w:p w14:paraId="5B78DFF4" w14:textId="77777777" w:rsidR="00BC1D4B" w:rsidRDefault="00BC1D4B">
      <w:pPr>
        <w:pStyle w:val="Corpsdetexte"/>
        <w:jc w:val="both"/>
        <w:rPr>
          <w:rFonts w:ascii="Verdana" w:hAnsi="Verdana"/>
          <w:i/>
          <w:sz w:val="20"/>
          <w:szCs w:val="20"/>
        </w:rPr>
      </w:pPr>
    </w:p>
    <w:p w14:paraId="47348C6D" w14:textId="77777777" w:rsidR="00BC1D4B" w:rsidRDefault="00ED1F84">
      <w:pPr>
        <w:pStyle w:val="Titre2"/>
        <w:rPr>
          <w:sz w:val="20"/>
        </w:rPr>
      </w:pPr>
      <w:bookmarkStart w:id="26" w:name="_Toc137044479"/>
      <w:r>
        <w:t>Need for (further) risk management</w:t>
      </w:r>
      <w:bookmarkEnd w:id="26"/>
    </w:p>
    <w:p w14:paraId="45FC03F2" w14:textId="6E298F6E" w:rsidR="00BC1D4B" w:rsidRDefault="00ED1F84">
      <w:pPr>
        <w:jc w:val="both"/>
        <w:rPr>
          <w:rFonts w:ascii="Verdana" w:hAnsi="Verdana"/>
          <w:sz w:val="20"/>
          <w:szCs w:val="20"/>
          <w:lang w:val="en-US"/>
        </w:rPr>
      </w:pPr>
      <w:r>
        <w:rPr>
          <w:rFonts w:ascii="Verdana" w:hAnsi="Verdana"/>
          <w:sz w:val="20"/>
          <w:szCs w:val="20"/>
          <w:lang w:val="en-US"/>
        </w:rPr>
        <w:t>In the course of this RMOA process, the aMSCA identified relevant human health hazards of DPG that may triggers further management measures in relation to consumers and workers exposure. These hazards relate to toxicity for the reproduction, repeated toxicity</w:t>
      </w:r>
      <w:r w:rsidR="00F9628B">
        <w:rPr>
          <w:rFonts w:ascii="Verdana" w:hAnsi="Verdana"/>
          <w:sz w:val="20"/>
          <w:szCs w:val="20"/>
          <w:lang w:val="en-US"/>
        </w:rPr>
        <w:t xml:space="preserve"> (inducing neurotoxicity)</w:t>
      </w:r>
      <w:r>
        <w:rPr>
          <w:rFonts w:ascii="Verdana" w:hAnsi="Verdana"/>
          <w:sz w:val="20"/>
          <w:szCs w:val="20"/>
          <w:lang w:val="en-US"/>
        </w:rPr>
        <w:t xml:space="preserve"> and skin sensitisation. Risk characterization of the substance also indicated that risk for environment, consumers and workers for the use of DPG are not fully covered. </w:t>
      </w:r>
      <w:r>
        <w:rPr>
          <w:rFonts w:ascii="Verdana" w:hAnsi="Verdana"/>
          <w:sz w:val="20"/>
          <w:szCs w:val="20"/>
        </w:rPr>
        <w:t>DPG is manufactured and imported to the EU in amounts of 10,000-100,000 tpa and is found in a variety of articles in the EU market as general rubber goods, tyres or usage of granulates from end-of-life tyres (ELT) reconverted into shock absorbing titles in playgrounds or in synthetic turf field.</w:t>
      </w:r>
      <w:r>
        <w:t xml:space="preserve"> </w:t>
      </w:r>
      <w:r>
        <w:rPr>
          <w:rFonts w:ascii="Verdana" w:hAnsi="Verdana"/>
          <w:sz w:val="20"/>
          <w:szCs w:val="20"/>
        </w:rPr>
        <w:t xml:space="preserve">Its widespread presence and related hazards and risks when considering a revised DNEL justify the consideration of further risk management measure. </w:t>
      </w:r>
    </w:p>
    <w:p w14:paraId="7030264A" w14:textId="77777777" w:rsidR="00BC1D4B" w:rsidRDefault="00ED1F84">
      <w:pPr>
        <w:spacing w:after="120"/>
        <w:jc w:val="both"/>
        <w:rPr>
          <w:rFonts w:ascii="Verdana" w:hAnsi="Verdana"/>
          <w:sz w:val="20"/>
          <w:szCs w:val="20"/>
          <w:lang w:val="en-US"/>
        </w:rPr>
      </w:pPr>
      <w:r>
        <w:rPr>
          <w:rFonts w:ascii="Verdana" w:hAnsi="Verdana"/>
          <w:sz w:val="20"/>
          <w:szCs w:val="20"/>
          <w:u w:val="single"/>
          <w:lang w:val="en-US"/>
        </w:rPr>
        <w:t>Occupational safety and health of workers</w:t>
      </w:r>
    </w:p>
    <w:p w14:paraId="0239DAC0" w14:textId="77777777" w:rsidR="00BC1D4B" w:rsidRDefault="00ED1F84">
      <w:pPr>
        <w:spacing w:after="120"/>
        <w:jc w:val="both"/>
        <w:rPr>
          <w:rFonts w:ascii="Verdana" w:hAnsi="Verdana"/>
          <w:sz w:val="20"/>
          <w:szCs w:val="20"/>
          <w:lang w:val="en-US"/>
        </w:rPr>
      </w:pPr>
      <w:r>
        <w:rPr>
          <w:rFonts w:ascii="Verdana" w:hAnsi="Verdana"/>
          <w:sz w:val="20"/>
          <w:szCs w:val="20"/>
          <w:lang w:val="en-US"/>
        </w:rPr>
        <w:t xml:space="preserve">DPG displays hazardous properties for human health and a revision of the harmonized classification to include </w:t>
      </w:r>
      <w:r>
        <w:rPr>
          <w:rFonts w:ascii="Verdana" w:hAnsi="Verdana"/>
          <w:sz w:val="20"/>
          <w:szCs w:val="20"/>
        </w:rPr>
        <w:t>Repro 1B, H360fd, Skin Sens. 1 H317, and STOT RE 2, H373,</w:t>
      </w:r>
      <w:r>
        <w:rPr>
          <w:rFonts w:ascii="Verdana" w:hAnsi="Verdana"/>
          <w:sz w:val="20"/>
          <w:szCs w:val="20"/>
          <w:lang w:val="en-US"/>
        </w:rPr>
        <w:t xml:space="preserve"> is ongoing. DPG is a high tonnage substance produced in the EU which raises concern for the safety of workers at industrial sites as well as for the professional worker.</w:t>
      </w:r>
    </w:p>
    <w:p w14:paraId="0089A097" w14:textId="77777777" w:rsidR="00BC1D4B" w:rsidRDefault="00ED1F84">
      <w:pPr>
        <w:spacing w:after="120"/>
        <w:jc w:val="both"/>
        <w:rPr>
          <w:rFonts w:ascii="Verdana" w:hAnsi="Verdana"/>
          <w:sz w:val="20"/>
          <w:szCs w:val="20"/>
        </w:rPr>
      </w:pPr>
      <w:r>
        <w:rPr>
          <w:rFonts w:ascii="Verdana" w:hAnsi="Verdana"/>
          <w:sz w:val="20"/>
          <w:szCs w:val="20"/>
        </w:rPr>
        <w:t xml:space="preserve">Using the available toxicological data and a conservative approach, the aMSCA derived dermal and inhalation DNELs for workers. These values are lower </w:t>
      </w:r>
      <w:r>
        <w:rPr>
          <w:rFonts w:ascii="Verdana" w:hAnsi="Verdana"/>
          <w:sz w:val="20"/>
          <w:szCs w:val="20"/>
          <w:lang w:val="en-US"/>
        </w:rPr>
        <w:t xml:space="preserve">compared to the Registrants values and the aMSCA </w:t>
      </w:r>
      <w:r>
        <w:rPr>
          <w:rFonts w:ascii="Verdana" w:hAnsi="Verdana"/>
          <w:sz w:val="20"/>
          <w:szCs w:val="20"/>
        </w:rPr>
        <w:t xml:space="preserve">identified exposure scenarios where the safe use is no longer demonstrated (RCRs up to 1.61).      </w:t>
      </w:r>
    </w:p>
    <w:p w14:paraId="3AE2741C" w14:textId="77777777" w:rsidR="00BC1D4B" w:rsidRDefault="00ED1F84">
      <w:pPr>
        <w:jc w:val="both"/>
        <w:rPr>
          <w:rFonts w:ascii="Verdana" w:hAnsi="Verdana"/>
          <w:sz w:val="20"/>
          <w:szCs w:val="20"/>
        </w:rPr>
      </w:pPr>
      <w:r>
        <w:rPr>
          <w:rFonts w:ascii="Verdana" w:hAnsi="Verdana" w:cstheme="minorHAnsi"/>
          <w:sz w:val="20"/>
          <w:szCs w:val="20"/>
          <w:u w:val="single"/>
        </w:rPr>
        <w:t>Environment and indirect exposure of the general population</w:t>
      </w:r>
      <w:r>
        <w:rPr>
          <w:rFonts w:ascii="Verdana" w:hAnsi="Verdana"/>
          <w:sz w:val="20"/>
          <w:szCs w:val="20"/>
        </w:rPr>
        <w:t xml:space="preserve"> </w:t>
      </w:r>
    </w:p>
    <w:p w14:paraId="1C8D29F0" w14:textId="7D15574E" w:rsidR="00BC1D4B" w:rsidRDefault="00ED1F84">
      <w:pPr>
        <w:jc w:val="both"/>
        <w:rPr>
          <w:rFonts w:ascii="Verdana" w:hAnsi="Verdana"/>
          <w:sz w:val="20"/>
          <w:szCs w:val="20"/>
        </w:rPr>
      </w:pPr>
      <w:r>
        <w:rPr>
          <w:rFonts w:ascii="Verdana" w:hAnsi="Verdana"/>
          <w:sz w:val="20"/>
          <w:szCs w:val="20"/>
        </w:rPr>
        <w:t xml:space="preserve">Risk characterisation from exposure scenarios of DPG as presented by the Registrants and evaluated by the aMSCA can be prevented by adequate mitigation measures, if applied correctly. However, a release of DPG into the aquatic environment from </w:t>
      </w:r>
      <w:r w:rsidR="005D5A69">
        <w:rPr>
          <w:rFonts w:ascii="Verdana" w:hAnsi="Verdana"/>
          <w:sz w:val="20"/>
          <w:szCs w:val="20"/>
        </w:rPr>
        <w:t xml:space="preserve">production sites, and </w:t>
      </w:r>
      <w:r>
        <w:rPr>
          <w:rFonts w:ascii="Verdana" w:hAnsi="Verdana"/>
          <w:sz w:val="20"/>
          <w:szCs w:val="20"/>
        </w:rPr>
        <w:t xml:space="preserve">general rubber goods and tyres cannot be excluded at the moment. In particular, the exposure scenario as submitted by the registrants did not considered leaching of DPG from articles </w:t>
      </w:r>
      <w:r w:rsidR="005D5A69">
        <w:rPr>
          <w:rFonts w:ascii="Verdana" w:hAnsi="Verdana"/>
          <w:sz w:val="20"/>
          <w:szCs w:val="20"/>
        </w:rPr>
        <w:t xml:space="preserve">during their </w:t>
      </w:r>
      <w:r>
        <w:rPr>
          <w:rFonts w:ascii="Verdana" w:hAnsi="Verdana"/>
          <w:sz w:val="20"/>
          <w:szCs w:val="20"/>
        </w:rPr>
        <w:t xml:space="preserve">service life. DPG is present in Europe’s aquatic environment as indicated in the scientific literature and monitoring database such as NORMANN. Emissions are likely to result from the manufacture and use of the substance in general rubber goods articles and tyres. DPG has been shown to leach from tyre wear materials. Tyre wear particles enter road surface with the friction between tyres and road surfaces. Under the volatilization, leaching, and transformation action by sunlight and rain, tyre additives are released into urban water systems, such as surface rainfall runoff, </w:t>
      </w:r>
      <w:r w:rsidR="00681A9A">
        <w:rPr>
          <w:rFonts w:ascii="Verdana" w:hAnsi="Verdana"/>
          <w:sz w:val="20"/>
          <w:szCs w:val="20"/>
        </w:rPr>
        <w:t xml:space="preserve">sewage </w:t>
      </w:r>
      <w:r>
        <w:rPr>
          <w:rFonts w:ascii="Verdana" w:hAnsi="Verdana"/>
          <w:sz w:val="20"/>
          <w:szCs w:val="20"/>
        </w:rPr>
        <w:t>treatment plants (</w:t>
      </w:r>
      <w:r w:rsidR="00681A9A">
        <w:rPr>
          <w:rFonts w:ascii="Verdana" w:hAnsi="Verdana"/>
          <w:sz w:val="20"/>
          <w:szCs w:val="20"/>
        </w:rPr>
        <w:t>S</w:t>
      </w:r>
      <w:r>
        <w:rPr>
          <w:rFonts w:ascii="Verdana" w:hAnsi="Verdana"/>
          <w:sz w:val="20"/>
          <w:szCs w:val="20"/>
        </w:rPr>
        <w:t xml:space="preserve">TPs), receiving surface waters, and drinking water treatment plant (DWTP).  </w:t>
      </w:r>
    </w:p>
    <w:p w14:paraId="6E8EA5C4" w14:textId="1C5855FB" w:rsidR="00BC1D4B" w:rsidRDefault="00ED1F84">
      <w:pPr>
        <w:jc w:val="both"/>
        <w:rPr>
          <w:rFonts w:ascii="Verdana" w:hAnsi="Verdana" w:cstheme="minorHAnsi"/>
          <w:sz w:val="20"/>
          <w:szCs w:val="20"/>
          <w:u w:val="single"/>
          <w:lang w:val="en-US"/>
        </w:rPr>
      </w:pPr>
      <w:r>
        <w:rPr>
          <w:rFonts w:ascii="Verdana" w:hAnsi="Verdana"/>
          <w:sz w:val="20"/>
          <w:szCs w:val="20"/>
        </w:rPr>
        <w:t>Given its mobility in the aquatic environment and its toxicological profile, DPG triggered the hazard to the quality of water resources. DPG might not be efficiently removed from the WWTP</w:t>
      </w:r>
      <w:r w:rsidR="00681A9A">
        <w:rPr>
          <w:rFonts w:ascii="Verdana" w:hAnsi="Verdana"/>
          <w:sz w:val="20"/>
          <w:szCs w:val="20"/>
        </w:rPr>
        <w:t xml:space="preserve"> </w:t>
      </w:r>
      <w:r w:rsidR="00681A9A">
        <w:rPr>
          <w:rFonts w:ascii="Verdana" w:eastAsia="Calibri" w:hAnsi="Verdana"/>
          <w:sz w:val="20"/>
          <w:szCs w:val="20"/>
          <w:lang w:val="en-US"/>
        </w:rPr>
        <w:t>(including domestic or municipal sewage treatment plants-STP or industrial wastewater treatment plants)</w:t>
      </w:r>
      <w:r>
        <w:rPr>
          <w:rFonts w:ascii="Verdana" w:hAnsi="Verdana"/>
          <w:sz w:val="20"/>
          <w:szCs w:val="20"/>
        </w:rPr>
        <w:t xml:space="preserve"> due to its mobility property and the short time of residency in the water treatment plant. Release of DPG from pipes and tubes has been demonstrated and its presence in drinking water is insufficiently monitored. Uncertainties remain regarding additional articles that </w:t>
      </w:r>
      <w:r>
        <w:rPr>
          <w:rFonts w:ascii="Verdana" w:hAnsi="Verdana"/>
          <w:sz w:val="20"/>
          <w:szCs w:val="20"/>
        </w:rPr>
        <w:lastRenderedPageBreak/>
        <w:t>could be sources of release of DPG to the environment. Adequate measures must be put into place to ensure and preserve water safety and quality.</w:t>
      </w:r>
      <w:r>
        <w:rPr>
          <w:rFonts w:ascii="Verdana" w:hAnsi="Verdana" w:cstheme="minorHAnsi"/>
          <w:sz w:val="20"/>
          <w:szCs w:val="20"/>
          <w:u w:val="single"/>
          <w:lang w:val="en-US"/>
        </w:rPr>
        <w:t xml:space="preserve"> </w:t>
      </w:r>
    </w:p>
    <w:p w14:paraId="717A3847" w14:textId="77777777" w:rsidR="00BC1D4B" w:rsidRDefault="00BC1D4B">
      <w:pPr>
        <w:jc w:val="both"/>
        <w:rPr>
          <w:rFonts w:ascii="Verdana" w:hAnsi="Verdana"/>
          <w:sz w:val="20"/>
          <w:szCs w:val="20"/>
          <w:lang w:val="en-US"/>
        </w:rPr>
      </w:pPr>
    </w:p>
    <w:p w14:paraId="78CDE12B" w14:textId="77777777" w:rsidR="00BC1D4B" w:rsidRDefault="00ED1F84">
      <w:pPr>
        <w:jc w:val="both"/>
        <w:rPr>
          <w:rFonts w:ascii="Verdana" w:hAnsi="Verdana" w:cstheme="minorHAnsi"/>
          <w:sz w:val="20"/>
          <w:szCs w:val="20"/>
          <w:u w:val="single"/>
          <w:lang w:val="en-US"/>
        </w:rPr>
      </w:pPr>
      <w:r>
        <w:rPr>
          <w:rFonts w:ascii="Verdana" w:hAnsi="Verdana" w:cstheme="minorHAnsi"/>
          <w:sz w:val="20"/>
          <w:szCs w:val="20"/>
          <w:u w:val="single"/>
          <w:lang w:val="en-US"/>
        </w:rPr>
        <w:t>Consumer exposure</w:t>
      </w:r>
    </w:p>
    <w:p w14:paraId="0D4425B0" w14:textId="104C85DF" w:rsidR="00BC1D4B" w:rsidRDefault="00ED1F84">
      <w:pPr>
        <w:jc w:val="both"/>
        <w:rPr>
          <w:rFonts w:ascii="Verdana" w:hAnsi="Verdana" w:cstheme="minorHAnsi"/>
          <w:sz w:val="20"/>
          <w:szCs w:val="20"/>
          <w:u w:val="single"/>
          <w:lang w:val="en-US"/>
        </w:rPr>
      </w:pPr>
      <w:r>
        <w:rPr>
          <w:rFonts w:ascii="Verdana" w:hAnsi="Verdana"/>
          <w:sz w:val="20"/>
          <w:szCs w:val="20"/>
        </w:rPr>
        <w:t>Consumer</w:t>
      </w:r>
      <w:r w:rsidR="00543FFE">
        <w:rPr>
          <w:rFonts w:ascii="Verdana" w:hAnsi="Verdana"/>
          <w:sz w:val="20"/>
          <w:szCs w:val="20"/>
        </w:rPr>
        <w:t>s</w:t>
      </w:r>
      <w:r>
        <w:rPr>
          <w:rFonts w:ascii="Verdana" w:hAnsi="Verdana"/>
          <w:sz w:val="20"/>
          <w:szCs w:val="20"/>
        </w:rPr>
        <w:t xml:space="preserve"> are exposed to a wide variety of rubber articles. The aMSCA revised the oral, dermal and inhalation DNELs for consumers and has identified risk related to the exposure of consumer use of tyres (vehicles). Uncertainties remain regarding the representativeness of the exposure scenarios considering the broad spectrum of general rubber good and the limited knowledge of their composition. Considering the hazardous properties for human health and the associated risks following exposure of DPG, </w:t>
      </w:r>
      <w:r w:rsidRPr="00E605B6">
        <w:rPr>
          <w:rFonts w:ascii="Verdana" w:hAnsi="Verdana"/>
          <w:sz w:val="20"/>
          <w:szCs w:val="20"/>
        </w:rPr>
        <w:t>relevant regulatory management options for consumer</w:t>
      </w:r>
      <w:r w:rsidR="00647707" w:rsidRPr="00E605B6">
        <w:rPr>
          <w:rFonts w:ascii="Verdana" w:hAnsi="Verdana"/>
          <w:sz w:val="20"/>
          <w:szCs w:val="20"/>
        </w:rPr>
        <w:t>’</w:t>
      </w:r>
      <w:r w:rsidR="00543FFE" w:rsidRPr="00E605B6">
        <w:rPr>
          <w:rFonts w:ascii="Verdana" w:hAnsi="Verdana"/>
          <w:sz w:val="20"/>
          <w:szCs w:val="20"/>
        </w:rPr>
        <w:t>s</w:t>
      </w:r>
      <w:r w:rsidRPr="00E605B6">
        <w:rPr>
          <w:rFonts w:ascii="Verdana" w:hAnsi="Verdana"/>
          <w:sz w:val="20"/>
          <w:szCs w:val="20"/>
        </w:rPr>
        <w:t xml:space="preserve"> exposure are considered.</w:t>
      </w:r>
      <w:r>
        <w:rPr>
          <w:rFonts w:ascii="Verdana" w:hAnsi="Verdana"/>
          <w:sz w:val="20"/>
          <w:szCs w:val="20"/>
        </w:rPr>
        <w:t xml:space="preserve"> </w:t>
      </w:r>
    </w:p>
    <w:p w14:paraId="0A66762E" w14:textId="77777777" w:rsidR="00BC1D4B" w:rsidRDefault="00BC1D4B">
      <w:pPr>
        <w:jc w:val="both"/>
        <w:rPr>
          <w:rFonts w:ascii="Verdana" w:hAnsi="Verdana" w:cstheme="minorHAnsi"/>
          <w:sz w:val="20"/>
          <w:szCs w:val="20"/>
          <w:u w:val="single"/>
        </w:rPr>
      </w:pPr>
    </w:p>
    <w:p w14:paraId="17D080C1" w14:textId="77777777" w:rsidR="00BC1D4B" w:rsidRDefault="00BC1D4B">
      <w:pPr>
        <w:jc w:val="both"/>
        <w:rPr>
          <w:rFonts w:ascii="Verdana" w:hAnsi="Verdana" w:cstheme="minorHAnsi"/>
          <w:sz w:val="20"/>
          <w:szCs w:val="20"/>
        </w:rPr>
      </w:pPr>
    </w:p>
    <w:p w14:paraId="34E82EE0" w14:textId="77777777" w:rsidR="00BC1D4B" w:rsidRDefault="00ED1F84">
      <w:pPr>
        <w:spacing w:after="200" w:line="276" w:lineRule="auto"/>
        <w:rPr>
          <w:rFonts w:ascii="Verdana" w:hAnsi="Verdana" w:cs="Arial"/>
          <w:b/>
          <w:color w:val="0046AD"/>
          <w:szCs w:val="22"/>
        </w:rPr>
      </w:pPr>
      <w:r>
        <w:br w:type="page" w:clear="all"/>
      </w:r>
    </w:p>
    <w:p w14:paraId="4A5B1B25" w14:textId="77777777" w:rsidR="00BC1D4B" w:rsidRDefault="00ED1F84">
      <w:pPr>
        <w:pStyle w:val="Titre2"/>
      </w:pPr>
      <w:bookmarkStart w:id="27" w:name="_Toc137044480"/>
      <w:r>
        <w:lastRenderedPageBreak/>
        <w:t>Identification and assessment of risk management options</w:t>
      </w:r>
      <w:bookmarkEnd w:id="27"/>
    </w:p>
    <w:p w14:paraId="242D3721" w14:textId="77777777" w:rsidR="00BC1D4B" w:rsidRDefault="00ED1F84">
      <w:pPr>
        <w:pStyle w:val="Titre3"/>
      </w:pPr>
      <w:bookmarkStart w:id="28" w:name="_Toc137044481"/>
      <w:r>
        <w:t>CLP regulation: Harmonised Classification</w:t>
      </w:r>
      <w:bookmarkEnd w:id="28"/>
    </w:p>
    <w:p w14:paraId="75A8BAE9" w14:textId="03DA5F10" w:rsidR="00BC1D4B" w:rsidRDefault="00ED1F84">
      <w:pPr>
        <w:jc w:val="both"/>
        <w:rPr>
          <w:rFonts w:ascii="Verdana" w:hAnsi="Verdana"/>
          <w:color w:val="000000"/>
          <w:sz w:val="20"/>
          <w:szCs w:val="20"/>
          <w:lang w:eastAsia="en-GB"/>
        </w:rPr>
      </w:pPr>
      <w:r w:rsidRPr="008B5DE5">
        <w:rPr>
          <w:rFonts w:ascii="Verdana" w:hAnsi="Verdana"/>
          <w:sz w:val="20"/>
          <w:szCs w:val="20"/>
        </w:rPr>
        <w:t xml:space="preserve">As indicated in section 1.4.1, a revision to include Repr. 1B, H360fd, Skin Sens. </w:t>
      </w:r>
      <w:r w:rsidRPr="002F4101">
        <w:rPr>
          <w:rFonts w:ascii="Verdana" w:hAnsi="Verdana"/>
          <w:sz w:val="20"/>
          <w:szCs w:val="20"/>
        </w:rPr>
        <w:t>1</w:t>
      </w:r>
      <w:r w:rsidR="005A4E6D" w:rsidRPr="002F4101">
        <w:rPr>
          <w:rFonts w:ascii="Verdana" w:hAnsi="Verdana"/>
          <w:sz w:val="20"/>
          <w:szCs w:val="20"/>
        </w:rPr>
        <w:t>A</w:t>
      </w:r>
      <w:r w:rsidRPr="008B5DE5">
        <w:rPr>
          <w:rFonts w:ascii="Verdana" w:hAnsi="Verdana"/>
          <w:sz w:val="20"/>
          <w:szCs w:val="20"/>
        </w:rPr>
        <w:t xml:space="preserve"> H317 and STOT RE 2, H373 of the harmonised classification is ongoing</w:t>
      </w:r>
      <w:r>
        <w:rPr>
          <w:rFonts w:ascii="Verdana" w:hAnsi="Verdana"/>
          <w:sz w:val="20"/>
          <w:szCs w:val="20"/>
        </w:rPr>
        <w:t>.</w:t>
      </w:r>
      <w:r>
        <w:rPr>
          <w:rFonts w:ascii="Verdana" w:hAnsi="Verdana"/>
          <w:color w:val="000000"/>
          <w:sz w:val="20"/>
          <w:szCs w:val="20"/>
          <w:lang w:eastAsia="en-GB"/>
        </w:rPr>
        <w:t xml:space="preserve"> No additional need for a classification of DPG as endocrine disruptor was identified in this RMOA document. </w:t>
      </w:r>
    </w:p>
    <w:p w14:paraId="65177940" w14:textId="59A9DB65" w:rsidR="00BC1D4B" w:rsidRDefault="00ED1F84">
      <w:pPr>
        <w:jc w:val="both"/>
        <w:rPr>
          <w:rFonts w:ascii="Verdana" w:hAnsi="Verdana" w:cstheme="minorHAnsi"/>
          <w:sz w:val="20"/>
          <w:szCs w:val="20"/>
        </w:rPr>
      </w:pPr>
      <w:r>
        <w:rPr>
          <w:rFonts w:ascii="Verdana" w:hAnsi="Verdana" w:cstheme="minorHAnsi"/>
          <w:sz w:val="20"/>
          <w:szCs w:val="20"/>
        </w:rPr>
        <w:t xml:space="preserve">A harmonised classification leads to </w:t>
      </w:r>
      <w:r w:rsidR="005A4E6D">
        <w:rPr>
          <w:rFonts w:ascii="Verdana" w:hAnsi="Verdana" w:cstheme="minorHAnsi"/>
          <w:sz w:val="20"/>
          <w:szCs w:val="20"/>
        </w:rPr>
        <w:t xml:space="preserve">a </w:t>
      </w:r>
      <w:r>
        <w:rPr>
          <w:rFonts w:ascii="Verdana" w:hAnsi="Verdana" w:cstheme="minorHAnsi"/>
          <w:sz w:val="20"/>
          <w:szCs w:val="20"/>
        </w:rPr>
        <w:t>formal recognition of hazardous properties and better information of users. The upcoming, revised harmonised classification will confirm the hazardous properties of DPG to enable a proper risk management and choice of the appropriate RMM.</w:t>
      </w:r>
    </w:p>
    <w:p w14:paraId="4227CD5F" w14:textId="04334938" w:rsidR="00BC1D4B" w:rsidRDefault="00ED1F84">
      <w:pPr>
        <w:jc w:val="both"/>
        <w:rPr>
          <w:rFonts w:ascii="Verdana" w:hAnsi="Verdana" w:cstheme="minorHAnsi"/>
          <w:sz w:val="20"/>
          <w:szCs w:val="20"/>
        </w:rPr>
      </w:pPr>
      <w:r>
        <w:rPr>
          <w:rFonts w:ascii="Verdana" w:hAnsi="Verdana" w:cstheme="minorHAnsi"/>
          <w:sz w:val="20"/>
          <w:szCs w:val="20"/>
        </w:rPr>
        <w:t>According to Art. 22 paragraph 1 f) of REACH, Registrants are obliged to update their substance registration information at any change in the classification and labelling of the substance. Further</w:t>
      </w:r>
      <w:r w:rsidR="001D2A77">
        <w:rPr>
          <w:rFonts w:ascii="Verdana" w:hAnsi="Verdana" w:cstheme="minorHAnsi"/>
          <w:sz w:val="20"/>
          <w:szCs w:val="20"/>
        </w:rPr>
        <w:t>,</w:t>
      </w:r>
      <w:r>
        <w:rPr>
          <w:rFonts w:ascii="Verdana" w:hAnsi="Verdana" w:cstheme="minorHAnsi"/>
          <w:sz w:val="20"/>
          <w:szCs w:val="20"/>
        </w:rPr>
        <w:t xml:space="preserve"> any actor in the supply chain of a substance or a mixture shall communicate new information on hazardous properties (Art. 34 a). </w:t>
      </w:r>
    </w:p>
    <w:p w14:paraId="0BFE9400" w14:textId="62C61A87" w:rsidR="00BC1D4B" w:rsidRDefault="00ED1F84">
      <w:pPr>
        <w:jc w:val="both"/>
        <w:rPr>
          <w:rFonts w:ascii="Verdana" w:hAnsi="Verdana" w:cstheme="minorHAnsi"/>
          <w:sz w:val="20"/>
          <w:szCs w:val="20"/>
        </w:rPr>
      </w:pPr>
      <w:r>
        <w:rPr>
          <w:rFonts w:ascii="Verdana" w:hAnsi="Verdana" w:cstheme="minorHAnsi"/>
          <w:sz w:val="20"/>
          <w:szCs w:val="20"/>
        </w:rPr>
        <w:t>A harmonised classification Repr. 1B have impact through downstream regulations:</w:t>
      </w:r>
      <w:r>
        <w:rPr>
          <w:rFonts w:ascii="Verdana" w:hAnsi="Verdana" w:cstheme="minorHAnsi"/>
          <w:sz w:val="20"/>
          <w:szCs w:val="20"/>
          <w:highlight w:val="yellow"/>
        </w:rPr>
        <w:t xml:space="preserve">  </w:t>
      </w:r>
    </w:p>
    <w:p w14:paraId="40807959" w14:textId="77777777" w:rsidR="00BC1D4B" w:rsidRDefault="00ED1F84">
      <w:pPr>
        <w:jc w:val="both"/>
        <w:rPr>
          <w:rFonts w:ascii="Verdana" w:hAnsi="Verdana" w:cstheme="minorHAnsi"/>
          <w:sz w:val="20"/>
          <w:szCs w:val="20"/>
        </w:rPr>
      </w:pPr>
      <w:r>
        <w:rPr>
          <w:rFonts w:ascii="Verdana" w:hAnsi="Verdana" w:cstheme="minorHAnsi"/>
          <w:sz w:val="20"/>
          <w:szCs w:val="20"/>
        </w:rPr>
        <w:t>At the workplace, determination of hazardous properties is part of the obligatory risk assessment under worker legislation (98/24/EC, Art. 4). The risk assessment under worker legislation clearly benefits from harmonised classification of hazardous properties under CLP. Directive 98/24/EC (CAD) set general obligation for prevention of chemical risks. More stringent rules applies for CMR substances for which Directive 2004/37/EC (CMRD) specifically set the hierarchy of RMM (known as S-T-O-P principle), which needs to be followed, with the preference for substitution, then technical or organisational measures and PPE at last.</w:t>
      </w:r>
    </w:p>
    <w:p w14:paraId="3D652FF2" w14:textId="1FCB05BC" w:rsidR="00D3495B" w:rsidRDefault="00ED1F84" w:rsidP="002F4101">
      <w:pPr>
        <w:jc w:val="both"/>
        <w:rPr>
          <w:rFonts w:ascii="Verdana" w:hAnsi="Verdana" w:cstheme="minorHAnsi"/>
          <w:sz w:val="20"/>
          <w:szCs w:val="20"/>
        </w:rPr>
      </w:pPr>
      <w:r>
        <w:rPr>
          <w:rFonts w:ascii="Verdana" w:hAnsi="Verdana" w:cstheme="minorHAnsi"/>
          <w:sz w:val="20"/>
          <w:szCs w:val="20"/>
        </w:rPr>
        <w:t>In relation to the use of DPG in articles, the European directive 2009/48/CE prohibited the use of carcinogenic, mutagenic or toxic for reproduction (CMR) of category 1A, 1B or 2 under Regulation (EC) No 1272/2008 substances in toys, in components of toys or in micro-structurally distinct parts of toys intended for use by children</w:t>
      </w:r>
      <w:r w:rsidR="0057356E">
        <w:rPr>
          <w:rFonts w:ascii="Verdana" w:hAnsi="Verdana" w:cstheme="minorHAnsi"/>
          <w:sz w:val="20"/>
          <w:szCs w:val="20"/>
        </w:rPr>
        <w:t xml:space="preserve"> when present above classification generic concentration limits</w:t>
      </w:r>
      <w:r>
        <w:rPr>
          <w:rFonts w:ascii="Verdana" w:hAnsi="Verdana" w:cstheme="minorHAnsi"/>
          <w:sz w:val="20"/>
          <w:szCs w:val="20"/>
        </w:rPr>
        <w:t xml:space="preserve">. </w:t>
      </w:r>
      <w:r w:rsidR="0057356E">
        <w:rPr>
          <w:rFonts w:ascii="Verdana" w:hAnsi="Verdana" w:cstheme="minorHAnsi"/>
          <w:sz w:val="20"/>
          <w:szCs w:val="20"/>
        </w:rPr>
        <w:t xml:space="preserve">It is noted that provisions of the Toy Directive already apply to CMR 2 such as DPG. </w:t>
      </w:r>
      <w:r w:rsidR="001D2A77">
        <w:rPr>
          <w:rFonts w:ascii="Verdana" w:hAnsi="Verdana" w:cstheme="minorHAnsi"/>
          <w:sz w:val="20"/>
          <w:szCs w:val="20"/>
        </w:rPr>
        <w:t>T</w:t>
      </w:r>
      <w:r w:rsidR="00953FB1">
        <w:rPr>
          <w:rFonts w:ascii="Verdana" w:hAnsi="Verdana" w:cstheme="minorHAnsi"/>
          <w:sz w:val="20"/>
          <w:szCs w:val="20"/>
        </w:rPr>
        <w:t xml:space="preserve">he CSR states that DPG is not allowed in toys used by children under 36 months. </w:t>
      </w:r>
      <w:r w:rsidR="001D2A77">
        <w:rPr>
          <w:rFonts w:ascii="Verdana" w:hAnsi="Verdana" w:cstheme="minorHAnsi"/>
          <w:sz w:val="20"/>
          <w:szCs w:val="20"/>
        </w:rPr>
        <w:t>However,</w:t>
      </w:r>
      <w:r w:rsidR="00953FB1">
        <w:rPr>
          <w:rFonts w:ascii="Verdana" w:hAnsi="Verdana" w:cstheme="minorHAnsi"/>
          <w:sz w:val="20"/>
          <w:szCs w:val="20"/>
        </w:rPr>
        <w:t xml:space="preserve"> such ban was not identified in the directive </w:t>
      </w:r>
      <w:r w:rsidR="00953FB1" w:rsidRPr="00953FB1">
        <w:rPr>
          <w:rFonts w:ascii="Verdana" w:hAnsi="Verdana" w:cstheme="minorHAnsi"/>
          <w:sz w:val="20"/>
          <w:szCs w:val="20"/>
        </w:rPr>
        <w:t>2009/48/CE</w:t>
      </w:r>
      <w:r w:rsidR="00953FB1">
        <w:rPr>
          <w:rFonts w:ascii="Verdana" w:hAnsi="Verdana" w:cstheme="minorHAnsi"/>
          <w:sz w:val="20"/>
          <w:szCs w:val="20"/>
        </w:rPr>
        <w:t xml:space="preserve"> by the aMSCA.</w:t>
      </w:r>
      <w:r w:rsidR="0057356E">
        <w:rPr>
          <w:rFonts w:ascii="Verdana" w:hAnsi="Verdana" w:cstheme="minorHAnsi"/>
          <w:sz w:val="20"/>
          <w:szCs w:val="20"/>
        </w:rPr>
        <w:t xml:space="preserve"> </w:t>
      </w:r>
      <w:r w:rsidR="00953FB1">
        <w:rPr>
          <w:rFonts w:ascii="Verdana" w:hAnsi="Verdana" w:cstheme="minorHAnsi"/>
          <w:sz w:val="20"/>
          <w:szCs w:val="20"/>
        </w:rPr>
        <w:t>T</w:t>
      </w:r>
      <w:r w:rsidR="0057356E">
        <w:rPr>
          <w:rFonts w:ascii="Verdana" w:hAnsi="Verdana" w:cstheme="minorHAnsi"/>
          <w:sz w:val="20"/>
          <w:szCs w:val="20"/>
        </w:rPr>
        <w:t>he CSR includes scenario with use of balloons by children above 36 months</w:t>
      </w:r>
      <w:r w:rsidR="002C2B8C">
        <w:rPr>
          <w:rFonts w:ascii="Verdana" w:hAnsi="Verdana" w:cstheme="minorHAnsi"/>
          <w:sz w:val="20"/>
          <w:szCs w:val="20"/>
        </w:rPr>
        <w:t>. It is indicated that DPG is expected in GRG at a concentration</w:t>
      </w:r>
      <w:r w:rsidR="002F4101">
        <w:rPr>
          <w:rFonts w:ascii="Verdana" w:hAnsi="Verdana" w:cstheme="minorHAnsi"/>
          <w:sz w:val="20"/>
          <w:szCs w:val="20"/>
        </w:rPr>
        <w:t xml:space="preserve"> </w:t>
      </w:r>
      <w:r w:rsidR="002C2B8C">
        <w:rPr>
          <w:rFonts w:ascii="Verdana" w:hAnsi="Verdana" w:cstheme="minorHAnsi"/>
          <w:sz w:val="20"/>
          <w:szCs w:val="20"/>
        </w:rPr>
        <w:t>of</w:t>
      </w:r>
      <w:r w:rsidR="002F4101">
        <w:rPr>
          <w:rFonts w:ascii="Verdana" w:hAnsi="Verdana" w:cstheme="minorHAnsi"/>
          <w:sz w:val="20"/>
          <w:szCs w:val="20"/>
        </w:rPr>
        <w:t xml:space="preserve"> </w:t>
      </w:r>
      <w:r w:rsidR="006E1511">
        <w:rPr>
          <w:rFonts w:ascii="Verdana" w:hAnsi="Verdana" w:cstheme="minorHAnsi"/>
          <w:sz w:val="20"/>
          <w:szCs w:val="20"/>
        </w:rPr>
        <w:t>0.23%</w:t>
      </w:r>
      <w:r w:rsidR="002C2B8C">
        <w:rPr>
          <w:rFonts w:ascii="Verdana" w:hAnsi="Verdana" w:cstheme="minorHAnsi"/>
          <w:sz w:val="20"/>
          <w:szCs w:val="20"/>
        </w:rPr>
        <w:t>. This concentration is</w:t>
      </w:r>
      <w:r w:rsidR="002F4101">
        <w:rPr>
          <w:rFonts w:ascii="Verdana" w:hAnsi="Verdana" w:cstheme="minorHAnsi"/>
          <w:sz w:val="20"/>
          <w:szCs w:val="20"/>
        </w:rPr>
        <w:t xml:space="preserve"> </w:t>
      </w:r>
      <w:r w:rsidR="006E1511">
        <w:rPr>
          <w:rFonts w:ascii="Verdana" w:hAnsi="Verdana" w:cstheme="minorHAnsi"/>
          <w:sz w:val="20"/>
          <w:szCs w:val="20"/>
        </w:rPr>
        <w:t>below the Repr</w:t>
      </w:r>
      <w:r w:rsidR="006F79EA">
        <w:rPr>
          <w:rFonts w:ascii="Verdana" w:hAnsi="Verdana" w:cstheme="minorHAnsi"/>
          <w:sz w:val="20"/>
          <w:szCs w:val="20"/>
        </w:rPr>
        <w:t>.</w:t>
      </w:r>
      <w:r w:rsidR="006E1511">
        <w:rPr>
          <w:rFonts w:ascii="Verdana" w:hAnsi="Verdana" w:cstheme="minorHAnsi"/>
          <w:sz w:val="20"/>
          <w:szCs w:val="20"/>
        </w:rPr>
        <w:t xml:space="preserve"> 2 </w:t>
      </w:r>
      <w:r w:rsidR="00556A84">
        <w:rPr>
          <w:rFonts w:ascii="Verdana" w:hAnsi="Verdana" w:cstheme="minorHAnsi"/>
          <w:sz w:val="20"/>
          <w:szCs w:val="20"/>
        </w:rPr>
        <w:t>and Repr</w:t>
      </w:r>
      <w:r w:rsidR="006F79EA">
        <w:rPr>
          <w:rFonts w:ascii="Verdana" w:hAnsi="Verdana" w:cstheme="minorHAnsi"/>
          <w:sz w:val="20"/>
          <w:szCs w:val="20"/>
        </w:rPr>
        <w:t>.</w:t>
      </w:r>
      <w:r w:rsidR="00556A84">
        <w:rPr>
          <w:rFonts w:ascii="Verdana" w:hAnsi="Verdana" w:cstheme="minorHAnsi"/>
          <w:sz w:val="20"/>
          <w:szCs w:val="20"/>
        </w:rPr>
        <w:t xml:space="preserve">1B </w:t>
      </w:r>
      <w:r w:rsidR="006E1511">
        <w:rPr>
          <w:rFonts w:ascii="Verdana" w:hAnsi="Verdana" w:cstheme="minorHAnsi"/>
          <w:sz w:val="20"/>
          <w:szCs w:val="20"/>
        </w:rPr>
        <w:t>generic concentration limit</w:t>
      </w:r>
      <w:r w:rsidR="00556A84">
        <w:rPr>
          <w:rFonts w:ascii="Verdana" w:hAnsi="Verdana" w:cstheme="minorHAnsi"/>
          <w:sz w:val="20"/>
          <w:szCs w:val="20"/>
        </w:rPr>
        <w:t>s</w:t>
      </w:r>
      <w:r w:rsidR="0057356E">
        <w:rPr>
          <w:rFonts w:ascii="Verdana" w:hAnsi="Verdana" w:cstheme="minorHAnsi"/>
          <w:sz w:val="20"/>
          <w:szCs w:val="20"/>
        </w:rPr>
        <w:t xml:space="preserve">.  </w:t>
      </w:r>
    </w:p>
    <w:p w14:paraId="7A08B60D" w14:textId="77777777" w:rsidR="00BC1D4B" w:rsidRDefault="00ED1F84">
      <w:pPr>
        <w:jc w:val="both"/>
        <w:rPr>
          <w:rFonts w:ascii="Verdana" w:hAnsi="Verdana" w:cstheme="minorHAnsi"/>
          <w:sz w:val="20"/>
          <w:szCs w:val="20"/>
        </w:rPr>
      </w:pPr>
      <w:r>
        <w:rPr>
          <w:rFonts w:ascii="Verdana" w:hAnsi="Verdana" w:cstheme="minorHAnsi"/>
          <w:sz w:val="20"/>
          <w:szCs w:val="20"/>
        </w:rPr>
        <w:t>In addition, the Commission requested ECHA to prepare an investigation report (ongoing 2023) to support the preparation of a restriction proposal on the use of CMR 1A or 1B substances in childcare articles (CCA) on the basis of Article 68(2) of REACH.</w:t>
      </w:r>
      <w:r>
        <w:t xml:space="preserve"> </w:t>
      </w:r>
      <w:r>
        <w:rPr>
          <w:rFonts w:ascii="Verdana" w:hAnsi="Verdana" w:cstheme="minorHAnsi"/>
          <w:sz w:val="20"/>
          <w:szCs w:val="20"/>
        </w:rPr>
        <w:t xml:space="preserve">In the mandate from the Commission, CCAs are defined as follows: </w:t>
      </w:r>
    </w:p>
    <w:p w14:paraId="2CF0B19D" w14:textId="77777777" w:rsidR="00BC1D4B" w:rsidRDefault="00ED1F84">
      <w:pPr>
        <w:jc w:val="both"/>
        <w:rPr>
          <w:rFonts w:ascii="Verdana" w:hAnsi="Verdana" w:cstheme="minorHAnsi"/>
          <w:sz w:val="20"/>
          <w:szCs w:val="20"/>
        </w:rPr>
      </w:pPr>
      <w:r>
        <w:rPr>
          <w:rFonts w:ascii="Verdana" w:hAnsi="Verdana" w:cstheme="minorHAnsi"/>
          <w:sz w:val="20"/>
          <w:szCs w:val="20"/>
        </w:rPr>
        <w:t xml:space="preserve">a) articles under the definitions in entry 51 of Annex XVII of REACH: </w:t>
      </w:r>
    </w:p>
    <w:p w14:paraId="28DA9706" w14:textId="77777777" w:rsidR="00BC1D4B" w:rsidRDefault="00ED1F84">
      <w:pPr>
        <w:jc w:val="both"/>
        <w:rPr>
          <w:rFonts w:ascii="Verdana" w:hAnsi="Verdana" w:cstheme="minorHAnsi"/>
          <w:sz w:val="20"/>
          <w:szCs w:val="20"/>
        </w:rPr>
      </w:pPr>
      <w:r>
        <w:rPr>
          <w:rFonts w:ascii="Verdana" w:hAnsi="Verdana" w:cstheme="minorHAnsi"/>
          <w:sz w:val="20"/>
          <w:szCs w:val="20"/>
        </w:rPr>
        <w:t xml:space="preserve">any product intended to facilitate sleep, relaxation, hygiene, the feeding of children or sucking on the part of children. </w:t>
      </w:r>
    </w:p>
    <w:p w14:paraId="64E0837D" w14:textId="77777777" w:rsidR="00BC1D4B" w:rsidRDefault="00ED1F84">
      <w:pPr>
        <w:jc w:val="both"/>
        <w:rPr>
          <w:rFonts w:ascii="Verdana" w:hAnsi="Verdana" w:cstheme="minorHAnsi"/>
          <w:sz w:val="20"/>
          <w:szCs w:val="20"/>
        </w:rPr>
      </w:pPr>
      <w:r>
        <w:rPr>
          <w:rFonts w:ascii="Verdana" w:hAnsi="Verdana" w:cstheme="minorHAnsi"/>
          <w:sz w:val="20"/>
          <w:szCs w:val="20"/>
        </w:rPr>
        <w:t xml:space="preserve">b) and/or articles within the remit of CEN TC 252: </w:t>
      </w:r>
    </w:p>
    <w:p w14:paraId="14214919" w14:textId="77777777" w:rsidR="00BC1D4B" w:rsidRDefault="00ED1F84">
      <w:pPr>
        <w:jc w:val="both"/>
        <w:rPr>
          <w:rFonts w:ascii="Verdana" w:hAnsi="Verdana" w:cstheme="minorHAnsi"/>
          <w:sz w:val="20"/>
          <w:szCs w:val="20"/>
        </w:rPr>
      </w:pPr>
      <w:r>
        <w:rPr>
          <w:rFonts w:ascii="Verdana" w:hAnsi="Verdana" w:cstheme="minorHAnsi"/>
          <w:sz w:val="20"/>
          <w:szCs w:val="20"/>
        </w:rPr>
        <w:t>any product designed or obviously intended to safely ensure and facilitate seating, bathing, changing and general body care, feeding, sleeping, transportation and protection of young children.</w:t>
      </w:r>
    </w:p>
    <w:p w14:paraId="5BFE1321" w14:textId="35372658" w:rsidR="00BC1D4B" w:rsidRDefault="00ED1F84">
      <w:pPr>
        <w:jc w:val="both"/>
        <w:rPr>
          <w:rFonts w:ascii="Verdana" w:hAnsi="Verdana" w:cstheme="minorHAnsi"/>
          <w:sz w:val="20"/>
          <w:szCs w:val="20"/>
        </w:rPr>
      </w:pPr>
      <w:r>
        <w:rPr>
          <w:rFonts w:ascii="Verdana" w:hAnsi="Verdana" w:cstheme="minorHAnsi"/>
          <w:sz w:val="20"/>
          <w:szCs w:val="20"/>
        </w:rPr>
        <w:lastRenderedPageBreak/>
        <w:t xml:space="preserve">Thus, a harmonised classification </w:t>
      </w:r>
      <w:r w:rsidRPr="00E605B6">
        <w:rPr>
          <w:rFonts w:ascii="Verdana" w:hAnsi="Verdana" w:cstheme="minorHAnsi"/>
          <w:sz w:val="20"/>
          <w:szCs w:val="20"/>
        </w:rPr>
        <w:t>as Repr</w:t>
      </w:r>
      <w:r w:rsidR="005A4E6D" w:rsidRPr="00E605B6">
        <w:rPr>
          <w:rFonts w:ascii="Verdana" w:hAnsi="Verdana" w:cstheme="minorHAnsi"/>
          <w:sz w:val="20"/>
          <w:szCs w:val="20"/>
        </w:rPr>
        <w:t>.</w:t>
      </w:r>
      <w:r w:rsidRPr="00E605B6">
        <w:rPr>
          <w:rFonts w:ascii="Verdana" w:hAnsi="Verdana" w:cstheme="minorHAnsi"/>
          <w:sz w:val="20"/>
          <w:szCs w:val="20"/>
        </w:rPr>
        <w:t xml:space="preserve"> 1B could enable to prohibit a certain amount of articles containing DPG to the children, a vulnerable groups to the risks caused by chemical exposure.</w:t>
      </w:r>
      <w:r>
        <w:rPr>
          <w:rFonts w:ascii="Verdana" w:hAnsi="Verdana" w:cstheme="minorHAnsi"/>
          <w:sz w:val="20"/>
          <w:szCs w:val="20"/>
        </w:rPr>
        <w:t xml:space="preserve"> </w:t>
      </w:r>
    </w:p>
    <w:p w14:paraId="13E9B6EB" w14:textId="637C1409" w:rsidR="00BC1D4B" w:rsidRPr="009E2E72" w:rsidRDefault="00ED1F84" w:rsidP="000E2882">
      <w:pPr>
        <w:jc w:val="both"/>
        <w:rPr>
          <w:rFonts w:ascii="Verdana" w:hAnsi="Verdana"/>
          <w:color w:val="384A53"/>
          <w:sz w:val="20"/>
          <w:szCs w:val="20"/>
          <w:shd w:val="clear" w:color="auto" w:fill="FFFFFF"/>
        </w:rPr>
      </w:pPr>
      <w:r>
        <w:rPr>
          <w:rFonts w:ascii="Verdana" w:hAnsi="Verdana" w:cstheme="minorHAnsi"/>
          <w:sz w:val="20"/>
          <w:szCs w:val="20"/>
        </w:rPr>
        <w:t xml:space="preserve">Besides, a classification of DPG as </w:t>
      </w:r>
      <w:r w:rsidR="005A4E6D">
        <w:rPr>
          <w:rFonts w:ascii="Verdana" w:hAnsi="Verdana" w:cstheme="minorHAnsi"/>
          <w:sz w:val="20"/>
          <w:szCs w:val="20"/>
        </w:rPr>
        <w:t>S</w:t>
      </w:r>
      <w:r>
        <w:rPr>
          <w:rFonts w:ascii="Verdana" w:hAnsi="Verdana" w:cstheme="minorHAnsi"/>
          <w:sz w:val="20"/>
          <w:szCs w:val="20"/>
        </w:rPr>
        <w:t xml:space="preserve">kin Sens. 1A, H317 is </w:t>
      </w:r>
      <w:r w:rsidRPr="009E2E72">
        <w:rPr>
          <w:rFonts w:ascii="Verdana" w:hAnsi="Verdana" w:cstheme="minorHAnsi"/>
          <w:color w:val="000000" w:themeColor="text1"/>
          <w:sz w:val="20"/>
          <w:szCs w:val="20"/>
        </w:rPr>
        <w:t xml:space="preserve">proposed. </w:t>
      </w:r>
      <w:r w:rsidR="00FF0DB0" w:rsidRPr="009E2E72">
        <w:rPr>
          <w:rFonts w:ascii="Verdana" w:hAnsi="Verdana"/>
          <w:color w:val="000000" w:themeColor="text1"/>
          <w:sz w:val="20"/>
          <w:szCs w:val="20"/>
          <w:shd w:val="clear" w:color="auto" w:fill="FFFFFF"/>
        </w:rPr>
        <w:t>The harmonised classification entails legal requirements, such as labelling to inform users of substances and mixtures about their safe use. Precautionary statements</w:t>
      </w:r>
      <w:r w:rsidR="000E2882" w:rsidRPr="009E2E72">
        <w:rPr>
          <w:rFonts w:ascii="Verdana" w:hAnsi="Verdana"/>
          <w:color w:val="000000" w:themeColor="text1"/>
          <w:sz w:val="20"/>
          <w:szCs w:val="20"/>
          <w:shd w:val="clear" w:color="auto" w:fill="FFFFFF"/>
        </w:rPr>
        <w:t xml:space="preserve"> (P280)</w:t>
      </w:r>
      <w:r w:rsidR="00FF0DB0" w:rsidRPr="009E2E72">
        <w:rPr>
          <w:rFonts w:ascii="Verdana" w:hAnsi="Verdana"/>
          <w:color w:val="000000" w:themeColor="text1"/>
          <w:sz w:val="20"/>
          <w:szCs w:val="20"/>
          <w:shd w:val="clear" w:color="auto" w:fill="FFFFFF"/>
        </w:rPr>
        <w:t xml:space="preserve"> </w:t>
      </w:r>
      <w:r w:rsidR="000E2882" w:rsidRPr="009E2E72">
        <w:rPr>
          <w:rFonts w:ascii="Verdana" w:hAnsi="Verdana"/>
          <w:color w:val="000000" w:themeColor="text1"/>
          <w:sz w:val="20"/>
          <w:szCs w:val="20"/>
          <w:shd w:val="clear" w:color="auto" w:fill="FFFFFF"/>
        </w:rPr>
        <w:t>highly recommend to wear protective gloves or clothing, eye protection or face protection</w:t>
      </w:r>
      <w:r w:rsidR="00FF0DB0" w:rsidRPr="009E2E72">
        <w:rPr>
          <w:rFonts w:ascii="Verdana" w:hAnsi="Verdana"/>
          <w:color w:val="000000" w:themeColor="text1"/>
          <w:sz w:val="20"/>
          <w:szCs w:val="20"/>
          <w:shd w:val="clear" w:color="auto" w:fill="FFFFFF"/>
        </w:rPr>
        <w:t xml:space="preserve">. The labelling requirement, however, does not cover articles such as clothing, bedlinen or footwear. </w:t>
      </w:r>
      <w:r w:rsidRPr="009E2E72">
        <w:rPr>
          <w:rFonts w:ascii="Verdana" w:hAnsi="Verdana" w:cstheme="minorHAnsi"/>
          <w:color w:val="000000" w:themeColor="text1"/>
          <w:sz w:val="20"/>
          <w:szCs w:val="20"/>
        </w:rPr>
        <w:t xml:space="preserve">A restriction proposal on skin sensitising substances in textile, leather, fur and hide is currently under consideration </w:t>
      </w:r>
      <w:r>
        <w:rPr>
          <w:rFonts w:ascii="Verdana" w:hAnsi="Verdana" w:cstheme="minorHAnsi"/>
          <w:sz w:val="20"/>
          <w:szCs w:val="20"/>
        </w:rPr>
        <w:t>by the European Commission. This restriction stipulates that substances newly classified as category 1/ 1A / 1B allergens in Annex VI of the CLP Regulation will become subject to the restriction within 3 years after their official classification date. As the extent of articles where DPG is present is unknown, there is a possibility that DPG might be present in textile and would be subject to this restriction. The concentration limit proposed for textiles is 130 mg/kg.</w:t>
      </w:r>
    </w:p>
    <w:p w14:paraId="081B1404" w14:textId="77777777" w:rsidR="00BC1D4B" w:rsidRDefault="00BC1D4B">
      <w:pPr>
        <w:jc w:val="both"/>
        <w:rPr>
          <w:rFonts w:ascii="Verdana" w:hAnsi="Verdana" w:cstheme="minorHAnsi"/>
          <w:sz w:val="20"/>
          <w:szCs w:val="20"/>
        </w:rPr>
      </w:pPr>
    </w:p>
    <w:p w14:paraId="11DB8B3D" w14:textId="77777777" w:rsidR="00BC1D4B" w:rsidRDefault="00ED1F84">
      <w:pPr>
        <w:pStyle w:val="Titre3"/>
      </w:pPr>
      <w:bookmarkStart w:id="29" w:name="_Toc137044482"/>
      <w:r>
        <w:t>REACH Regulation</w:t>
      </w:r>
      <w:bookmarkEnd w:id="29"/>
      <w:r>
        <w:t xml:space="preserve"> </w:t>
      </w:r>
    </w:p>
    <w:p w14:paraId="2E7955F7" w14:textId="77777777" w:rsidR="00BC1D4B" w:rsidRDefault="00ED1F84">
      <w:pPr>
        <w:pStyle w:val="Titre4"/>
      </w:pPr>
      <w:r>
        <w:t xml:space="preserve">Authorisation: Identification as SVHC/Candidate Listing without Inclusion in Annex XIV </w:t>
      </w:r>
    </w:p>
    <w:p w14:paraId="7FE39E0C" w14:textId="77777777" w:rsidR="00BC1D4B" w:rsidRDefault="00ED1F84">
      <w:pPr>
        <w:pStyle w:val="Corpsdetexte"/>
        <w:jc w:val="both"/>
      </w:pPr>
      <w:r>
        <w:rPr>
          <w:rFonts w:ascii="Verdana" w:hAnsi="Verdana"/>
          <w:sz w:val="20"/>
          <w:szCs w:val="20"/>
          <w:lang w:val="en-US"/>
        </w:rPr>
        <w:t>Further to the revision of its harmonized classification as Repro 1B, DPG will qualify for identification under Article 57(c) as SVHC (substances meeting the criteria for classification in the hazard class reproductive toxicity category 1A or 1B, adverse effects on sexual function and fertility or on development in accordance with section 3.7 of Annex I to Regulation (EC) No 1272/2008).</w:t>
      </w:r>
      <w:r>
        <w:t xml:space="preserve"> </w:t>
      </w:r>
    </w:p>
    <w:p w14:paraId="5A3330D6" w14:textId="77777777" w:rsidR="00BC1D4B" w:rsidRDefault="00ED1F84">
      <w:pPr>
        <w:pStyle w:val="Corpsdetexte"/>
        <w:jc w:val="both"/>
        <w:rPr>
          <w:rFonts w:ascii="Verdana" w:hAnsi="Verdana"/>
          <w:sz w:val="20"/>
          <w:szCs w:val="20"/>
          <w:lang w:val="en-US"/>
        </w:rPr>
      </w:pPr>
      <w:r>
        <w:rPr>
          <w:rFonts w:ascii="Verdana" w:hAnsi="Verdana"/>
          <w:sz w:val="20"/>
          <w:szCs w:val="20"/>
          <w:lang w:val="en-US"/>
        </w:rPr>
        <w:t>While Candidate Listing is often seen as a first step to authorisation, it has direct effects even when the substance is not yet included in Annex XIV.</w:t>
      </w:r>
    </w:p>
    <w:p w14:paraId="78E572F5" w14:textId="77777777" w:rsidR="00BC1D4B" w:rsidRDefault="00ED1F84">
      <w:pPr>
        <w:pStyle w:val="Corpsdetexte"/>
        <w:jc w:val="both"/>
        <w:rPr>
          <w:rFonts w:ascii="Verdana" w:hAnsi="Verdana"/>
          <w:sz w:val="20"/>
          <w:szCs w:val="20"/>
          <w:lang w:val="en-US"/>
        </w:rPr>
      </w:pPr>
      <w:r>
        <w:rPr>
          <w:rFonts w:ascii="Verdana" w:hAnsi="Verdana"/>
          <w:sz w:val="20"/>
          <w:szCs w:val="20"/>
          <w:lang w:val="en-US"/>
        </w:rPr>
        <w:t xml:space="preserve">Most importantly, Candidate Listing triggers information rights for consumers and the duty to report certain information for industry: </w:t>
      </w:r>
    </w:p>
    <w:p w14:paraId="15780C74" w14:textId="77777777" w:rsidR="00BC1D4B" w:rsidRDefault="00ED1F84">
      <w:pPr>
        <w:pStyle w:val="Corpsdetexte"/>
        <w:jc w:val="both"/>
        <w:rPr>
          <w:rFonts w:ascii="Verdana" w:hAnsi="Verdana"/>
          <w:sz w:val="20"/>
          <w:szCs w:val="20"/>
          <w:lang w:val="en-US"/>
        </w:rPr>
      </w:pPr>
      <w:r>
        <w:rPr>
          <w:rFonts w:ascii="Verdana" w:hAnsi="Verdana"/>
          <w:sz w:val="20"/>
          <w:szCs w:val="20"/>
          <w:lang w:val="en-US"/>
        </w:rPr>
        <w:t>Requirement to inform customers and consumers under REACH (Art. 33):</w:t>
      </w:r>
      <w:r>
        <w:rPr>
          <w:rFonts w:ascii="Verdana" w:hAnsi="Verdana"/>
          <w:sz w:val="20"/>
          <w:szCs w:val="20"/>
          <w:lang w:val="en-US"/>
        </w:rPr>
        <w:tab/>
        <w:t xml:space="preserve"> </w:t>
      </w:r>
    </w:p>
    <w:p w14:paraId="398283E6" w14:textId="77777777" w:rsidR="00BC1D4B" w:rsidRDefault="00ED1F84">
      <w:pPr>
        <w:pStyle w:val="Corpsdetexte"/>
        <w:jc w:val="both"/>
        <w:rPr>
          <w:rFonts w:ascii="Verdana" w:hAnsi="Verdana"/>
          <w:sz w:val="20"/>
          <w:szCs w:val="20"/>
          <w:lang w:val="en-US"/>
        </w:rPr>
      </w:pPr>
      <w:r>
        <w:rPr>
          <w:rFonts w:ascii="Verdana" w:hAnsi="Verdana"/>
          <w:sz w:val="20"/>
          <w:szCs w:val="20"/>
          <w:lang w:val="en-US"/>
        </w:rPr>
        <w:t>Suppliers of articles which contain DPG in a concentration above 0.1 % (w/w) have to provide sufficient information to allow safe use of the article to their customers within the supply chain. Additionally a consumer can request such information from the supplier as well and it has to be provided within 45 days after the request.</w:t>
      </w:r>
    </w:p>
    <w:p w14:paraId="5F0AEC83" w14:textId="77777777" w:rsidR="00BC1D4B" w:rsidRDefault="00ED1F84">
      <w:pPr>
        <w:pStyle w:val="Corpsdetexte"/>
        <w:jc w:val="both"/>
        <w:rPr>
          <w:rFonts w:ascii="Verdana" w:hAnsi="Verdana"/>
          <w:sz w:val="20"/>
          <w:szCs w:val="20"/>
          <w:lang w:val="en-US"/>
        </w:rPr>
      </w:pPr>
      <w:r>
        <w:rPr>
          <w:rFonts w:ascii="Verdana" w:hAnsi="Verdana"/>
          <w:sz w:val="20"/>
          <w:szCs w:val="20"/>
          <w:lang w:val="en-US"/>
        </w:rPr>
        <w:t xml:space="preserve">Requirement to notify ECHA under REACH (Art. 7(2)): </w:t>
      </w:r>
      <w:r>
        <w:rPr>
          <w:rFonts w:ascii="Verdana" w:hAnsi="Verdana"/>
          <w:sz w:val="20"/>
          <w:szCs w:val="20"/>
          <w:lang w:val="en-US"/>
        </w:rPr>
        <w:tab/>
      </w:r>
    </w:p>
    <w:p w14:paraId="41205540" w14:textId="1CC73C4B" w:rsidR="00BC1D4B" w:rsidRDefault="00ED1F84">
      <w:pPr>
        <w:pStyle w:val="Corpsdetexte"/>
        <w:jc w:val="both"/>
        <w:rPr>
          <w:rFonts w:ascii="Verdana" w:hAnsi="Verdana"/>
          <w:sz w:val="20"/>
          <w:szCs w:val="20"/>
          <w:lang w:val="en-US"/>
        </w:rPr>
      </w:pPr>
      <w:r>
        <w:rPr>
          <w:rFonts w:ascii="Verdana" w:hAnsi="Verdana"/>
          <w:sz w:val="20"/>
          <w:szCs w:val="20"/>
          <w:lang w:val="en-US"/>
        </w:rPr>
        <w:t>Producers or importers of articles containing DPG in a concentration above 0.1 % (w/w) have (under certain conditions) to notify ECHA that their article contains a substance on the Candidate List. This obligation applies if the substance is present in those articles in quantities totaling over one ton per producer or importer per year.</w:t>
      </w:r>
    </w:p>
    <w:p w14:paraId="1073552A" w14:textId="77777777" w:rsidR="00BC1D4B" w:rsidRDefault="00ED1F84">
      <w:pPr>
        <w:pStyle w:val="Corpsdetexte"/>
        <w:jc w:val="both"/>
        <w:rPr>
          <w:rFonts w:ascii="Verdana" w:hAnsi="Verdana"/>
          <w:sz w:val="20"/>
          <w:szCs w:val="20"/>
          <w:lang w:val="en-US"/>
        </w:rPr>
      </w:pPr>
      <w:r>
        <w:rPr>
          <w:rFonts w:ascii="Verdana" w:hAnsi="Verdana"/>
          <w:sz w:val="20"/>
          <w:szCs w:val="20"/>
          <w:lang w:val="en-US"/>
        </w:rPr>
        <w:t xml:space="preserve">In addition, this information is published in the open SCIP database (database for information on Substances of Concern In Articles as such or in complex Products) established under the Waste Framework Directive (2008/98/EC) to make the information available to waste operators and consumers. This information would </w:t>
      </w:r>
      <w:r>
        <w:rPr>
          <w:rFonts w:ascii="Verdana" w:hAnsi="Verdana"/>
          <w:sz w:val="20"/>
          <w:szCs w:val="20"/>
          <w:lang w:val="en-US"/>
        </w:rPr>
        <w:lastRenderedPageBreak/>
        <w:t xml:space="preserve">also trigger an obligation for the Registrants to notify the presence of DPG in articles containing a concentration above 0.1% and help reduce the information gaps related to the lack of available data regarding the article containing DPG.  </w:t>
      </w:r>
    </w:p>
    <w:p w14:paraId="3396E8BA" w14:textId="77777777" w:rsidR="00BC1D4B" w:rsidRDefault="00ED1F84">
      <w:pPr>
        <w:pStyle w:val="Corpsdetexte"/>
        <w:jc w:val="both"/>
        <w:rPr>
          <w:rFonts w:ascii="Verdana" w:hAnsi="Verdana"/>
          <w:sz w:val="20"/>
          <w:szCs w:val="20"/>
          <w:lang w:val="en-US"/>
        </w:rPr>
      </w:pPr>
      <w:r>
        <w:rPr>
          <w:rFonts w:ascii="Verdana" w:hAnsi="Verdana"/>
          <w:sz w:val="20"/>
          <w:szCs w:val="20"/>
          <w:lang w:val="en-US"/>
        </w:rPr>
        <w:t xml:space="preserve">SVHC identification as such is considered to encourage the substitution of the substance. In several industrial supply chains specific conditions of purchase are already in place for substances of concern. These conditions might include terms like “absence of SVHC in the delivered product” with thresholds for residual SVHC lower than the regulatory triggers. The above mentioned obligations for suppliers and importers of DPG as a substance itself, mixtures and articles containing DPG, might support to pave the way for a reduction of human exposure and emissions of DPG into the environment by promoting substitution with less hazardous substances or alternative techniques. </w:t>
      </w:r>
    </w:p>
    <w:p w14:paraId="3F6AF173" w14:textId="77777777" w:rsidR="00BC1D4B" w:rsidRDefault="00ED1F84">
      <w:pPr>
        <w:jc w:val="both"/>
        <w:rPr>
          <w:rFonts w:ascii="Verdana" w:hAnsi="Verdana"/>
          <w:sz w:val="20"/>
          <w:szCs w:val="20"/>
          <w:lang w:val="en-US"/>
        </w:rPr>
      </w:pPr>
      <w:r>
        <w:rPr>
          <w:rFonts w:ascii="Verdana" w:hAnsi="Verdana"/>
          <w:sz w:val="20"/>
          <w:szCs w:val="20"/>
          <w:lang w:val="en-US"/>
        </w:rPr>
        <w:t xml:space="preserve">However, an SVHC identification would not be any obligation to substitute DPG. The Candidate Listing might support reduction of human exposure and emissions to the environment to a certain extent but is not seen as an effective risk management tool to address risks, if relevant. </w:t>
      </w:r>
    </w:p>
    <w:p w14:paraId="04BDA65E" w14:textId="77777777" w:rsidR="00BC1D4B" w:rsidRDefault="00ED1F84">
      <w:pPr>
        <w:pStyle w:val="Titre4"/>
        <w:rPr>
          <w:lang w:val="en-US"/>
        </w:rPr>
      </w:pPr>
      <w:r>
        <w:rPr>
          <w:lang w:val="en-US"/>
        </w:rPr>
        <w:t>Authorisation: Identification as SVHC/ Candidate listing with inclusion in Annex XIV</w:t>
      </w:r>
    </w:p>
    <w:p w14:paraId="7AA4129A" w14:textId="77777777" w:rsidR="00BC1D4B" w:rsidRDefault="00ED1F84">
      <w:pPr>
        <w:pStyle w:val="Corpsdetexte"/>
        <w:jc w:val="both"/>
        <w:rPr>
          <w:rFonts w:ascii="Verdana" w:hAnsi="Verdana"/>
          <w:sz w:val="20"/>
          <w:lang w:val="en-US"/>
        </w:rPr>
      </w:pPr>
      <w:r>
        <w:rPr>
          <w:rFonts w:ascii="Verdana" w:hAnsi="Verdana"/>
          <w:sz w:val="20"/>
          <w:lang w:val="en-US"/>
        </w:rPr>
        <w:t>A prerequisite for a substance to be included on the Annex XIV of REACH is to be identified as a SVHC. Once listed on the Annex XIV, its continued use, beyond an agreed sunset date, will only be allowed if the substance has been authorised for a specific use. Application for authorisation are scrutinized by the ECHA committees RAC and SEAC and finally granted by the European Commission. Some of the uses may be exempted from authorisation requirements.</w:t>
      </w:r>
    </w:p>
    <w:p w14:paraId="036A8F77" w14:textId="4EC66BFD" w:rsidR="00BC1D4B" w:rsidRDefault="00ED1F84">
      <w:pPr>
        <w:pStyle w:val="Corpsdetexte"/>
        <w:jc w:val="both"/>
        <w:rPr>
          <w:rFonts w:ascii="Verdana" w:hAnsi="Verdana"/>
          <w:sz w:val="20"/>
          <w:lang w:val="en-US"/>
        </w:rPr>
      </w:pPr>
      <w:r>
        <w:rPr>
          <w:rFonts w:ascii="Verdana" w:hAnsi="Verdana"/>
          <w:sz w:val="20"/>
          <w:lang w:val="en-US"/>
        </w:rPr>
        <w:t>The prioritisation for inclusion in Annex XIV from the candidate list is based on hazard (triggered by SVHC identification) and consideration of tonnage and types of uses. Priority is driven by several criteria that are set by Article 58 of REACh. The aMSCA considers that the substance meets the criteria for classification in the hazard class reproductive toxicity category 1B. DPG is produced or imported into the EU in volumes of 10</w:t>
      </w:r>
      <w:r w:rsidR="00D854F9">
        <w:rPr>
          <w:rFonts w:ascii="Verdana" w:hAnsi="Verdana"/>
          <w:sz w:val="20"/>
          <w:lang w:val="en-US"/>
        </w:rPr>
        <w:t>,</w:t>
      </w:r>
      <w:r>
        <w:rPr>
          <w:rFonts w:ascii="Verdana" w:hAnsi="Verdana"/>
          <w:sz w:val="20"/>
          <w:lang w:val="en-US"/>
        </w:rPr>
        <w:t>000 – 100</w:t>
      </w:r>
      <w:r w:rsidR="00D854F9">
        <w:rPr>
          <w:rFonts w:ascii="Verdana" w:hAnsi="Verdana"/>
          <w:sz w:val="20"/>
          <w:lang w:val="en-US"/>
        </w:rPr>
        <w:t>,</w:t>
      </w:r>
      <w:r>
        <w:rPr>
          <w:rFonts w:ascii="Verdana" w:hAnsi="Verdana"/>
          <w:sz w:val="20"/>
          <w:lang w:val="en-US"/>
        </w:rPr>
        <w:t>000 tpa. Considering ECHA prioritisation (ECHA, 2014), it is assumed that for DPG a relatively high score might be assigned. Whether this score is sufficient for a prioritisation of DPG for inclusion in Annex XIV, would further depend on the assigned scores of all other substances in the Candidate List in a particular prioritisation round.</w:t>
      </w:r>
    </w:p>
    <w:p w14:paraId="09C09404" w14:textId="77777777" w:rsidR="00BC1D4B" w:rsidRDefault="00ED1F84">
      <w:pPr>
        <w:pStyle w:val="Corpsdetexte"/>
        <w:jc w:val="both"/>
        <w:rPr>
          <w:sz w:val="20"/>
          <w:szCs w:val="20"/>
          <w:lang w:val="en-US"/>
        </w:rPr>
      </w:pPr>
      <w:r>
        <w:rPr>
          <w:rFonts w:ascii="Verdana" w:hAnsi="Verdana"/>
          <w:sz w:val="20"/>
          <w:szCs w:val="20"/>
        </w:rPr>
        <w:t>Authorisation addresses the use of a substance as such as well as in mixtures and would cover industrial and professional uses of the substance. The uses of DPG and in particular the incorporation of DPG into an article, e.g. tyres, would be subject to the authorisation requirement. In this case the risks for human health during production and professional uses has to be addressed in an application for authorisation. Authorisation might lead to a total reduction of the use of DPG and might increase R&amp;D efforts to replace DPG with less hazardous substances (or with technical or functional alternatives).</w:t>
      </w:r>
    </w:p>
    <w:p w14:paraId="3BFB047E" w14:textId="77777777" w:rsidR="00BC1D4B" w:rsidRDefault="00ED1F84">
      <w:pPr>
        <w:pStyle w:val="Corpsdetexte"/>
        <w:jc w:val="both"/>
        <w:rPr>
          <w:rFonts w:ascii="Verdana" w:hAnsi="Verdana"/>
          <w:sz w:val="20"/>
          <w:szCs w:val="20"/>
        </w:rPr>
      </w:pPr>
      <w:r>
        <w:rPr>
          <w:rFonts w:ascii="Verdana" w:hAnsi="Verdana"/>
          <w:sz w:val="20"/>
          <w:szCs w:val="20"/>
        </w:rPr>
        <w:t>However, articles which are imported into the European Union will not be covered by these obligations.</w:t>
      </w:r>
      <w:r>
        <w:t xml:space="preserve"> </w:t>
      </w:r>
      <w:r>
        <w:rPr>
          <w:rFonts w:ascii="Verdana" w:hAnsi="Verdana"/>
          <w:sz w:val="20"/>
          <w:szCs w:val="20"/>
        </w:rPr>
        <w:t>The placing on the market (either produced in the EU or imported) and the use of an article which contains DPG is not a subject of the authorisation process. In addition, authorisation will be considered on in relation to the SVHC property of DPG, i.e. in relation to human health. Therefore, this measure would not have any direct impact on health risks from imported articles and on environmental risks.</w:t>
      </w:r>
    </w:p>
    <w:p w14:paraId="0F5DE3E5" w14:textId="77777777" w:rsidR="00BC1D4B" w:rsidRDefault="00ED1F84">
      <w:pPr>
        <w:pStyle w:val="Titre4"/>
      </w:pPr>
      <w:r>
        <w:lastRenderedPageBreak/>
        <w:t>Restriction</w:t>
      </w:r>
    </w:p>
    <w:p w14:paraId="1FFC7E97" w14:textId="77777777" w:rsidR="00BC1D4B" w:rsidRDefault="00ED1F84">
      <w:pPr>
        <w:jc w:val="both"/>
        <w:rPr>
          <w:rFonts w:ascii="Verdana" w:hAnsi="Verdana"/>
          <w:sz w:val="20"/>
          <w:szCs w:val="20"/>
        </w:rPr>
      </w:pPr>
      <w:r>
        <w:rPr>
          <w:rFonts w:ascii="Verdana" w:hAnsi="Verdana"/>
          <w:sz w:val="20"/>
          <w:szCs w:val="20"/>
        </w:rPr>
        <w:t>Restriction shall address an unacceptable risk to human health or the environment arising from the manufacture, use or placing on the market of substances (Art 68). This option may also cover articles, imported or manufactured in the EU. A restriction can be scoped in different ways: either as general restriction covering all products which contain DPG above a certain concentration, or as a restriction to cover relevant exposure/emission sources from specific uses for which unacceptable risks for environment or human health were identified.</w:t>
      </w:r>
    </w:p>
    <w:p w14:paraId="34913BC0" w14:textId="77777777" w:rsidR="00BC1D4B" w:rsidRDefault="00ED1F84">
      <w:pPr>
        <w:spacing w:after="0"/>
        <w:jc w:val="both"/>
        <w:rPr>
          <w:rFonts w:ascii="Verdana" w:hAnsi="Verdana"/>
          <w:sz w:val="20"/>
          <w:szCs w:val="20"/>
        </w:rPr>
      </w:pPr>
      <w:r>
        <w:rPr>
          <w:rFonts w:ascii="Verdana" w:hAnsi="Verdana"/>
          <w:sz w:val="20"/>
          <w:szCs w:val="20"/>
        </w:rPr>
        <w:t xml:space="preserve">Although an Annex XV restriction proposal would show several advantages over the REACH authorisation procedure (e.g. may cover the risks for the environment and risks related to the use of articles), an “unacceptable risk has to be demonstrated”. </w:t>
      </w:r>
    </w:p>
    <w:p w14:paraId="42AE06DF" w14:textId="77777777" w:rsidR="00BC1D4B" w:rsidRDefault="00BC1D4B">
      <w:pPr>
        <w:spacing w:after="0"/>
        <w:jc w:val="both"/>
        <w:rPr>
          <w:rFonts w:ascii="Verdana" w:hAnsi="Verdana"/>
          <w:sz w:val="20"/>
          <w:szCs w:val="20"/>
        </w:rPr>
      </w:pPr>
    </w:p>
    <w:p w14:paraId="294A75D9" w14:textId="77777777" w:rsidR="00BC1D4B" w:rsidRDefault="00ED1F84">
      <w:pPr>
        <w:spacing w:after="0"/>
        <w:jc w:val="both"/>
        <w:rPr>
          <w:rFonts w:ascii="Verdana" w:hAnsi="Verdana"/>
          <w:sz w:val="20"/>
          <w:szCs w:val="20"/>
        </w:rPr>
      </w:pPr>
      <w:r>
        <w:rPr>
          <w:rFonts w:ascii="Verdana" w:hAnsi="Verdana"/>
          <w:sz w:val="20"/>
          <w:szCs w:val="20"/>
        </w:rPr>
        <w:t xml:space="preserve">The aMSCA considers a restriction under REACH as a disproportionate measure at this point in time. In relation to risks for human health, </w:t>
      </w:r>
      <w:r>
        <w:rPr>
          <w:rFonts w:ascii="Verdana" w:eastAsia="Calibri" w:hAnsi="Verdana"/>
          <w:sz w:val="20"/>
          <w:szCs w:val="20"/>
        </w:rPr>
        <w:t xml:space="preserve">the aMSCA recommend that registration dossiers are updated considering the DNEL as described in section 2.1.1 to provide demonstration that risks are adequately controlled for all registered uses of the substance. Considering the low magnitude of risks, refinement of exposure assessment with Tier II tools and addition of RMM may result in refinement and possibly control of risks. </w:t>
      </w:r>
    </w:p>
    <w:p w14:paraId="2897E1B2" w14:textId="77777777" w:rsidR="00BC1D4B" w:rsidRDefault="00BC1D4B">
      <w:pPr>
        <w:spacing w:after="0"/>
        <w:jc w:val="both"/>
        <w:rPr>
          <w:rFonts w:ascii="Verdana" w:hAnsi="Verdana"/>
          <w:sz w:val="20"/>
          <w:szCs w:val="20"/>
        </w:rPr>
      </w:pPr>
    </w:p>
    <w:p w14:paraId="65BA37AA" w14:textId="77777777" w:rsidR="00BC1D4B" w:rsidRDefault="00ED1F84">
      <w:pPr>
        <w:spacing w:after="0"/>
        <w:jc w:val="both"/>
        <w:rPr>
          <w:rFonts w:ascii="Verdana" w:hAnsi="Verdana"/>
          <w:sz w:val="20"/>
          <w:szCs w:val="20"/>
        </w:rPr>
      </w:pPr>
      <w:r>
        <w:rPr>
          <w:rFonts w:ascii="Verdana" w:hAnsi="Verdana"/>
          <w:sz w:val="20"/>
          <w:szCs w:val="20"/>
        </w:rPr>
        <w:t>To strengthen the implementation of RMM according to the S-T-O-P principle and protect workers, setting of OELs appears to be an appropriate way of regulation. In case further risks for the workers are identified by authorities after the updates of registration dossiers, the option of a restriction under REACH might be reconsidered.</w:t>
      </w:r>
    </w:p>
    <w:p w14:paraId="33F651F8" w14:textId="77777777" w:rsidR="00BC1D4B" w:rsidRDefault="00BC1D4B">
      <w:pPr>
        <w:spacing w:after="0"/>
        <w:jc w:val="both"/>
        <w:rPr>
          <w:rFonts w:ascii="Verdana" w:hAnsi="Verdana"/>
          <w:sz w:val="20"/>
          <w:szCs w:val="20"/>
        </w:rPr>
      </w:pPr>
    </w:p>
    <w:p w14:paraId="0BB36F70" w14:textId="618842E7" w:rsidR="00BC1D4B" w:rsidRDefault="00ED1F84">
      <w:pPr>
        <w:spacing w:after="0"/>
        <w:jc w:val="both"/>
        <w:rPr>
          <w:rFonts w:ascii="Verdana" w:hAnsi="Verdana"/>
          <w:sz w:val="20"/>
          <w:szCs w:val="20"/>
        </w:rPr>
      </w:pPr>
      <w:r>
        <w:rPr>
          <w:rFonts w:ascii="Verdana" w:hAnsi="Verdana"/>
          <w:sz w:val="20"/>
          <w:szCs w:val="20"/>
        </w:rPr>
        <w:t>In relation to risks to the environment, risk management measure on the industrial sites</w:t>
      </w:r>
      <w:r w:rsidR="00C05740">
        <w:rPr>
          <w:rFonts w:ascii="Verdana" w:hAnsi="Verdana"/>
          <w:sz w:val="20"/>
          <w:szCs w:val="20"/>
        </w:rPr>
        <w:t xml:space="preserve"> (i.e. zero release of DPG as claimed by one of the registrant)</w:t>
      </w:r>
      <w:r>
        <w:rPr>
          <w:rFonts w:ascii="Verdana" w:hAnsi="Verdana"/>
          <w:sz w:val="20"/>
          <w:szCs w:val="20"/>
        </w:rPr>
        <w:t xml:space="preserve"> might be sufficient to cover the unacceptable risks. Monitoring and enforcement should be made to identify the release and exposure to the environment coming from the manufacture and formulation sites. In addition, the uncertainties related to the release of DPG from articles produced in Europe but also from imported article</w:t>
      </w:r>
      <w:r w:rsidR="00C05740">
        <w:rPr>
          <w:rFonts w:ascii="Verdana" w:hAnsi="Verdana"/>
          <w:sz w:val="20"/>
          <w:szCs w:val="20"/>
        </w:rPr>
        <w:t>, and the exposure scenario related to the</w:t>
      </w:r>
      <w:r>
        <w:rPr>
          <w:rFonts w:ascii="Verdana" w:hAnsi="Verdana"/>
          <w:sz w:val="20"/>
          <w:szCs w:val="20"/>
        </w:rPr>
        <w:t xml:space="preserve"> </w:t>
      </w:r>
      <w:r w:rsidR="00C05740">
        <w:rPr>
          <w:rFonts w:ascii="Verdana" w:hAnsi="Verdana"/>
          <w:sz w:val="20"/>
          <w:szCs w:val="20"/>
        </w:rPr>
        <w:t xml:space="preserve">transformation of these products </w:t>
      </w:r>
      <w:r>
        <w:rPr>
          <w:rFonts w:ascii="Verdana" w:hAnsi="Verdana"/>
          <w:sz w:val="20"/>
          <w:szCs w:val="20"/>
        </w:rPr>
        <w:t>needs to be clear</w:t>
      </w:r>
      <w:r w:rsidR="00C05740">
        <w:rPr>
          <w:rFonts w:ascii="Verdana" w:hAnsi="Verdana"/>
          <w:sz w:val="20"/>
          <w:szCs w:val="20"/>
        </w:rPr>
        <w:t>ed</w:t>
      </w:r>
      <w:r>
        <w:rPr>
          <w:rFonts w:ascii="Verdana" w:hAnsi="Verdana"/>
          <w:sz w:val="20"/>
          <w:szCs w:val="20"/>
        </w:rPr>
        <w:t xml:space="preserve"> up. If risks from imported articles are relevant, a restriction proposal would be an appropriate measure. Thus the identification of specific uses of DPG relevant for a restriction proposal might be further reconsidered. </w:t>
      </w:r>
    </w:p>
    <w:p w14:paraId="4FE965B6" w14:textId="77777777" w:rsidR="00BC1D4B" w:rsidRDefault="00BC1D4B">
      <w:pPr>
        <w:spacing w:after="0"/>
        <w:jc w:val="both"/>
        <w:rPr>
          <w:rFonts w:ascii="Verdana" w:hAnsi="Verdana"/>
          <w:sz w:val="20"/>
          <w:szCs w:val="20"/>
        </w:rPr>
      </w:pPr>
    </w:p>
    <w:p w14:paraId="47EFE44A" w14:textId="5EC4D28D" w:rsidR="00BC1D4B" w:rsidRDefault="000B35DC">
      <w:pPr>
        <w:spacing w:after="0"/>
        <w:jc w:val="both"/>
        <w:rPr>
          <w:rFonts w:ascii="Verdana" w:hAnsi="Verdana"/>
          <w:i/>
          <w:sz w:val="20"/>
          <w:szCs w:val="20"/>
          <w:u w:val="single"/>
        </w:rPr>
      </w:pPr>
      <w:r>
        <w:rPr>
          <w:rFonts w:ascii="Verdana" w:hAnsi="Verdana"/>
          <w:sz w:val="20"/>
          <w:szCs w:val="20"/>
        </w:rPr>
        <w:t>Finally, t</w:t>
      </w:r>
      <w:r w:rsidR="00ED1F84">
        <w:rPr>
          <w:rFonts w:ascii="Verdana" w:hAnsi="Verdana"/>
          <w:sz w:val="20"/>
          <w:szCs w:val="20"/>
        </w:rPr>
        <w:t>he possibility of substitution and alternatives also needs to be considered to decide on the appropriateness of this management measure.</w:t>
      </w:r>
    </w:p>
    <w:p w14:paraId="5915B74F" w14:textId="77777777" w:rsidR="00BC1D4B" w:rsidRDefault="00BC1D4B">
      <w:pPr>
        <w:jc w:val="both"/>
        <w:rPr>
          <w:rFonts w:ascii="Verdana" w:hAnsi="Verdana"/>
          <w:sz w:val="20"/>
          <w:szCs w:val="20"/>
        </w:rPr>
      </w:pPr>
    </w:p>
    <w:p w14:paraId="31263608" w14:textId="77777777" w:rsidR="00BC1D4B" w:rsidRDefault="00ED1F84">
      <w:pPr>
        <w:pStyle w:val="Titre3"/>
      </w:pPr>
      <w:bookmarkStart w:id="30" w:name="_Toc137044483"/>
      <w:r>
        <w:t>Occupational exposure limit (OEL) value under worker legislation</w:t>
      </w:r>
      <w:bookmarkEnd w:id="30"/>
    </w:p>
    <w:p w14:paraId="21F38CB4" w14:textId="77777777" w:rsidR="00BC1D4B" w:rsidRDefault="00ED1F84">
      <w:pPr>
        <w:pStyle w:val="Corpsdetexte"/>
        <w:jc w:val="both"/>
        <w:rPr>
          <w:rFonts w:ascii="Verdana" w:hAnsi="Verdana"/>
          <w:sz w:val="20"/>
          <w:szCs w:val="20"/>
        </w:rPr>
      </w:pPr>
      <w:r>
        <w:rPr>
          <w:rFonts w:ascii="Verdana" w:hAnsi="Verdana"/>
          <w:sz w:val="20"/>
          <w:szCs w:val="20"/>
          <w:shd w:val="clear" w:color="auto" w:fill="FFFFFF"/>
        </w:rPr>
        <w:t xml:space="preserve">Occupational exposure limits (OELs) are regulatory values which indicate levels of exposure that are considered to be safe (health-based) for a chemical substance in the air of a workplace. </w:t>
      </w:r>
      <w:r>
        <w:rPr>
          <w:rFonts w:ascii="Verdana" w:hAnsi="Verdana"/>
          <w:sz w:val="20"/>
          <w:szCs w:val="20"/>
        </w:rPr>
        <w:t>In the perspective of addressing the risks demonstrated for workers exposed to DPG, setting binding OELs within the framework of the CMRD (Directive 2004/37/EC)</w:t>
      </w:r>
      <w:r>
        <w:rPr>
          <w:rStyle w:val="Appelnotedebasdep"/>
          <w:szCs w:val="20"/>
        </w:rPr>
        <w:footnoteReference w:id="13"/>
      </w:r>
      <w:r>
        <w:rPr>
          <w:rFonts w:ascii="Verdana" w:hAnsi="Verdana"/>
          <w:sz w:val="20"/>
          <w:szCs w:val="20"/>
        </w:rPr>
        <w:t xml:space="preserve"> would be an option that would allow a harmonized </w:t>
      </w:r>
      <w:r>
        <w:rPr>
          <w:rFonts w:ascii="Verdana" w:hAnsi="Verdana"/>
          <w:sz w:val="20"/>
          <w:szCs w:val="20"/>
        </w:rPr>
        <w:lastRenderedPageBreak/>
        <w:t xml:space="preserve">measure within the EU and would oblige the Registrants to comply with the requirements and to prevent workers exposure. The aMSCA considers that the substance meets the criteria for classification in the hazard class reproductive toxicity category 1B and the limits values are set by regulatory authorities at EU and national levels, taking into account the available information and most recent data on the hazards of a substance, particularly with respect to carcinogenicity, mutagenicity, toxicity to reproduction. Such limit values set by CMRD are binding and shall be transposed in national laws by each Member States either with the same or with more restrictive values. This ensures harmonised implementation within Member States without imbalance both for Industry’s competition and workers protection. </w:t>
      </w:r>
    </w:p>
    <w:p w14:paraId="4669C1AF" w14:textId="2492BAC5" w:rsidR="00BC1D4B" w:rsidRDefault="00ED7954" w:rsidP="00ED7954">
      <w:pPr>
        <w:pStyle w:val="Corpsdetexte"/>
        <w:jc w:val="both"/>
        <w:rPr>
          <w:rFonts w:ascii="Verdana" w:hAnsi="Verdana"/>
          <w:sz w:val="20"/>
          <w:szCs w:val="20"/>
        </w:rPr>
      </w:pPr>
      <w:r w:rsidRPr="005F414D">
        <w:rPr>
          <w:rFonts w:ascii="Verdana" w:hAnsi="Verdana"/>
          <w:sz w:val="20"/>
          <w:szCs w:val="20"/>
        </w:rPr>
        <w:t>Health protection of workers exposed to chemical substances is based on two complementary methodologies to assess the exposure: air monitoring and biological monitoring.</w:t>
      </w:r>
      <w:r>
        <w:rPr>
          <w:rFonts w:ascii="Verdana" w:hAnsi="Verdana"/>
          <w:sz w:val="20"/>
          <w:szCs w:val="20"/>
        </w:rPr>
        <w:t xml:space="preserve"> </w:t>
      </w:r>
      <w:r w:rsidR="00EF5E76">
        <w:rPr>
          <w:rFonts w:ascii="Verdana" w:hAnsi="Verdana"/>
          <w:sz w:val="20"/>
          <w:szCs w:val="20"/>
        </w:rPr>
        <w:t>As indicated in ECHA website</w:t>
      </w:r>
      <w:r w:rsidR="00EF5E76">
        <w:rPr>
          <w:rStyle w:val="Appelnotedebasdep"/>
          <w:szCs w:val="20"/>
        </w:rPr>
        <w:footnoteReference w:id="14"/>
      </w:r>
      <w:r w:rsidR="00EF5E76">
        <w:rPr>
          <w:rFonts w:ascii="Verdana" w:hAnsi="Verdana"/>
          <w:sz w:val="20"/>
          <w:szCs w:val="20"/>
        </w:rPr>
        <w:t>: “</w:t>
      </w:r>
      <w:r w:rsidR="00ED1F84">
        <w:rPr>
          <w:rFonts w:ascii="Verdana" w:hAnsi="Verdana"/>
          <w:sz w:val="20"/>
          <w:szCs w:val="20"/>
        </w:rPr>
        <w:t>OELs are mainly intended to prevent workers from inhaling chemicals as vapours, mists or dusts. However, RAC may also provide recommendations for a skin notation indicating that dermal protection is needed. Other notations for sensitisation or noise are also possible. Additionally, RAC may recommend biological limit values (BLVs - biomonitoring exposure levels) or biological guidance values (BGVs - biomonitoring background levels).</w:t>
      </w:r>
      <w:r w:rsidR="004A4533">
        <w:rPr>
          <w:rFonts w:ascii="Verdana" w:hAnsi="Verdana"/>
          <w:sz w:val="20"/>
          <w:szCs w:val="20"/>
        </w:rPr>
        <w:t xml:space="preserve"> </w:t>
      </w:r>
      <w:r w:rsidR="00706001">
        <w:rPr>
          <w:rFonts w:ascii="Verdana" w:hAnsi="Verdana"/>
          <w:sz w:val="20"/>
          <w:szCs w:val="20"/>
        </w:rPr>
        <w:t xml:space="preserve">Considering that dermal exposure is an important route of exposure for DPG, setting of BLV or BGV should be considered for DPG. </w:t>
      </w:r>
    </w:p>
    <w:p w14:paraId="62382805" w14:textId="7DBBBEA2" w:rsidR="00BC1D4B" w:rsidRDefault="00ED1F84">
      <w:pPr>
        <w:pStyle w:val="Corpsdetexte"/>
        <w:jc w:val="both"/>
        <w:rPr>
          <w:rFonts w:ascii="Verdana" w:hAnsi="Verdana"/>
          <w:sz w:val="20"/>
          <w:szCs w:val="20"/>
        </w:rPr>
      </w:pPr>
      <w:r>
        <w:rPr>
          <w:rFonts w:ascii="Verdana" w:hAnsi="Verdana"/>
          <w:sz w:val="20"/>
          <w:szCs w:val="20"/>
        </w:rPr>
        <w:t>As stated in both CAD and CMRD, priority should be given to avoid exposure and it may be anticipated that companies would implement more stringent on-site RMMs. Drivers for substitution are not mandatory for CAD and to be undertaken ‘if technically possible’ for CMRD.</w:t>
      </w:r>
      <w:r w:rsidR="004A4533">
        <w:rPr>
          <w:rFonts w:ascii="Verdana" w:hAnsi="Verdana"/>
          <w:sz w:val="20"/>
          <w:szCs w:val="20"/>
        </w:rPr>
        <w:t xml:space="preserve"> </w:t>
      </w:r>
    </w:p>
    <w:p w14:paraId="1F6432AB" w14:textId="77777777" w:rsidR="00BC1D4B" w:rsidRDefault="00ED1F84">
      <w:pPr>
        <w:pStyle w:val="Corpsdetexte"/>
        <w:jc w:val="both"/>
        <w:rPr>
          <w:rFonts w:ascii="Verdana" w:hAnsi="Verdana"/>
          <w:sz w:val="20"/>
          <w:szCs w:val="20"/>
        </w:rPr>
      </w:pPr>
      <w:r>
        <w:rPr>
          <w:rFonts w:ascii="Verdana" w:hAnsi="Verdana"/>
          <w:sz w:val="20"/>
          <w:szCs w:val="20"/>
        </w:rPr>
        <w:t>In conclusion, Directive 2004/37/EC on carcinogens, mutagens or reprotoxic substances at work is considered consistent with the objective stated above. Indeed, it would, depending on the value agreed on, generally decrease the accepted exposure level at the EU level. Stricter measures could be decided later on if needed, based on results from on-site surveys and national controls. Nevertheless, setting OELs does not automatically lead toward the substitution of a CMR substance.</w:t>
      </w:r>
    </w:p>
    <w:p w14:paraId="1513E6F7" w14:textId="77777777" w:rsidR="00BC1D4B" w:rsidRDefault="00ED1F84">
      <w:pPr>
        <w:pStyle w:val="Titre3"/>
      </w:pPr>
      <w:bookmarkStart w:id="31" w:name="_Toc137044484"/>
      <w:r>
        <w:t>Emission limit for DPG in water</w:t>
      </w:r>
      <w:bookmarkEnd w:id="31"/>
    </w:p>
    <w:p w14:paraId="379041E9" w14:textId="77777777" w:rsidR="00BC1D4B" w:rsidRDefault="00ED1F84">
      <w:pPr>
        <w:pStyle w:val="Corpsdetexte"/>
        <w:jc w:val="both"/>
        <w:rPr>
          <w:rFonts w:ascii="Verdana" w:hAnsi="Verdana"/>
          <w:sz w:val="20"/>
          <w:szCs w:val="20"/>
          <w:lang w:val="en-US"/>
        </w:rPr>
      </w:pPr>
      <w:r>
        <w:rPr>
          <w:rFonts w:ascii="Verdana" w:hAnsi="Verdana"/>
          <w:sz w:val="20"/>
          <w:szCs w:val="20"/>
          <w:lang w:val="en-US"/>
        </w:rPr>
        <w:t>The assessment of exposure and risks characterization has identified a need to consider further regulatory action to reduce the emission of DPG to the aquatic environment.</w:t>
      </w:r>
    </w:p>
    <w:p w14:paraId="343D599E"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xml:space="preserve">The revised </w:t>
      </w:r>
      <w:r w:rsidRPr="006A23FE">
        <w:rPr>
          <w:rFonts w:ascii="Verdana" w:hAnsi="Verdana"/>
          <w:b/>
          <w:sz w:val="20"/>
          <w:szCs w:val="20"/>
          <w:lang w:val="en-US"/>
        </w:rPr>
        <w:t>Drinking Water Directive</w:t>
      </w:r>
      <w:r>
        <w:rPr>
          <w:rFonts w:ascii="Verdana" w:hAnsi="Verdana"/>
          <w:sz w:val="20"/>
          <w:szCs w:val="20"/>
          <w:lang w:val="en-US"/>
        </w:rPr>
        <w:t xml:space="preserve"> (Directive 2020/2184/EC on the quality of water intended for human consumption)</w:t>
      </w:r>
      <w:r>
        <w:rPr>
          <w:rStyle w:val="Appelnotedebasdep"/>
          <w:szCs w:val="20"/>
          <w:lang w:val="en-US"/>
        </w:rPr>
        <w:footnoteReference w:id="15"/>
      </w:r>
      <w:r>
        <w:rPr>
          <w:rFonts w:ascii="Verdana" w:hAnsi="Verdana"/>
          <w:sz w:val="20"/>
          <w:szCs w:val="20"/>
          <w:lang w:val="en-US"/>
        </w:rPr>
        <w:t xml:space="preserve"> aims to protect citizens and the environment from the harmful effects of contaminated drinking water and to improve access to drinking water. In relation to its capacity to contaminate drinking water resources, in particular due to the release of DPG from articles (water pipes), DPG might be addressed within the DWD.</w:t>
      </w:r>
      <w:r>
        <w:rPr>
          <w:rFonts w:ascii="Verdana" w:hAnsi="Verdana"/>
          <w:sz w:val="20"/>
          <w:szCs w:val="20"/>
        </w:rPr>
        <w:t xml:space="preserve"> </w:t>
      </w:r>
      <w:r>
        <w:rPr>
          <w:rFonts w:ascii="Verdana" w:hAnsi="Verdana"/>
          <w:sz w:val="20"/>
          <w:szCs w:val="20"/>
          <w:lang w:val="en-US"/>
        </w:rPr>
        <w:t xml:space="preserve">The revised Directive aims at: </w:t>
      </w:r>
    </w:p>
    <w:p w14:paraId="17A134B7" w14:textId="77777777" w:rsidR="00BC1D4B" w:rsidRDefault="00BC1D4B">
      <w:pPr>
        <w:pStyle w:val="Corpsdetexte"/>
        <w:spacing w:after="0"/>
        <w:jc w:val="both"/>
        <w:rPr>
          <w:rFonts w:ascii="Verdana" w:hAnsi="Verdana"/>
          <w:sz w:val="20"/>
          <w:szCs w:val="20"/>
          <w:lang w:val="en-US"/>
        </w:rPr>
      </w:pPr>
    </w:p>
    <w:p w14:paraId="1E701DBC" w14:textId="77777777" w:rsidR="00BC1D4B" w:rsidRDefault="00ED1F84">
      <w:pPr>
        <w:pStyle w:val="Corpsdetexte"/>
        <w:spacing w:after="0"/>
        <w:ind w:left="142" w:hanging="142"/>
        <w:jc w:val="both"/>
        <w:rPr>
          <w:rFonts w:ascii="Verdana" w:hAnsi="Verdana"/>
          <w:sz w:val="20"/>
          <w:szCs w:val="20"/>
          <w:lang w:val="en-US"/>
        </w:rPr>
      </w:pPr>
      <w:r>
        <w:rPr>
          <w:rFonts w:ascii="Verdana" w:hAnsi="Verdana"/>
          <w:sz w:val="20"/>
          <w:szCs w:val="20"/>
          <w:lang w:val="en-US"/>
        </w:rPr>
        <w:lastRenderedPageBreak/>
        <w:t xml:space="preserve">- reinforcing water quality standards, in line or, in some cases, even more stringent than the World Health Organisation (WHO) recommendations; </w:t>
      </w:r>
    </w:p>
    <w:p w14:paraId="4E317330" w14:textId="77777777" w:rsidR="00BC1D4B" w:rsidRDefault="00ED1F84">
      <w:pPr>
        <w:pStyle w:val="Corpsdetexte"/>
        <w:spacing w:after="0"/>
        <w:ind w:left="142" w:hanging="142"/>
        <w:jc w:val="both"/>
        <w:rPr>
          <w:rFonts w:ascii="Verdana" w:hAnsi="Verdana"/>
          <w:sz w:val="20"/>
          <w:szCs w:val="20"/>
          <w:lang w:val="en-US"/>
        </w:rPr>
      </w:pPr>
      <w:r>
        <w:rPr>
          <w:rFonts w:ascii="Verdana" w:hAnsi="Verdana"/>
          <w:sz w:val="20"/>
          <w:szCs w:val="20"/>
          <w:lang w:val="en-US"/>
        </w:rPr>
        <w:t xml:space="preserve">- tackling emerging pollutants, such as endocrine disruptors and PFAs, as well as microplastics; </w:t>
      </w:r>
    </w:p>
    <w:p w14:paraId="5A1CD3A0" w14:textId="77777777" w:rsidR="00BC1D4B" w:rsidRDefault="00ED1F84">
      <w:pPr>
        <w:pStyle w:val="Corpsdetexte"/>
        <w:spacing w:after="0"/>
        <w:ind w:left="142" w:hanging="142"/>
        <w:jc w:val="both"/>
        <w:rPr>
          <w:rFonts w:ascii="Verdana" w:hAnsi="Verdana"/>
          <w:sz w:val="20"/>
          <w:szCs w:val="20"/>
          <w:lang w:val="en-US"/>
        </w:rPr>
      </w:pPr>
      <w:r>
        <w:rPr>
          <w:rFonts w:ascii="Verdana" w:hAnsi="Verdana"/>
          <w:sz w:val="20"/>
          <w:szCs w:val="20"/>
          <w:lang w:val="en-US"/>
        </w:rPr>
        <w:t xml:space="preserve">- a preventive approach favouring actions to reduce pollution at source by introducing the risk-based approach; </w:t>
      </w:r>
    </w:p>
    <w:p w14:paraId="1EEF7D24" w14:textId="77777777" w:rsidR="00BC1D4B" w:rsidRDefault="00ED1F84">
      <w:pPr>
        <w:pStyle w:val="Corpsdetexte"/>
        <w:spacing w:after="0"/>
        <w:ind w:left="142" w:hanging="142"/>
        <w:jc w:val="both"/>
        <w:rPr>
          <w:rFonts w:ascii="Verdana" w:hAnsi="Verdana"/>
          <w:sz w:val="20"/>
          <w:szCs w:val="20"/>
          <w:lang w:val="en-US"/>
        </w:rPr>
      </w:pPr>
      <w:r>
        <w:rPr>
          <w:rFonts w:ascii="Verdana" w:hAnsi="Verdana"/>
          <w:sz w:val="20"/>
          <w:szCs w:val="20"/>
          <w:lang w:val="en-US"/>
        </w:rPr>
        <w:t>- harmonising the quality standards for materials and products in contact with water.</w:t>
      </w:r>
    </w:p>
    <w:p w14:paraId="64A083A6" w14:textId="77777777" w:rsidR="00BC1D4B" w:rsidRDefault="00BC1D4B">
      <w:pPr>
        <w:pStyle w:val="Corpsdetexte"/>
        <w:jc w:val="both"/>
        <w:rPr>
          <w:rFonts w:ascii="Verdana" w:hAnsi="Verdana"/>
          <w:sz w:val="20"/>
          <w:szCs w:val="20"/>
          <w:lang w:val="en-US"/>
        </w:rPr>
      </w:pPr>
    </w:p>
    <w:p w14:paraId="4367B78D" w14:textId="658BB265" w:rsidR="000B35DC" w:rsidRPr="000B35DC" w:rsidRDefault="00ED1F84">
      <w:pPr>
        <w:pBdr>
          <w:top w:val="none" w:sz="4" w:space="0" w:color="000000"/>
          <w:left w:val="none" w:sz="4" w:space="0" w:color="000000"/>
          <w:bottom w:val="none" w:sz="4" w:space="0" w:color="000000"/>
          <w:right w:val="none" w:sz="4" w:space="0" w:color="000000"/>
        </w:pBdr>
        <w:spacing w:after="0"/>
        <w:jc w:val="both"/>
        <w:rPr>
          <w:rFonts w:ascii="Verdana" w:eastAsia="Calibri" w:hAnsi="Verdana" w:cs="Calibri"/>
          <w:sz w:val="20"/>
          <w:szCs w:val="20"/>
        </w:rPr>
      </w:pPr>
      <w:r w:rsidRPr="002F4101">
        <w:rPr>
          <w:rFonts w:ascii="Verdana" w:eastAsia="Calibri" w:hAnsi="Verdana" w:cs="Calibri"/>
          <w:color w:val="000000"/>
          <w:sz w:val="20"/>
          <w:szCs w:val="20"/>
        </w:rPr>
        <w:t xml:space="preserve">Under this directive (DWD), the European </w:t>
      </w:r>
      <w:r w:rsidRPr="002F4101">
        <w:rPr>
          <w:rFonts w:ascii="Verdana" w:eastAsia="Calibri" w:hAnsi="Verdana" w:cs="Calibri"/>
          <w:sz w:val="20"/>
          <w:szCs w:val="20"/>
        </w:rPr>
        <w:t xml:space="preserve">Commission is preparing a European positive lists of starting substances, compositions and constituents which will be authorised for use in the manufacture of materials or products in contact with drinking water (DW), including expiry dates and, if appropriate, conditions of use and migration limits in DW. </w:t>
      </w:r>
      <w:r w:rsidRPr="002F4101">
        <w:rPr>
          <w:rFonts w:ascii="Verdana" w:eastAsia="Calibri" w:hAnsi="Verdana" w:cs="Calibri"/>
          <w:sz w:val="20"/>
          <w:szCs w:val="20"/>
          <w:lang w:val="en-US"/>
        </w:rPr>
        <w:t xml:space="preserve">According to article 11 of DWD, the first positive list should be adopted in 2025, and the requirements for DPG in this context is unknow. </w:t>
      </w:r>
      <w:r w:rsidRPr="002F4101">
        <w:rPr>
          <w:rFonts w:ascii="Verdana" w:eastAsia="Calibri" w:hAnsi="Verdana" w:cs="Calibri"/>
          <w:sz w:val="20"/>
          <w:szCs w:val="20"/>
        </w:rPr>
        <w:t xml:space="preserve">In this framework, </w:t>
      </w:r>
      <w:r w:rsidRPr="000B35DC">
        <w:rPr>
          <w:rFonts w:ascii="Verdana" w:eastAsia="Calibri" w:hAnsi="Verdana" w:cs="Calibri"/>
          <w:sz w:val="20"/>
          <w:szCs w:val="20"/>
        </w:rPr>
        <w:t>substances that have a harmonised classification as CMR Cat. 1A or 1B according to Annex VI to the CLP Regulation should be considered to be the highest priority for review.</w:t>
      </w:r>
    </w:p>
    <w:p w14:paraId="56F5617B" w14:textId="77777777" w:rsidR="000B35DC" w:rsidRPr="000B35DC" w:rsidRDefault="000B35DC">
      <w:pPr>
        <w:pBdr>
          <w:top w:val="none" w:sz="4" w:space="0" w:color="000000"/>
          <w:left w:val="none" w:sz="4" w:space="0" w:color="000000"/>
          <w:bottom w:val="none" w:sz="4" w:space="0" w:color="000000"/>
          <w:right w:val="none" w:sz="4" w:space="0" w:color="000000"/>
        </w:pBdr>
        <w:spacing w:after="0"/>
        <w:jc w:val="both"/>
        <w:rPr>
          <w:rFonts w:ascii="Verdana" w:hAnsi="Verdana"/>
          <w:sz w:val="20"/>
          <w:szCs w:val="20"/>
        </w:rPr>
      </w:pPr>
    </w:p>
    <w:p w14:paraId="3ECF4D57" w14:textId="77777777" w:rsidR="000B35DC" w:rsidRPr="006A23FE" w:rsidRDefault="00ED1F84" w:rsidP="006A23FE">
      <w:pPr>
        <w:pBdr>
          <w:top w:val="none" w:sz="4" w:space="0" w:color="000000"/>
          <w:left w:val="none" w:sz="4" w:space="0" w:color="000000"/>
          <w:bottom w:val="none" w:sz="4" w:space="0" w:color="000000"/>
          <w:right w:val="none" w:sz="4" w:space="0" w:color="000000"/>
        </w:pBdr>
        <w:spacing w:after="0"/>
        <w:jc w:val="both"/>
        <w:rPr>
          <w:rFonts w:ascii="Verdana" w:hAnsi="Verdana"/>
          <w:sz w:val="20"/>
          <w:szCs w:val="20"/>
          <w:lang w:val="en-US"/>
        </w:rPr>
      </w:pPr>
      <w:r w:rsidRPr="006A23FE">
        <w:rPr>
          <w:rFonts w:ascii="Verdana" w:hAnsi="Verdana"/>
          <w:sz w:val="20"/>
          <w:szCs w:val="20"/>
          <w:lang w:val="en-US"/>
        </w:rPr>
        <w:t>Further, the drinking water legislation would request all drinking water suppliers to control DPG concentrations at the tap, but not limit the concentration of the substance in the resources of the drinking waters. This would mean both, that the resources are protected inadequately, and that drinking water facilities might have to find solutions of removing DPG from drinking water without being the source of the DPG emission. In this case the costs for remediation of DPG from the raw water are transferred to the society whereas the polluters are not obliged to contribute to the remediation costs. In addition, this RMM will not be effective to reduce the risks for environment.</w:t>
      </w:r>
    </w:p>
    <w:p w14:paraId="3860D074" w14:textId="77777777" w:rsidR="000B35DC" w:rsidRPr="006A23FE" w:rsidRDefault="000B35DC" w:rsidP="006A23FE">
      <w:pPr>
        <w:pBdr>
          <w:top w:val="none" w:sz="4" w:space="0" w:color="000000"/>
          <w:left w:val="none" w:sz="4" w:space="0" w:color="000000"/>
          <w:bottom w:val="none" w:sz="4" w:space="0" w:color="000000"/>
          <w:right w:val="none" w:sz="4" w:space="0" w:color="000000"/>
        </w:pBdr>
        <w:spacing w:after="0"/>
        <w:jc w:val="both"/>
        <w:rPr>
          <w:rFonts w:ascii="Verdana" w:hAnsi="Verdana"/>
          <w:sz w:val="20"/>
          <w:szCs w:val="20"/>
          <w:lang w:val="en-US"/>
        </w:rPr>
      </w:pPr>
    </w:p>
    <w:p w14:paraId="533973F9" w14:textId="329C7C7F" w:rsidR="00BC1D4B" w:rsidRDefault="00ED1F84">
      <w:pPr>
        <w:pStyle w:val="Corpsdetexte"/>
        <w:jc w:val="both"/>
        <w:rPr>
          <w:rFonts w:ascii="Verdana" w:hAnsi="Verdana"/>
          <w:sz w:val="20"/>
          <w:szCs w:val="20"/>
          <w:lang w:val="en-US"/>
        </w:rPr>
      </w:pPr>
      <w:r w:rsidRPr="000B35DC">
        <w:rPr>
          <w:rFonts w:ascii="Verdana" w:hAnsi="Verdana"/>
          <w:sz w:val="20"/>
          <w:szCs w:val="20"/>
          <w:lang w:val="en-US"/>
        </w:rPr>
        <w:t>Considering, the risks for the aquatic environment on a local scale from industrial activities linked to DPG, its potential M/vM properties which can lead to a diffusion of the substance and contamination of water resources, and its ubiquitous presence in the environment most likely related</w:t>
      </w:r>
      <w:r>
        <w:rPr>
          <w:rFonts w:ascii="Verdana" w:hAnsi="Verdana"/>
          <w:sz w:val="20"/>
          <w:szCs w:val="20"/>
          <w:lang w:val="en-US"/>
        </w:rPr>
        <w:t xml:space="preserve"> to tyres abrasion, DPG could be considered in the </w:t>
      </w:r>
      <w:r w:rsidRPr="006A23FE">
        <w:rPr>
          <w:rFonts w:ascii="Verdana" w:hAnsi="Verdana"/>
          <w:b/>
          <w:sz w:val="20"/>
          <w:szCs w:val="20"/>
          <w:lang w:val="en-US"/>
        </w:rPr>
        <w:t>Water Framework Directive</w:t>
      </w:r>
      <w:r>
        <w:rPr>
          <w:rFonts w:ascii="Verdana" w:hAnsi="Verdana"/>
          <w:sz w:val="20"/>
          <w:szCs w:val="20"/>
          <w:lang w:val="en-US"/>
        </w:rPr>
        <w:t xml:space="preserve"> (WFD) for community action in the field of water policy (2000/60/EC).</w:t>
      </w:r>
      <w:r>
        <w:t xml:space="preserve"> </w:t>
      </w:r>
      <w:r>
        <w:rPr>
          <w:rFonts w:ascii="Verdana" w:hAnsi="Verdana"/>
          <w:sz w:val="20"/>
          <w:szCs w:val="20"/>
          <w:lang w:val="en-US"/>
        </w:rPr>
        <w:t>However, for this regulation to be applicable to all Member States, DPG would have to be on the list of priority substances in the field of water (appendix X of the WFD), which is not the current case. The substance might be included in the list of priority substances of the WFD if:</w:t>
      </w:r>
    </w:p>
    <w:p w14:paraId="5E23047A"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Sufficient data is available, covering almost all Member States;</w:t>
      </w:r>
    </w:p>
    <w:p w14:paraId="006FA12E"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It is taken into account in the prioritization carried out by the JRC;</w:t>
      </w:r>
    </w:p>
    <w:p w14:paraId="5587018E"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It is prioritized;</w:t>
      </w:r>
    </w:p>
    <w:p w14:paraId="375385FF"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It is retained by the Member States and the Commission.</w:t>
      </w:r>
    </w:p>
    <w:p w14:paraId="1A484BAD" w14:textId="77777777" w:rsidR="00BC1D4B" w:rsidRDefault="00BC1D4B">
      <w:pPr>
        <w:pStyle w:val="Corpsdetexte"/>
        <w:spacing w:after="0"/>
        <w:jc w:val="both"/>
        <w:rPr>
          <w:rFonts w:ascii="Verdana" w:hAnsi="Verdana"/>
          <w:sz w:val="20"/>
          <w:szCs w:val="20"/>
          <w:lang w:val="en-US"/>
        </w:rPr>
      </w:pPr>
    </w:p>
    <w:p w14:paraId="628BDCA0"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The integration of DPG in the appendix X of this directive would allow to:</w:t>
      </w:r>
    </w:p>
    <w:p w14:paraId="2A9BC97B"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introduce monitoring of DPG in waters;</w:t>
      </w:r>
    </w:p>
    <w:p w14:paraId="358D47FB"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limit the contamination of environments by setting a limit value that takes into account the risks for the aquatic environment;</w:t>
      </w:r>
    </w:p>
    <w:p w14:paraId="080F28ED"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protect water resources for the production of water intended for human consumption;</w:t>
      </w:r>
    </w:p>
    <w:p w14:paraId="48A1BD2D" w14:textId="77777777" w:rsidR="00BC1D4B" w:rsidRDefault="00ED1F84">
      <w:pPr>
        <w:pStyle w:val="Corpsdetexte"/>
        <w:spacing w:after="0"/>
        <w:jc w:val="both"/>
        <w:rPr>
          <w:rFonts w:ascii="Verdana" w:hAnsi="Verdana"/>
          <w:sz w:val="20"/>
          <w:szCs w:val="20"/>
          <w:lang w:val="en-US"/>
        </w:rPr>
      </w:pPr>
      <w:r>
        <w:rPr>
          <w:rFonts w:ascii="Verdana" w:hAnsi="Verdana"/>
          <w:sz w:val="20"/>
          <w:szCs w:val="20"/>
          <w:lang w:val="en-US"/>
        </w:rPr>
        <w:t>- provide means of action to limit emissions at the local level.</w:t>
      </w:r>
    </w:p>
    <w:p w14:paraId="7FE34036" w14:textId="77777777" w:rsidR="00BC1D4B" w:rsidRDefault="00BC1D4B">
      <w:pPr>
        <w:pStyle w:val="Corpsdetexte"/>
        <w:spacing w:after="0"/>
        <w:jc w:val="both"/>
        <w:rPr>
          <w:rFonts w:ascii="Verdana" w:hAnsi="Verdana"/>
          <w:sz w:val="20"/>
          <w:szCs w:val="20"/>
          <w:lang w:val="en-US"/>
        </w:rPr>
      </w:pPr>
    </w:p>
    <w:p w14:paraId="4C2341CA" w14:textId="77777777" w:rsidR="00BC1D4B" w:rsidRDefault="00ED1F84">
      <w:pPr>
        <w:pStyle w:val="Corpsdetexte"/>
        <w:jc w:val="both"/>
        <w:rPr>
          <w:rFonts w:ascii="Verdana" w:hAnsi="Verdana"/>
          <w:sz w:val="20"/>
          <w:szCs w:val="20"/>
          <w:lang w:val="en-US"/>
        </w:rPr>
      </w:pPr>
      <w:r>
        <w:rPr>
          <w:rFonts w:ascii="Verdana" w:hAnsi="Verdana"/>
          <w:sz w:val="20"/>
          <w:szCs w:val="20"/>
          <w:lang w:val="en-US"/>
        </w:rPr>
        <w:lastRenderedPageBreak/>
        <w:t>Since the entry into force of the directive, a watch list has been set up in France</w:t>
      </w:r>
      <w:r>
        <w:rPr>
          <w:rStyle w:val="Appelnotedebasdep"/>
          <w:szCs w:val="20"/>
          <w:lang w:val="en-US"/>
        </w:rPr>
        <w:footnoteReference w:id="16"/>
      </w:r>
      <w:r>
        <w:rPr>
          <w:rFonts w:ascii="Verdana" w:hAnsi="Verdana"/>
          <w:sz w:val="20"/>
          <w:szCs w:val="20"/>
          <w:lang w:val="en-US"/>
        </w:rPr>
        <w:t xml:space="preserve"> and Europe</w:t>
      </w:r>
      <w:r>
        <w:rPr>
          <w:rStyle w:val="Appelnotedebasdep"/>
          <w:szCs w:val="20"/>
          <w:lang w:val="en-US"/>
        </w:rPr>
        <w:footnoteReference w:id="17"/>
      </w:r>
      <w:r>
        <w:rPr>
          <w:rFonts w:ascii="Verdana" w:hAnsi="Verdana"/>
          <w:sz w:val="20"/>
          <w:szCs w:val="20"/>
          <w:lang w:val="en-US"/>
        </w:rPr>
        <w:t>. To date, DPG is not on any of these watch lists. The substances appearing on this watch list must be selected from among those for which the available information indicates that they may present a significant risk, at European Union level, for or via the aquatic environment, but for which the monitoring are insufficient to reach a conclusion on the actual risk posed.</w:t>
      </w:r>
    </w:p>
    <w:p w14:paraId="4E3250FA" w14:textId="77777777" w:rsidR="00BC1D4B" w:rsidRDefault="00ED1F84">
      <w:pPr>
        <w:pStyle w:val="Corpsdetexte"/>
        <w:jc w:val="both"/>
        <w:rPr>
          <w:rFonts w:ascii="Verdana" w:hAnsi="Verdana"/>
          <w:sz w:val="20"/>
          <w:szCs w:val="20"/>
          <w:lang w:val="en-US"/>
        </w:rPr>
      </w:pPr>
      <w:r>
        <w:rPr>
          <w:rFonts w:ascii="Verdana" w:hAnsi="Verdana"/>
          <w:sz w:val="20"/>
          <w:szCs w:val="20"/>
          <w:lang w:val="en-US"/>
        </w:rPr>
        <w:t>Finally, this directive would make it possible to establish an environmental limit value making it possible to regulate the discharges from the installations (of industries manufacturing DPG, or GRG and tyres, for example).</w:t>
      </w:r>
    </w:p>
    <w:p w14:paraId="7B5978DC" w14:textId="77777777" w:rsidR="00BC1D4B" w:rsidRDefault="00ED1F84">
      <w:pPr>
        <w:pStyle w:val="Corpsdetexte"/>
        <w:jc w:val="both"/>
        <w:rPr>
          <w:rFonts w:ascii="Verdana" w:hAnsi="Verdana"/>
          <w:sz w:val="20"/>
          <w:szCs w:val="20"/>
          <w:lang w:val="en-US"/>
        </w:rPr>
      </w:pPr>
      <w:r>
        <w:rPr>
          <w:rFonts w:ascii="Verdana" w:hAnsi="Verdana"/>
          <w:sz w:val="20"/>
          <w:szCs w:val="20"/>
          <w:lang w:val="en-US"/>
        </w:rPr>
        <w:t xml:space="preserve">The </w:t>
      </w:r>
      <w:r w:rsidRPr="006A23FE">
        <w:rPr>
          <w:rFonts w:ascii="Verdana" w:hAnsi="Verdana"/>
          <w:b/>
          <w:sz w:val="20"/>
          <w:szCs w:val="20"/>
          <w:lang w:val="en-US"/>
        </w:rPr>
        <w:t>Industrial Emissions Directive</w:t>
      </w:r>
      <w:r>
        <w:rPr>
          <w:rFonts w:ascii="Verdana" w:hAnsi="Verdana"/>
          <w:sz w:val="20"/>
          <w:szCs w:val="20"/>
          <w:lang w:val="en-US"/>
        </w:rPr>
        <w:t xml:space="preserve"> (IED Directive 2010/75/EU) aims to achieve a high level of protection of human health and the environment taken as a whole by reducing harmful industrial emissions across the EU and could be considered as a complementary risk management option. Regarding the risks for the environment, releases of DPG, in particular due to industrial emissions, could be regulated by defining emission limit values. By applying such an approach, two important risk management principles would be followed: the upstream limitation of releases, and that the burden relies on the companies responsible for the source of emission. Defining stringent release concentrations of DPG and including suitable emission monitoring requirements could be of added value to control environmental emission of DPG. In addition, this directive takes into account the local conditions at industrial sites i.e. the geographical location or the local environmental conditions of the installation concerned. </w:t>
      </w:r>
    </w:p>
    <w:p w14:paraId="327E7B4C" w14:textId="77777777" w:rsidR="00BC1D4B" w:rsidRDefault="00ED1F84">
      <w:pPr>
        <w:pStyle w:val="Corpsdetexte"/>
        <w:jc w:val="both"/>
        <w:rPr>
          <w:rFonts w:ascii="Verdana" w:hAnsi="Verdana"/>
          <w:sz w:val="20"/>
          <w:szCs w:val="20"/>
          <w:lang w:val="en-US"/>
        </w:rPr>
      </w:pPr>
      <w:r>
        <w:rPr>
          <w:rFonts w:ascii="Verdana" w:hAnsi="Verdana"/>
          <w:sz w:val="20"/>
          <w:szCs w:val="20"/>
          <w:lang w:val="en-US"/>
        </w:rPr>
        <w:t xml:space="preserve">On that particular point, the aMSCA considers that the emphasis should be put on the temporal variation of the water flow and the emission releases in periods of scarcity of the resource. The aMSCA also considers that the monitoring data provided in the course of a chemical safety report and use for assessment has a limited lifetime. This is particularly important in times of extreme environmental variability. </w:t>
      </w:r>
    </w:p>
    <w:p w14:paraId="53073844" w14:textId="77777777" w:rsidR="00BC1D4B" w:rsidRDefault="00BC1D4B">
      <w:pPr>
        <w:pStyle w:val="Corpsdetexte"/>
        <w:jc w:val="both"/>
        <w:rPr>
          <w:rFonts w:ascii="Verdana" w:hAnsi="Verdana"/>
          <w:u w:val="single"/>
          <w:lang w:val="en-US"/>
        </w:rPr>
      </w:pPr>
    </w:p>
    <w:p w14:paraId="57065DBF" w14:textId="77777777" w:rsidR="00BC1D4B" w:rsidRDefault="00BC1D4B">
      <w:pPr>
        <w:pStyle w:val="Corpsdetexte"/>
        <w:jc w:val="both"/>
        <w:rPr>
          <w:rFonts w:ascii="Verdana" w:hAnsi="Verdana"/>
          <w:u w:val="single"/>
          <w:lang w:val="en-US"/>
        </w:rPr>
      </w:pPr>
    </w:p>
    <w:p w14:paraId="2A474872" w14:textId="77777777" w:rsidR="00BC1D4B" w:rsidRDefault="00ED1F84">
      <w:pPr>
        <w:pStyle w:val="Corpsdetexte"/>
        <w:jc w:val="both"/>
        <w:rPr>
          <w:rFonts w:ascii="Verdana" w:hAnsi="Verdana"/>
          <w:u w:val="single"/>
          <w:lang w:val="en-US"/>
        </w:rPr>
      </w:pPr>
      <w:r>
        <w:rPr>
          <w:rFonts w:ascii="Verdana" w:hAnsi="Verdana"/>
          <w:u w:val="single"/>
          <w:lang w:val="en-US"/>
        </w:rPr>
        <w:t>Synthesis of applicable risk management options</w:t>
      </w:r>
    </w:p>
    <w:p w14:paraId="6FC6B356" w14:textId="77777777" w:rsidR="00BC1D4B" w:rsidRDefault="00ED1F84">
      <w:pPr>
        <w:jc w:val="both"/>
        <w:rPr>
          <w:rFonts w:ascii="Verdana" w:hAnsi="Verdana" w:cstheme="minorHAnsi"/>
          <w:b/>
          <w:sz w:val="20"/>
          <w:szCs w:val="20"/>
        </w:rPr>
      </w:pPr>
      <w:bookmarkStart w:id="32" w:name="_Ref9599184"/>
      <w:bookmarkStart w:id="33" w:name="_Toc41319410"/>
      <w:bookmarkStart w:id="34" w:name="_Toc53653348"/>
      <w:r>
        <w:rPr>
          <w:rFonts w:ascii="Verdana" w:hAnsi="Verdana" w:cstheme="minorHAnsi"/>
          <w:b/>
          <w:sz w:val="20"/>
          <w:szCs w:val="20"/>
        </w:rPr>
        <w:t>Table 9: Summary of concerns and applicability of risk management options</w:t>
      </w:r>
    </w:p>
    <w:tbl>
      <w:tblPr>
        <w:tblStyle w:val="Grilledutableau5"/>
        <w:tblW w:w="0" w:type="auto"/>
        <w:tblLook w:val="04A0" w:firstRow="1" w:lastRow="0" w:firstColumn="1" w:lastColumn="0" w:noHBand="0" w:noVBand="1"/>
      </w:tblPr>
      <w:tblGrid>
        <w:gridCol w:w="2357"/>
        <w:gridCol w:w="2684"/>
        <w:gridCol w:w="3261"/>
      </w:tblGrid>
      <w:tr w:rsidR="00BC1D4B" w14:paraId="28BA569F" w14:textId="77777777">
        <w:tc>
          <w:tcPr>
            <w:tcW w:w="0" w:type="auto"/>
            <w:tcBorders>
              <w:top w:val="single" w:sz="4" w:space="0" w:color="auto"/>
              <w:left w:val="single" w:sz="4" w:space="0" w:color="auto"/>
              <w:bottom w:val="single" w:sz="4" w:space="0" w:color="auto"/>
              <w:right w:val="single" w:sz="4" w:space="0" w:color="auto"/>
            </w:tcBorders>
          </w:tcPr>
          <w:p w14:paraId="34DAD790" w14:textId="77777777" w:rsidR="00BC1D4B" w:rsidRDefault="00ED1F84">
            <w:pPr>
              <w:spacing w:after="0"/>
              <w:rPr>
                <w:rFonts w:ascii="Verdana" w:hAnsi="Verdana"/>
                <w:b/>
                <w:sz w:val="18"/>
                <w:szCs w:val="18"/>
              </w:rPr>
            </w:pPr>
            <w:r>
              <w:rPr>
                <w:rFonts w:ascii="Verdana" w:hAnsi="Verdana"/>
                <w:b/>
                <w:sz w:val="18"/>
                <w:szCs w:val="18"/>
              </w:rPr>
              <w:t>Critical hazard/risks</w:t>
            </w:r>
          </w:p>
        </w:tc>
        <w:tc>
          <w:tcPr>
            <w:tcW w:w="0" w:type="auto"/>
            <w:tcBorders>
              <w:top w:val="single" w:sz="4" w:space="0" w:color="auto"/>
              <w:left w:val="single" w:sz="4" w:space="0" w:color="auto"/>
              <w:bottom w:val="single" w:sz="4" w:space="0" w:color="auto"/>
              <w:right w:val="single" w:sz="4" w:space="0" w:color="auto"/>
            </w:tcBorders>
          </w:tcPr>
          <w:p w14:paraId="4A8C89C0" w14:textId="77777777" w:rsidR="00BC1D4B" w:rsidRDefault="00ED1F84">
            <w:pPr>
              <w:spacing w:after="0"/>
              <w:rPr>
                <w:rFonts w:ascii="Verdana" w:hAnsi="Verdana"/>
                <w:b/>
                <w:sz w:val="18"/>
                <w:szCs w:val="18"/>
              </w:rPr>
            </w:pPr>
            <w:r>
              <w:rPr>
                <w:rFonts w:ascii="Verdana" w:hAnsi="Verdana"/>
                <w:b/>
                <w:sz w:val="18"/>
                <w:szCs w:val="18"/>
              </w:rPr>
              <w:t>Characterisation</w:t>
            </w:r>
          </w:p>
        </w:tc>
        <w:tc>
          <w:tcPr>
            <w:tcW w:w="0" w:type="auto"/>
            <w:tcBorders>
              <w:top w:val="single" w:sz="4" w:space="0" w:color="auto"/>
              <w:left w:val="single" w:sz="4" w:space="0" w:color="auto"/>
              <w:bottom w:val="single" w:sz="4" w:space="0" w:color="auto"/>
              <w:right w:val="single" w:sz="4" w:space="0" w:color="auto"/>
            </w:tcBorders>
          </w:tcPr>
          <w:p w14:paraId="0C8D6DCF" w14:textId="77777777" w:rsidR="00BC1D4B" w:rsidRDefault="00ED1F84">
            <w:pPr>
              <w:spacing w:after="0"/>
              <w:rPr>
                <w:rFonts w:ascii="Verdana" w:hAnsi="Verdana"/>
                <w:b/>
                <w:sz w:val="18"/>
                <w:szCs w:val="18"/>
              </w:rPr>
            </w:pPr>
            <w:r>
              <w:rPr>
                <w:rFonts w:ascii="Verdana" w:hAnsi="Verdana"/>
                <w:b/>
                <w:sz w:val="18"/>
                <w:szCs w:val="18"/>
              </w:rPr>
              <w:t>Applicable RMM</w:t>
            </w:r>
          </w:p>
        </w:tc>
      </w:tr>
      <w:tr w:rsidR="00BC1D4B" w14:paraId="043E426B" w14:textId="77777777">
        <w:tc>
          <w:tcPr>
            <w:tcW w:w="0" w:type="auto"/>
            <w:tcBorders>
              <w:top w:val="single" w:sz="4" w:space="0" w:color="auto"/>
              <w:left w:val="single" w:sz="4" w:space="0" w:color="auto"/>
              <w:bottom w:val="single" w:sz="4" w:space="0" w:color="auto"/>
              <w:right w:val="single" w:sz="4" w:space="0" w:color="auto"/>
            </w:tcBorders>
          </w:tcPr>
          <w:p w14:paraId="0F99E2FD" w14:textId="77777777" w:rsidR="00BC1D4B" w:rsidRDefault="00ED1F84">
            <w:pPr>
              <w:spacing w:after="0"/>
              <w:rPr>
                <w:rFonts w:ascii="Verdana" w:hAnsi="Verdana"/>
                <w:sz w:val="18"/>
                <w:szCs w:val="18"/>
                <w:lang w:val="en-US"/>
              </w:rPr>
            </w:pPr>
            <w:r>
              <w:rPr>
                <w:rFonts w:ascii="Verdana" w:hAnsi="Verdana"/>
                <w:sz w:val="18"/>
                <w:szCs w:val="18"/>
                <w:lang w:val="en-US"/>
              </w:rPr>
              <w:t>Critical hazard for human health</w:t>
            </w:r>
          </w:p>
        </w:tc>
        <w:tc>
          <w:tcPr>
            <w:tcW w:w="0" w:type="auto"/>
            <w:tcBorders>
              <w:top w:val="single" w:sz="4" w:space="0" w:color="auto"/>
              <w:left w:val="single" w:sz="4" w:space="0" w:color="auto"/>
              <w:bottom w:val="single" w:sz="4" w:space="0" w:color="auto"/>
              <w:right w:val="single" w:sz="4" w:space="0" w:color="auto"/>
            </w:tcBorders>
          </w:tcPr>
          <w:p w14:paraId="1DA5B37E" w14:textId="77777777" w:rsidR="00BC1D4B" w:rsidRDefault="00ED1F84" w:rsidP="00C33B63">
            <w:pPr>
              <w:pStyle w:val="Paragraphedeliste"/>
              <w:numPr>
                <w:ilvl w:val="0"/>
                <w:numId w:val="14"/>
              </w:numPr>
              <w:spacing w:after="0"/>
              <w:rPr>
                <w:rFonts w:ascii="Verdana" w:hAnsi="Verdana"/>
                <w:sz w:val="18"/>
                <w:szCs w:val="18"/>
                <w:lang w:val="en-US"/>
              </w:rPr>
            </w:pPr>
            <w:r>
              <w:rPr>
                <w:rFonts w:ascii="Verdana" w:hAnsi="Verdana"/>
                <w:sz w:val="18"/>
                <w:szCs w:val="18"/>
                <w:lang w:val="en-US"/>
              </w:rPr>
              <w:t>Reproductive toxicity</w:t>
            </w:r>
          </w:p>
          <w:p w14:paraId="78E3A95C" w14:textId="77777777" w:rsidR="00BC1D4B" w:rsidRDefault="00ED1F84" w:rsidP="00C33B63">
            <w:pPr>
              <w:pStyle w:val="Paragraphedeliste"/>
              <w:numPr>
                <w:ilvl w:val="0"/>
                <w:numId w:val="14"/>
              </w:numPr>
              <w:spacing w:after="0"/>
              <w:rPr>
                <w:rFonts w:ascii="Verdana" w:hAnsi="Verdana"/>
                <w:sz w:val="18"/>
                <w:szCs w:val="18"/>
                <w:lang w:val="en-US"/>
              </w:rPr>
            </w:pPr>
            <w:r>
              <w:rPr>
                <w:rFonts w:ascii="Verdana" w:hAnsi="Verdana"/>
                <w:sz w:val="18"/>
                <w:szCs w:val="18"/>
                <w:lang w:val="en-US"/>
              </w:rPr>
              <w:t>Neurotoxicity</w:t>
            </w:r>
          </w:p>
          <w:p w14:paraId="50E51E4A" w14:textId="77777777" w:rsidR="00BC1D4B" w:rsidRDefault="00ED1F84" w:rsidP="00C33B63">
            <w:pPr>
              <w:pStyle w:val="Paragraphedeliste"/>
              <w:numPr>
                <w:ilvl w:val="0"/>
                <w:numId w:val="14"/>
              </w:numPr>
              <w:spacing w:after="0"/>
              <w:rPr>
                <w:rFonts w:ascii="Verdana" w:hAnsi="Verdana"/>
                <w:sz w:val="18"/>
                <w:szCs w:val="18"/>
                <w:lang w:val="en-US"/>
              </w:rPr>
            </w:pPr>
            <w:r>
              <w:rPr>
                <w:rFonts w:ascii="Verdana" w:hAnsi="Verdana"/>
                <w:sz w:val="18"/>
                <w:szCs w:val="18"/>
                <w:lang w:val="en-US"/>
              </w:rPr>
              <w:t>Skin sensitisation</w:t>
            </w:r>
          </w:p>
        </w:tc>
        <w:tc>
          <w:tcPr>
            <w:tcW w:w="0" w:type="auto"/>
            <w:tcBorders>
              <w:top w:val="single" w:sz="4" w:space="0" w:color="auto"/>
              <w:left w:val="single" w:sz="4" w:space="0" w:color="auto"/>
              <w:bottom w:val="single" w:sz="4" w:space="0" w:color="auto"/>
              <w:right w:val="single" w:sz="4" w:space="0" w:color="auto"/>
            </w:tcBorders>
          </w:tcPr>
          <w:p w14:paraId="00C7DE12" w14:textId="77777777" w:rsidR="00BC1D4B" w:rsidRDefault="00ED1F84" w:rsidP="00C33B63">
            <w:pPr>
              <w:pStyle w:val="Paragraphedeliste"/>
              <w:numPr>
                <w:ilvl w:val="0"/>
                <w:numId w:val="14"/>
              </w:numPr>
              <w:spacing w:after="0"/>
              <w:rPr>
                <w:rFonts w:ascii="Verdana" w:hAnsi="Verdana"/>
                <w:sz w:val="18"/>
                <w:szCs w:val="18"/>
                <w:lang w:val="en-US"/>
              </w:rPr>
            </w:pPr>
            <w:r>
              <w:rPr>
                <w:rFonts w:ascii="Verdana" w:hAnsi="Verdana"/>
                <w:sz w:val="18"/>
                <w:szCs w:val="18"/>
                <w:lang w:val="en-US"/>
              </w:rPr>
              <w:t>Harmonised classification ongoing</w:t>
            </w:r>
          </w:p>
          <w:p w14:paraId="0E9EFC35" w14:textId="4DD35A4A" w:rsidR="00BC1D4B" w:rsidRDefault="00ED1F84" w:rsidP="00C33B63">
            <w:pPr>
              <w:pStyle w:val="Paragraphedeliste"/>
              <w:numPr>
                <w:ilvl w:val="0"/>
                <w:numId w:val="14"/>
              </w:numPr>
              <w:spacing w:after="0"/>
              <w:rPr>
                <w:rFonts w:ascii="Verdana" w:hAnsi="Verdana"/>
                <w:sz w:val="18"/>
                <w:szCs w:val="18"/>
                <w:lang w:val="en-US"/>
              </w:rPr>
            </w:pPr>
            <w:r>
              <w:rPr>
                <w:rFonts w:ascii="Verdana" w:hAnsi="Verdana"/>
                <w:sz w:val="18"/>
                <w:szCs w:val="18"/>
                <w:lang w:val="en-US"/>
              </w:rPr>
              <w:t xml:space="preserve">SVHC identification </w:t>
            </w:r>
            <w:r w:rsidR="00C33B63">
              <w:rPr>
                <w:rFonts w:ascii="Verdana" w:hAnsi="Verdana"/>
                <w:sz w:val="18"/>
                <w:szCs w:val="18"/>
                <w:lang w:val="en-US"/>
              </w:rPr>
              <w:t xml:space="preserve">and </w:t>
            </w:r>
            <w:r w:rsidR="0094309D">
              <w:rPr>
                <w:rFonts w:ascii="Verdana" w:hAnsi="Verdana"/>
                <w:sz w:val="18"/>
                <w:szCs w:val="18"/>
                <w:lang w:val="en-US"/>
              </w:rPr>
              <w:t xml:space="preserve">potential </w:t>
            </w:r>
            <w:r w:rsidR="00C33B63">
              <w:rPr>
                <w:rFonts w:ascii="Verdana" w:hAnsi="Verdana"/>
                <w:sz w:val="18"/>
                <w:szCs w:val="18"/>
                <w:lang w:val="en-US"/>
              </w:rPr>
              <w:t xml:space="preserve">inclusion in Annex XIV </w:t>
            </w:r>
            <w:r>
              <w:rPr>
                <w:rFonts w:ascii="Verdana" w:hAnsi="Verdana"/>
                <w:sz w:val="18"/>
                <w:szCs w:val="18"/>
                <w:lang w:val="en-US"/>
              </w:rPr>
              <w:t>applicable when classified Repro 1B</w:t>
            </w:r>
          </w:p>
        </w:tc>
      </w:tr>
      <w:tr w:rsidR="00BC1D4B" w14:paraId="14BD2534" w14:textId="77777777">
        <w:tc>
          <w:tcPr>
            <w:tcW w:w="0" w:type="auto"/>
            <w:tcBorders>
              <w:top w:val="single" w:sz="4" w:space="0" w:color="auto"/>
              <w:left w:val="single" w:sz="4" w:space="0" w:color="auto"/>
              <w:bottom w:val="single" w:sz="4" w:space="0" w:color="auto"/>
              <w:right w:val="single" w:sz="4" w:space="0" w:color="auto"/>
            </w:tcBorders>
          </w:tcPr>
          <w:p w14:paraId="6386B496" w14:textId="77777777" w:rsidR="00BC1D4B" w:rsidRDefault="00ED1F84">
            <w:pPr>
              <w:spacing w:after="0"/>
              <w:rPr>
                <w:rFonts w:ascii="Verdana" w:hAnsi="Verdana"/>
                <w:sz w:val="18"/>
                <w:szCs w:val="18"/>
                <w:lang w:val="en-US"/>
              </w:rPr>
            </w:pPr>
            <w:r>
              <w:rPr>
                <w:rFonts w:ascii="Verdana" w:hAnsi="Verdana" w:cstheme="minorHAnsi"/>
                <w:sz w:val="18"/>
                <w:szCs w:val="18"/>
              </w:rPr>
              <w:lastRenderedPageBreak/>
              <w:t>Widespread presence in water</w:t>
            </w:r>
          </w:p>
        </w:tc>
        <w:tc>
          <w:tcPr>
            <w:tcW w:w="0" w:type="auto"/>
            <w:tcBorders>
              <w:top w:val="single" w:sz="4" w:space="0" w:color="auto"/>
              <w:left w:val="single" w:sz="4" w:space="0" w:color="auto"/>
              <w:bottom w:val="single" w:sz="4" w:space="0" w:color="auto"/>
              <w:right w:val="single" w:sz="4" w:space="0" w:color="auto"/>
            </w:tcBorders>
          </w:tcPr>
          <w:p w14:paraId="41CAB90B" w14:textId="77777777" w:rsidR="00BC1D4B" w:rsidRDefault="00ED1F84" w:rsidP="00C33B63">
            <w:pPr>
              <w:pStyle w:val="Paragraphedeliste"/>
              <w:numPr>
                <w:ilvl w:val="0"/>
                <w:numId w:val="15"/>
              </w:numPr>
              <w:spacing w:after="0"/>
              <w:rPr>
                <w:rFonts w:ascii="Verdana" w:hAnsi="Verdana"/>
                <w:sz w:val="18"/>
                <w:szCs w:val="18"/>
                <w:lang w:val="en-US"/>
              </w:rPr>
            </w:pPr>
            <w:r>
              <w:rPr>
                <w:rFonts w:ascii="Verdana" w:hAnsi="Verdana"/>
                <w:sz w:val="18"/>
                <w:szCs w:val="18"/>
                <w:lang w:val="en-US"/>
              </w:rPr>
              <w:t xml:space="preserve">Low risk identified based on available monitoring data </w:t>
            </w:r>
          </w:p>
        </w:tc>
        <w:tc>
          <w:tcPr>
            <w:tcW w:w="0" w:type="auto"/>
            <w:tcBorders>
              <w:top w:val="single" w:sz="4" w:space="0" w:color="auto"/>
              <w:left w:val="single" w:sz="4" w:space="0" w:color="auto"/>
              <w:bottom w:val="single" w:sz="4" w:space="0" w:color="auto"/>
              <w:right w:val="single" w:sz="4" w:space="0" w:color="auto"/>
            </w:tcBorders>
          </w:tcPr>
          <w:p w14:paraId="1929B55D" w14:textId="133C9F80" w:rsidR="00BC1D4B" w:rsidRDefault="00ED1F84" w:rsidP="00C33B63">
            <w:pPr>
              <w:pStyle w:val="Paragraphedeliste"/>
              <w:numPr>
                <w:ilvl w:val="0"/>
                <w:numId w:val="15"/>
              </w:numPr>
              <w:spacing w:after="0"/>
              <w:rPr>
                <w:rFonts w:ascii="Verdana" w:hAnsi="Verdana"/>
                <w:sz w:val="18"/>
                <w:szCs w:val="18"/>
                <w:lang w:val="en-US"/>
              </w:rPr>
            </w:pPr>
            <w:r>
              <w:rPr>
                <w:rFonts w:ascii="Verdana" w:hAnsi="Verdana"/>
                <w:sz w:val="18"/>
                <w:szCs w:val="18"/>
                <w:lang w:val="en-US"/>
              </w:rPr>
              <w:t>Further monitoring recommended</w:t>
            </w:r>
          </w:p>
          <w:p w14:paraId="7FAC6C21" w14:textId="77777777" w:rsidR="00BC1D4B" w:rsidRDefault="00ED1F84" w:rsidP="00C33B63">
            <w:pPr>
              <w:pStyle w:val="Paragraphedeliste"/>
              <w:numPr>
                <w:ilvl w:val="0"/>
                <w:numId w:val="15"/>
              </w:numPr>
              <w:spacing w:after="0"/>
              <w:rPr>
                <w:rFonts w:ascii="Verdana" w:hAnsi="Verdana"/>
                <w:sz w:val="18"/>
                <w:szCs w:val="18"/>
                <w:lang w:val="en-US"/>
              </w:rPr>
            </w:pPr>
            <w:r>
              <w:rPr>
                <w:rFonts w:ascii="Verdana" w:hAnsi="Verdana"/>
                <w:sz w:val="18"/>
                <w:szCs w:val="18"/>
                <w:lang w:val="en-US"/>
              </w:rPr>
              <w:t>Water Framework Directive</w:t>
            </w:r>
          </w:p>
        </w:tc>
      </w:tr>
      <w:tr w:rsidR="00BC1D4B" w14:paraId="6B6B2EF6" w14:textId="77777777">
        <w:tc>
          <w:tcPr>
            <w:tcW w:w="0" w:type="auto"/>
            <w:tcBorders>
              <w:top w:val="single" w:sz="4" w:space="0" w:color="auto"/>
              <w:left w:val="single" w:sz="4" w:space="0" w:color="auto"/>
              <w:bottom w:val="single" w:sz="4" w:space="0" w:color="auto"/>
              <w:right w:val="single" w:sz="4" w:space="0" w:color="auto"/>
            </w:tcBorders>
          </w:tcPr>
          <w:p w14:paraId="3748EF11" w14:textId="77777777" w:rsidR="00BC1D4B" w:rsidRDefault="00ED1F84">
            <w:pPr>
              <w:spacing w:after="0"/>
              <w:rPr>
                <w:rFonts w:ascii="Verdana" w:hAnsi="Verdana"/>
                <w:sz w:val="18"/>
                <w:szCs w:val="18"/>
                <w:lang w:val="en-US"/>
              </w:rPr>
            </w:pPr>
            <w:r>
              <w:rPr>
                <w:rFonts w:ascii="Verdana" w:hAnsi="Verdana"/>
                <w:sz w:val="18"/>
                <w:szCs w:val="18"/>
                <w:lang w:val="en-US"/>
              </w:rPr>
              <w:t>Risk for the environment related to manufacture, industrial and professional uses of DPG</w:t>
            </w:r>
          </w:p>
        </w:tc>
        <w:tc>
          <w:tcPr>
            <w:tcW w:w="0" w:type="auto"/>
            <w:tcBorders>
              <w:top w:val="single" w:sz="4" w:space="0" w:color="auto"/>
              <w:left w:val="single" w:sz="4" w:space="0" w:color="auto"/>
              <w:bottom w:val="single" w:sz="4" w:space="0" w:color="auto"/>
              <w:right w:val="single" w:sz="4" w:space="0" w:color="auto"/>
            </w:tcBorders>
          </w:tcPr>
          <w:p w14:paraId="04083B57" w14:textId="77777777" w:rsidR="00BC1D4B" w:rsidRDefault="00ED1F84" w:rsidP="00C33B63">
            <w:pPr>
              <w:pStyle w:val="Paragraphedeliste"/>
              <w:numPr>
                <w:ilvl w:val="0"/>
                <w:numId w:val="16"/>
              </w:numPr>
              <w:spacing w:after="0"/>
              <w:rPr>
                <w:rFonts w:ascii="Verdana" w:hAnsi="Verdana"/>
                <w:sz w:val="18"/>
                <w:szCs w:val="18"/>
                <w:lang w:val="en-US"/>
              </w:rPr>
            </w:pPr>
            <w:r>
              <w:rPr>
                <w:rFonts w:ascii="Verdana" w:hAnsi="Verdana"/>
                <w:sz w:val="18"/>
                <w:szCs w:val="18"/>
                <w:lang w:val="en-US"/>
              </w:rPr>
              <w:t>Risks identified for water and sediments if not covered by on-site RMM</w:t>
            </w:r>
          </w:p>
        </w:tc>
        <w:tc>
          <w:tcPr>
            <w:tcW w:w="0" w:type="auto"/>
            <w:tcBorders>
              <w:top w:val="single" w:sz="4" w:space="0" w:color="auto"/>
              <w:left w:val="single" w:sz="4" w:space="0" w:color="auto"/>
              <w:bottom w:val="single" w:sz="4" w:space="0" w:color="auto"/>
              <w:right w:val="single" w:sz="4" w:space="0" w:color="auto"/>
            </w:tcBorders>
          </w:tcPr>
          <w:p w14:paraId="4AD93C1E" w14:textId="77777777" w:rsidR="00BC1D4B" w:rsidRDefault="00ED1F84" w:rsidP="00C33B63">
            <w:pPr>
              <w:pStyle w:val="Paragraphedeliste"/>
              <w:numPr>
                <w:ilvl w:val="0"/>
                <w:numId w:val="16"/>
              </w:numPr>
              <w:spacing w:after="0"/>
              <w:rPr>
                <w:rFonts w:ascii="Verdana" w:hAnsi="Verdana"/>
                <w:sz w:val="18"/>
                <w:szCs w:val="18"/>
                <w:lang w:val="en-US"/>
              </w:rPr>
            </w:pPr>
            <w:r>
              <w:rPr>
                <w:rFonts w:ascii="Verdana" w:hAnsi="Verdana"/>
                <w:sz w:val="18"/>
                <w:szCs w:val="18"/>
                <w:lang w:val="en-US"/>
              </w:rPr>
              <w:t>Registration dossiers to be updated</w:t>
            </w:r>
          </w:p>
          <w:p w14:paraId="0AE417A1" w14:textId="77777777" w:rsidR="00BC1D4B" w:rsidRDefault="00ED1F84" w:rsidP="00C33B63">
            <w:pPr>
              <w:pStyle w:val="Paragraphedeliste"/>
              <w:numPr>
                <w:ilvl w:val="0"/>
                <w:numId w:val="16"/>
              </w:numPr>
              <w:spacing w:after="0"/>
              <w:rPr>
                <w:rFonts w:ascii="Verdana" w:hAnsi="Verdana"/>
                <w:sz w:val="18"/>
                <w:szCs w:val="18"/>
                <w:lang w:val="en-US"/>
              </w:rPr>
            </w:pPr>
            <w:r>
              <w:rPr>
                <w:rFonts w:ascii="Verdana" w:hAnsi="Verdana"/>
                <w:sz w:val="18"/>
                <w:szCs w:val="18"/>
                <w:lang w:val="en-US"/>
              </w:rPr>
              <w:t>Industrial Emission Directive</w:t>
            </w:r>
          </w:p>
        </w:tc>
      </w:tr>
      <w:tr w:rsidR="00BC1D4B" w14:paraId="070ADCFB" w14:textId="77777777">
        <w:tc>
          <w:tcPr>
            <w:tcW w:w="0" w:type="auto"/>
            <w:tcBorders>
              <w:top w:val="single" w:sz="4" w:space="0" w:color="auto"/>
              <w:left w:val="single" w:sz="4" w:space="0" w:color="auto"/>
              <w:bottom w:val="single" w:sz="4" w:space="0" w:color="auto"/>
              <w:right w:val="single" w:sz="4" w:space="0" w:color="auto"/>
            </w:tcBorders>
          </w:tcPr>
          <w:p w14:paraId="09F58B68" w14:textId="77777777" w:rsidR="00BC1D4B" w:rsidRDefault="00ED1F84">
            <w:pPr>
              <w:spacing w:after="0"/>
              <w:rPr>
                <w:rFonts w:ascii="Verdana" w:hAnsi="Verdana"/>
                <w:sz w:val="18"/>
                <w:szCs w:val="18"/>
                <w:lang w:val="en-US"/>
              </w:rPr>
            </w:pPr>
            <w:r>
              <w:rPr>
                <w:rFonts w:ascii="Verdana" w:hAnsi="Verdana"/>
                <w:sz w:val="18"/>
                <w:szCs w:val="18"/>
                <w:lang w:val="en-US"/>
              </w:rPr>
              <w:t>Risk for the environment related to tyre use</w:t>
            </w:r>
          </w:p>
        </w:tc>
        <w:tc>
          <w:tcPr>
            <w:tcW w:w="0" w:type="auto"/>
            <w:tcBorders>
              <w:top w:val="single" w:sz="4" w:space="0" w:color="auto"/>
              <w:left w:val="single" w:sz="4" w:space="0" w:color="auto"/>
              <w:bottom w:val="single" w:sz="4" w:space="0" w:color="auto"/>
              <w:right w:val="single" w:sz="4" w:space="0" w:color="auto"/>
            </w:tcBorders>
          </w:tcPr>
          <w:p w14:paraId="2BF1C7F5" w14:textId="77777777" w:rsidR="00BC1D4B" w:rsidRDefault="00ED1F84" w:rsidP="00C33B63">
            <w:pPr>
              <w:pStyle w:val="Paragraphedeliste"/>
              <w:numPr>
                <w:ilvl w:val="0"/>
                <w:numId w:val="17"/>
              </w:numPr>
              <w:spacing w:after="0"/>
              <w:rPr>
                <w:rFonts w:ascii="Verdana" w:hAnsi="Verdana"/>
                <w:sz w:val="18"/>
                <w:szCs w:val="18"/>
                <w:lang w:val="en-US"/>
              </w:rPr>
            </w:pPr>
            <w:r>
              <w:rPr>
                <w:rFonts w:ascii="Verdana" w:hAnsi="Verdana"/>
                <w:sz w:val="18"/>
                <w:szCs w:val="18"/>
                <w:lang w:val="en-US"/>
              </w:rPr>
              <w:t>Not evaluated in registration dossier</w:t>
            </w:r>
          </w:p>
          <w:p w14:paraId="7590DE2A" w14:textId="77777777" w:rsidR="00BC1D4B" w:rsidRDefault="00ED1F84" w:rsidP="00C33B63">
            <w:pPr>
              <w:pStyle w:val="Paragraphedeliste"/>
              <w:numPr>
                <w:ilvl w:val="0"/>
                <w:numId w:val="17"/>
              </w:numPr>
              <w:spacing w:after="0"/>
              <w:rPr>
                <w:rFonts w:ascii="Verdana" w:hAnsi="Verdana"/>
                <w:sz w:val="18"/>
                <w:szCs w:val="18"/>
                <w:lang w:val="en-US"/>
              </w:rPr>
            </w:pPr>
            <w:r>
              <w:rPr>
                <w:rFonts w:ascii="Verdana" w:hAnsi="Verdana"/>
                <w:sz w:val="18"/>
                <w:szCs w:val="18"/>
                <w:lang w:val="en-US"/>
              </w:rPr>
              <w:t>Monitoring: ubiquitous substance, few data indicating risk for the aquatic species</w:t>
            </w:r>
          </w:p>
          <w:p w14:paraId="51A7DB21" w14:textId="77777777" w:rsidR="00BC1D4B" w:rsidRDefault="00ED1F84" w:rsidP="00C33B63">
            <w:pPr>
              <w:pStyle w:val="Paragraphedeliste"/>
              <w:numPr>
                <w:ilvl w:val="0"/>
                <w:numId w:val="17"/>
              </w:numPr>
              <w:spacing w:after="0"/>
              <w:rPr>
                <w:rFonts w:ascii="Verdana" w:hAnsi="Verdana"/>
                <w:sz w:val="18"/>
                <w:szCs w:val="18"/>
                <w:lang w:val="en-US"/>
              </w:rPr>
            </w:pPr>
            <w:r>
              <w:rPr>
                <w:rFonts w:ascii="Verdana" w:hAnsi="Verdana"/>
                <w:sz w:val="18"/>
                <w:szCs w:val="18"/>
                <w:lang w:val="en-US"/>
              </w:rPr>
              <w:t>Uncertainties related to the low amount of data</w:t>
            </w:r>
          </w:p>
        </w:tc>
        <w:tc>
          <w:tcPr>
            <w:tcW w:w="0" w:type="auto"/>
            <w:tcBorders>
              <w:top w:val="single" w:sz="4" w:space="0" w:color="auto"/>
              <w:left w:val="single" w:sz="4" w:space="0" w:color="auto"/>
              <w:bottom w:val="single" w:sz="4" w:space="0" w:color="auto"/>
              <w:right w:val="single" w:sz="4" w:space="0" w:color="auto"/>
            </w:tcBorders>
          </w:tcPr>
          <w:p w14:paraId="2F8E7428" w14:textId="77777777" w:rsidR="00BC1D4B" w:rsidRDefault="00ED1F84" w:rsidP="00C33B63">
            <w:pPr>
              <w:pStyle w:val="Paragraphedeliste"/>
              <w:numPr>
                <w:ilvl w:val="0"/>
                <w:numId w:val="17"/>
              </w:numPr>
              <w:spacing w:after="0"/>
              <w:rPr>
                <w:rFonts w:ascii="Verdana" w:hAnsi="Verdana"/>
                <w:sz w:val="18"/>
                <w:szCs w:val="18"/>
                <w:lang w:val="en-US"/>
              </w:rPr>
            </w:pPr>
            <w:r>
              <w:rPr>
                <w:rFonts w:ascii="Verdana" w:hAnsi="Verdana"/>
                <w:sz w:val="18"/>
                <w:szCs w:val="18"/>
                <w:lang w:val="en-US"/>
              </w:rPr>
              <w:t>SVHC identification would trigger an obligation to notify the presence of DPG in articles and improve knowledge on the extent of exposure</w:t>
            </w:r>
          </w:p>
        </w:tc>
      </w:tr>
      <w:tr w:rsidR="00BC1D4B" w14:paraId="5D902B6B" w14:textId="77777777">
        <w:tc>
          <w:tcPr>
            <w:tcW w:w="0" w:type="auto"/>
            <w:tcBorders>
              <w:top w:val="single" w:sz="4" w:space="0" w:color="auto"/>
              <w:left w:val="single" w:sz="4" w:space="0" w:color="auto"/>
              <w:bottom w:val="single" w:sz="4" w:space="0" w:color="auto"/>
              <w:right w:val="single" w:sz="4" w:space="0" w:color="auto"/>
            </w:tcBorders>
          </w:tcPr>
          <w:p w14:paraId="46CC305F" w14:textId="77777777" w:rsidR="00BC1D4B" w:rsidRDefault="00ED1F84">
            <w:pPr>
              <w:spacing w:after="0"/>
              <w:rPr>
                <w:rFonts w:ascii="Verdana" w:hAnsi="Verdana"/>
                <w:sz w:val="18"/>
                <w:szCs w:val="18"/>
                <w:lang w:val="en-US"/>
              </w:rPr>
            </w:pPr>
            <w:r>
              <w:rPr>
                <w:rFonts w:ascii="Verdana" w:hAnsi="Verdana"/>
                <w:sz w:val="18"/>
                <w:szCs w:val="18"/>
                <w:lang w:val="en-US"/>
              </w:rPr>
              <w:t>Risk for industrial workers</w:t>
            </w:r>
          </w:p>
        </w:tc>
        <w:tc>
          <w:tcPr>
            <w:tcW w:w="0" w:type="auto"/>
            <w:tcBorders>
              <w:top w:val="single" w:sz="4" w:space="0" w:color="auto"/>
              <w:left w:val="single" w:sz="4" w:space="0" w:color="auto"/>
              <w:bottom w:val="single" w:sz="4" w:space="0" w:color="auto"/>
              <w:right w:val="single" w:sz="4" w:space="0" w:color="auto"/>
            </w:tcBorders>
          </w:tcPr>
          <w:p w14:paraId="22688647" w14:textId="77777777" w:rsidR="00BC1D4B" w:rsidRDefault="00ED1F84" w:rsidP="00C33B63">
            <w:pPr>
              <w:pStyle w:val="Paragraphedeliste"/>
              <w:numPr>
                <w:ilvl w:val="0"/>
                <w:numId w:val="18"/>
              </w:numPr>
              <w:spacing w:after="0"/>
              <w:rPr>
                <w:rFonts w:ascii="Verdana" w:hAnsi="Verdana"/>
                <w:sz w:val="18"/>
                <w:szCs w:val="18"/>
                <w:lang w:val="en-US"/>
              </w:rPr>
            </w:pPr>
            <w:r>
              <w:rPr>
                <w:rFonts w:ascii="Verdana" w:hAnsi="Verdana"/>
                <w:sz w:val="18"/>
                <w:szCs w:val="18"/>
                <w:lang w:val="en-US"/>
              </w:rPr>
              <w:t>Risks identified based on scenario in registration dossier and revised DNEL by aMSCA</w:t>
            </w:r>
          </w:p>
        </w:tc>
        <w:tc>
          <w:tcPr>
            <w:tcW w:w="0" w:type="auto"/>
            <w:tcBorders>
              <w:top w:val="single" w:sz="4" w:space="0" w:color="auto"/>
              <w:left w:val="single" w:sz="4" w:space="0" w:color="auto"/>
              <w:bottom w:val="single" w:sz="4" w:space="0" w:color="auto"/>
              <w:right w:val="single" w:sz="4" w:space="0" w:color="auto"/>
            </w:tcBorders>
          </w:tcPr>
          <w:p w14:paraId="1EF41C80" w14:textId="77777777" w:rsidR="00BC1D4B" w:rsidRDefault="00ED1F84" w:rsidP="00C33B63">
            <w:pPr>
              <w:pStyle w:val="Paragraphedeliste"/>
              <w:numPr>
                <w:ilvl w:val="0"/>
                <w:numId w:val="18"/>
              </w:numPr>
              <w:spacing w:after="0"/>
              <w:rPr>
                <w:rFonts w:ascii="Verdana" w:hAnsi="Verdana"/>
                <w:sz w:val="18"/>
                <w:szCs w:val="18"/>
                <w:lang w:val="en-US"/>
              </w:rPr>
            </w:pPr>
            <w:r>
              <w:rPr>
                <w:rFonts w:ascii="Verdana" w:hAnsi="Verdana"/>
                <w:sz w:val="18"/>
                <w:szCs w:val="18"/>
                <w:lang w:val="en-US"/>
              </w:rPr>
              <w:t>Registration dossiers to be updated</w:t>
            </w:r>
          </w:p>
          <w:p w14:paraId="15F611A6" w14:textId="77777777" w:rsidR="00BC1D4B" w:rsidRDefault="00ED1F84" w:rsidP="00C33B63">
            <w:pPr>
              <w:pStyle w:val="Paragraphedeliste"/>
              <w:numPr>
                <w:ilvl w:val="0"/>
                <w:numId w:val="18"/>
              </w:numPr>
              <w:spacing w:after="0"/>
              <w:rPr>
                <w:rFonts w:ascii="Verdana" w:hAnsi="Verdana"/>
                <w:sz w:val="18"/>
                <w:szCs w:val="18"/>
                <w:lang w:val="en-US"/>
              </w:rPr>
            </w:pPr>
            <w:r>
              <w:rPr>
                <w:rFonts w:ascii="Verdana" w:hAnsi="Verdana"/>
                <w:sz w:val="18"/>
                <w:szCs w:val="18"/>
                <w:lang w:val="en-US"/>
              </w:rPr>
              <w:t xml:space="preserve">Classification Repr 1B may further strengthen RMM </w:t>
            </w:r>
          </w:p>
          <w:p w14:paraId="1C0FDB28" w14:textId="77777777" w:rsidR="00BC1D4B" w:rsidRDefault="00ED1F84" w:rsidP="00C33B63">
            <w:pPr>
              <w:pStyle w:val="Paragraphedeliste"/>
              <w:numPr>
                <w:ilvl w:val="0"/>
                <w:numId w:val="18"/>
              </w:numPr>
              <w:spacing w:after="0"/>
              <w:rPr>
                <w:rFonts w:ascii="Verdana" w:hAnsi="Verdana"/>
                <w:sz w:val="18"/>
                <w:szCs w:val="18"/>
                <w:lang w:val="en-US"/>
              </w:rPr>
            </w:pPr>
            <w:r>
              <w:rPr>
                <w:rFonts w:ascii="Verdana" w:hAnsi="Verdana"/>
                <w:sz w:val="18"/>
                <w:szCs w:val="18"/>
                <w:lang w:val="en-US"/>
              </w:rPr>
              <w:t>OEL would improve worker protection</w:t>
            </w:r>
          </w:p>
          <w:p w14:paraId="27575CCF" w14:textId="77777777" w:rsidR="00BC1D4B" w:rsidRDefault="00ED1F84" w:rsidP="00C33B63">
            <w:pPr>
              <w:pStyle w:val="Paragraphedeliste"/>
              <w:numPr>
                <w:ilvl w:val="0"/>
                <w:numId w:val="18"/>
              </w:numPr>
              <w:spacing w:after="0"/>
              <w:rPr>
                <w:rFonts w:ascii="Verdana" w:hAnsi="Verdana"/>
                <w:sz w:val="18"/>
                <w:szCs w:val="18"/>
                <w:lang w:val="en-US"/>
              </w:rPr>
            </w:pPr>
            <w:r>
              <w:rPr>
                <w:rFonts w:ascii="Verdana" w:hAnsi="Verdana"/>
                <w:sz w:val="18"/>
                <w:szCs w:val="18"/>
                <w:lang w:val="en-US"/>
              </w:rPr>
              <w:t>Restriction and/or authorisation to be considered if needed</w:t>
            </w:r>
          </w:p>
        </w:tc>
      </w:tr>
      <w:tr w:rsidR="00BC1D4B" w14:paraId="1F2C0B52" w14:textId="77777777">
        <w:tc>
          <w:tcPr>
            <w:tcW w:w="0" w:type="auto"/>
            <w:tcBorders>
              <w:top w:val="single" w:sz="4" w:space="0" w:color="auto"/>
              <w:left w:val="single" w:sz="4" w:space="0" w:color="auto"/>
              <w:bottom w:val="single" w:sz="4" w:space="0" w:color="auto"/>
              <w:right w:val="single" w:sz="4" w:space="0" w:color="auto"/>
            </w:tcBorders>
          </w:tcPr>
          <w:p w14:paraId="7EDE86E0" w14:textId="77777777" w:rsidR="00BC1D4B" w:rsidRDefault="00ED1F84">
            <w:pPr>
              <w:spacing w:after="0"/>
              <w:rPr>
                <w:rFonts w:ascii="Verdana" w:hAnsi="Verdana"/>
                <w:sz w:val="18"/>
                <w:szCs w:val="18"/>
                <w:lang w:val="en-US"/>
              </w:rPr>
            </w:pPr>
            <w:r>
              <w:rPr>
                <w:rFonts w:ascii="Verdana" w:hAnsi="Verdana"/>
                <w:sz w:val="18"/>
                <w:szCs w:val="18"/>
                <w:lang w:val="en-US"/>
              </w:rPr>
              <w:t>Risk for occupational workers</w:t>
            </w:r>
          </w:p>
        </w:tc>
        <w:tc>
          <w:tcPr>
            <w:tcW w:w="0" w:type="auto"/>
            <w:tcBorders>
              <w:top w:val="single" w:sz="4" w:space="0" w:color="auto"/>
              <w:left w:val="single" w:sz="4" w:space="0" w:color="auto"/>
              <w:bottom w:val="single" w:sz="4" w:space="0" w:color="auto"/>
              <w:right w:val="single" w:sz="4" w:space="0" w:color="auto"/>
            </w:tcBorders>
          </w:tcPr>
          <w:p w14:paraId="39E94BDE" w14:textId="77777777" w:rsidR="00BC1D4B" w:rsidRDefault="00ED1F84" w:rsidP="00C33B63">
            <w:pPr>
              <w:pStyle w:val="Paragraphedeliste"/>
              <w:numPr>
                <w:ilvl w:val="0"/>
                <w:numId w:val="19"/>
              </w:numPr>
              <w:spacing w:after="0"/>
              <w:rPr>
                <w:rFonts w:ascii="Verdana" w:hAnsi="Verdana"/>
                <w:sz w:val="18"/>
                <w:szCs w:val="18"/>
                <w:lang w:val="en-US"/>
              </w:rPr>
            </w:pPr>
            <w:r>
              <w:rPr>
                <w:rFonts w:ascii="Verdana" w:hAnsi="Verdana"/>
                <w:sz w:val="18"/>
                <w:szCs w:val="18"/>
                <w:lang w:val="en-US"/>
              </w:rPr>
              <w:t>Risks identified based on scenario in registration dossier and revised DNEL by aMSCA</w:t>
            </w:r>
          </w:p>
        </w:tc>
        <w:tc>
          <w:tcPr>
            <w:tcW w:w="0" w:type="auto"/>
            <w:tcBorders>
              <w:top w:val="single" w:sz="4" w:space="0" w:color="auto"/>
              <w:left w:val="single" w:sz="4" w:space="0" w:color="auto"/>
              <w:bottom w:val="single" w:sz="4" w:space="0" w:color="auto"/>
              <w:right w:val="single" w:sz="4" w:space="0" w:color="auto"/>
            </w:tcBorders>
          </w:tcPr>
          <w:p w14:paraId="46104D4E" w14:textId="77777777" w:rsidR="00BC1D4B" w:rsidRDefault="00ED1F84" w:rsidP="00C33B63">
            <w:pPr>
              <w:pStyle w:val="Paragraphedeliste"/>
              <w:numPr>
                <w:ilvl w:val="0"/>
                <w:numId w:val="19"/>
              </w:numPr>
              <w:spacing w:after="0"/>
              <w:rPr>
                <w:rFonts w:ascii="Verdana" w:hAnsi="Verdana"/>
                <w:sz w:val="18"/>
                <w:szCs w:val="18"/>
                <w:lang w:val="en-US"/>
              </w:rPr>
            </w:pPr>
            <w:r>
              <w:rPr>
                <w:rFonts w:ascii="Verdana" w:hAnsi="Verdana"/>
                <w:sz w:val="18"/>
                <w:szCs w:val="18"/>
                <w:lang w:val="en-US"/>
              </w:rPr>
              <w:t>Registration dossiers to be updated.</w:t>
            </w:r>
          </w:p>
          <w:p w14:paraId="7A727203" w14:textId="77777777" w:rsidR="00BC1D4B" w:rsidRDefault="00ED1F84" w:rsidP="00C33B63">
            <w:pPr>
              <w:pStyle w:val="Paragraphedeliste"/>
              <w:numPr>
                <w:ilvl w:val="0"/>
                <w:numId w:val="19"/>
              </w:numPr>
              <w:spacing w:after="0"/>
              <w:rPr>
                <w:rFonts w:ascii="Verdana" w:hAnsi="Verdana"/>
                <w:sz w:val="18"/>
                <w:szCs w:val="18"/>
                <w:lang w:val="en-US"/>
              </w:rPr>
            </w:pPr>
            <w:r>
              <w:rPr>
                <w:rFonts w:ascii="Verdana" w:hAnsi="Verdana"/>
                <w:sz w:val="18"/>
                <w:szCs w:val="18"/>
                <w:lang w:val="en-US"/>
              </w:rPr>
              <w:t>Classification Repr 1B may further strengthen RMM</w:t>
            </w:r>
          </w:p>
          <w:p w14:paraId="138CE4A3" w14:textId="77777777" w:rsidR="00BC1D4B" w:rsidRDefault="00ED1F84" w:rsidP="00C33B63">
            <w:pPr>
              <w:pStyle w:val="Paragraphedeliste"/>
              <w:numPr>
                <w:ilvl w:val="0"/>
                <w:numId w:val="19"/>
              </w:numPr>
              <w:spacing w:after="0"/>
              <w:rPr>
                <w:rFonts w:ascii="Verdana" w:hAnsi="Verdana"/>
                <w:sz w:val="18"/>
                <w:szCs w:val="18"/>
                <w:lang w:val="en-US"/>
              </w:rPr>
            </w:pPr>
            <w:r>
              <w:rPr>
                <w:rFonts w:ascii="Verdana" w:hAnsi="Verdana"/>
                <w:sz w:val="18"/>
                <w:szCs w:val="18"/>
                <w:lang w:val="en-US"/>
              </w:rPr>
              <w:t>Restriction to be considered if needed</w:t>
            </w:r>
          </w:p>
        </w:tc>
      </w:tr>
      <w:tr w:rsidR="00BC1D4B" w14:paraId="3DACB512" w14:textId="77777777">
        <w:tc>
          <w:tcPr>
            <w:tcW w:w="0" w:type="auto"/>
            <w:tcBorders>
              <w:top w:val="single" w:sz="4" w:space="0" w:color="auto"/>
              <w:left w:val="single" w:sz="4" w:space="0" w:color="auto"/>
              <w:bottom w:val="single" w:sz="4" w:space="0" w:color="auto"/>
              <w:right w:val="single" w:sz="4" w:space="0" w:color="auto"/>
            </w:tcBorders>
          </w:tcPr>
          <w:p w14:paraId="77BB14EA" w14:textId="77777777" w:rsidR="00BC1D4B" w:rsidRDefault="00ED1F84">
            <w:pPr>
              <w:spacing w:after="0"/>
              <w:rPr>
                <w:rFonts w:ascii="Verdana" w:hAnsi="Verdana"/>
                <w:sz w:val="18"/>
                <w:szCs w:val="18"/>
                <w:lang w:val="en-US"/>
              </w:rPr>
            </w:pPr>
            <w:r>
              <w:rPr>
                <w:rFonts w:ascii="Verdana" w:hAnsi="Verdana"/>
                <w:sz w:val="18"/>
                <w:szCs w:val="18"/>
                <w:lang w:val="en-US"/>
              </w:rPr>
              <w:t>Risks for consumers due to the use of articles</w:t>
            </w:r>
          </w:p>
        </w:tc>
        <w:tc>
          <w:tcPr>
            <w:tcW w:w="0" w:type="auto"/>
            <w:tcBorders>
              <w:top w:val="single" w:sz="4" w:space="0" w:color="auto"/>
              <w:left w:val="single" w:sz="4" w:space="0" w:color="auto"/>
              <w:bottom w:val="single" w:sz="4" w:space="0" w:color="auto"/>
              <w:right w:val="single" w:sz="4" w:space="0" w:color="auto"/>
            </w:tcBorders>
          </w:tcPr>
          <w:p w14:paraId="271CE85F" w14:textId="77777777" w:rsidR="00BC1D4B" w:rsidRDefault="00ED1F84" w:rsidP="00C33B63">
            <w:pPr>
              <w:pStyle w:val="Paragraphedeliste"/>
              <w:numPr>
                <w:ilvl w:val="0"/>
                <w:numId w:val="20"/>
              </w:numPr>
              <w:spacing w:after="0"/>
              <w:rPr>
                <w:rFonts w:ascii="Verdana" w:hAnsi="Verdana"/>
                <w:sz w:val="18"/>
                <w:szCs w:val="18"/>
                <w:lang w:val="en-US"/>
              </w:rPr>
            </w:pPr>
            <w:r>
              <w:rPr>
                <w:rFonts w:ascii="Verdana" w:hAnsi="Verdana"/>
                <w:sz w:val="18"/>
                <w:szCs w:val="18"/>
                <w:lang w:val="en-US"/>
              </w:rPr>
              <w:t xml:space="preserve">Risks identified based on scenario in registration dossier and revised DNEL by aMSCA </w:t>
            </w:r>
          </w:p>
          <w:p w14:paraId="1B0B3B83" w14:textId="77777777" w:rsidR="00BC1D4B" w:rsidRDefault="00ED1F84" w:rsidP="00C33B63">
            <w:pPr>
              <w:pStyle w:val="Paragraphedeliste"/>
              <w:numPr>
                <w:ilvl w:val="0"/>
                <w:numId w:val="20"/>
              </w:numPr>
              <w:spacing w:after="0"/>
              <w:rPr>
                <w:rFonts w:ascii="Verdana" w:hAnsi="Verdana"/>
                <w:sz w:val="18"/>
                <w:szCs w:val="18"/>
                <w:lang w:val="en-US"/>
              </w:rPr>
            </w:pPr>
            <w:r>
              <w:rPr>
                <w:rFonts w:ascii="Verdana" w:hAnsi="Verdana"/>
                <w:sz w:val="18"/>
                <w:szCs w:val="18"/>
                <w:lang w:val="en-US"/>
              </w:rPr>
              <w:t xml:space="preserve">Uncertainties on the extent of articles in which DPG can be present </w:t>
            </w:r>
          </w:p>
        </w:tc>
        <w:tc>
          <w:tcPr>
            <w:tcW w:w="0" w:type="auto"/>
            <w:tcBorders>
              <w:top w:val="single" w:sz="4" w:space="0" w:color="auto"/>
              <w:left w:val="single" w:sz="4" w:space="0" w:color="auto"/>
              <w:bottom w:val="single" w:sz="4" w:space="0" w:color="auto"/>
              <w:right w:val="single" w:sz="4" w:space="0" w:color="auto"/>
            </w:tcBorders>
          </w:tcPr>
          <w:p w14:paraId="18F6D082" w14:textId="7A6094AD" w:rsidR="00BC1D4B" w:rsidRDefault="00ED1F84" w:rsidP="00C33B63">
            <w:pPr>
              <w:pStyle w:val="Paragraphedeliste"/>
              <w:numPr>
                <w:ilvl w:val="0"/>
                <w:numId w:val="20"/>
              </w:numPr>
              <w:spacing w:after="0"/>
              <w:rPr>
                <w:rFonts w:ascii="Verdana" w:hAnsi="Verdana"/>
                <w:sz w:val="18"/>
                <w:szCs w:val="18"/>
                <w:lang w:val="en-US"/>
              </w:rPr>
            </w:pPr>
            <w:r>
              <w:rPr>
                <w:rFonts w:ascii="Verdana" w:hAnsi="Verdana"/>
                <w:sz w:val="18"/>
                <w:szCs w:val="18"/>
                <w:lang w:val="en-US"/>
              </w:rPr>
              <w:t>Presence of DPG in Toys banned</w:t>
            </w:r>
            <w:r w:rsidR="006E6890">
              <w:rPr>
                <w:rFonts w:ascii="Verdana" w:hAnsi="Verdana"/>
                <w:sz w:val="18"/>
                <w:szCs w:val="18"/>
                <w:lang w:val="en-US"/>
              </w:rPr>
              <w:t xml:space="preserve"> </w:t>
            </w:r>
            <w:r w:rsidR="00B03983">
              <w:rPr>
                <w:rFonts w:ascii="Verdana" w:hAnsi="Verdana"/>
                <w:sz w:val="18"/>
                <w:szCs w:val="18"/>
                <w:lang w:val="en-US"/>
              </w:rPr>
              <w:t>for classification as</w:t>
            </w:r>
            <w:r w:rsidR="006E6890">
              <w:rPr>
                <w:rFonts w:ascii="Verdana" w:hAnsi="Verdana"/>
                <w:sz w:val="18"/>
                <w:szCs w:val="18"/>
                <w:lang w:val="en-US"/>
              </w:rPr>
              <w:t xml:space="preserve"> </w:t>
            </w:r>
            <w:r>
              <w:rPr>
                <w:rFonts w:ascii="Verdana" w:hAnsi="Verdana"/>
                <w:sz w:val="18"/>
                <w:szCs w:val="18"/>
                <w:lang w:val="en-US"/>
              </w:rPr>
              <w:t>repro 1</w:t>
            </w:r>
            <w:r w:rsidR="00B03983">
              <w:rPr>
                <w:rFonts w:ascii="Verdana" w:hAnsi="Verdana"/>
                <w:sz w:val="18"/>
                <w:szCs w:val="18"/>
                <w:lang w:val="en-US"/>
              </w:rPr>
              <w:t xml:space="preserve"> and</w:t>
            </w:r>
            <w:r w:rsidR="00C33B63">
              <w:rPr>
                <w:rFonts w:ascii="Verdana" w:hAnsi="Verdana"/>
                <w:sz w:val="18"/>
                <w:szCs w:val="18"/>
                <w:lang w:val="en-US"/>
              </w:rPr>
              <w:t xml:space="preserve"> 2</w:t>
            </w:r>
            <w:r>
              <w:rPr>
                <w:rFonts w:ascii="Verdana" w:hAnsi="Verdana"/>
                <w:sz w:val="18"/>
                <w:szCs w:val="18"/>
                <w:lang w:val="en-US"/>
              </w:rPr>
              <w:t xml:space="preserve"> </w:t>
            </w:r>
          </w:p>
          <w:p w14:paraId="5BDB16D5" w14:textId="77777777" w:rsidR="00BC1D4B" w:rsidRDefault="00ED1F84" w:rsidP="00C33B63">
            <w:pPr>
              <w:pStyle w:val="Paragraphedeliste"/>
              <w:numPr>
                <w:ilvl w:val="0"/>
                <w:numId w:val="20"/>
              </w:numPr>
              <w:spacing w:after="0"/>
              <w:rPr>
                <w:rFonts w:ascii="Verdana" w:hAnsi="Verdana"/>
                <w:sz w:val="18"/>
                <w:szCs w:val="18"/>
                <w:lang w:val="en-US"/>
              </w:rPr>
            </w:pPr>
            <w:r>
              <w:rPr>
                <w:rFonts w:ascii="Verdana" w:hAnsi="Verdana"/>
                <w:sz w:val="18"/>
                <w:szCs w:val="18"/>
                <w:lang w:val="en-US"/>
              </w:rPr>
              <w:t xml:space="preserve">SVHC identification would trigger an obligation to notify the presence of DPG in articles and improve knowledge on the extent of exposure </w:t>
            </w:r>
          </w:p>
          <w:p w14:paraId="4FA9BC61" w14:textId="0505B149" w:rsidR="00ED0058" w:rsidRDefault="00ED0058" w:rsidP="00ED0058">
            <w:pPr>
              <w:pStyle w:val="Paragraphedeliste"/>
              <w:numPr>
                <w:ilvl w:val="0"/>
                <w:numId w:val="20"/>
              </w:numPr>
              <w:spacing w:after="0"/>
              <w:rPr>
                <w:rFonts w:ascii="Verdana" w:hAnsi="Verdana"/>
                <w:sz w:val="18"/>
                <w:szCs w:val="18"/>
                <w:lang w:val="en-US"/>
              </w:rPr>
            </w:pPr>
            <w:r w:rsidRPr="00ED0058">
              <w:rPr>
                <w:rFonts w:ascii="Verdana" w:hAnsi="Verdana"/>
                <w:sz w:val="18"/>
                <w:szCs w:val="18"/>
                <w:lang w:val="en-US"/>
              </w:rPr>
              <w:t>Restriction to be considered if needed</w:t>
            </w:r>
          </w:p>
        </w:tc>
      </w:tr>
      <w:tr w:rsidR="00BC1D4B" w14:paraId="5BD06D8E" w14:textId="77777777">
        <w:tc>
          <w:tcPr>
            <w:tcW w:w="0" w:type="auto"/>
            <w:tcBorders>
              <w:top w:val="single" w:sz="4" w:space="0" w:color="auto"/>
              <w:left w:val="single" w:sz="4" w:space="0" w:color="auto"/>
              <w:bottom w:val="single" w:sz="4" w:space="0" w:color="auto"/>
              <w:right w:val="single" w:sz="4" w:space="0" w:color="auto"/>
            </w:tcBorders>
          </w:tcPr>
          <w:p w14:paraId="25AB5998" w14:textId="77777777" w:rsidR="00BC1D4B" w:rsidRDefault="00ED1F84">
            <w:pPr>
              <w:spacing w:after="0"/>
              <w:rPr>
                <w:rFonts w:ascii="Verdana" w:hAnsi="Verdana"/>
                <w:sz w:val="18"/>
                <w:szCs w:val="18"/>
                <w:lang w:val="en-US"/>
              </w:rPr>
            </w:pPr>
            <w:r>
              <w:rPr>
                <w:rFonts w:ascii="Verdana" w:hAnsi="Verdana"/>
                <w:sz w:val="18"/>
                <w:szCs w:val="18"/>
                <w:lang w:val="en-US"/>
              </w:rPr>
              <w:t>Risks for consumers due to presence in drinking water</w:t>
            </w:r>
          </w:p>
        </w:tc>
        <w:tc>
          <w:tcPr>
            <w:tcW w:w="0" w:type="auto"/>
            <w:tcBorders>
              <w:top w:val="single" w:sz="4" w:space="0" w:color="auto"/>
              <w:left w:val="single" w:sz="4" w:space="0" w:color="auto"/>
              <w:bottom w:val="single" w:sz="4" w:space="0" w:color="auto"/>
              <w:right w:val="single" w:sz="4" w:space="0" w:color="auto"/>
            </w:tcBorders>
          </w:tcPr>
          <w:p w14:paraId="3998DED5" w14:textId="77777777" w:rsidR="00BC1D4B" w:rsidRDefault="00ED1F84" w:rsidP="00C33B63">
            <w:pPr>
              <w:pStyle w:val="Paragraphedeliste"/>
              <w:numPr>
                <w:ilvl w:val="0"/>
                <w:numId w:val="21"/>
              </w:numPr>
              <w:spacing w:after="0"/>
              <w:rPr>
                <w:rFonts w:ascii="Verdana" w:hAnsi="Verdana"/>
                <w:sz w:val="18"/>
                <w:szCs w:val="18"/>
                <w:lang w:val="en-US"/>
              </w:rPr>
            </w:pPr>
            <w:r>
              <w:rPr>
                <w:rFonts w:ascii="Verdana" w:hAnsi="Verdana"/>
                <w:sz w:val="18"/>
                <w:szCs w:val="18"/>
                <w:lang w:val="en-US"/>
              </w:rPr>
              <w:t xml:space="preserve">Presence of DPG in drinking water plant </w:t>
            </w:r>
          </w:p>
          <w:p w14:paraId="38A95736" w14:textId="77777777" w:rsidR="00BC1D4B" w:rsidRDefault="00ED1F84" w:rsidP="00C33B63">
            <w:pPr>
              <w:pStyle w:val="Paragraphedeliste"/>
              <w:numPr>
                <w:ilvl w:val="0"/>
                <w:numId w:val="21"/>
              </w:numPr>
              <w:spacing w:after="0"/>
              <w:rPr>
                <w:rFonts w:ascii="Verdana" w:hAnsi="Verdana"/>
                <w:sz w:val="18"/>
                <w:szCs w:val="18"/>
                <w:lang w:val="en-US"/>
              </w:rPr>
            </w:pPr>
            <w:r>
              <w:rPr>
                <w:rFonts w:ascii="Verdana" w:hAnsi="Verdana"/>
                <w:sz w:val="18"/>
                <w:szCs w:val="18"/>
                <w:lang w:val="en-US"/>
              </w:rPr>
              <w:t>Release of DPG from material in contact with water  (pipes and tubes)</w:t>
            </w:r>
          </w:p>
          <w:p w14:paraId="5383978B" w14:textId="77777777" w:rsidR="00BC1D4B" w:rsidRDefault="00ED1F84" w:rsidP="00C33B63">
            <w:pPr>
              <w:pStyle w:val="Paragraphedeliste"/>
              <w:numPr>
                <w:ilvl w:val="0"/>
                <w:numId w:val="21"/>
              </w:numPr>
              <w:spacing w:after="0"/>
              <w:rPr>
                <w:rFonts w:ascii="Verdana" w:hAnsi="Verdana"/>
                <w:sz w:val="18"/>
                <w:szCs w:val="18"/>
                <w:lang w:val="en-US"/>
              </w:rPr>
            </w:pPr>
            <w:r>
              <w:rPr>
                <w:rFonts w:ascii="Verdana" w:hAnsi="Verdana"/>
                <w:sz w:val="18"/>
                <w:szCs w:val="18"/>
                <w:lang w:val="en-US"/>
              </w:rPr>
              <w:t>Uncertainties related to the low amount of data</w:t>
            </w:r>
          </w:p>
        </w:tc>
        <w:tc>
          <w:tcPr>
            <w:tcW w:w="0" w:type="auto"/>
            <w:tcBorders>
              <w:top w:val="single" w:sz="4" w:space="0" w:color="auto"/>
              <w:left w:val="single" w:sz="4" w:space="0" w:color="auto"/>
              <w:bottom w:val="single" w:sz="4" w:space="0" w:color="auto"/>
              <w:right w:val="single" w:sz="4" w:space="0" w:color="auto"/>
            </w:tcBorders>
          </w:tcPr>
          <w:p w14:paraId="7A59A308" w14:textId="77777777" w:rsidR="00BC1D4B" w:rsidRDefault="00ED1F84" w:rsidP="00C33B63">
            <w:pPr>
              <w:pStyle w:val="Paragraphedeliste"/>
              <w:numPr>
                <w:ilvl w:val="0"/>
                <w:numId w:val="21"/>
              </w:numPr>
              <w:spacing w:after="0"/>
              <w:rPr>
                <w:rFonts w:ascii="Verdana" w:hAnsi="Verdana"/>
                <w:sz w:val="18"/>
                <w:szCs w:val="18"/>
                <w:lang w:val="en-US"/>
              </w:rPr>
            </w:pPr>
            <w:r>
              <w:rPr>
                <w:rFonts w:ascii="Verdana" w:hAnsi="Verdana"/>
                <w:sz w:val="18"/>
                <w:szCs w:val="18"/>
                <w:lang w:val="en-US"/>
              </w:rPr>
              <w:t>Drinking Water Directive</w:t>
            </w:r>
          </w:p>
        </w:tc>
      </w:tr>
    </w:tbl>
    <w:p w14:paraId="2541E7AB" w14:textId="77777777" w:rsidR="006E6890" w:rsidRDefault="006E6890" w:rsidP="002F4101">
      <w:pPr>
        <w:spacing w:after="200" w:line="276" w:lineRule="auto"/>
        <w:jc w:val="both"/>
        <w:rPr>
          <w:rFonts w:ascii="Verdana" w:hAnsi="Verdana"/>
          <w:sz w:val="20"/>
          <w:szCs w:val="20"/>
          <w:lang w:val="en-US"/>
        </w:rPr>
      </w:pPr>
    </w:p>
    <w:p w14:paraId="6607BFF8" w14:textId="3B8CD7DC" w:rsidR="00BC1D4B" w:rsidRPr="002F4101" w:rsidRDefault="00213419" w:rsidP="002F4101">
      <w:pPr>
        <w:spacing w:after="200" w:line="276" w:lineRule="auto"/>
        <w:jc w:val="both"/>
        <w:rPr>
          <w:rFonts w:ascii="Verdana" w:hAnsi="Verdana"/>
          <w:b/>
          <w:color w:val="0046AD"/>
          <w:sz w:val="20"/>
          <w:szCs w:val="20"/>
          <w:lang w:val="en-US"/>
        </w:rPr>
      </w:pPr>
      <w:r w:rsidRPr="00213419">
        <w:rPr>
          <w:rFonts w:ascii="Verdana" w:hAnsi="Verdana"/>
          <w:sz w:val="20"/>
          <w:szCs w:val="20"/>
          <w:lang w:val="en-US"/>
        </w:rPr>
        <w:t>The eMS</w:t>
      </w:r>
      <w:r w:rsidRPr="002F4101">
        <w:rPr>
          <w:rFonts w:ascii="Verdana" w:hAnsi="Verdana"/>
          <w:sz w:val="20"/>
          <w:szCs w:val="20"/>
          <w:lang w:val="en-US"/>
        </w:rPr>
        <w:t>C</w:t>
      </w:r>
      <w:r>
        <w:rPr>
          <w:rFonts w:ascii="Verdana" w:hAnsi="Verdana"/>
          <w:sz w:val="20"/>
          <w:szCs w:val="20"/>
          <w:lang w:val="en-US"/>
        </w:rPr>
        <w:t>A</w:t>
      </w:r>
      <w:r w:rsidRPr="002F4101">
        <w:rPr>
          <w:rFonts w:ascii="Verdana" w:hAnsi="Verdana"/>
          <w:sz w:val="20"/>
          <w:szCs w:val="20"/>
          <w:lang w:val="en-US"/>
        </w:rPr>
        <w:t xml:space="preserve"> noted the limitations in this dossier related to </w:t>
      </w:r>
      <w:r w:rsidR="009E0BC5">
        <w:rPr>
          <w:rFonts w:ascii="Verdana" w:hAnsi="Verdana"/>
          <w:sz w:val="20"/>
          <w:szCs w:val="20"/>
          <w:lang w:val="en-US"/>
        </w:rPr>
        <w:t>the</w:t>
      </w:r>
      <w:r w:rsidRPr="002F4101">
        <w:rPr>
          <w:rFonts w:ascii="Verdana" w:hAnsi="Verdana"/>
          <w:sz w:val="20"/>
          <w:szCs w:val="20"/>
          <w:lang w:val="en-US"/>
        </w:rPr>
        <w:t xml:space="preserve"> </w:t>
      </w:r>
      <w:r w:rsidR="009E0BC5">
        <w:rPr>
          <w:rFonts w:ascii="Verdana" w:hAnsi="Verdana"/>
          <w:sz w:val="20"/>
          <w:szCs w:val="20"/>
          <w:lang w:val="en-US"/>
        </w:rPr>
        <w:t>l</w:t>
      </w:r>
      <w:r w:rsidRPr="002F4101">
        <w:rPr>
          <w:rFonts w:ascii="Verdana" w:hAnsi="Verdana"/>
          <w:sz w:val="20"/>
          <w:szCs w:val="20"/>
          <w:lang w:val="en-US"/>
        </w:rPr>
        <w:t xml:space="preserve">ack of </w:t>
      </w:r>
      <w:r w:rsidR="009E0BC5">
        <w:rPr>
          <w:rFonts w:ascii="Verdana" w:hAnsi="Verdana"/>
          <w:sz w:val="20"/>
          <w:szCs w:val="20"/>
          <w:lang w:val="en-US"/>
        </w:rPr>
        <w:t xml:space="preserve">essential </w:t>
      </w:r>
      <w:r w:rsidRPr="002F4101">
        <w:rPr>
          <w:rFonts w:ascii="Verdana" w:hAnsi="Verdana"/>
          <w:sz w:val="20"/>
          <w:szCs w:val="20"/>
          <w:lang w:val="en-US"/>
        </w:rPr>
        <w:t>data on</w:t>
      </w:r>
      <w:r w:rsidR="009E0BC5">
        <w:rPr>
          <w:rFonts w:ascii="Verdana" w:hAnsi="Verdana"/>
          <w:sz w:val="20"/>
          <w:szCs w:val="20"/>
          <w:lang w:val="en-US"/>
        </w:rPr>
        <w:t>, for example,</w:t>
      </w:r>
      <w:r w:rsidRPr="002F4101">
        <w:rPr>
          <w:rFonts w:ascii="Verdana" w:hAnsi="Verdana"/>
          <w:sz w:val="20"/>
          <w:szCs w:val="20"/>
          <w:lang w:val="en-US"/>
        </w:rPr>
        <w:t xml:space="preserve"> the presence of DPG and other by-product in articles</w:t>
      </w:r>
      <w:r>
        <w:rPr>
          <w:rFonts w:ascii="Verdana" w:hAnsi="Verdana"/>
          <w:sz w:val="20"/>
          <w:szCs w:val="20"/>
          <w:lang w:val="en-US"/>
        </w:rPr>
        <w:t>. On the other hand</w:t>
      </w:r>
      <w:r w:rsidR="009E0BC5">
        <w:rPr>
          <w:rFonts w:ascii="Verdana" w:hAnsi="Verdana"/>
          <w:sz w:val="20"/>
          <w:szCs w:val="20"/>
          <w:lang w:val="en-US"/>
        </w:rPr>
        <w:t>,</w:t>
      </w:r>
      <w:r>
        <w:rPr>
          <w:rFonts w:ascii="Verdana" w:hAnsi="Verdana"/>
          <w:sz w:val="20"/>
          <w:szCs w:val="20"/>
          <w:lang w:val="en-US"/>
        </w:rPr>
        <w:t xml:space="preserve"> the </w:t>
      </w:r>
      <w:r w:rsidR="009E0BC5">
        <w:rPr>
          <w:rFonts w:ascii="Verdana" w:hAnsi="Verdana"/>
          <w:sz w:val="20"/>
          <w:szCs w:val="20"/>
          <w:lang w:val="en-US"/>
        </w:rPr>
        <w:t xml:space="preserve">presence of the substance in the environment and the </w:t>
      </w:r>
      <w:r w:rsidR="009E0BC5" w:rsidRPr="005F4DAD">
        <w:rPr>
          <w:rFonts w:ascii="Verdana" w:hAnsi="Verdana"/>
          <w:sz w:val="20"/>
          <w:szCs w:val="20"/>
          <w:lang w:val="en-US"/>
        </w:rPr>
        <w:t>multiple exposure pathway</w:t>
      </w:r>
      <w:r w:rsidR="009E0BC5">
        <w:rPr>
          <w:rFonts w:ascii="Verdana" w:hAnsi="Verdana"/>
          <w:sz w:val="20"/>
          <w:szCs w:val="20"/>
          <w:lang w:val="en-US"/>
        </w:rPr>
        <w:t>s</w:t>
      </w:r>
      <w:r w:rsidR="009E0BC5" w:rsidRPr="005F4DAD">
        <w:rPr>
          <w:rFonts w:ascii="Verdana" w:hAnsi="Verdana"/>
          <w:sz w:val="20"/>
          <w:szCs w:val="20"/>
          <w:lang w:val="en-US"/>
        </w:rPr>
        <w:t xml:space="preserve"> </w:t>
      </w:r>
      <w:r w:rsidR="009E0BC5">
        <w:rPr>
          <w:rFonts w:ascii="Verdana" w:hAnsi="Verdana"/>
          <w:sz w:val="20"/>
          <w:szCs w:val="20"/>
          <w:lang w:val="en-US"/>
        </w:rPr>
        <w:t>are unequivocal. Altogether these contradictory information</w:t>
      </w:r>
      <w:r w:rsidRPr="002F4101">
        <w:rPr>
          <w:rFonts w:ascii="Verdana" w:hAnsi="Verdana"/>
          <w:sz w:val="20"/>
          <w:szCs w:val="20"/>
          <w:lang w:val="en-US"/>
        </w:rPr>
        <w:t xml:space="preserve"> </w:t>
      </w:r>
      <w:r w:rsidR="00B03983">
        <w:rPr>
          <w:rFonts w:ascii="Verdana" w:hAnsi="Verdana"/>
          <w:sz w:val="20"/>
          <w:szCs w:val="20"/>
          <w:lang w:val="en-US"/>
        </w:rPr>
        <w:t>confirm a concern that cannot be efficiently resolved by current regulatory tools</w:t>
      </w:r>
      <w:r w:rsidR="009E0BC5">
        <w:rPr>
          <w:rFonts w:ascii="Verdana" w:hAnsi="Verdana"/>
          <w:sz w:val="20"/>
          <w:szCs w:val="20"/>
          <w:lang w:val="en-US"/>
        </w:rPr>
        <w:t>,</w:t>
      </w:r>
      <w:r>
        <w:rPr>
          <w:rFonts w:ascii="Verdana" w:hAnsi="Verdana"/>
          <w:sz w:val="20"/>
          <w:szCs w:val="20"/>
          <w:lang w:val="en-US"/>
        </w:rPr>
        <w:t xml:space="preserve"> especially for the consumers</w:t>
      </w:r>
      <w:r w:rsidRPr="002F4101">
        <w:rPr>
          <w:rFonts w:ascii="Verdana" w:hAnsi="Verdana"/>
          <w:sz w:val="20"/>
          <w:szCs w:val="20"/>
          <w:lang w:val="en-US"/>
        </w:rPr>
        <w:t xml:space="preserve">. </w:t>
      </w:r>
      <w:r w:rsidR="00ED1F84" w:rsidRPr="002F4101">
        <w:rPr>
          <w:rFonts w:ascii="Verdana" w:hAnsi="Verdana"/>
          <w:sz w:val="20"/>
          <w:szCs w:val="20"/>
          <w:lang w:val="en-US"/>
        </w:rPr>
        <w:br w:type="page" w:clear="all"/>
      </w:r>
    </w:p>
    <w:p w14:paraId="525C6FB3" w14:textId="77777777" w:rsidR="00BC1D4B" w:rsidRPr="002F4101" w:rsidRDefault="00ED1F84">
      <w:pPr>
        <w:pStyle w:val="Titre1"/>
        <w:rPr>
          <w:lang w:val="en-US"/>
        </w:rPr>
      </w:pPr>
      <w:bookmarkStart w:id="35" w:name="_Toc137044485"/>
      <w:r w:rsidRPr="002F4101">
        <w:rPr>
          <w:lang w:val="en-US"/>
        </w:rPr>
        <w:lastRenderedPageBreak/>
        <w:t>Conclusions and actions</w:t>
      </w:r>
      <w:bookmarkEnd w:id="32"/>
      <w:bookmarkEnd w:id="33"/>
      <w:bookmarkEnd w:id="34"/>
      <w:bookmarkEnd w:id="35"/>
    </w:p>
    <w:p w14:paraId="3F36015E" w14:textId="77777777" w:rsidR="00BC1D4B" w:rsidRPr="002F4101" w:rsidRDefault="00BC1D4B">
      <w:pPr>
        <w:rPr>
          <w:lang w:val="en-US"/>
        </w:rPr>
      </w:pPr>
      <w:bookmarkStart w:id="36" w:name="_Toc285710598"/>
      <w:bookmarkStart w:id="37" w:name="_Toc308015310"/>
      <w:bookmarkStart w:id="38" w:name="_Toc387770099"/>
    </w:p>
    <w:p w14:paraId="0D61C60B" w14:textId="77777777" w:rsidR="00BC1D4B" w:rsidRDefault="00ED1F84">
      <w:pPr>
        <w:rPr>
          <w:rFonts w:ascii="Verdana" w:hAnsi="Verdana"/>
          <w:sz w:val="20"/>
          <w:szCs w:val="20"/>
          <w:lang w:val="en-US" w:eastAsia="fi-FI"/>
        </w:rPr>
        <w:sectPr w:rsidR="00BC1D4B">
          <w:headerReference w:type="default" r:id="rId14"/>
          <w:footerReference w:type="default" r:id="rId15"/>
          <w:headerReference w:type="first" r:id="rId16"/>
          <w:pgSz w:w="11906" w:h="16838"/>
          <w:pgMar w:top="1418" w:right="1797" w:bottom="1134" w:left="1797" w:header="680" w:footer="567" w:gutter="0"/>
          <w:cols w:space="720"/>
          <w:docGrid w:linePitch="360"/>
        </w:sectPr>
      </w:pPr>
      <w:r>
        <w:rPr>
          <w:rFonts w:ascii="Verdana" w:hAnsi="Verdana"/>
          <w:sz w:val="20"/>
          <w:szCs w:val="20"/>
          <w:highlight w:val="yellow"/>
          <w:lang w:val="en-US"/>
        </w:rPr>
        <w:t xml:space="preserve">To be developed at a later stage (after public consultation). </w:t>
      </w:r>
      <w:bookmarkEnd w:id="36"/>
      <w:bookmarkEnd w:id="37"/>
      <w:bookmarkEnd w:id="38"/>
    </w:p>
    <w:p w14:paraId="7AF7546E" w14:textId="77777777" w:rsidR="00BC1D4B" w:rsidRDefault="00ED1F84">
      <w:pPr>
        <w:pStyle w:val="Titre1"/>
        <w:numPr>
          <w:ilvl w:val="0"/>
          <w:numId w:val="0"/>
        </w:numPr>
        <w:rPr>
          <w:lang w:val="en-US"/>
        </w:rPr>
      </w:pPr>
      <w:bookmarkStart w:id="39" w:name="_Toc137044486"/>
      <w:r>
        <w:rPr>
          <w:lang w:val="en-US"/>
        </w:rPr>
        <w:lastRenderedPageBreak/>
        <w:t>Annex I: Background document</w:t>
      </w:r>
      <w:bookmarkEnd w:id="39"/>
      <w:r>
        <w:rPr>
          <w:lang w:val="en-US"/>
        </w:rPr>
        <w:t xml:space="preserve"> </w:t>
      </w:r>
    </w:p>
    <w:p w14:paraId="7D6F0841" w14:textId="77777777" w:rsidR="00BC1D4B" w:rsidRDefault="00ED1F84" w:rsidP="0074729A">
      <w:pPr>
        <w:pStyle w:val="Titre1"/>
        <w:numPr>
          <w:ilvl w:val="0"/>
          <w:numId w:val="10"/>
        </w:numPr>
        <w:rPr>
          <w:lang w:val="en-US"/>
        </w:rPr>
      </w:pPr>
      <w:bookmarkStart w:id="40" w:name="_Toc137044487"/>
      <w:bookmarkStart w:id="41" w:name="_Toc387770102"/>
      <w:r>
        <w:rPr>
          <w:lang w:val="en-US"/>
        </w:rPr>
        <w:t>Information on uses</w:t>
      </w:r>
      <w:bookmarkEnd w:id="40"/>
      <w:r>
        <w:rPr>
          <w:lang w:val="en-US"/>
        </w:rPr>
        <w:t xml:space="preserve"> </w:t>
      </w:r>
    </w:p>
    <w:p w14:paraId="279C8F0A" w14:textId="77777777" w:rsidR="00BC1D4B" w:rsidRDefault="00BC1D4B">
      <w:pPr>
        <w:keepNext/>
        <w:spacing w:before="120" w:after="90"/>
        <w:rPr>
          <w:rFonts w:ascii="Verdana" w:hAnsi="Verdana"/>
          <w:b/>
          <w:bCs/>
          <w:sz w:val="20"/>
          <w:szCs w:val="20"/>
          <w:lang w:val="en-US"/>
        </w:rPr>
      </w:pPr>
    </w:p>
    <w:p w14:paraId="3C283BFD" w14:textId="77777777" w:rsidR="00BC1D4B" w:rsidRDefault="00ED1F84">
      <w:pPr>
        <w:keepNext/>
        <w:spacing w:before="120" w:after="90"/>
      </w:pPr>
      <w:r>
        <w:rPr>
          <w:rFonts w:ascii="Verdana" w:hAnsi="Verdana"/>
          <w:b/>
          <w:bCs/>
          <w:sz w:val="20"/>
          <w:szCs w:val="20"/>
          <w:lang w:val="en-US"/>
        </w:rPr>
        <w:t>Table 10: Overview of uses according to ECHA dissemina</w:t>
      </w:r>
      <w:r>
        <w:rPr>
          <w:rFonts w:ascii="Verdana" w:hAnsi="Verdana"/>
          <w:b/>
          <w:bCs/>
          <w:sz w:val="20"/>
          <w:szCs w:val="20"/>
        </w:rPr>
        <w:t>tion site (non-exhaustive list)</w:t>
      </w:r>
      <w:r>
        <w:rPr>
          <w:rStyle w:val="Appelnotedebasdep"/>
          <w:b/>
          <w:bCs/>
          <w:szCs w:val="20"/>
        </w:rPr>
        <w:footnoteReference w:id="18"/>
      </w:r>
    </w:p>
    <w:tbl>
      <w:tblPr>
        <w:tblStyle w:val="Grilledutableau3"/>
        <w:tblW w:w="8696" w:type="dxa"/>
        <w:tblInd w:w="-176" w:type="dxa"/>
        <w:tblLayout w:type="fixed"/>
        <w:tblCellMar>
          <w:left w:w="85" w:type="dxa"/>
          <w:right w:w="85" w:type="dxa"/>
        </w:tblCellMar>
        <w:tblLook w:val="04A0" w:firstRow="1" w:lastRow="0" w:firstColumn="1" w:lastColumn="0" w:noHBand="0" w:noVBand="1"/>
      </w:tblPr>
      <w:tblGrid>
        <w:gridCol w:w="1926"/>
        <w:gridCol w:w="6770"/>
      </w:tblGrid>
      <w:tr w:rsidR="00BC1D4B" w14:paraId="6569373F" w14:textId="77777777">
        <w:tc>
          <w:tcPr>
            <w:tcW w:w="1926" w:type="dxa"/>
            <w:tcBorders>
              <w:top w:val="single" w:sz="4" w:space="0" w:color="auto"/>
              <w:left w:val="single" w:sz="4" w:space="0" w:color="auto"/>
            </w:tcBorders>
          </w:tcPr>
          <w:p w14:paraId="78B1ECEE" w14:textId="77777777" w:rsidR="00BC1D4B" w:rsidRDefault="00BC1D4B">
            <w:pPr>
              <w:pStyle w:val="Corpsdetexte"/>
              <w:spacing w:after="0"/>
              <w:contextualSpacing/>
              <w:rPr>
                <w:rFonts w:ascii="Verdana" w:hAnsi="Verdana"/>
                <w:sz w:val="20"/>
                <w:szCs w:val="20"/>
                <w:lang w:eastAsia="en-US"/>
              </w:rPr>
            </w:pPr>
          </w:p>
        </w:tc>
        <w:tc>
          <w:tcPr>
            <w:tcW w:w="6770" w:type="dxa"/>
          </w:tcPr>
          <w:p w14:paraId="5CDB556E" w14:textId="77777777" w:rsidR="00BC1D4B" w:rsidRDefault="00ED1F84">
            <w:pPr>
              <w:pStyle w:val="Corpsdetexte"/>
              <w:spacing w:after="0"/>
              <w:contextualSpacing/>
              <w:rPr>
                <w:rFonts w:ascii="Verdana" w:hAnsi="Verdana"/>
                <w:b/>
                <w:bCs/>
                <w:sz w:val="20"/>
                <w:szCs w:val="20"/>
                <w:lang w:val="en-IE" w:eastAsia="en-US"/>
              </w:rPr>
            </w:pPr>
            <w:r>
              <w:rPr>
                <w:rFonts w:ascii="Verdana" w:hAnsi="Verdana"/>
                <w:b/>
                <w:bCs/>
                <w:sz w:val="20"/>
                <w:szCs w:val="20"/>
                <w:lang w:val="en-IE" w:eastAsia="en-US"/>
              </w:rPr>
              <w:t>Use(s)</w:t>
            </w:r>
          </w:p>
        </w:tc>
      </w:tr>
      <w:tr w:rsidR="00BC1D4B" w14:paraId="602B9346" w14:textId="77777777">
        <w:tc>
          <w:tcPr>
            <w:tcW w:w="1926" w:type="dxa"/>
          </w:tcPr>
          <w:p w14:paraId="1079675F" w14:textId="77777777" w:rsidR="00BC1D4B" w:rsidRDefault="00ED1F84">
            <w:pPr>
              <w:pStyle w:val="Corpsdetexte"/>
              <w:spacing w:after="0"/>
              <w:contextualSpacing/>
              <w:rPr>
                <w:rFonts w:ascii="Verdana" w:hAnsi="Verdana"/>
                <w:b/>
                <w:sz w:val="20"/>
                <w:szCs w:val="20"/>
                <w:lang w:eastAsia="en-US"/>
              </w:rPr>
            </w:pPr>
            <w:r>
              <w:rPr>
                <w:rFonts w:ascii="Verdana" w:hAnsi="Verdana"/>
                <w:b/>
                <w:sz w:val="20"/>
                <w:szCs w:val="20"/>
                <w:lang w:eastAsia="en-US"/>
              </w:rPr>
              <w:t>Manufacture</w:t>
            </w:r>
          </w:p>
        </w:tc>
        <w:tc>
          <w:tcPr>
            <w:tcW w:w="6770" w:type="dxa"/>
          </w:tcPr>
          <w:p w14:paraId="1C7F682D" w14:textId="77777777" w:rsidR="00BC1D4B" w:rsidRDefault="00ED1F84">
            <w:pPr>
              <w:pStyle w:val="Corpsdetexte"/>
              <w:contextualSpacing/>
              <w:rPr>
                <w:rFonts w:ascii="Verdana" w:hAnsi="Verdana"/>
                <w:sz w:val="20"/>
                <w:szCs w:val="20"/>
                <w:lang w:val="en-US" w:eastAsia="en-US"/>
              </w:rPr>
            </w:pPr>
            <w:r>
              <w:rPr>
                <w:rFonts w:ascii="Verdana" w:hAnsi="Verdana"/>
                <w:sz w:val="20"/>
                <w:szCs w:val="20"/>
                <w:lang w:val="en-US" w:eastAsia="en-US"/>
              </w:rPr>
              <w:t>Manufacture of the substance and Production of tyres (including manufacturing, retreating, service life and end of life)</w:t>
            </w:r>
          </w:p>
          <w:p w14:paraId="5ECC56D2" w14:textId="77777777" w:rsidR="00BC1D4B" w:rsidRDefault="00ED1F84">
            <w:pPr>
              <w:pStyle w:val="Corpsdetexte"/>
              <w:contextualSpacing/>
              <w:rPr>
                <w:rFonts w:ascii="Verdana" w:hAnsi="Verdana"/>
                <w:sz w:val="20"/>
                <w:szCs w:val="20"/>
                <w:lang w:val="en-US" w:eastAsia="en-US"/>
              </w:rPr>
            </w:pPr>
            <w:r>
              <w:rPr>
                <w:rFonts w:ascii="Verdana" w:hAnsi="Verdana"/>
                <w:sz w:val="20"/>
                <w:szCs w:val="20"/>
                <w:lang w:val="en-US" w:eastAsia="en-US"/>
              </w:rPr>
              <w:t>PROC 2, 3, 5, 8a, 8b, 9, 10, 13, 14, 15, 21, 22, 24</w:t>
            </w:r>
          </w:p>
        </w:tc>
      </w:tr>
      <w:tr w:rsidR="00BC1D4B" w14:paraId="5C81250F" w14:textId="77777777">
        <w:trPr>
          <w:trHeight w:val="993"/>
        </w:trPr>
        <w:tc>
          <w:tcPr>
            <w:tcW w:w="1926" w:type="dxa"/>
          </w:tcPr>
          <w:p w14:paraId="02BDCE3C" w14:textId="77777777" w:rsidR="00BC1D4B" w:rsidRDefault="00ED1F84">
            <w:pPr>
              <w:pStyle w:val="Corpsdetexte"/>
              <w:spacing w:after="0"/>
              <w:contextualSpacing/>
              <w:rPr>
                <w:rFonts w:ascii="Verdana" w:hAnsi="Verdana"/>
                <w:b/>
                <w:sz w:val="20"/>
                <w:szCs w:val="20"/>
                <w:lang w:eastAsia="en-US"/>
              </w:rPr>
            </w:pPr>
            <w:r>
              <w:rPr>
                <w:rFonts w:ascii="Verdana" w:hAnsi="Verdana"/>
                <w:b/>
                <w:sz w:val="20"/>
                <w:szCs w:val="20"/>
                <w:lang w:eastAsia="en-US"/>
              </w:rPr>
              <w:t>Formulation</w:t>
            </w:r>
          </w:p>
        </w:tc>
        <w:tc>
          <w:tcPr>
            <w:tcW w:w="6770" w:type="dxa"/>
          </w:tcPr>
          <w:p w14:paraId="469D7331"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Masterbatches manufacture</w:t>
            </w:r>
          </w:p>
          <w:p w14:paraId="2158FCC4" w14:textId="77777777" w:rsidR="00BC1D4B" w:rsidRDefault="00ED1F84">
            <w:pPr>
              <w:pStyle w:val="Corpsdetexte"/>
              <w:contextualSpacing/>
              <w:rPr>
                <w:rFonts w:ascii="Verdana" w:hAnsi="Verdana"/>
                <w:sz w:val="20"/>
                <w:szCs w:val="20"/>
                <w:lang w:val="en-US" w:eastAsia="en-US"/>
              </w:rPr>
            </w:pPr>
            <w:r>
              <w:rPr>
                <w:rFonts w:ascii="Verdana" w:hAnsi="Verdana"/>
                <w:sz w:val="20"/>
                <w:szCs w:val="20"/>
                <w:lang w:val="en" w:eastAsia="en-US"/>
              </w:rPr>
              <w:t>PROC 1, 8b, 9, 14, 15, 21, 24</w:t>
            </w:r>
            <w:r>
              <w:rPr>
                <w:rFonts w:ascii="Verdana" w:hAnsi="Verdana"/>
                <w:sz w:val="20"/>
                <w:szCs w:val="20"/>
                <w:lang w:val="en-US" w:eastAsia="en-US"/>
              </w:rPr>
              <w:t xml:space="preserve"> </w:t>
            </w:r>
          </w:p>
          <w:p w14:paraId="6DE5AD23" w14:textId="77777777" w:rsidR="00BC1D4B" w:rsidRDefault="00BC1D4B">
            <w:pPr>
              <w:pStyle w:val="Corpsdetexte"/>
              <w:contextualSpacing/>
              <w:rPr>
                <w:rFonts w:ascii="Verdana" w:hAnsi="Verdana"/>
                <w:sz w:val="20"/>
                <w:szCs w:val="20"/>
                <w:lang w:val="en" w:eastAsia="en-US"/>
              </w:rPr>
            </w:pPr>
          </w:p>
          <w:p w14:paraId="1F3011ED"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Masterbatch production - internal mixture</w:t>
            </w:r>
          </w:p>
          <w:p w14:paraId="122C6E78"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5, 8a, 8b, 9, 14</w:t>
            </w:r>
          </w:p>
          <w:p w14:paraId="4D969C01" w14:textId="77777777" w:rsidR="00BC1D4B" w:rsidRDefault="00BC1D4B">
            <w:pPr>
              <w:pStyle w:val="Corpsdetexte"/>
              <w:contextualSpacing/>
              <w:rPr>
                <w:rFonts w:ascii="Verdana" w:hAnsi="Verdana"/>
                <w:sz w:val="20"/>
                <w:szCs w:val="20"/>
                <w:lang w:val="en" w:eastAsia="en-US"/>
              </w:rPr>
            </w:pPr>
          </w:p>
          <w:p w14:paraId="25EBA4DC"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Masterbatch manufacture-continuous process</w:t>
            </w:r>
          </w:p>
          <w:p w14:paraId="5C20653C"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1, 8b, 9, 14, 15, 21</w:t>
            </w:r>
          </w:p>
          <w:p w14:paraId="61D89C6A" w14:textId="77777777" w:rsidR="00BC1D4B" w:rsidRDefault="00BC1D4B">
            <w:pPr>
              <w:pStyle w:val="Corpsdetexte"/>
              <w:contextualSpacing/>
              <w:rPr>
                <w:rFonts w:ascii="Verdana" w:hAnsi="Verdana"/>
                <w:sz w:val="20"/>
                <w:szCs w:val="20"/>
                <w:lang w:val="en" w:eastAsia="en-US"/>
              </w:rPr>
            </w:pPr>
          </w:p>
          <w:p w14:paraId="4DF584BE"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Formulation and re-packing of substances and mixtures</w:t>
            </w:r>
          </w:p>
          <w:p w14:paraId="5EF25EFD"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1, 2, 3, 4, 5, 8a, 8b, 9, 14, 15</w:t>
            </w:r>
          </w:p>
          <w:p w14:paraId="1332F451" w14:textId="77777777" w:rsidR="00BC1D4B" w:rsidRDefault="00BC1D4B">
            <w:pPr>
              <w:pStyle w:val="Corpsdetexte"/>
              <w:contextualSpacing/>
              <w:rPr>
                <w:rFonts w:ascii="Verdana" w:hAnsi="Verdana"/>
                <w:sz w:val="20"/>
                <w:szCs w:val="20"/>
                <w:lang w:val="en" w:eastAsia="en-US"/>
              </w:rPr>
            </w:pPr>
          </w:p>
          <w:p w14:paraId="24D38A30"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Formulation and re-packaging</w:t>
            </w:r>
          </w:p>
          <w:p w14:paraId="62692735"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5, 8a, 8b, 9</w:t>
            </w:r>
          </w:p>
          <w:p w14:paraId="7711F8F0" w14:textId="77777777" w:rsidR="00BC1D4B" w:rsidRDefault="00BC1D4B">
            <w:pPr>
              <w:pStyle w:val="Corpsdetexte"/>
              <w:contextualSpacing/>
              <w:rPr>
                <w:rFonts w:ascii="Verdana" w:hAnsi="Verdana"/>
                <w:sz w:val="20"/>
                <w:szCs w:val="20"/>
                <w:lang w:val="en" w:eastAsia="en-US"/>
              </w:rPr>
            </w:pPr>
          </w:p>
          <w:p w14:paraId="0788037B"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Production of tyres and general rubber goods</w:t>
            </w:r>
          </w:p>
          <w:p w14:paraId="07FA3591"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 xml:space="preserve">PROC 1, 2, 3, 4, 5, 6, 8b, 9, 10, 13, 14, 19, 21, 24 </w:t>
            </w:r>
          </w:p>
          <w:p w14:paraId="24E5B1C7" w14:textId="77777777" w:rsidR="00BC1D4B" w:rsidRDefault="00BC1D4B">
            <w:pPr>
              <w:pStyle w:val="Corpsdetexte"/>
              <w:contextualSpacing/>
              <w:rPr>
                <w:rFonts w:ascii="Verdana" w:hAnsi="Verdana"/>
                <w:sz w:val="20"/>
                <w:szCs w:val="20"/>
                <w:lang w:val="en" w:eastAsia="en-US"/>
              </w:rPr>
            </w:pPr>
          </w:p>
          <w:p w14:paraId="1AE1D851"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Production of tyres (including manufacturing, retreating, service life and end of life)</w:t>
            </w:r>
          </w:p>
          <w:p w14:paraId="653457AB"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2, 5 8a, 8b, 9, 10, 13, 14, 21, 22, 24</w:t>
            </w:r>
          </w:p>
          <w:p w14:paraId="24141676" w14:textId="77777777" w:rsidR="00BC1D4B" w:rsidRDefault="00BC1D4B">
            <w:pPr>
              <w:pStyle w:val="Corpsdetexte"/>
              <w:contextualSpacing/>
              <w:rPr>
                <w:rFonts w:ascii="Verdana" w:hAnsi="Verdana"/>
                <w:sz w:val="20"/>
                <w:szCs w:val="20"/>
                <w:lang w:val="en" w:eastAsia="en-US"/>
              </w:rPr>
            </w:pPr>
          </w:p>
          <w:p w14:paraId="31AE7074"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End of Life tyre: Coarse shredding</w:t>
            </w:r>
          </w:p>
          <w:p w14:paraId="0C1CE5D7"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8a, 8b, 21</w:t>
            </w:r>
          </w:p>
          <w:p w14:paraId="4BAA1876" w14:textId="77777777" w:rsidR="00BC1D4B" w:rsidRDefault="00BC1D4B">
            <w:pPr>
              <w:pStyle w:val="Corpsdetexte"/>
              <w:contextualSpacing/>
              <w:rPr>
                <w:rFonts w:ascii="Verdana" w:hAnsi="Verdana"/>
                <w:sz w:val="20"/>
                <w:szCs w:val="20"/>
                <w:lang w:val="en" w:eastAsia="en-US"/>
              </w:rPr>
            </w:pPr>
          </w:p>
          <w:p w14:paraId="577938EA"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End of life Tyre: Grinding (ambiant)</w:t>
            </w:r>
          </w:p>
          <w:p w14:paraId="60893EE0"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8a, 8b, 24</w:t>
            </w:r>
          </w:p>
          <w:p w14:paraId="0C3DF75D" w14:textId="77777777" w:rsidR="00BC1D4B" w:rsidRDefault="00BC1D4B">
            <w:pPr>
              <w:pStyle w:val="Corpsdetexte"/>
              <w:contextualSpacing/>
              <w:rPr>
                <w:rFonts w:ascii="Verdana" w:hAnsi="Verdana"/>
                <w:sz w:val="20"/>
                <w:szCs w:val="20"/>
                <w:lang w:val="en" w:eastAsia="en-US"/>
              </w:rPr>
            </w:pPr>
          </w:p>
          <w:p w14:paraId="4047520C"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End of Life Tyre: Grinding cryogenic</w:t>
            </w:r>
          </w:p>
          <w:p w14:paraId="0B237718"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8a, 8b, 24</w:t>
            </w:r>
          </w:p>
          <w:p w14:paraId="6A9C9A4D" w14:textId="77777777" w:rsidR="00BC1D4B" w:rsidRDefault="00BC1D4B">
            <w:pPr>
              <w:pStyle w:val="Corpsdetexte"/>
              <w:contextualSpacing/>
              <w:rPr>
                <w:rFonts w:ascii="Verdana" w:hAnsi="Verdana"/>
                <w:sz w:val="20"/>
                <w:szCs w:val="20"/>
                <w:lang w:val="en" w:eastAsia="en-US"/>
              </w:rPr>
            </w:pPr>
          </w:p>
          <w:p w14:paraId="14D859DC"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End of Life Tyre: Pyrolysis</w:t>
            </w:r>
          </w:p>
          <w:p w14:paraId="4AFC1740"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2, 8b, 22</w:t>
            </w:r>
          </w:p>
          <w:p w14:paraId="4414D348" w14:textId="77777777" w:rsidR="00BC1D4B" w:rsidRDefault="00BC1D4B">
            <w:pPr>
              <w:pStyle w:val="Corpsdetexte"/>
              <w:contextualSpacing/>
              <w:rPr>
                <w:rFonts w:ascii="Verdana" w:hAnsi="Verdana"/>
                <w:sz w:val="20"/>
                <w:szCs w:val="20"/>
                <w:lang w:val="en" w:eastAsia="en-US"/>
              </w:rPr>
            </w:pPr>
          </w:p>
          <w:p w14:paraId="6DFA539C"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End of Life Tyre: Energy recovery: cement kiln</w:t>
            </w:r>
          </w:p>
          <w:p w14:paraId="37667B70"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8b, 21, 22</w:t>
            </w:r>
          </w:p>
          <w:p w14:paraId="719A4396" w14:textId="77777777" w:rsidR="00BC1D4B" w:rsidRDefault="00BC1D4B">
            <w:pPr>
              <w:pStyle w:val="Corpsdetexte"/>
              <w:contextualSpacing/>
              <w:rPr>
                <w:rFonts w:ascii="Verdana" w:hAnsi="Verdana"/>
                <w:sz w:val="20"/>
                <w:szCs w:val="20"/>
                <w:lang w:val="en" w:eastAsia="en-US"/>
              </w:rPr>
            </w:pPr>
          </w:p>
          <w:p w14:paraId="461FD1C5"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End of Life Tyre: Energy recovery: other</w:t>
            </w:r>
          </w:p>
          <w:p w14:paraId="4DBF4B35"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8b, 21, 22</w:t>
            </w:r>
          </w:p>
          <w:p w14:paraId="3EB50586" w14:textId="77777777" w:rsidR="00BC1D4B" w:rsidRDefault="00BC1D4B">
            <w:pPr>
              <w:pStyle w:val="Corpsdetexte"/>
              <w:contextualSpacing/>
              <w:rPr>
                <w:rFonts w:ascii="Verdana" w:hAnsi="Verdana"/>
                <w:sz w:val="20"/>
                <w:szCs w:val="20"/>
                <w:lang w:val="en" w:eastAsia="en-US"/>
              </w:rPr>
            </w:pPr>
          </w:p>
          <w:p w14:paraId="41A1B448"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lastRenderedPageBreak/>
              <w:t>End of Life Tyre: Electric arc furnace</w:t>
            </w:r>
          </w:p>
          <w:p w14:paraId="738DF662"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8b, 21, 22</w:t>
            </w:r>
          </w:p>
          <w:p w14:paraId="283211B4" w14:textId="77777777" w:rsidR="00BC1D4B" w:rsidRDefault="00BC1D4B">
            <w:pPr>
              <w:pStyle w:val="Corpsdetexte"/>
              <w:contextualSpacing/>
              <w:rPr>
                <w:rFonts w:ascii="Verdana" w:hAnsi="Verdana"/>
                <w:sz w:val="20"/>
                <w:szCs w:val="20"/>
                <w:lang w:val="en" w:eastAsia="en-US"/>
              </w:rPr>
            </w:pPr>
          </w:p>
          <w:p w14:paraId="23DDE2DC"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End of Life Tyre: Devulcanization/reclaim</w:t>
            </w:r>
          </w:p>
          <w:p w14:paraId="1254DBCE"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8b, 21, 22</w:t>
            </w:r>
          </w:p>
        </w:tc>
      </w:tr>
      <w:tr w:rsidR="00BC1D4B" w14:paraId="02B80FFB" w14:textId="77777777">
        <w:tc>
          <w:tcPr>
            <w:tcW w:w="1926" w:type="dxa"/>
          </w:tcPr>
          <w:p w14:paraId="61778544" w14:textId="77777777" w:rsidR="00BC1D4B" w:rsidRDefault="00ED1F84">
            <w:pPr>
              <w:pStyle w:val="Corpsdetexte"/>
              <w:spacing w:after="0"/>
              <w:contextualSpacing/>
              <w:rPr>
                <w:rFonts w:ascii="Verdana" w:hAnsi="Verdana"/>
                <w:b/>
                <w:sz w:val="20"/>
                <w:szCs w:val="20"/>
                <w:lang w:eastAsia="en-US"/>
              </w:rPr>
            </w:pPr>
            <w:r>
              <w:rPr>
                <w:rFonts w:ascii="Verdana" w:hAnsi="Verdana"/>
                <w:b/>
                <w:sz w:val="20"/>
                <w:szCs w:val="20"/>
                <w:lang w:eastAsia="en-US"/>
              </w:rPr>
              <w:lastRenderedPageBreak/>
              <w:t>Uses at industrial sites</w:t>
            </w:r>
          </w:p>
        </w:tc>
        <w:tc>
          <w:tcPr>
            <w:tcW w:w="6770" w:type="dxa"/>
          </w:tcPr>
          <w:p w14:paraId="41407338"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Use in lubricants and lubricant additives</w:t>
            </w:r>
          </w:p>
          <w:p w14:paraId="60910C4D"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1, 2, 3, 4, 7, 8a, 8b, 9, 10,13, 17, 18</w:t>
            </w:r>
          </w:p>
          <w:p w14:paraId="3791C176" w14:textId="77777777" w:rsidR="00BC1D4B" w:rsidRDefault="00BC1D4B">
            <w:pPr>
              <w:pStyle w:val="Corpsdetexte"/>
              <w:contextualSpacing/>
              <w:rPr>
                <w:rFonts w:ascii="Verdana" w:hAnsi="Verdana"/>
                <w:sz w:val="20"/>
                <w:szCs w:val="20"/>
                <w:lang w:val="en" w:eastAsia="en-US"/>
              </w:rPr>
            </w:pPr>
          </w:p>
          <w:p w14:paraId="6DB79D63"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Production of tyres (including manufacturing, retreating, service life and end of life)</w:t>
            </w:r>
          </w:p>
          <w:p w14:paraId="381DD0C8"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2, 5 8a, 8b, 9, 10, 13, 14, 21, 22, 24</w:t>
            </w:r>
          </w:p>
          <w:p w14:paraId="6ADF5F32" w14:textId="77777777" w:rsidR="00BC1D4B" w:rsidRDefault="00BC1D4B">
            <w:pPr>
              <w:pStyle w:val="Corpsdetexte"/>
              <w:contextualSpacing/>
              <w:rPr>
                <w:rFonts w:ascii="Verdana" w:hAnsi="Verdana"/>
                <w:sz w:val="20"/>
                <w:szCs w:val="20"/>
                <w:lang w:val="en" w:eastAsia="en-US"/>
              </w:rPr>
            </w:pPr>
          </w:p>
          <w:p w14:paraId="1653F980"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 xml:space="preserve">Pre-step tyre – manufacturing and handling of DPG grad GC </w:t>
            </w:r>
          </w:p>
          <w:p w14:paraId="2E97728D"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5, 14, 21</w:t>
            </w:r>
          </w:p>
          <w:p w14:paraId="031256E7" w14:textId="77777777" w:rsidR="00BC1D4B" w:rsidRDefault="00BC1D4B">
            <w:pPr>
              <w:pStyle w:val="Corpsdetexte"/>
              <w:contextualSpacing/>
              <w:rPr>
                <w:rFonts w:ascii="Verdana" w:hAnsi="Verdana"/>
                <w:sz w:val="20"/>
                <w:szCs w:val="20"/>
                <w:lang w:val="en" w:eastAsia="en-US"/>
              </w:rPr>
            </w:pPr>
          </w:p>
          <w:p w14:paraId="719CA0ED"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Manufacture of General Rubber Goods - According to ETRMA</w:t>
            </w:r>
          </w:p>
          <w:p w14:paraId="20D6891B"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5, 8b, 9, 10, 13, 14, 21</w:t>
            </w:r>
          </w:p>
          <w:p w14:paraId="615695AA" w14:textId="77777777" w:rsidR="00BC1D4B" w:rsidRDefault="00BC1D4B">
            <w:pPr>
              <w:pStyle w:val="Corpsdetexte"/>
              <w:contextualSpacing/>
              <w:rPr>
                <w:rFonts w:ascii="Verdana" w:hAnsi="Verdana"/>
                <w:sz w:val="20"/>
                <w:szCs w:val="20"/>
                <w:lang w:val="en" w:eastAsia="en-US"/>
              </w:rPr>
            </w:pPr>
          </w:p>
          <w:p w14:paraId="51B89830"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Manufacture of Tyres - Production and Retreading - According to ETRMA</w:t>
            </w:r>
          </w:p>
          <w:p w14:paraId="31B345D3"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5, 8b, 9, 10, 14, 21</w:t>
            </w:r>
          </w:p>
          <w:p w14:paraId="458A8811" w14:textId="77777777" w:rsidR="00BC1D4B" w:rsidRDefault="00BC1D4B">
            <w:pPr>
              <w:pStyle w:val="Corpsdetexte"/>
              <w:contextualSpacing/>
              <w:rPr>
                <w:rFonts w:ascii="Verdana" w:hAnsi="Verdana"/>
                <w:sz w:val="20"/>
                <w:szCs w:val="20"/>
                <w:lang w:val="en" w:eastAsia="en-US"/>
              </w:rPr>
            </w:pPr>
          </w:p>
          <w:p w14:paraId="6E92DAE6"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Manufacuring of substance (industrial application)</w:t>
            </w:r>
          </w:p>
          <w:p w14:paraId="12E4AAE2"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2, 3, 5, 8b, 9, 14</w:t>
            </w:r>
          </w:p>
          <w:p w14:paraId="697C675B" w14:textId="77777777" w:rsidR="00BC1D4B" w:rsidRDefault="00BC1D4B">
            <w:pPr>
              <w:pStyle w:val="Corpsdetexte"/>
              <w:contextualSpacing/>
              <w:rPr>
                <w:rFonts w:ascii="Verdana" w:hAnsi="Verdana"/>
                <w:sz w:val="20"/>
                <w:szCs w:val="20"/>
                <w:lang w:val="en" w:eastAsia="en-US"/>
              </w:rPr>
            </w:pPr>
          </w:p>
          <w:p w14:paraId="6496044B"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Mixing</w:t>
            </w:r>
          </w:p>
          <w:p w14:paraId="6A2FA336"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5, 8b, 9</w:t>
            </w:r>
          </w:p>
          <w:p w14:paraId="40953305" w14:textId="77777777" w:rsidR="00BC1D4B" w:rsidRDefault="00BC1D4B">
            <w:pPr>
              <w:pStyle w:val="Corpsdetexte"/>
              <w:contextualSpacing/>
              <w:rPr>
                <w:rFonts w:ascii="Verdana" w:hAnsi="Verdana"/>
                <w:sz w:val="20"/>
                <w:szCs w:val="20"/>
                <w:lang w:val="en" w:eastAsia="en-US"/>
              </w:rPr>
            </w:pPr>
          </w:p>
          <w:p w14:paraId="36D32FF1"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Cement preparation</w:t>
            </w:r>
          </w:p>
          <w:p w14:paraId="5EE30452"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9</w:t>
            </w:r>
          </w:p>
          <w:p w14:paraId="46299A7A" w14:textId="77777777" w:rsidR="00BC1D4B" w:rsidRDefault="00BC1D4B">
            <w:pPr>
              <w:pStyle w:val="Corpsdetexte"/>
              <w:contextualSpacing/>
              <w:rPr>
                <w:rFonts w:ascii="Verdana" w:hAnsi="Verdana"/>
                <w:sz w:val="20"/>
                <w:szCs w:val="20"/>
                <w:lang w:val="en" w:eastAsia="en-US"/>
              </w:rPr>
            </w:pPr>
          </w:p>
          <w:p w14:paraId="4518083F"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Production of general rubber goods (GRG)</w:t>
            </w:r>
          </w:p>
          <w:p w14:paraId="46012F21"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5, 8b, 9, 10, 13, 14, 21</w:t>
            </w:r>
          </w:p>
          <w:p w14:paraId="3679E173" w14:textId="77777777" w:rsidR="00BC1D4B" w:rsidRDefault="00BC1D4B">
            <w:pPr>
              <w:pStyle w:val="Corpsdetexte"/>
              <w:contextualSpacing/>
              <w:rPr>
                <w:rFonts w:ascii="Verdana" w:hAnsi="Verdana"/>
                <w:sz w:val="20"/>
                <w:szCs w:val="20"/>
                <w:lang w:val="en" w:eastAsia="en-US"/>
              </w:rPr>
            </w:pPr>
          </w:p>
          <w:p w14:paraId="7CCAD828"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Production of tyres and general rubber goods</w:t>
            </w:r>
          </w:p>
          <w:p w14:paraId="0CD37F81"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1, 2, 3, 4, 5, 6, 8b, 9, 10, 13, 14, 19, 21, 24</w:t>
            </w:r>
          </w:p>
          <w:p w14:paraId="28CF2CD7" w14:textId="77777777" w:rsidR="00BC1D4B" w:rsidRDefault="00BC1D4B">
            <w:pPr>
              <w:pStyle w:val="Corpsdetexte"/>
              <w:contextualSpacing/>
              <w:rPr>
                <w:rFonts w:ascii="Verdana" w:hAnsi="Verdana"/>
                <w:sz w:val="20"/>
                <w:szCs w:val="20"/>
                <w:lang w:val="en" w:eastAsia="en-US"/>
              </w:rPr>
            </w:pPr>
          </w:p>
          <w:p w14:paraId="2EF7F7B1"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Use in formulations for coatings, adhesives, binders and sealants</w:t>
            </w:r>
          </w:p>
          <w:p w14:paraId="79E614FE"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3, 7, 8a, 8b, 9, 10, 13, 23</w:t>
            </w:r>
          </w:p>
          <w:p w14:paraId="0AC0505C" w14:textId="77777777" w:rsidR="00BC1D4B" w:rsidRDefault="00BC1D4B">
            <w:pPr>
              <w:pStyle w:val="Corpsdetexte"/>
              <w:contextualSpacing/>
              <w:rPr>
                <w:rFonts w:ascii="Verdana" w:hAnsi="Verdana"/>
                <w:sz w:val="20"/>
                <w:szCs w:val="20"/>
                <w:lang w:val="en" w:eastAsia="en-US"/>
              </w:rPr>
            </w:pPr>
          </w:p>
          <w:p w14:paraId="0ED7851C"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Final treatment</w:t>
            </w:r>
          </w:p>
          <w:p w14:paraId="7D1A32AC"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10, 21</w:t>
            </w:r>
          </w:p>
          <w:p w14:paraId="7116F6D4" w14:textId="77777777" w:rsidR="00BC1D4B" w:rsidRDefault="00BC1D4B">
            <w:pPr>
              <w:pStyle w:val="Corpsdetexte"/>
              <w:contextualSpacing/>
              <w:rPr>
                <w:rFonts w:ascii="Verdana" w:hAnsi="Verdana"/>
                <w:sz w:val="20"/>
                <w:szCs w:val="20"/>
                <w:lang w:val="en" w:eastAsia="en-US"/>
              </w:rPr>
            </w:pPr>
          </w:p>
          <w:p w14:paraId="19081715"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Use in formulations for building and road constructions</w:t>
            </w:r>
          </w:p>
          <w:p w14:paraId="666A420A"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3, 8a, 8b, 23</w:t>
            </w:r>
          </w:p>
          <w:p w14:paraId="1574696E" w14:textId="77777777" w:rsidR="00BC1D4B" w:rsidRDefault="00BC1D4B">
            <w:pPr>
              <w:pStyle w:val="Corpsdetexte"/>
              <w:contextualSpacing/>
              <w:rPr>
                <w:rFonts w:ascii="Verdana" w:hAnsi="Verdana"/>
                <w:sz w:val="20"/>
                <w:szCs w:val="20"/>
                <w:lang w:val="en" w:eastAsia="en-US"/>
              </w:rPr>
            </w:pPr>
          </w:p>
          <w:p w14:paraId="2DFD54BD"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Weighing</w:t>
            </w:r>
          </w:p>
          <w:p w14:paraId="6AA89DD7"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9</w:t>
            </w:r>
          </w:p>
          <w:p w14:paraId="61BC305F" w14:textId="77777777" w:rsidR="00BC1D4B" w:rsidRDefault="00BC1D4B">
            <w:pPr>
              <w:pStyle w:val="Corpsdetexte"/>
              <w:contextualSpacing/>
              <w:rPr>
                <w:rFonts w:ascii="Verdana" w:hAnsi="Verdana"/>
                <w:sz w:val="20"/>
                <w:szCs w:val="20"/>
                <w:lang w:val="en" w:eastAsia="en-US"/>
              </w:rPr>
            </w:pPr>
          </w:p>
          <w:p w14:paraId="0B98A29A"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 xml:space="preserve">Curing </w:t>
            </w:r>
          </w:p>
          <w:p w14:paraId="79A2AB9C"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14</w:t>
            </w:r>
          </w:p>
          <w:p w14:paraId="709E6C51" w14:textId="77777777" w:rsidR="00BC1D4B" w:rsidRDefault="00BC1D4B">
            <w:pPr>
              <w:pStyle w:val="Corpsdetexte"/>
              <w:contextualSpacing/>
              <w:rPr>
                <w:rFonts w:ascii="Verdana" w:hAnsi="Verdana"/>
                <w:sz w:val="20"/>
                <w:szCs w:val="20"/>
                <w:lang w:val="en" w:eastAsia="en-US"/>
              </w:rPr>
            </w:pPr>
          </w:p>
          <w:p w14:paraId="08AE47F4"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Use as laboratory agent</w:t>
            </w:r>
          </w:p>
          <w:p w14:paraId="210B1E1B"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15</w:t>
            </w:r>
          </w:p>
          <w:p w14:paraId="428EA9B5" w14:textId="77777777" w:rsidR="00BC1D4B" w:rsidRDefault="00BC1D4B">
            <w:pPr>
              <w:pStyle w:val="Corpsdetexte"/>
              <w:contextualSpacing/>
              <w:rPr>
                <w:rFonts w:ascii="Verdana" w:hAnsi="Verdana"/>
                <w:sz w:val="20"/>
                <w:szCs w:val="20"/>
                <w:lang w:val="en" w:eastAsia="en-US"/>
              </w:rPr>
            </w:pPr>
          </w:p>
          <w:p w14:paraId="76114B8F"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lastRenderedPageBreak/>
              <w:t>Shaping</w:t>
            </w:r>
          </w:p>
          <w:p w14:paraId="108C9FBE"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10, 13, 14, 21</w:t>
            </w:r>
          </w:p>
          <w:p w14:paraId="7DD8F9FC" w14:textId="77777777" w:rsidR="00BC1D4B" w:rsidRDefault="00BC1D4B">
            <w:pPr>
              <w:pStyle w:val="Corpsdetexte"/>
              <w:contextualSpacing/>
              <w:rPr>
                <w:rFonts w:ascii="Verdana" w:hAnsi="Verdana"/>
                <w:sz w:val="20"/>
                <w:szCs w:val="20"/>
                <w:lang w:val="en" w:eastAsia="en-US"/>
              </w:rPr>
            </w:pPr>
          </w:p>
          <w:p w14:paraId="07FB4112"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Storage</w:t>
            </w:r>
          </w:p>
          <w:p w14:paraId="4CFC0137"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8b, 9</w:t>
            </w:r>
          </w:p>
          <w:p w14:paraId="7AC7853A" w14:textId="77777777" w:rsidR="00BC1D4B" w:rsidRDefault="00BC1D4B">
            <w:pPr>
              <w:pStyle w:val="Corpsdetexte"/>
              <w:contextualSpacing/>
              <w:rPr>
                <w:rFonts w:ascii="Verdana" w:hAnsi="Verdana"/>
                <w:sz w:val="20"/>
                <w:szCs w:val="20"/>
                <w:lang w:val="en" w:eastAsia="en-US"/>
              </w:rPr>
            </w:pPr>
          </w:p>
          <w:p w14:paraId="534EF1A3"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Importation and storage</w:t>
            </w:r>
          </w:p>
          <w:p w14:paraId="1698E5E4" w14:textId="77777777" w:rsidR="00BC1D4B" w:rsidRDefault="00ED1F84">
            <w:pPr>
              <w:pStyle w:val="Corpsdetexte"/>
              <w:contextualSpacing/>
              <w:rPr>
                <w:rFonts w:ascii="Verdana" w:hAnsi="Verdana"/>
                <w:sz w:val="20"/>
                <w:szCs w:val="20"/>
                <w:lang w:val="en" w:eastAsia="en-US"/>
              </w:rPr>
            </w:pPr>
            <w:r>
              <w:rPr>
                <w:rFonts w:ascii="Verdana" w:hAnsi="Verdana"/>
                <w:sz w:val="20"/>
                <w:szCs w:val="20"/>
                <w:lang w:val="en" w:eastAsia="en-US"/>
              </w:rPr>
              <w:t>PROC 8b</w:t>
            </w:r>
          </w:p>
        </w:tc>
      </w:tr>
      <w:tr w:rsidR="00BC1D4B" w14:paraId="61FD1AAD" w14:textId="77777777">
        <w:tc>
          <w:tcPr>
            <w:tcW w:w="1926" w:type="dxa"/>
          </w:tcPr>
          <w:p w14:paraId="6A49D3D7" w14:textId="77777777" w:rsidR="00BC1D4B" w:rsidRDefault="00ED1F84">
            <w:pPr>
              <w:pStyle w:val="Corpsdetexte"/>
              <w:spacing w:after="0"/>
              <w:contextualSpacing/>
              <w:rPr>
                <w:rFonts w:ascii="Verdana" w:hAnsi="Verdana"/>
                <w:b/>
                <w:sz w:val="20"/>
                <w:szCs w:val="20"/>
                <w:lang w:val="en-IE" w:eastAsia="en-US"/>
              </w:rPr>
            </w:pPr>
            <w:r>
              <w:rPr>
                <w:rFonts w:ascii="Verdana" w:hAnsi="Verdana"/>
                <w:b/>
                <w:sz w:val="20"/>
                <w:szCs w:val="20"/>
                <w:lang w:val="en-IE" w:eastAsia="en-US"/>
              </w:rPr>
              <w:lastRenderedPageBreak/>
              <w:t>Uses by professional workers</w:t>
            </w:r>
          </w:p>
        </w:tc>
        <w:tc>
          <w:tcPr>
            <w:tcW w:w="6770" w:type="dxa"/>
          </w:tcPr>
          <w:p w14:paraId="2D50E023"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Tyre mounting and dismounting and handling of technical rubber goods</w:t>
            </w:r>
          </w:p>
          <w:p w14:paraId="12B360F4"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21</w:t>
            </w:r>
          </w:p>
          <w:p w14:paraId="069B3A00" w14:textId="77777777" w:rsidR="00BC1D4B" w:rsidRDefault="00BC1D4B">
            <w:pPr>
              <w:pStyle w:val="Corpsdetexte"/>
              <w:contextualSpacing/>
              <w:rPr>
                <w:rFonts w:ascii="Verdana" w:hAnsi="Verdana"/>
                <w:bCs/>
                <w:sz w:val="20"/>
                <w:szCs w:val="20"/>
                <w:lang w:val="en-IE" w:eastAsia="en-US"/>
              </w:rPr>
            </w:pPr>
          </w:p>
          <w:p w14:paraId="0C0CBED0"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Retreading and recycling</w:t>
            </w:r>
          </w:p>
          <w:p w14:paraId="6000D680"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10, 14, 21</w:t>
            </w:r>
          </w:p>
          <w:p w14:paraId="1B31DB65" w14:textId="77777777" w:rsidR="00BC1D4B" w:rsidRDefault="00BC1D4B">
            <w:pPr>
              <w:pStyle w:val="Corpsdetexte"/>
              <w:contextualSpacing/>
              <w:rPr>
                <w:rFonts w:ascii="Verdana" w:hAnsi="Verdana"/>
                <w:bCs/>
                <w:sz w:val="20"/>
                <w:szCs w:val="20"/>
                <w:lang w:val="en-IE" w:eastAsia="en-US"/>
              </w:rPr>
            </w:pPr>
          </w:p>
          <w:p w14:paraId="62BA84EF"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Use in formulations for building and road construction</w:t>
            </w:r>
          </w:p>
          <w:p w14:paraId="288ABD76"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8a, 8b, 23</w:t>
            </w:r>
          </w:p>
          <w:p w14:paraId="6D931C46" w14:textId="77777777" w:rsidR="00BC1D4B" w:rsidRDefault="00BC1D4B">
            <w:pPr>
              <w:pStyle w:val="Corpsdetexte"/>
              <w:contextualSpacing/>
              <w:rPr>
                <w:rFonts w:ascii="Verdana" w:hAnsi="Verdana"/>
                <w:bCs/>
                <w:sz w:val="20"/>
                <w:szCs w:val="20"/>
                <w:lang w:val="en-IE" w:eastAsia="en-US"/>
              </w:rPr>
            </w:pPr>
          </w:p>
          <w:p w14:paraId="3FB0A36A"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Use in formulations for coatings, adhesives, binders and sealant</w:t>
            </w:r>
          </w:p>
          <w:p w14:paraId="7679E841"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8a, 8b, 9, 10, 11, 13, 15, 15, 23</w:t>
            </w:r>
          </w:p>
          <w:p w14:paraId="3DD00225" w14:textId="77777777" w:rsidR="00BC1D4B" w:rsidRDefault="00BC1D4B">
            <w:pPr>
              <w:pStyle w:val="Corpsdetexte"/>
              <w:contextualSpacing/>
              <w:rPr>
                <w:rFonts w:ascii="Verdana" w:hAnsi="Verdana"/>
                <w:bCs/>
                <w:sz w:val="20"/>
                <w:szCs w:val="20"/>
                <w:u w:val="single"/>
                <w:lang w:val="en-IE" w:eastAsia="en-US"/>
              </w:rPr>
            </w:pPr>
          </w:p>
          <w:p w14:paraId="6FEF1B15"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Use in lubricants and lubricant additives</w:t>
            </w:r>
          </w:p>
          <w:p w14:paraId="42EEE612" w14:textId="77777777" w:rsidR="00BC1D4B" w:rsidRDefault="00ED1F84">
            <w:pPr>
              <w:pStyle w:val="Corpsdetexte"/>
              <w:contextualSpacing/>
              <w:rPr>
                <w:rFonts w:ascii="Verdana" w:hAnsi="Verdana"/>
                <w:bCs/>
                <w:sz w:val="20"/>
                <w:szCs w:val="20"/>
                <w:u w:val="single"/>
                <w:lang w:val="en-IE" w:eastAsia="en-US"/>
              </w:rPr>
            </w:pPr>
            <w:r>
              <w:rPr>
                <w:rFonts w:ascii="Verdana" w:hAnsi="Verdana"/>
                <w:bCs/>
                <w:sz w:val="20"/>
                <w:szCs w:val="20"/>
                <w:lang w:val="en-IE" w:eastAsia="en-US"/>
              </w:rPr>
              <w:t>PROC 1, 2, 3, 4, 8a, 8b, 10, 11, 13, 17, 18, 20</w:t>
            </w:r>
          </w:p>
        </w:tc>
      </w:tr>
      <w:tr w:rsidR="00BC1D4B" w14:paraId="24B73C5E" w14:textId="77777777">
        <w:tc>
          <w:tcPr>
            <w:tcW w:w="1926" w:type="dxa"/>
          </w:tcPr>
          <w:p w14:paraId="45F54C65" w14:textId="77777777" w:rsidR="00BC1D4B" w:rsidRDefault="00ED1F84">
            <w:pPr>
              <w:pStyle w:val="Corpsdetexte"/>
              <w:spacing w:after="0"/>
              <w:contextualSpacing/>
              <w:rPr>
                <w:rFonts w:ascii="Verdana" w:hAnsi="Verdana"/>
                <w:b/>
                <w:sz w:val="20"/>
                <w:szCs w:val="20"/>
                <w:lang w:val="en-IE" w:eastAsia="en-US"/>
              </w:rPr>
            </w:pPr>
            <w:r>
              <w:rPr>
                <w:rFonts w:ascii="Verdana" w:hAnsi="Verdana"/>
                <w:b/>
                <w:sz w:val="20"/>
                <w:szCs w:val="20"/>
                <w:lang w:val="en-IE" w:eastAsia="en-US"/>
              </w:rPr>
              <w:t>Consumer uses</w:t>
            </w:r>
          </w:p>
        </w:tc>
        <w:tc>
          <w:tcPr>
            <w:tcW w:w="6770" w:type="dxa"/>
          </w:tcPr>
          <w:p w14:paraId="6E808798"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Use of tyres and general rubber goods</w:t>
            </w:r>
          </w:p>
          <w:p w14:paraId="53DEC84E"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 10b, 11a</w:t>
            </w:r>
          </w:p>
        </w:tc>
      </w:tr>
      <w:tr w:rsidR="00BC1D4B" w14:paraId="15657154" w14:textId="77777777">
        <w:tc>
          <w:tcPr>
            <w:tcW w:w="1926" w:type="dxa"/>
          </w:tcPr>
          <w:p w14:paraId="2493A86F" w14:textId="77777777" w:rsidR="00BC1D4B" w:rsidRDefault="00ED1F84">
            <w:pPr>
              <w:pStyle w:val="Corpsdetexte"/>
              <w:spacing w:after="0"/>
              <w:contextualSpacing/>
              <w:rPr>
                <w:rFonts w:ascii="Verdana" w:hAnsi="Verdana"/>
                <w:b/>
                <w:sz w:val="20"/>
                <w:szCs w:val="20"/>
                <w:lang w:eastAsia="en-US"/>
              </w:rPr>
            </w:pPr>
            <w:r>
              <w:rPr>
                <w:rFonts w:ascii="Verdana" w:hAnsi="Verdana"/>
                <w:b/>
                <w:sz w:val="20"/>
                <w:szCs w:val="20"/>
                <w:lang w:val="en-IE" w:eastAsia="en-US"/>
              </w:rPr>
              <w:t>Article service life</w:t>
            </w:r>
          </w:p>
        </w:tc>
        <w:tc>
          <w:tcPr>
            <w:tcW w:w="6770" w:type="dxa"/>
          </w:tcPr>
          <w:p w14:paraId="4FB16C56"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Tyre service life</w:t>
            </w:r>
          </w:p>
          <w:p w14:paraId="6495FA0E"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21</w:t>
            </w:r>
          </w:p>
          <w:p w14:paraId="68A6CA9E"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10b</w:t>
            </w:r>
          </w:p>
          <w:p w14:paraId="61B7FFF0"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10</w:t>
            </w:r>
          </w:p>
          <w:p w14:paraId="6AE293A5" w14:textId="77777777" w:rsidR="00BC1D4B" w:rsidRDefault="00BC1D4B">
            <w:pPr>
              <w:pStyle w:val="Corpsdetexte"/>
              <w:contextualSpacing/>
              <w:rPr>
                <w:rFonts w:ascii="Verdana" w:hAnsi="Verdana"/>
                <w:bCs/>
                <w:sz w:val="20"/>
                <w:szCs w:val="20"/>
                <w:lang w:val="en-IE" w:eastAsia="en-US"/>
              </w:rPr>
            </w:pPr>
          </w:p>
          <w:p w14:paraId="11470BA4"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Service life (Use of general rubber goods by consumers)</w:t>
            </w:r>
          </w:p>
          <w:p w14:paraId="6D965F3A"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21</w:t>
            </w:r>
          </w:p>
          <w:p w14:paraId="3CD02D4E"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w:t>
            </w:r>
          </w:p>
          <w:p w14:paraId="1966DF48"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10</w:t>
            </w:r>
          </w:p>
          <w:p w14:paraId="1A908DBF" w14:textId="77777777" w:rsidR="00BC1D4B" w:rsidRDefault="00BC1D4B">
            <w:pPr>
              <w:pStyle w:val="Corpsdetexte"/>
              <w:contextualSpacing/>
              <w:rPr>
                <w:rFonts w:ascii="Verdana" w:hAnsi="Verdana"/>
                <w:bCs/>
                <w:sz w:val="20"/>
                <w:szCs w:val="20"/>
                <w:lang w:val="en-IE" w:eastAsia="en-US"/>
              </w:rPr>
            </w:pPr>
          </w:p>
          <w:p w14:paraId="369AA1E4"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Service life (professional workers)</w:t>
            </w:r>
          </w:p>
          <w:p w14:paraId="654188EF"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21</w:t>
            </w:r>
          </w:p>
          <w:p w14:paraId="1E2F2240"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 10b</w:t>
            </w:r>
          </w:p>
          <w:p w14:paraId="1141BA88"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10</w:t>
            </w:r>
          </w:p>
          <w:p w14:paraId="219DBF9C" w14:textId="77777777" w:rsidR="00BC1D4B" w:rsidRDefault="00BC1D4B">
            <w:pPr>
              <w:pStyle w:val="Corpsdetexte"/>
              <w:contextualSpacing/>
              <w:rPr>
                <w:rFonts w:ascii="Verdana" w:hAnsi="Verdana"/>
                <w:bCs/>
                <w:sz w:val="20"/>
                <w:szCs w:val="20"/>
                <w:u w:val="single"/>
                <w:lang w:val="en-IE" w:eastAsia="en-US"/>
              </w:rPr>
            </w:pPr>
          </w:p>
          <w:p w14:paraId="3BCC9319"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Tyre mounting and dismounting and handling of technical rubber goods</w:t>
            </w:r>
          </w:p>
          <w:p w14:paraId="3233EE3D"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21</w:t>
            </w:r>
          </w:p>
          <w:p w14:paraId="0D4770EE"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 11a</w:t>
            </w:r>
          </w:p>
          <w:p w14:paraId="08C41AFA"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 2, 3, 10</w:t>
            </w:r>
          </w:p>
          <w:p w14:paraId="664BAB5B" w14:textId="77777777" w:rsidR="00BC1D4B" w:rsidRDefault="00BC1D4B">
            <w:pPr>
              <w:pStyle w:val="Corpsdetexte"/>
              <w:contextualSpacing/>
              <w:rPr>
                <w:rFonts w:ascii="Verdana" w:hAnsi="Verdana"/>
                <w:bCs/>
                <w:sz w:val="20"/>
                <w:szCs w:val="20"/>
                <w:lang w:val="en-IE" w:eastAsia="en-US"/>
              </w:rPr>
            </w:pPr>
          </w:p>
          <w:p w14:paraId="7FF9A748"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Garage owner-tyres change</w:t>
            </w:r>
          </w:p>
          <w:p w14:paraId="27938492"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21</w:t>
            </w:r>
          </w:p>
          <w:p w14:paraId="6151A1FD"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 11a</w:t>
            </w:r>
          </w:p>
          <w:p w14:paraId="13C055A8"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w:t>
            </w:r>
          </w:p>
          <w:p w14:paraId="54A2D357" w14:textId="77777777" w:rsidR="00BC1D4B" w:rsidRDefault="00BC1D4B">
            <w:pPr>
              <w:pStyle w:val="Corpsdetexte"/>
              <w:contextualSpacing/>
              <w:rPr>
                <w:rFonts w:ascii="Verdana" w:hAnsi="Verdana"/>
                <w:bCs/>
                <w:sz w:val="20"/>
                <w:szCs w:val="20"/>
                <w:lang w:val="en-IE" w:eastAsia="en-US"/>
              </w:rPr>
            </w:pPr>
          </w:p>
          <w:p w14:paraId="05928B1F"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Retreading and recycling</w:t>
            </w:r>
          </w:p>
          <w:p w14:paraId="61EFE7EC"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10, 14, 21</w:t>
            </w:r>
          </w:p>
          <w:p w14:paraId="4BA12366"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lastRenderedPageBreak/>
              <w:t>ERC 10b, 11b</w:t>
            </w:r>
          </w:p>
          <w:p w14:paraId="7FD7D1A6"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 2, 3, 10</w:t>
            </w:r>
          </w:p>
          <w:p w14:paraId="1592C618"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GRG articles - conveyor belt</w:t>
            </w:r>
          </w:p>
          <w:p w14:paraId="3AC632B4"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21</w:t>
            </w:r>
          </w:p>
          <w:p w14:paraId="6093EEC4"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11a</w:t>
            </w:r>
          </w:p>
          <w:p w14:paraId="263BCB11"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10a</w:t>
            </w:r>
          </w:p>
          <w:p w14:paraId="5EEA1A4C" w14:textId="77777777" w:rsidR="00BC1D4B" w:rsidRDefault="00BC1D4B">
            <w:pPr>
              <w:pStyle w:val="Corpsdetexte"/>
              <w:contextualSpacing/>
              <w:rPr>
                <w:rFonts w:ascii="Verdana" w:hAnsi="Verdana"/>
                <w:bCs/>
                <w:sz w:val="20"/>
                <w:szCs w:val="20"/>
                <w:lang w:val="en-IE" w:eastAsia="en-US"/>
              </w:rPr>
            </w:pPr>
          </w:p>
          <w:p w14:paraId="55FFCE9E"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End of Life Tyre: ELT pre-processing storage</w:t>
            </w:r>
          </w:p>
          <w:p w14:paraId="51A66AA6"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21</w:t>
            </w:r>
          </w:p>
          <w:p w14:paraId="785647AE"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 11a</w:t>
            </w:r>
          </w:p>
          <w:p w14:paraId="2108D533"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w:t>
            </w:r>
          </w:p>
          <w:p w14:paraId="6AE7CA16" w14:textId="77777777" w:rsidR="00BC1D4B" w:rsidRDefault="00BC1D4B">
            <w:pPr>
              <w:pStyle w:val="Corpsdetexte"/>
              <w:contextualSpacing/>
              <w:rPr>
                <w:rFonts w:ascii="Verdana" w:hAnsi="Verdana"/>
                <w:bCs/>
                <w:sz w:val="20"/>
                <w:szCs w:val="20"/>
                <w:lang w:val="en-IE" w:eastAsia="en-US"/>
              </w:rPr>
            </w:pPr>
          </w:p>
          <w:p w14:paraId="59408F8C"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ELT articles - installation of shock absorbing tiles</w:t>
            </w:r>
          </w:p>
          <w:p w14:paraId="1CCFDAE2"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21</w:t>
            </w:r>
          </w:p>
          <w:p w14:paraId="6D0CCE97"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 11a</w:t>
            </w:r>
          </w:p>
          <w:p w14:paraId="1F5E636E"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w:t>
            </w:r>
          </w:p>
          <w:p w14:paraId="03192E15" w14:textId="77777777" w:rsidR="00BC1D4B" w:rsidRDefault="00BC1D4B">
            <w:pPr>
              <w:pStyle w:val="Corpsdetexte"/>
              <w:contextualSpacing/>
              <w:rPr>
                <w:rFonts w:ascii="Verdana" w:hAnsi="Verdana"/>
                <w:bCs/>
                <w:sz w:val="20"/>
                <w:szCs w:val="20"/>
                <w:lang w:val="en-IE" w:eastAsia="en-US"/>
              </w:rPr>
            </w:pPr>
          </w:p>
          <w:p w14:paraId="78099B2A"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ELT articles - installation of synthetic turf fields</w:t>
            </w:r>
          </w:p>
          <w:p w14:paraId="23929BAA"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21</w:t>
            </w:r>
          </w:p>
          <w:p w14:paraId="4A6A8779"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 11a</w:t>
            </w:r>
          </w:p>
          <w:p w14:paraId="73DC0811"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w:t>
            </w:r>
          </w:p>
          <w:p w14:paraId="5B2E6F95" w14:textId="77777777" w:rsidR="00BC1D4B" w:rsidRDefault="00BC1D4B">
            <w:pPr>
              <w:pStyle w:val="Corpsdetexte"/>
              <w:contextualSpacing/>
              <w:rPr>
                <w:rFonts w:ascii="Verdana" w:hAnsi="Verdana"/>
                <w:bCs/>
                <w:sz w:val="20"/>
                <w:szCs w:val="20"/>
                <w:lang w:val="en-IE" w:eastAsia="en-US"/>
              </w:rPr>
            </w:pPr>
          </w:p>
          <w:p w14:paraId="1F7B8744"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Road repair</w:t>
            </w:r>
          </w:p>
          <w:p w14:paraId="6100F0E7"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PROC 8a, 8b, 23</w:t>
            </w:r>
          </w:p>
          <w:p w14:paraId="7C26A668"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 xml:space="preserve">ERC 8c, 8f, 10a </w:t>
            </w:r>
          </w:p>
          <w:p w14:paraId="71CAD179"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0</w:t>
            </w:r>
          </w:p>
          <w:p w14:paraId="0CD30C2A" w14:textId="77777777" w:rsidR="00BC1D4B" w:rsidRDefault="00BC1D4B">
            <w:pPr>
              <w:pStyle w:val="Corpsdetexte"/>
              <w:contextualSpacing/>
              <w:rPr>
                <w:rFonts w:ascii="Verdana" w:hAnsi="Verdana"/>
                <w:bCs/>
                <w:sz w:val="20"/>
                <w:szCs w:val="20"/>
                <w:lang w:val="en-IE" w:eastAsia="en-US"/>
              </w:rPr>
            </w:pPr>
          </w:p>
          <w:p w14:paraId="17866ED1"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Use of tyres and general rubber goods</w:t>
            </w:r>
          </w:p>
          <w:p w14:paraId="1B560D50"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 10b, 11a</w:t>
            </w:r>
          </w:p>
          <w:p w14:paraId="4F49712E"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 2, 3, 10</w:t>
            </w:r>
          </w:p>
          <w:p w14:paraId="4F87D79D" w14:textId="77777777" w:rsidR="00BC1D4B" w:rsidRDefault="00BC1D4B">
            <w:pPr>
              <w:pStyle w:val="Corpsdetexte"/>
              <w:contextualSpacing/>
              <w:rPr>
                <w:rFonts w:ascii="Verdana" w:hAnsi="Verdana"/>
                <w:bCs/>
                <w:sz w:val="20"/>
                <w:szCs w:val="20"/>
                <w:lang w:val="en-IE" w:eastAsia="en-US"/>
              </w:rPr>
            </w:pPr>
          </w:p>
          <w:p w14:paraId="29677D13"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Consumer use of tyres (vehicles)</w:t>
            </w:r>
          </w:p>
          <w:p w14:paraId="02360FFB"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w:t>
            </w:r>
          </w:p>
          <w:p w14:paraId="6F0FCDFF"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10</w:t>
            </w:r>
          </w:p>
          <w:p w14:paraId="4C5EAA39" w14:textId="77777777" w:rsidR="00BC1D4B" w:rsidRDefault="00BC1D4B">
            <w:pPr>
              <w:pStyle w:val="Corpsdetexte"/>
              <w:contextualSpacing/>
              <w:rPr>
                <w:rFonts w:ascii="Verdana" w:hAnsi="Verdana"/>
                <w:bCs/>
                <w:sz w:val="20"/>
                <w:szCs w:val="20"/>
                <w:lang w:val="en-IE" w:eastAsia="en-US"/>
              </w:rPr>
            </w:pPr>
          </w:p>
          <w:p w14:paraId="66B51D8D"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GRG articles (balloons) – consumer</w:t>
            </w:r>
          </w:p>
          <w:p w14:paraId="4D3BAA0D"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 11a</w:t>
            </w:r>
          </w:p>
          <w:p w14:paraId="04F789EC"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10a, 10b</w:t>
            </w:r>
          </w:p>
          <w:p w14:paraId="2772C401" w14:textId="77777777" w:rsidR="00BC1D4B" w:rsidRDefault="00BC1D4B">
            <w:pPr>
              <w:pStyle w:val="Corpsdetexte"/>
              <w:contextualSpacing/>
              <w:rPr>
                <w:rFonts w:ascii="Verdana" w:hAnsi="Verdana"/>
                <w:bCs/>
                <w:sz w:val="20"/>
                <w:szCs w:val="20"/>
                <w:lang w:val="en-IE" w:eastAsia="en-US"/>
              </w:rPr>
            </w:pPr>
          </w:p>
          <w:p w14:paraId="78D626B6"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ELT articles - shock absorbing tiles (children &lt; 3 years)</w:t>
            </w:r>
          </w:p>
          <w:p w14:paraId="4A9817D7"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 11a</w:t>
            </w:r>
          </w:p>
          <w:p w14:paraId="47D77988"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10a</w:t>
            </w:r>
          </w:p>
          <w:p w14:paraId="305E3BDC" w14:textId="77777777" w:rsidR="00BC1D4B" w:rsidRDefault="00BC1D4B">
            <w:pPr>
              <w:pStyle w:val="Corpsdetexte"/>
              <w:contextualSpacing/>
              <w:rPr>
                <w:rFonts w:ascii="Verdana" w:hAnsi="Verdana"/>
                <w:bCs/>
                <w:sz w:val="20"/>
                <w:szCs w:val="20"/>
                <w:lang w:val="en-IE" w:eastAsia="en-US"/>
              </w:rPr>
            </w:pPr>
          </w:p>
          <w:p w14:paraId="2A2B3E84"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ELT articles - synthetic turf fields (children &lt; 6-11 years)</w:t>
            </w:r>
          </w:p>
          <w:p w14:paraId="580A0E64"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ERC 10a, 11a</w:t>
            </w:r>
          </w:p>
          <w:p w14:paraId="14D6F443" w14:textId="77777777" w:rsidR="00BC1D4B" w:rsidRDefault="00ED1F84">
            <w:pPr>
              <w:pStyle w:val="Corpsdetexte"/>
              <w:contextualSpacing/>
              <w:rPr>
                <w:rFonts w:ascii="Verdana" w:hAnsi="Verdana"/>
                <w:bCs/>
                <w:sz w:val="20"/>
                <w:szCs w:val="20"/>
                <w:lang w:val="en-IE" w:eastAsia="en-US"/>
              </w:rPr>
            </w:pPr>
            <w:r>
              <w:rPr>
                <w:rFonts w:ascii="Verdana" w:hAnsi="Verdana"/>
                <w:bCs/>
                <w:sz w:val="20"/>
                <w:szCs w:val="20"/>
                <w:lang w:val="en-IE" w:eastAsia="en-US"/>
              </w:rPr>
              <w:t>AC 10a</w:t>
            </w:r>
          </w:p>
        </w:tc>
      </w:tr>
    </w:tbl>
    <w:p w14:paraId="6FB965D3" w14:textId="77777777" w:rsidR="00BC1D4B" w:rsidRDefault="00ED1F84">
      <w:pPr>
        <w:pStyle w:val="Corpsdetexte"/>
        <w:spacing w:after="0"/>
        <w:rPr>
          <w:rFonts w:ascii="Verdana" w:hAnsi="Verdana"/>
          <w:sz w:val="18"/>
        </w:rPr>
      </w:pPr>
      <w:r>
        <w:lastRenderedPageBreak/>
        <w:br w:type="page" w:clear="all"/>
      </w:r>
    </w:p>
    <w:p w14:paraId="058FC5B5" w14:textId="77777777" w:rsidR="00BC1D4B" w:rsidRDefault="00BC1D4B">
      <w:pPr>
        <w:pStyle w:val="Titre1"/>
        <w:numPr>
          <w:ilvl w:val="0"/>
          <w:numId w:val="0"/>
        </w:numPr>
        <w:sectPr w:rsidR="00BC1D4B">
          <w:headerReference w:type="first" r:id="rId17"/>
          <w:pgSz w:w="11906" w:h="16838"/>
          <w:pgMar w:top="1418" w:right="1797" w:bottom="1134" w:left="1797" w:header="680" w:footer="567" w:gutter="0"/>
          <w:cols w:space="708"/>
          <w:docGrid w:linePitch="360"/>
        </w:sectPr>
      </w:pPr>
    </w:p>
    <w:p w14:paraId="77A06580" w14:textId="77777777" w:rsidR="00BC1D4B" w:rsidRPr="006A23FE" w:rsidRDefault="00ED1F84">
      <w:pPr>
        <w:pStyle w:val="Titre1"/>
      </w:pPr>
      <w:bookmarkStart w:id="42" w:name="_Toc137044488"/>
      <w:r w:rsidRPr="006A23FE">
        <w:lastRenderedPageBreak/>
        <w:t>Hazard Information</w:t>
      </w:r>
      <w:bookmarkEnd w:id="41"/>
      <w:bookmarkEnd w:id="42"/>
    </w:p>
    <w:p w14:paraId="5F62DAE8" w14:textId="77777777" w:rsidR="00BC1D4B" w:rsidRPr="006A23FE" w:rsidRDefault="00ED1F84">
      <w:pPr>
        <w:pStyle w:val="Titre2"/>
      </w:pPr>
      <w:bookmarkStart w:id="43" w:name="_Toc137044489"/>
      <w:r w:rsidRPr="006A23FE">
        <w:t>Hazard assessment</w:t>
      </w:r>
      <w:bookmarkStart w:id="44" w:name="_Toc5286517"/>
      <w:bookmarkStart w:id="45" w:name="_Hlk72855923"/>
      <w:bookmarkEnd w:id="43"/>
    </w:p>
    <w:p w14:paraId="6E74D669" w14:textId="77777777" w:rsidR="00BC1D4B" w:rsidRDefault="00ED1F84">
      <w:pPr>
        <w:pStyle w:val="Titre3"/>
        <w:rPr>
          <w:lang w:val="nl-BE"/>
        </w:rPr>
      </w:pPr>
      <w:bookmarkStart w:id="46" w:name="_Toc137044490"/>
      <w:bookmarkEnd w:id="44"/>
      <w:bookmarkEnd w:id="45"/>
      <w:r w:rsidRPr="006A23FE">
        <w:rPr>
          <w:lang w:val="nl-BE"/>
        </w:rPr>
        <w:t>Setting</w:t>
      </w:r>
      <w:r>
        <w:rPr>
          <w:lang w:val="nl-BE"/>
        </w:rPr>
        <w:t xml:space="preserve"> of </w:t>
      </w:r>
      <w:r>
        <w:t>DNELs</w:t>
      </w:r>
      <w:r>
        <w:rPr>
          <w:lang w:val="nl-BE"/>
        </w:rPr>
        <w:t xml:space="preserve"> considering the recent EOGRTS study</w:t>
      </w:r>
      <w:bookmarkEnd w:id="46"/>
      <w:r>
        <w:rPr>
          <w:lang w:val="nl-BE"/>
        </w:rPr>
        <w:t xml:space="preserve"> </w:t>
      </w:r>
    </w:p>
    <w:p w14:paraId="13527C13"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1,3-diphenylguanidine (DPG) full toxicological profile is available in ANSES conclusion document on substance evaluation published in ECHA disseminated website (ANSES, 2020)</w:t>
      </w:r>
      <w:r>
        <w:rPr>
          <w:rFonts w:ascii="Verdana" w:eastAsia="Calibri" w:hAnsi="Verdana"/>
          <w:sz w:val="18"/>
          <w:szCs w:val="20"/>
          <w:vertAlign w:val="superscript"/>
          <w:lang w:val="en-US"/>
        </w:rPr>
        <w:footnoteReference w:id="19"/>
      </w:r>
      <w:r>
        <w:rPr>
          <w:rFonts w:ascii="Verdana" w:eastAsia="Calibri" w:hAnsi="Verdana"/>
          <w:sz w:val="20"/>
          <w:szCs w:val="20"/>
          <w:lang w:val="en-US"/>
        </w:rPr>
        <w:t>.</w:t>
      </w:r>
    </w:p>
    <w:p w14:paraId="53AA94FA"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DPG was included in the Community rolling action plan (CoRAP) for evaluation in 2012 by France according to REACH regulation. Based on the evaluation of the available data, it was concluded that all the hazard concerns identified were covered, with the exception of reproductive toxicity. During substance evaluation, a data gap was identified for this substance according to REACH annex X, section 8.7.3 covering adverse effects on the full range of reproductive endpoints. A decision on compliance check under REACH regulation was sent to the Registrants on 22 March 2019 by ECHA to request an EOGRTS, the study was received in July 2021. In 2020, ANSES published a substance evaluation conclusion and evaluation report on DPG as required by REACH Art. 48. The report was prepared based on the REACH registration and literature available at that time, without including the EOGRTS. DNEL calculations were performed based on the available studies. It was stated that the revision of the current DNEL would be necessary after reception of the EOGRTS study. </w:t>
      </w:r>
    </w:p>
    <w:p w14:paraId="52222FC8" w14:textId="77777777" w:rsidR="00BC1D4B" w:rsidRDefault="00ED1F84">
      <w:pPr>
        <w:spacing w:after="160" w:line="259" w:lineRule="auto"/>
        <w:jc w:val="both"/>
        <w:rPr>
          <w:rFonts w:ascii="Verdana" w:hAnsi="Verdana"/>
          <w:sz w:val="20"/>
          <w:szCs w:val="20"/>
        </w:rPr>
      </w:pPr>
      <w:r>
        <w:rPr>
          <w:rFonts w:ascii="Verdana" w:hAnsi="Verdana"/>
          <w:sz w:val="20"/>
          <w:szCs w:val="20"/>
        </w:rPr>
        <w:t>In the context of SEv and accounting for the absence of chronic toxicity study, the selection of the critical DNELs for DPG (pending upcoming EOGRTS study) were based on sub-chronic toxicity for systemic effect (long-term). The critical effects observed in a 90-day toxicity study in rats regarded haematological and clinical chemistry and a NOAEL of 11 mg/kg bw was identified for DNEL calculation.</w:t>
      </w:r>
    </w:p>
    <w:p w14:paraId="048FFA41" w14:textId="77777777" w:rsidR="00BC1D4B" w:rsidRDefault="00ED1F84">
      <w:pPr>
        <w:spacing w:after="160" w:line="259" w:lineRule="auto"/>
        <w:jc w:val="both"/>
        <w:rPr>
          <w:rFonts w:ascii="Verdana" w:hAnsi="Verdana"/>
          <w:b/>
          <w:sz w:val="20"/>
          <w:szCs w:val="20"/>
        </w:rPr>
      </w:pPr>
      <w:r>
        <w:rPr>
          <w:rFonts w:ascii="Verdana" w:hAnsi="Verdana"/>
          <w:b/>
          <w:sz w:val="20"/>
          <w:szCs w:val="20"/>
        </w:rPr>
        <w:t>Table 11:</w:t>
      </w:r>
      <w:r>
        <w:rPr>
          <w:b/>
        </w:rPr>
        <w:t xml:space="preserve"> </w:t>
      </w:r>
      <w:r>
        <w:rPr>
          <w:rFonts w:ascii="Verdana" w:hAnsi="Verdana"/>
          <w:b/>
          <w:sz w:val="20"/>
          <w:szCs w:val="20"/>
        </w:rPr>
        <w:t>Selection of the critical DNELs for DPG</w:t>
      </w:r>
      <w:r>
        <w:rPr>
          <w:b/>
        </w:rPr>
        <w:t xml:space="preserve"> </w:t>
      </w:r>
      <w:r>
        <w:rPr>
          <w:rFonts w:ascii="Verdana" w:hAnsi="Verdana"/>
          <w:b/>
          <w:sz w:val="20"/>
          <w:szCs w:val="20"/>
        </w:rPr>
        <w:t>as indicated in SEv conclusion document (Anses, 2020)</w:t>
      </w:r>
    </w:p>
    <w:tbl>
      <w:tblPr>
        <w:tblW w:w="0" w:type="auto"/>
        <w:tblBorders>
          <w:top w:val="single" w:sz="4" w:space="0" w:color="0046AD"/>
          <w:left w:val="single" w:sz="4" w:space="0" w:color="0046AD"/>
          <w:bottom w:val="single" w:sz="4" w:space="0" w:color="0046AD"/>
          <w:right w:val="single" w:sz="4" w:space="0" w:color="0046AD"/>
          <w:insideV w:val="single" w:sz="4" w:space="0" w:color="0046AD"/>
        </w:tblBorders>
        <w:tblCellMar>
          <w:top w:w="85" w:type="dxa"/>
          <w:left w:w="85" w:type="dxa"/>
          <w:bottom w:w="85" w:type="dxa"/>
          <w:right w:w="85" w:type="dxa"/>
        </w:tblCellMar>
        <w:tblLook w:val="01E0" w:firstRow="1" w:lastRow="1" w:firstColumn="1" w:lastColumn="1" w:noHBand="0" w:noVBand="0"/>
      </w:tblPr>
      <w:tblGrid>
        <w:gridCol w:w="1414"/>
        <w:gridCol w:w="15"/>
        <w:gridCol w:w="1094"/>
        <w:gridCol w:w="40"/>
        <w:gridCol w:w="1303"/>
        <w:gridCol w:w="1503"/>
        <w:gridCol w:w="1401"/>
        <w:gridCol w:w="1532"/>
      </w:tblGrid>
      <w:tr w:rsidR="00BC1D4B" w14:paraId="551514A9" w14:textId="77777777">
        <w:tc>
          <w:tcPr>
            <w:tcW w:w="4481" w:type="dxa"/>
            <w:gridSpan w:val="5"/>
            <w:tcBorders>
              <w:top w:val="single" w:sz="4" w:space="0" w:color="auto"/>
              <w:bottom w:val="none" w:sz="4" w:space="0" w:color="000000"/>
            </w:tcBorders>
            <w:shd w:val="clear" w:color="auto" w:fill="0046AD"/>
            <w:vAlign w:val="center"/>
          </w:tcPr>
          <w:p w14:paraId="228046FD" w14:textId="77777777" w:rsidR="00BC1D4B" w:rsidRDefault="00ED1F84">
            <w:pPr>
              <w:spacing w:after="120"/>
              <w:jc w:val="both"/>
              <w:rPr>
                <w:rFonts w:ascii="Verdana" w:hAnsi="Verdana"/>
                <w:b/>
                <w:caps/>
                <w:color w:val="FFCC00"/>
                <w:sz w:val="18"/>
                <w:szCs w:val="18"/>
                <w:lang w:eastAsia="en-GB"/>
              </w:rPr>
            </w:pPr>
            <w:r>
              <w:rPr>
                <w:rFonts w:ascii="Verdana" w:hAnsi="Verdana"/>
                <w:b/>
                <w:caps/>
                <w:color w:val="FFCC00"/>
                <w:sz w:val="18"/>
                <w:szCs w:val="18"/>
                <w:lang w:eastAsia="en-GB"/>
              </w:rPr>
              <w:t>Critical DNELs/DMELs</w:t>
            </w:r>
          </w:p>
        </w:tc>
        <w:tc>
          <w:tcPr>
            <w:tcW w:w="1503" w:type="dxa"/>
            <w:tcBorders>
              <w:top w:val="single" w:sz="4" w:space="0" w:color="auto"/>
              <w:bottom w:val="none" w:sz="4" w:space="0" w:color="000000"/>
            </w:tcBorders>
            <w:shd w:val="clear" w:color="auto" w:fill="0046AD"/>
          </w:tcPr>
          <w:p w14:paraId="2E30144E" w14:textId="77777777" w:rsidR="00BC1D4B" w:rsidRDefault="00BC1D4B">
            <w:pPr>
              <w:spacing w:after="120"/>
              <w:jc w:val="both"/>
              <w:rPr>
                <w:rFonts w:ascii="Verdana" w:hAnsi="Verdana"/>
                <w:b/>
                <w:caps/>
                <w:color w:val="FFCC00"/>
                <w:sz w:val="18"/>
                <w:szCs w:val="18"/>
                <w:lang w:eastAsia="en-GB"/>
              </w:rPr>
            </w:pPr>
          </w:p>
        </w:tc>
        <w:tc>
          <w:tcPr>
            <w:tcW w:w="1725" w:type="dxa"/>
            <w:tcBorders>
              <w:top w:val="single" w:sz="4" w:space="0" w:color="auto"/>
              <w:bottom w:val="none" w:sz="4" w:space="0" w:color="000000"/>
            </w:tcBorders>
            <w:shd w:val="clear" w:color="auto" w:fill="0046AD"/>
          </w:tcPr>
          <w:p w14:paraId="0587B740" w14:textId="77777777" w:rsidR="00BC1D4B" w:rsidRDefault="00BC1D4B">
            <w:pPr>
              <w:spacing w:after="120"/>
              <w:jc w:val="both"/>
              <w:rPr>
                <w:rFonts w:ascii="Verdana" w:hAnsi="Verdana"/>
                <w:b/>
                <w:caps/>
                <w:color w:val="FFCC00"/>
                <w:sz w:val="18"/>
                <w:szCs w:val="18"/>
                <w:lang w:eastAsia="en-GB"/>
              </w:rPr>
            </w:pPr>
          </w:p>
        </w:tc>
        <w:tc>
          <w:tcPr>
            <w:tcW w:w="1532" w:type="dxa"/>
            <w:tcBorders>
              <w:top w:val="single" w:sz="4" w:space="0" w:color="auto"/>
              <w:bottom w:val="none" w:sz="4" w:space="0" w:color="000000"/>
            </w:tcBorders>
            <w:shd w:val="clear" w:color="auto" w:fill="0046AD"/>
          </w:tcPr>
          <w:p w14:paraId="428DCD98" w14:textId="77777777" w:rsidR="00BC1D4B" w:rsidRDefault="00BC1D4B">
            <w:pPr>
              <w:spacing w:after="120"/>
              <w:jc w:val="both"/>
              <w:rPr>
                <w:rFonts w:ascii="Verdana" w:hAnsi="Verdana"/>
                <w:b/>
                <w:caps/>
                <w:color w:val="FFCC00"/>
                <w:sz w:val="18"/>
                <w:szCs w:val="18"/>
                <w:lang w:eastAsia="en-GB"/>
              </w:rPr>
            </w:pPr>
          </w:p>
        </w:tc>
      </w:tr>
      <w:tr w:rsidR="00BC1D4B" w14:paraId="2BF88199" w14:textId="77777777">
        <w:tc>
          <w:tcPr>
            <w:tcW w:w="1521" w:type="dxa"/>
            <w:gridSpan w:val="2"/>
            <w:tcBorders>
              <w:top w:val="none" w:sz="4" w:space="0" w:color="000000"/>
              <w:bottom w:val="single" w:sz="4" w:space="0" w:color="auto"/>
            </w:tcBorders>
            <w:shd w:val="clear" w:color="auto" w:fill="0046AD"/>
          </w:tcPr>
          <w:p w14:paraId="24C68C6F" w14:textId="77777777" w:rsidR="00BC1D4B" w:rsidRDefault="00ED1F84">
            <w:pPr>
              <w:spacing w:after="0"/>
              <w:jc w:val="both"/>
              <w:rPr>
                <w:rFonts w:ascii="Verdana" w:hAnsi="Verdana"/>
                <w:b/>
                <w:color w:val="FFFFFF"/>
                <w:sz w:val="18"/>
                <w:szCs w:val="22"/>
                <w:lang w:eastAsia="en-GB"/>
              </w:rPr>
            </w:pPr>
            <w:r>
              <w:rPr>
                <w:rFonts w:ascii="Verdana" w:hAnsi="Verdana"/>
                <w:b/>
                <w:color w:val="FFFFFF"/>
                <w:sz w:val="18"/>
                <w:szCs w:val="22"/>
                <w:lang w:eastAsia="en-GB"/>
              </w:rPr>
              <w:t>Endpoint of concern</w:t>
            </w:r>
          </w:p>
        </w:tc>
        <w:tc>
          <w:tcPr>
            <w:tcW w:w="1535" w:type="dxa"/>
            <w:gridSpan w:val="2"/>
            <w:tcBorders>
              <w:top w:val="none" w:sz="4" w:space="0" w:color="000000"/>
              <w:bottom w:val="single" w:sz="4" w:space="0" w:color="auto"/>
            </w:tcBorders>
            <w:shd w:val="clear" w:color="auto" w:fill="0046AD"/>
          </w:tcPr>
          <w:p w14:paraId="70064D85" w14:textId="77777777" w:rsidR="00BC1D4B" w:rsidRDefault="00ED1F84">
            <w:pPr>
              <w:spacing w:after="0"/>
              <w:jc w:val="both"/>
              <w:rPr>
                <w:rFonts w:ascii="Verdana" w:hAnsi="Verdana"/>
                <w:b/>
                <w:color w:val="FFFFFF"/>
                <w:sz w:val="18"/>
                <w:szCs w:val="22"/>
                <w:lang w:eastAsia="en-GB"/>
              </w:rPr>
            </w:pPr>
            <w:r>
              <w:rPr>
                <w:rFonts w:ascii="Verdana" w:hAnsi="Verdana"/>
                <w:b/>
                <w:color w:val="FFFFFF"/>
                <w:sz w:val="18"/>
                <w:szCs w:val="22"/>
                <w:lang w:eastAsia="en-GB"/>
              </w:rPr>
              <w:t>Type of effect</w:t>
            </w:r>
          </w:p>
        </w:tc>
        <w:tc>
          <w:tcPr>
            <w:tcW w:w="1425" w:type="dxa"/>
            <w:tcBorders>
              <w:top w:val="none" w:sz="4" w:space="0" w:color="000000"/>
              <w:bottom w:val="single" w:sz="4" w:space="0" w:color="auto"/>
            </w:tcBorders>
            <w:shd w:val="clear" w:color="auto" w:fill="0046AD"/>
          </w:tcPr>
          <w:p w14:paraId="3CD8E74B" w14:textId="77777777" w:rsidR="00BC1D4B" w:rsidRDefault="00ED1F84">
            <w:pPr>
              <w:spacing w:after="0"/>
              <w:jc w:val="both"/>
              <w:rPr>
                <w:rFonts w:ascii="Verdana" w:hAnsi="Verdana"/>
                <w:b/>
                <w:color w:val="FFFFFF"/>
                <w:sz w:val="18"/>
                <w:szCs w:val="22"/>
                <w:lang w:eastAsia="en-GB"/>
              </w:rPr>
            </w:pPr>
            <w:r>
              <w:rPr>
                <w:rFonts w:ascii="Verdana" w:hAnsi="Verdana"/>
                <w:b/>
                <w:color w:val="FFFFFF"/>
                <w:sz w:val="18"/>
                <w:szCs w:val="22"/>
                <w:lang w:eastAsia="en-GB"/>
              </w:rPr>
              <w:t>Critical study(ies)</w:t>
            </w:r>
          </w:p>
        </w:tc>
        <w:tc>
          <w:tcPr>
            <w:tcW w:w="1503" w:type="dxa"/>
            <w:tcBorders>
              <w:top w:val="none" w:sz="4" w:space="0" w:color="000000"/>
              <w:bottom w:val="single" w:sz="4" w:space="0" w:color="auto"/>
            </w:tcBorders>
            <w:shd w:val="clear" w:color="auto" w:fill="0046AD"/>
          </w:tcPr>
          <w:p w14:paraId="682E0B60" w14:textId="77777777" w:rsidR="00BC1D4B" w:rsidRDefault="00ED1F84">
            <w:pPr>
              <w:spacing w:after="0"/>
              <w:jc w:val="both"/>
              <w:rPr>
                <w:rFonts w:ascii="Verdana" w:hAnsi="Verdana"/>
                <w:b/>
                <w:color w:val="FFFFFF"/>
                <w:sz w:val="18"/>
                <w:szCs w:val="22"/>
                <w:lang w:eastAsia="en-GB"/>
              </w:rPr>
            </w:pPr>
            <w:r>
              <w:rPr>
                <w:rFonts w:ascii="Verdana" w:hAnsi="Verdana"/>
                <w:b/>
                <w:color w:val="FFFFFF"/>
                <w:sz w:val="18"/>
                <w:szCs w:val="22"/>
                <w:lang w:eastAsia="en-GB"/>
              </w:rPr>
              <w:t>Corrected dose descriptor(s)</w:t>
            </w:r>
          </w:p>
          <w:p w14:paraId="497747A1" w14:textId="77777777" w:rsidR="00BC1D4B" w:rsidRDefault="00ED1F84">
            <w:pPr>
              <w:spacing w:after="0"/>
              <w:jc w:val="both"/>
              <w:rPr>
                <w:rFonts w:ascii="Verdana" w:hAnsi="Verdana"/>
                <w:b/>
                <w:color w:val="FFFFFF"/>
                <w:sz w:val="18"/>
                <w:szCs w:val="22"/>
                <w:lang w:eastAsia="en-GB"/>
              </w:rPr>
            </w:pPr>
            <w:r>
              <w:rPr>
                <w:rFonts w:ascii="Verdana" w:hAnsi="Verdana"/>
                <w:b/>
                <w:color w:val="FFFFFF"/>
                <w:sz w:val="18"/>
                <w:szCs w:val="22"/>
                <w:lang w:eastAsia="en-GB"/>
              </w:rPr>
              <w:t>(e.g. NOAEL, NOAEC)</w:t>
            </w:r>
          </w:p>
        </w:tc>
        <w:tc>
          <w:tcPr>
            <w:tcW w:w="1725" w:type="dxa"/>
            <w:tcBorders>
              <w:top w:val="none" w:sz="4" w:space="0" w:color="000000"/>
              <w:bottom w:val="single" w:sz="4" w:space="0" w:color="auto"/>
            </w:tcBorders>
            <w:shd w:val="clear" w:color="auto" w:fill="0046AD"/>
          </w:tcPr>
          <w:p w14:paraId="0003B898" w14:textId="77777777" w:rsidR="00BC1D4B" w:rsidRDefault="00ED1F84">
            <w:pPr>
              <w:spacing w:after="0"/>
              <w:jc w:val="both"/>
              <w:rPr>
                <w:rFonts w:ascii="Verdana" w:hAnsi="Verdana"/>
                <w:b/>
                <w:color w:val="FFFFFF"/>
                <w:sz w:val="18"/>
                <w:szCs w:val="22"/>
                <w:lang w:eastAsia="en-GB"/>
              </w:rPr>
            </w:pPr>
            <w:r>
              <w:rPr>
                <w:rFonts w:ascii="Verdana" w:hAnsi="Verdana"/>
                <w:b/>
                <w:color w:val="FFFFFF"/>
                <w:sz w:val="18"/>
                <w:szCs w:val="22"/>
                <w:lang w:eastAsia="en-GB"/>
              </w:rPr>
              <w:t>DNEL/ DMEL</w:t>
            </w:r>
          </w:p>
        </w:tc>
        <w:tc>
          <w:tcPr>
            <w:tcW w:w="1532" w:type="dxa"/>
            <w:tcBorders>
              <w:top w:val="none" w:sz="4" w:space="0" w:color="000000"/>
              <w:bottom w:val="single" w:sz="4" w:space="0" w:color="auto"/>
            </w:tcBorders>
            <w:shd w:val="clear" w:color="auto" w:fill="0046AD"/>
          </w:tcPr>
          <w:p w14:paraId="29CD4F2D" w14:textId="77777777" w:rsidR="00BC1D4B" w:rsidRDefault="00ED1F84">
            <w:pPr>
              <w:spacing w:after="0"/>
              <w:jc w:val="both"/>
              <w:rPr>
                <w:rFonts w:ascii="Verdana" w:hAnsi="Verdana"/>
                <w:b/>
                <w:color w:val="FFFFFF"/>
                <w:sz w:val="18"/>
                <w:szCs w:val="22"/>
                <w:lang w:eastAsia="en-GB"/>
              </w:rPr>
            </w:pPr>
            <w:r>
              <w:rPr>
                <w:rFonts w:ascii="Verdana" w:hAnsi="Verdana"/>
                <w:b/>
                <w:color w:val="FFFFFF"/>
                <w:sz w:val="18"/>
                <w:szCs w:val="22"/>
                <w:lang w:eastAsia="en-GB"/>
              </w:rPr>
              <w:t>Justification/</w:t>
            </w:r>
          </w:p>
          <w:p w14:paraId="44632E6A" w14:textId="77777777" w:rsidR="00BC1D4B" w:rsidRDefault="00ED1F84">
            <w:pPr>
              <w:spacing w:after="0"/>
              <w:jc w:val="both"/>
              <w:rPr>
                <w:rFonts w:ascii="Verdana" w:hAnsi="Verdana"/>
                <w:b/>
                <w:color w:val="FFFFFF"/>
                <w:sz w:val="18"/>
                <w:szCs w:val="22"/>
                <w:lang w:eastAsia="en-GB"/>
              </w:rPr>
            </w:pPr>
            <w:r>
              <w:rPr>
                <w:rFonts w:ascii="Verdana" w:hAnsi="Verdana"/>
                <w:b/>
                <w:color w:val="FFFFFF"/>
                <w:sz w:val="18"/>
                <w:szCs w:val="22"/>
                <w:lang w:eastAsia="en-GB"/>
              </w:rPr>
              <w:t>Remarks</w:t>
            </w:r>
          </w:p>
        </w:tc>
      </w:tr>
      <w:tr w:rsidR="00BC1D4B" w14:paraId="212424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79087B8"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Sub-chronic toxicity</w:t>
            </w:r>
          </w:p>
          <w:p w14:paraId="7EB3A66F"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Systemic effect-Long-term</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4D04F59F"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90-day toxicity study</w:t>
            </w: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tcPr>
          <w:p w14:paraId="524FB3FF"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NOAEL = 11 mg/kg bw</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56B9124E"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NOAEL</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5001DEB" w14:textId="77777777" w:rsidR="00BC1D4B" w:rsidRDefault="00ED1F84">
            <w:pPr>
              <w:spacing w:after="0"/>
              <w:jc w:val="both"/>
              <w:rPr>
                <w:rFonts w:ascii="Verdana" w:hAnsi="Verdana"/>
                <w:sz w:val="18"/>
                <w:szCs w:val="22"/>
                <w:lang w:val="de-DE" w:eastAsia="en-GB"/>
              </w:rPr>
            </w:pPr>
            <w:r>
              <w:rPr>
                <w:rFonts w:ascii="Verdana" w:hAnsi="Verdana"/>
                <w:sz w:val="18"/>
                <w:szCs w:val="22"/>
                <w:lang w:val="de-DE" w:eastAsia="en-GB"/>
              </w:rPr>
              <w:t>Inhalation:</w:t>
            </w:r>
          </w:p>
          <w:p w14:paraId="40888335" w14:textId="77777777" w:rsidR="00BC1D4B" w:rsidRDefault="00ED1F84">
            <w:pPr>
              <w:spacing w:after="0"/>
              <w:jc w:val="both"/>
              <w:rPr>
                <w:rFonts w:ascii="Verdana" w:hAnsi="Verdana"/>
                <w:sz w:val="18"/>
                <w:szCs w:val="22"/>
                <w:vertAlign w:val="superscript"/>
                <w:lang w:val="de-DE" w:eastAsia="en-GB"/>
              </w:rPr>
            </w:pPr>
            <w:r>
              <w:rPr>
                <w:rFonts w:ascii="Verdana" w:hAnsi="Verdana"/>
                <w:sz w:val="18"/>
                <w:szCs w:val="22"/>
                <w:lang w:val="de-DE" w:eastAsia="en-GB"/>
              </w:rPr>
              <w:t>0.16 mg/m</w:t>
            </w:r>
            <w:r>
              <w:rPr>
                <w:rFonts w:ascii="Verdana" w:hAnsi="Verdana"/>
                <w:sz w:val="18"/>
                <w:szCs w:val="22"/>
                <w:vertAlign w:val="superscript"/>
                <w:lang w:val="de-DE" w:eastAsia="en-GB"/>
              </w:rPr>
              <w:t>3</w:t>
            </w:r>
          </w:p>
          <w:p w14:paraId="501E62FE" w14:textId="77777777" w:rsidR="00BC1D4B" w:rsidRDefault="00BC1D4B">
            <w:pPr>
              <w:spacing w:after="0"/>
              <w:jc w:val="both"/>
              <w:rPr>
                <w:rFonts w:ascii="Verdana" w:hAnsi="Verdana"/>
                <w:sz w:val="18"/>
                <w:szCs w:val="22"/>
                <w:vertAlign w:val="superscript"/>
                <w:lang w:val="de-DE" w:eastAsia="en-GB"/>
              </w:rPr>
            </w:pPr>
          </w:p>
          <w:p w14:paraId="38C882D7" w14:textId="77777777" w:rsidR="00BC1D4B" w:rsidRDefault="00ED1F84">
            <w:pPr>
              <w:spacing w:after="0"/>
              <w:jc w:val="both"/>
              <w:rPr>
                <w:rFonts w:ascii="Verdana" w:hAnsi="Verdana"/>
                <w:sz w:val="18"/>
                <w:szCs w:val="22"/>
                <w:lang w:val="de-DE" w:eastAsia="en-GB"/>
              </w:rPr>
            </w:pPr>
            <w:r>
              <w:rPr>
                <w:rFonts w:ascii="Verdana" w:hAnsi="Verdana"/>
                <w:sz w:val="18"/>
                <w:szCs w:val="22"/>
                <w:lang w:val="de-DE" w:eastAsia="en-GB"/>
              </w:rPr>
              <w:t>Dermal:</w:t>
            </w:r>
          </w:p>
          <w:p w14:paraId="7F504067" w14:textId="77777777" w:rsidR="00BC1D4B" w:rsidRDefault="00ED1F84">
            <w:pPr>
              <w:spacing w:after="0"/>
              <w:jc w:val="both"/>
              <w:rPr>
                <w:rFonts w:ascii="Verdana" w:hAnsi="Verdana"/>
                <w:sz w:val="18"/>
                <w:szCs w:val="22"/>
                <w:lang w:val="de-DE" w:eastAsia="en-GB"/>
              </w:rPr>
            </w:pPr>
            <w:r>
              <w:rPr>
                <w:rFonts w:ascii="Verdana" w:hAnsi="Verdana"/>
                <w:sz w:val="18"/>
                <w:szCs w:val="22"/>
                <w:lang w:val="de-DE" w:eastAsia="en-GB"/>
              </w:rPr>
              <w:t>1.1 mg/kg bw</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C3A881"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Workers</w:t>
            </w:r>
          </w:p>
        </w:tc>
      </w:tr>
      <w:tr w:rsidR="00BC1D4B" w14:paraId="1060ACC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2A1881B"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Sub-chronic toxicity</w:t>
            </w:r>
          </w:p>
          <w:p w14:paraId="09EF1E72"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lastRenderedPageBreak/>
              <w:t>Systemic effect-Long-term</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356FBC75"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lastRenderedPageBreak/>
              <w:t>90-day toxicity study</w:t>
            </w: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tcPr>
          <w:p w14:paraId="1A9D9217"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NOAEL = 11 mg/kg bw</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9FA2C63"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NOAEL</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D8595FF" w14:textId="77777777" w:rsidR="00BC1D4B" w:rsidRDefault="00ED1F84">
            <w:pPr>
              <w:spacing w:after="0"/>
              <w:jc w:val="both"/>
              <w:rPr>
                <w:rFonts w:ascii="Verdana" w:hAnsi="Verdana"/>
                <w:sz w:val="18"/>
                <w:szCs w:val="22"/>
                <w:lang w:val="de-DE" w:eastAsia="en-GB"/>
              </w:rPr>
            </w:pPr>
            <w:r>
              <w:rPr>
                <w:rFonts w:ascii="Verdana" w:hAnsi="Verdana"/>
                <w:sz w:val="18"/>
                <w:szCs w:val="22"/>
                <w:lang w:val="de-DE" w:eastAsia="en-GB"/>
              </w:rPr>
              <w:t>Inhalation:</w:t>
            </w:r>
          </w:p>
          <w:p w14:paraId="08D85525" w14:textId="77777777" w:rsidR="00BC1D4B" w:rsidRDefault="00ED1F84">
            <w:pPr>
              <w:spacing w:after="0"/>
              <w:jc w:val="both"/>
              <w:rPr>
                <w:rFonts w:ascii="Verdana" w:hAnsi="Verdana"/>
                <w:sz w:val="18"/>
                <w:szCs w:val="22"/>
                <w:lang w:val="de-DE" w:eastAsia="en-GB"/>
              </w:rPr>
            </w:pPr>
            <w:r>
              <w:rPr>
                <w:rFonts w:ascii="Verdana" w:hAnsi="Verdana"/>
                <w:sz w:val="18"/>
                <w:szCs w:val="22"/>
                <w:lang w:val="de-DE" w:eastAsia="en-GB"/>
              </w:rPr>
              <w:t>0.032 mg/m</w:t>
            </w:r>
            <w:r>
              <w:rPr>
                <w:rFonts w:ascii="Verdana" w:hAnsi="Verdana"/>
                <w:sz w:val="18"/>
                <w:szCs w:val="22"/>
                <w:vertAlign w:val="superscript"/>
                <w:lang w:val="de-DE" w:eastAsia="en-GB"/>
              </w:rPr>
              <w:t>3</w:t>
            </w:r>
          </w:p>
          <w:p w14:paraId="6E472981" w14:textId="77777777" w:rsidR="00BC1D4B" w:rsidRDefault="00BC1D4B">
            <w:pPr>
              <w:spacing w:after="0"/>
              <w:jc w:val="both"/>
              <w:rPr>
                <w:rFonts w:ascii="Verdana" w:hAnsi="Verdana"/>
                <w:sz w:val="18"/>
                <w:szCs w:val="22"/>
                <w:lang w:val="de-DE" w:eastAsia="en-GB"/>
              </w:rPr>
            </w:pPr>
          </w:p>
          <w:p w14:paraId="3B103B7D" w14:textId="77777777" w:rsidR="00BC1D4B" w:rsidRDefault="00ED1F84">
            <w:pPr>
              <w:spacing w:after="0"/>
              <w:jc w:val="both"/>
              <w:rPr>
                <w:rFonts w:ascii="Verdana" w:hAnsi="Verdana"/>
                <w:sz w:val="18"/>
                <w:szCs w:val="22"/>
                <w:lang w:val="de-DE" w:eastAsia="en-GB"/>
              </w:rPr>
            </w:pPr>
            <w:r>
              <w:rPr>
                <w:rFonts w:ascii="Verdana" w:hAnsi="Verdana"/>
                <w:sz w:val="18"/>
                <w:szCs w:val="22"/>
                <w:lang w:val="de-DE" w:eastAsia="en-GB"/>
              </w:rPr>
              <w:lastRenderedPageBreak/>
              <w:t>Dermal:</w:t>
            </w:r>
          </w:p>
          <w:p w14:paraId="78C70D8A" w14:textId="77777777" w:rsidR="00BC1D4B" w:rsidRDefault="00ED1F84">
            <w:pPr>
              <w:spacing w:after="0"/>
              <w:jc w:val="both"/>
              <w:rPr>
                <w:rFonts w:ascii="Verdana" w:hAnsi="Verdana"/>
                <w:sz w:val="18"/>
                <w:szCs w:val="22"/>
                <w:lang w:val="de-DE" w:eastAsia="en-GB"/>
              </w:rPr>
            </w:pPr>
            <w:r>
              <w:rPr>
                <w:rFonts w:ascii="Verdana" w:hAnsi="Verdana"/>
                <w:sz w:val="18"/>
                <w:szCs w:val="22"/>
                <w:lang w:val="de-DE" w:eastAsia="en-GB"/>
              </w:rPr>
              <w:t>0.16 mg/kg bw</w:t>
            </w:r>
          </w:p>
          <w:p w14:paraId="075F4CE4" w14:textId="77777777" w:rsidR="00BC1D4B" w:rsidRDefault="00BC1D4B">
            <w:pPr>
              <w:spacing w:after="0"/>
              <w:jc w:val="both"/>
              <w:rPr>
                <w:rFonts w:ascii="Verdana" w:hAnsi="Verdana"/>
                <w:sz w:val="18"/>
                <w:szCs w:val="22"/>
                <w:lang w:val="de-DE" w:eastAsia="en-GB"/>
              </w:rPr>
            </w:pPr>
          </w:p>
          <w:p w14:paraId="6E156DB7" w14:textId="77777777" w:rsidR="00BC1D4B" w:rsidRDefault="00ED1F84">
            <w:pPr>
              <w:spacing w:after="0"/>
              <w:jc w:val="both"/>
              <w:rPr>
                <w:rFonts w:ascii="Verdana" w:hAnsi="Verdana"/>
                <w:sz w:val="18"/>
                <w:szCs w:val="22"/>
                <w:lang w:val="en-US" w:eastAsia="en-GB"/>
              </w:rPr>
            </w:pPr>
            <w:r>
              <w:rPr>
                <w:rFonts w:ascii="Verdana" w:hAnsi="Verdana"/>
                <w:sz w:val="18"/>
                <w:szCs w:val="22"/>
                <w:lang w:val="en-US" w:eastAsia="en-GB"/>
              </w:rPr>
              <w:t>Oral:</w:t>
            </w:r>
          </w:p>
          <w:p w14:paraId="471EE9BC" w14:textId="77777777" w:rsidR="00BC1D4B" w:rsidRDefault="00ED1F84">
            <w:pPr>
              <w:spacing w:after="0"/>
              <w:jc w:val="both"/>
              <w:rPr>
                <w:rFonts w:ascii="Verdana" w:hAnsi="Verdana"/>
                <w:sz w:val="18"/>
                <w:szCs w:val="22"/>
                <w:lang w:val="en-US" w:eastAsia="en-GB"/>
              </w:rPr>
            </w:pPr>
            <w:r>
              <w:rPr>
                <w:rFonts w:ascii="Verdana" w:hAnsi="Verdana"/>
                <w:sz w:val="18"/>
                <w:szCs w:val="22"/>
                <w:lang w:val="en-US" w:eastAsia="en-GB"/>
              </w:rPr>
              <w:t>0.016 mg/kg bw</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F9ACA3"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lastRenderedPageBreak/>
              <w:t>General population</w:t>
            </w:r>
          </w:p>
        </w:tc>
      </w:tr>
      <w:tr w:rsidR="00BC1D4B" w14:paraId="5974EEA7" w14:textId="77777777">
        <w:tc>
          <w:tcPr>
            <w:tcW w:w="1496" w:type="dxa"/>
            <w:tcBorders>
              <w:top w:val="single" w:sz="4" w:space="0" w:color="auto"/>
              <w:bottom w:val="single" w:sz="4" w:space="0" w:color="0046AD"/>
            </w:tcBorders>
            <w:shd w:val="clear" w:color="auto" w:fill="auto"/>
          </w:tcPr>
          <w:p w14:paraId="67D2082A"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Reproductive toxicity</w:t>
            </w:r>
          </w:p>
        </w:tc>
        <w:tc>
          <w:tcPr>
            <w:tcW w:w="7745" w:type="dxa"/>
            <w:gridSpan w:val="7"/>
            <w:tcBorders>
              <w:top w:val="single" w:sz="4" w:space="0" w:color="auto"/>
              <w:bottom w:val="single" w:sz="4" w:space="0" w:color="0046AD"/>
            </w:tcBorders>
            <w:shd w:val="clear" w:color="auto" w:fill="auto"/>
          </w:tcPr>
          <w:p w14:paraId="7F902F56"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No DNELs: datagap need to be addressed first</w:t>
            </w:r>
          </w:p>
        </w:tc>
      </w:tr>
      <w:tr w:rsidR="00BC1D4B" w14:paraId="053AF0C9" w14:textId="77777777">
        <w:tc>
          <w:tcPr>
            <w:tcW w:w="1496" w:type="dxa"/>
            <w:tcBorders>
              <w:top w:val="single" w:sz="4" w:space="0" w:color="auto"/>
              <w:bottom w:val="single" w:sz="4" w:space="0" w:color="0046AD"/>
            </w:tcBorders>
            <w:shd w:val="clear" w:color="auto" w:fill="auto"/>
          </w:tcPr>
          <w:p w14:paraId="75F4529C"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Skin sensitisation</w:t>
            </w:r>
          </w:p>
        </w:tc>
        <w:tc>
          <w:tcPr>
            <w:tcW w:w="7745" w:type="dxa"/>
            <w:gridSpan w:val="7"/>
            <w:tcBorders>
              <w:top w:val="single" w:sz="4" w:space="0" w:color="auto"/>
              <w:bottom w:val="single" w:sz="4" w:space="0" w:color="0046AD"/>
            </w:tcBorders>
            <w:shd w:val="clear" w:color="auto" w:fill="auto"/>
          </w:tcPr>
          <w:p w14:paraId="391211A0" w14:textId="77777777" w:rsidR="00BC1D4B" w:rsidRDefault="00ED1F84">
            <w:pPr>
              <w:spacing w:after="0"/>
              <w:jc w:val="both"/>
              <w:rPr>
                <w:rFonts w:ascii="Verdana" w:hAnsi="Verdana"/>
                <w:sz w:val="18"/>
                <w:szCs w:val="22"/>
                <w:lang w:eastAsia="en-GB"/>
              </w:rPr>
            </w:pPr>
            <w:r>
              <w:rPr>
                <w:rFonts w:ascii="Verdana" w:hAnsi="Verdana"/>
                <w:sz w:val="18"/>
                <w:szCs w:val="22"/>
                <w:lang w:eastAsia="en-GB"/>
              </w:rPr>
              <w:t>No quantitative DNEL could be derived. Nevertheless, classification of the substance is needed as a RMM for this endpoint of concern.</w:t>
            </w:r>
          </w:p>
        </w:tc>
      </w:tr>
    </w:tbl>
    <w:p w14:paraId="4133F156" w14:textId="77777777" w:rsidR="00BC1D4B" w:rsidRDefault="00BC1D4B">
      <w:pPr>
        <w:spacing w:after="160" w:line="259" w:lineRule="auto"/>
        <w:jc w:val="both"/>
        <w:rPr>
          <w:rFonts w:ascii="Verdana" w:hAnsi="Verdana"/>
          <w:sz w:val="20"/>
          <w:szCs w:val="20"/>
        </w:rPr>
      </w:pPr>
    </w:p>
    <w:p w14:paraId="00BE516E" w14:textId="77777777" w:rsidR="00BC1D4B" w:rsidRDefault="00BC1D4B">
      <w:pPr>
        <w:spacing w:after="160" w:line="259" w:lineRule="auto"/>
        <w:jc w:val="both"/>
        <w:rPr>
          <w:rFonts w:ascii="Verdana" w:eastAsia="Calibri" w:hAnsi="Verdana"/>
          <w:sz w:val="20"/>
          <w:szCs w:val="20"/>
          <w:lang w:val="en-US"/>
        </w:rPr>
      </w:pPr>
    </w:p>
    <w:p w14:paraId="20468CA1" w14:textId="77777777" w:rsidR="00BC1D4B" w:rsidRDefault="00ED1F84">
      <w:pPr>
        <w:jc w:val="both"/>
        <w:rPr>
          <w:rFonts w:ascii="Verdana" w:eastAsia="Calibri" w:hAnsi="Verdana"/>
          <w:sz w:val="20"/>
          <w:szCs w:val="20"/>
          <w:u w:val="single"/>
          <w:lang w:val="en-US"/>
        </w:rPr>
      </w:pPr>
      <w:r>
        <w:rPr>
          <w:rFonts w:ascii="Verdana" w:eastAsia="Calibri" w:hAnsi="Verdana"/>
          <w:sz w:val="20"/>
          <w:szCs w:val="20"/>
          <w:u w:val="single"/>
          <w:lang w:val="en-US"/>
        </w:rPr>
        <w:t xml:space="preserve">Analysis of the EOGRTS study OECD TG 443: critical effect and selection of point of departure for DNEL setting </w:t>
      </w:r>
    </w:p>
    <w:p w14:paraId="4D8DC1A6"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The new EOGRTS requested during the evaluation was assessed by the aMSCA. The study was conducted according to OECD TG 443 and is GLP compliant (Unpublished study report, 2021). The study is considered valid with a Klimisch score of 1. A summary table of the EOGRTS study is available in section 2.1.3.</w:t>
      </w:r>
    </w:p>
    <w:p w14:paraId="524AD562"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In this study, Sprague-Dawley rats were exposed by gavage to doses of 5, 15 and 25 mg/kg bw/d of DPG (with 0.5% aqueous methylcellulose). The study design is presented below: </w:t>
      </w:r>
    </w:p>
    <w:p w14:paraId="1BE8EB1E" w14:textId="77777777" w:rsidR="00BC1D4B" w:rsidRDefault="00BC1D4B">
      <w:pPr>
        <w:spacing w:after="160" w:line="259" w:lineRule="auto"/>
        <w:jc w:val="both"/>
        <w:rPr>
          <w:rFonts w:ascii="Verdana" w:eastAsia="Calibri" w:hAnsi="Verdana"/>
          <w:sz w:val="20"/>
          <w:szCs w:val="20"/>
          <w:lang w:val="en-US"/>
        </w:rPr>
      </w:pPr>
    </w:p>
    <w:p w14:paraId="5190A18F" w14:textId="77777777" w:rsidR="00BC1D4B" w:rsidRDefault="00ED1F84">
      <w:pPr>
        <w:spacing w:after="160" w:line="259" w:lineRule="auto"/>
        <w:jc w:val="both"/>
        <w:rPr>
          <w:rFonts w:ascii="Verdana" w:eastAsia="Calibri" w:hAnsi="Verdana"/>
          <w:sz w:val="20"/>
          <w:szCs w:val="20"/>
          <w:lang w:val="en-US"/>
        </w:rPr>
      </w:pPr>
      <w:r>
        <w:rPr>
          <w:noProof/>
          <w:lang w:val="fr-FR" w:eastAsia="fr-FR"/>
        </w:rPr>
        <w:drawing>
          <wp:inline distT="0" distB="0" distL="0" distR="0">
            <wp:extent cx="5278120" cy="2703830"/>
            <wp:effectExtent l="0" t="0" r="0" b="127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8"/>
                    <a:stretch/>
                  </pic:blipFill>
                  <pic:spPr bwMode="auto">
                    <a:xfrm>
                      <a:off x="0" y="0"/>
                      <a:ext cx="5278120" cy="2703830"/>
                    </a:xfrm>
                    <a:prstGeom prst="rect">
                      <a:avLst/>
                    </a:prstGeom>
                  </pic:spPr>
                </pic:pic>
              </a:graphicData>
            </a:graphic>
          </wp:inline>
        </w:drawing>
      </w:r>
    </w:p>
    <w:p w14:paraId="3492C59D" w14:textId="77777777" w:rsidR="00BC1D4B" w:rsidRDefault="00BC1D4B">
      <w:pPr>
        <w:spacing w:after="160" w:line="259" w:lineRule="auto"/>
        <w:jc w:val="both"/>
        <w:rPr>
          <w:rFonts w:ascii="Verdana" w:eastAsia="Calibri" w:hAnsi="Verdana"/>
          <w:sz w:val="20"/>
          <w:szCs w:val="20"/>
          <w:lang w:val="en-US"/>
        </w:rPr>
      </w:pPr>
    </w:p>
    <w:p w14:paraId="7DB3E9A1" w14:textId="77777777" w:rsidR="00BC1D4B" w:rsidRDefault="00ED1F84">
      <w:pPr>
        <w:spacing w:after="160" w:line="259" w:lineRule="auto"/>
        <w:jc w:val="both"/>
        <w:rPr>
          <w:rFonts w:ascii="Verdana" w:eastAsia="Calibri" w:hAnsi="Verdana"/>
          <w:b/>
          <w:sz w:val="20"/>
          <w:szCs w:val="20"/>
          <w:lang w:val="en-US"/>
        </w:rPr>
      </w:pPr>
      <w:r>
        <w:rPr>
          <w:rFonts w:ascii="Verdana" w:eastAsia="Calibri" w:hAnsi="Verdana"/>
          <w:b/>
          <w:sz w:val="20"/>
          <w:szCs w:val="20"/>
          <w:lang w:val="en-US"/>
        </w:rPr>
        <w:t>Figure 1: Study design of the EOGRTS based on oral gavage of DPG (Unpublished study report, 2021)</w:t>
      </w:r>
    </w:p>
    <w:p w14:paraId="7A16BE45"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DPG displayed effects on fertility and sexual functions as well as effects on the development of the offspring. Effects are detailed in section 2.1.3.and the main effects are described below.</w:t>
      </w:r>
    </w:p>
    <w:p w14:paraId="558E55C6" w14:textId="77777777" w:rsidR="00BC1D4B" w:rsidRDefault="00ED1F84">
      <w:pPr>
        <w:spacing w:after="160" w:line="259" w:lineRule="auto"/>
        <w:jc w:val="both"/>
        <w:rPr>
          <w:rFonts w:ascii="Verdana" w:eastAsia="Calibri" w:hAnsi="Verdana"/>
          <w:b/>
          <w:sz w:val="20"/>
          <w:szCs w:val="20"/>
          <w:lang w:val="en-US"/>
        </w:rPr>
      </w:pPr>
      <w:r>
        <w:rPr>
          <w:rFonts w:ascii="Verdana" w:eastAsia="Calibri" w:hAnsi="Verdana"/>
          <w:b/>
          <w:sz w:val="20"/>
          <w:szCs w:val="20"/>
          <w:lang w:val="en-US"/>
        </w:rPr>
        <w:t>Regarding general toxicity:</w:t>
      </w:r>
    </w:p>
    <w:p w14:paraId="507D7EBF"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lastRenderedPageBreak/>
        <w:t xml:space="preserve">There were no adverse effects during the premating, mating, gestation or lactation periods associated to the mean body weight, mean body weight change and mean food consumption for parental generation and cohort 1A and 1B. </w:t>
      </w:r>
    </w:p>
    <w:p w14:paraId="79743BDA"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Clinical signs suggestive of neurologic disorders (e.g </w:t>
      </w:r>
      <w:r>
        <w:rPr>
          <w:rFonts w:ascii="Verdana" w:hAnsi="Verdana"/>
          <w:sz w:val="20"/>
          <w:szCs w:val="20"/>
          <w:lang w:eastAsia="en-GB"/>
        </w:rPr>
        <w:t>clonic convulsion, locomotor difficulties, loss of balance, staggering gait and/or tonic seizures</w:t>
      </w:r>
      <w:r>
        <w:rPr>
          <w:rFonts w:ascii="Verdana" w:eastAsia="Calibri" w:hAnsi="Verdana"/>
          <w:sz w:val="20"/>
          <w:szCs w:val="20"/>
          <w:lang w:val="en-US"/>
        </w:rPr>
        <w:t xml:space="preserve">) were seen in females of the high dose group (25 mg/kg bw/d) only at the end of the pregnancy period. Maternal toxicity including neurotoxicity was not observed at dose levels below 25 mg bw/kg in both generations. </w:t>
      </w:r>
    </w:p>
    <w:p w14:paraId="7B290B8F"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Results of splenic lymphocyte subpopulation analysis in cohort 1A indicated statistically significant increase of NK cells at 15 mg/kg bw/d in males. In females and when compared to the controls, there was a statistically significant decrease of NK cells at 25 mg/kg bw/d. </w:t>
      </w:r>
    </w:p>
    <w:p w14:paraId="70AD6668"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Increased liver weights (relative to body) were recorded in males and females treated at 15 mg/kg bw/d (p&lt;0.01) in P generation. Statistically significant increased liver weights (relative to body) were recorded in females treated at ≥ 5 mg/kg bw/d and in males treated at 25 mg/kg bw/d in cohort 1A.</w:t>
      </w:r>
      <w:r>
        <w:rPr>
          <w:rFonts w:ascii="Verdana" w:hAnsi="Verdana"/>
          <w:sz w:val="20"/>
          <w:szCs w:val="20"/>
        </w:rPr>
        <w:t xml:space="preserve"> Finally, </w:t>
      </w:r>
      <w:r>
        <w:rPr>
          <w:rFonts w:ascii="Verdana" w:eastAsia="Calibri" w:hAnsi="Verdana"/>
          <w:sz w:val="20"/>
          <w:szCs w:val="20"/>
          <w:lang w:val="en-US"/>
        </w:rPr>
        <w:t>increased liver weights (relative to body weight) were recorded in males at ≥ 15 mg/kg bw/d (p&lt;0.01) and absolute liver weight increase in females treated at ≥ 15 mg bw/kg bw/d in cohort 1B.</w:t>
      </w:r>
    </w:p>
    <w:p w14:paraId="473E8E8E" w14:textId="77777777" w:rsidR="00BC1D4B" w:rsidRDefault="00ED1F84">
      <w:pPr>
        <w:spacing w:after="160" w:line="259" w:lineRule="auto"/>
        <w:jc w:val="both"/>
        <w:rPr>
          <w:rFonts w:ascii="Verdana" w:eastAsia="Calibri" w:hAnsi="Verdana"/>
          <w:b/>
          <w:sz w:val="20"/>
          <w:szCs w:val="20"/>
          <w:lang w:val="en-US"/>
        </w:rPr>
      </w:pPr>
      <w:r>
        <w:rPr>
          <w:rFonts w:ascii="Verdana" w:eastAsia="Calibri" w:hAnsi="Verdana"/>
          <w:b/>
          <w:sz w:val="20"/>
          <w:szCs w:val="20"/>
          <w:lang w:val="en-US"/>
        </w:rPr>
        <w:t>Regarding adverse effects on sexual function and fertility:</w:t>
      </w:r>
    </w:p>
    <w:p w14:paraId="45EFB148"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In the parental (P) generation, e</w:t>
      </w:r>
      <w:r>
        <w:rPr>
          <w:rFonts w:ascii="Verdana" w:eastAsia="Calibri" w:hAnsi="Verdana"/>
          <w:iCs/>
          <w:sz w:val="20"/>
          <w:szCs w:val="20"/>
          <w:lang w:val="en-US"/>
        </w:rPr>
        <w:t>ffects on the duration of phases of the estrous cycle were recorded.</w:t>
      </w:r>
      <w:r>
        <w:rPr>
          <w:rFonts w:ascii="Verdana" w:eastAsia="Calibri" w:hAnsi="Verdana"/>
          <w:sz w:val="20"/>
          <w:szCs w:val="20"/>
          <w:lang w:val="en-US"/>
        </w:rPr>
        <w:t xml:space="preserve"> A dose-related decrease of mean number of days of metestrus was observed from 15 mg/kg bw/d (p&lt;0.05) as well as an increase of mean number of days of estrus at 25 mg bw/kg bw/d (p&lt;0.01). </w:t>
      </w:r>
    </w:p>
    <w:p w14:paraId="1770ECE1"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In the cohort 1B (F1 generation), a statistically significant increase of the mean duration of gestation was observed at 25 mg/kg bw/d (p&lt;0.05). </w:t>
      </w:r>
    </w:p>
    <w:p w14:paraId="623C1F6B"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Dystocia was observed in both generations: one pregnant female in the P generation at 15 mg bw/kg and another one at 25 mg/kg bw/d, and one pregnant female in cohort 1B at 25 mg/kg bw/d.  </w:t>
      </w:r>
    </w:p>
    <w:p w14:paraId="378E481A" w14:textId="77777777" w:rsidR="00BC1D4B" w:rsidRDefault="00ED1F84">
      <w:pPr>
        <w:spacing w:after="160" w:line="259" w:lineRule="auto"/>
        <w:jc w:val="both"/>
        <w:rPr>
          <w:rFonts w:ascii="Verdana" w:eastAsia="Calibri" w:hAnsi="Verdana"/>
          <w:b/>
          <w:sz w:val="20"/>
          <w:szCs w:val="20"/>
          <w:lang w:val="en-US"/>
        </w:rPr>
      </w:pPr>
      <w:r>
        <w:rPr>
          <w:rFonts w:ascii="Verdana" w:eastAsia="Calibri" w:hAnsi="Verdana"/>
          <w:b/>
          <w:sz w:val="20"/>
          <w:szCs w:val="20"/>
          <w:lang w:val="en-US"/>
        </w:rPr>
        <w:t xml:space="preserve">Regarding effects on the development of the offspring: </w:t>
      </w:r>
    </w:p>
    <w:p w14:paraId="6870ED6D"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In P generation, a statistically significant increase of post-implantation losses was noted at 25 mg/kg bw/d (p&lt;0.05). No statistically significant effects were observed for cohort 1B.</w:t>
      </w:r>
    </w:p>
    <w:p w14:paraId="4F516296"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The number of dead, missing or cannibalized pups at</w:t>
      </w:r>
      <w:r>
        <w:t xml:space="preserve"> </w:t>
      </w:r>
      <w:r>
        <w:rPr>
          <w:rFonts w:ascii="Verdana" w:eastAsia="Calibri" w:hAnsi="Verdana"/>
          <w:sz w:val="20"/>
          <w:szCs w:val="20"/>
          <w:lang w:val="en-US"/>
        </w:rPr>
        <w:t>post-natal day (PND) 1 to 4 was significantly increased and dose-related in P generation from 5 mg/kg bw/d (p&lt;0.01) and from 15 mg/kg bw/d (p&lt;0.001) in F1 generation. The mean number of live pups on PND 1 was not significantly affected in P and F1 generations. A significant lower mean number of viable pups on PND1 was however recorded in cohort 1B at 25 mg/kg bw/d (p&lt;0.01).</w:t>
      </w:r>
    </w:p>
    <w:p w14:paraId="003FF53B"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At 25 mg/kg bw/d, on PND 1, body weights of F1 and F2 pups were decreased compared to controls with statistical significance in males (p&lt;0.01). The body weight returned to control values thereafter. </w:t>
      </w:r>
    </w:p>
    <w:p w14:paraId="30AF78A7"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Thus, the effect on the survival of pups during lactation between PND 1 to 4 in the F1 and F2 pups was considered as a critical effect in this study.</w:t>
      </w:r>
    </w:p>
    <w:p w14:paraId="56B47C8E" w14:textId="77777777" w:rsidR="00BC1D4B" w:rsidRDefault="00ED1F84">
      <w:pPr>
        <w:spacing w:after="160" w:line="259" w:lineRule="auto"/>
        <w:jc w:val="both"/>
        <w:rPr>
          <w:rFonts w:ascii="Verdana" w:eastAsia="Calibri" w:hAnsi="Verdana"/>
          <w:b/>
          <w:sz w:val="20"/>
          <w:szCs w:val="20"/>
          <w:lang w:val="en-US"/>
        </w:rPr>
      </w:pPr>
      <w:r>
        <w:rPr>
          <w:rFonts w:ascii="Verdana" w:eastAsia="Calibri" w:hAnsi="Verdana"/>
          <w:b/>
          <w:sz w:val="20"/>
          <w:szCs w:val="20"/>
          <w:lang w:val="en-US"/>
        </w:rPr>
        <w:lastRenderedPageBreak/>
        <w:t>Indeed, a statistically significant increase of mortality of F1 and F2 lactating pups was observed during PND 1 to 4, from 5 mg/kg bw/d in F1 and 15 mg/kg bw/d in F2.</w:t>
      </w:r>
    </w:p>
    <w:p w14:paraId="651B2C4D" w14:textId="77777777" w:rsidR="00BC1D4B" w:rsidRDefault="00ED1F84">
      <w:pPr>
        <w:spacing w:after="120"/>
        <w:ind w:right="-477"/>
        <w:jc w:val="both"/>
        <w:rPr>
          <w:b/>
          <w:lang w:val="en-US"/>
        </w:rPr>
      </w:pPr>
      <w:r>
        <w:rPr>
          <w:rFonts w:ascii="Verdana" w:hAnsi="Verdana"/>
          <w:b/>
          <w:sz w:val="20"/>
          <w:szCs w:val="20"/>
          <w:lang w:val="en-US"/>
        </w:rPr>
        <w:t>Table 12: Measured effect on the development of the offspring-mortality</w:t>
      </w:r>
    </w:p>
    <w:tbl>
      <w:tblPr>
        <w:tblW w:w="0" w:type="auto"/>
        <w:tblCellMar>
          <w:left w:w="0" w:type="dxa"/>
          <w:right w:w="0" w:type="dxa"/>
        </w:tblCellMar>
        <w:tblLook w:val="0600" w:firstRow="0" w:lastRow="0" w:firstColumn="0" w:lastColumn="0" w:noHBand="1" w:noVBand="1"/>
      </w:tblPr>
      <w:tblGrid>
        <w:gridCol w:w="2068"/>
        <w:gridCol w:w="1200"/>
        <w:gridCol w:w="1558"/>
        <w:gridCol w:w="1738"/>
        <w:gridCol w:w="1738"/>
      </w:tblGrid>
      <w:tr w:rsidR="00BC1D4B" w14:paraId="669093AF" w14:textId="77777777">
        <w:trPr>
          <w:trHeight w:val="652"/>
        </w:trPr>
        <w:tc>
          <w:tcPr>
            <w:tcW w:w="0" w:type="auto"/>
            <w:tcBorders>
              <w:top w:val="none" w:sz="4" w:space="0" w:color="000000"/>
              <w:left w:val="none" w:sz="4" w:space="0" w:color="000000"/>
              <w:bottom w:val="single" w:sz="8" w:space="0" w:color="5770BE"/>
              <w:right w:val="single" w:sz="8" w:space="0" w:color="5770BE"/>
            </w:tcBorders>
            <w:shd w:val="clear" w:color="auto" w:fill="auto"/>
            <w:tcMar>
              <w:top w:w="8" w:type="dxa"/>
              <w:left w:w="8" w:type="dxa"/>
              <w:bottom w:w="0" w:type="dxa"/>
              <w:right w:w="8" w:type="dxa"/>
            </w:tcMar>
            <w:vAlign w:val="bottom"/>
          </w:tcPr>
          <w:p w14:paraId="5E7F6235" w14:textId="77777777" w:rsidR="00BC1D4B" w:rsidRDefault="00ED1F84">
            <w:pPr>
              <w:spacing w:after="0" w:line="256" w:lineRule="auto"/>
              <w:rPr>
                <w:rFonts w:ascii="Verdana" w:hAnsi="Verdana" w:cs="Arial"/>
                <w:sz w:val="18"/>
                <w:szCs w:val="18"/>
                <w:lang w:val="en-US" w:eastAsia="fr-FR"/>
              </w:rPr>
            </w:pPr>
            <w:r>
              <w:rPr>
                <w:rFonts w:ascii="Verdana" w:hAnsi="Verdana" w:cs="Arial"/>
                <w:color w:val="000000"/>
                <w:sz w:val="18"/>
                <w:szCs w:val="18"/>
                <w:lang w:val="en-US" w:eastAsia="fr-FR"/>
              </w:rPr>
              <w:t> </w:t>
            </w:r>
          </w:p>
        </w:tc>
        <w:tc>
          <w:tcPr>
            <w:tcW w:w="0" w:type="auto"/>
            <w:gridSpan w:val="4"/>
            <w:tcBorders>
              <w:top w:val="single" w:sz="8" w:space="0" w:color="5770BE"/>
              <w:left w:val="single" w:sz="8" w:space="0" w:color="5770BE"/>
              <w:bottom w:val="single" w:sz="8" w:space="0" w:color="5770BE"/>
              <w:right w:val="single" w:sz="8" w:space="0" w:color="5770BE"/>
            </w:tcBorders>
            <w:shd w:val="clear" w:color="auto" w:fill="DDE2F2"/>
            <w:tcMar>
              <w:top w:w="8" w:type="dxa"/>
              <w:left w:w="8" w:type="dxa"/>
              <w:bottom w:w="0" w:type="dxa"/>
              <w:right w:w="8" w:type="dxa"/>
            </w:tcMar>
            <w:vAlign w:val="center"/>
          </w:tcPr>
          <w:p w14:paraId="57E77C18" w14:textId="77777777" w:rsidR="00BC1D4B" w:rsidRDefault="00ED1F84">
            <w:pPr>
              <w:spacing w:after="0" w:line="256" w:lineRule="auto"/>
              <w:jc w:val="center"/>
              <w:rPr>
                <w:rFonts w:ascii="Verdana" w:hAnsi="Verdana" w:cs="Arial"/>
                <w:sz w:val="18"/>
                <w:szCs w:val="18"/>
                <w:lang w:val="en-US" w:eastAsia="fr-FR"/>
              </w:rPr>
            </w:pPr>
            <w:r>
              <w:rPr>
                <w:rFonts w:ascii="Verdana" w:hAnsi="Verdana" w:cs="Arial"/>
                <w:color w:val="000000"/>
                <w:sz w:val="18"/>
                <w:szCs w:val="18"/>
                <w:lang w:val="en-US" w:eastAsia="fr-FR"/>
              </w:rPr>
              <w:t>Number of dead, missing and/or cannibalized pups at PND 1 to 4 (%)</w:t>
            </w:r>
          </w:p>
        </w:tc>
      </w:tr>
      <w:tr w:rsidR="00BC1D4B" w14:paraId="5FEA3FC4" w14:textId="77777777">
        <w:trPr>
          <w:trHeight w:val="543"/>
        </w:trPr>
        <w:tc>
          <w:tcPr>
            <w:tcW w:w="0" w:type="auto"/>
            <w:tcBorders>
              <w:top w:val="single" w:sz="8" w:space="0" w:color="5770BE"/>
              <w:left w:val="single" w:sz="8" w:space="0" w:color="5770BE"/>
              <w:bottom w:val="single" w:sz="8" w:space="0" w:color="5770BE"/>
              <w:right w:val="single" w:sz="8" w:space="0" w:color="5770BE"/>
            </w:tcBorders>
            <w:shd w:val="clear" w:color="auto" w:fill="DDE2F2"/>
            <w:tcMar>
              <w:top w:w="8" w:type="dxa"/>
              <w:left w:w="8" w:type="dxa"/>
              <w:bottom w:w="0" w:type="dxa"/>
              <w:right w:w="8" w:type="dxa"/>
            </w:tcMar>
            <w:vAlign w:val="center"/>
          </w:tcPr>
          <w:p w14:paraId="537EA126" w14:textId="77777777" w:rsidR="00BC1D4B" w:rsidRDefault="00ED1F84">
            <w:pPr>
              <w:spacing w:after="0" w:line="256" w:lineRule="auto"/>
              <w:jc w:val="center"/>
              <w:rPr>
                <w:rFonts w:ascii="Verdana" w:hAnsi="Verdana" w:cs="Arial"/>
                <w:sz w:val="18"/>
                <w:szCs w:val="18"/>
                <w:lang w:val="en-US" w:eastAsia="fr-FR"/>
              </w:rPr>
            </w:pPr>
            <w:r>
              <w:rPr>
                <w:rFonts w:ascii="Verdana" w:hAnsi="Verdana" w:cs="Arial"/>
                <w:bCs/>
                <w:color w:val="000000"/>
                <w:sz w:val="18"/>
                <w:szCs w:val="18"/>
                <w:lang w:val="en-US" w:eastAsia="fr-FR"/>
              </w:rPr>
              <w:t xml:space="preserve">Doses (mg/kg bw/day) </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3BF92352"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0</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5FCCC592"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5</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4DC46880"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15</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02E9D703"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25</w:t>
            </w:r>
          </w:p>
        </w:tc>
      </w:tr>
      <w:tr w:rsidR="00BC1D4B" w14:paraId="65F64E31" w14:textId="77777777">
        <w:trPr>
          <w:trHeight w:val="794"/>
        </w:trPr>
        <w:tc>
          <w:tcPr>
            <w:tcW w:w="0" w:type="auto"/>
            <w:tcBorders>
              <w:top w:val="single" w:sz="8" w:space="0" w:color="5770BE"/>
              <w:left w:val="single" w:sz="8" w:space="0" w:color="5770BE"/>
              <w:bottom w:val="single" w:sz="8" w:space="0" w:color="5770BE"/>
              <w:right w:val="single" w:sz="8" w:space="0" w:color="5770BE"/>
            </w:tcBorders>
            <w:shd w:val="clear" w:color="auto" w:fill="DDE2F2"/>
            <w:tcMar>
              <w:top w:w="8" w:type="dxa"/>
              <w:left w:w="8" w:type="dxa"/>
              <w:bottom w:w="0" w:type="dxa"/>
              <w:right w:w="8" w:type="dxa"/>
            </w:tcMar>
            <w:vAlign w:val="center"/>
          </w:tcPr>
          <w:p w14:paraId="389D2C74"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bCs/>
                <w:color w:val="000000"/>
                <w:sz w:val="18"/>
                <w:szCs w:val="18"/>
                <w:lang w:val="fr-FR" w:eastAsia="fr-FR"/>
              </w:rPr>
              <w:t>F1 pups</w:t>
            </w:r>
            <w:r>
              <w:rPr>
                <w:rFonts w:ascii="Verdana" w:hAnsi="Verdana" w:cs="Arial"/>
                <w:color w:val="000000"/>
                <w:sz w:val="18"/>
                <w:szCs w:val="18"/>
                <w:lang w:val="en-US" w:eastAsia="fr-FR"/>
              </w:rPr>
              <w:t xml:space="preserve"> </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00BF3E5A"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 xml:space="preserve">14 (4.9) </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43C7BEDD"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35 (12.5)*</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60F1F8A7"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47 (16.2)**</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3DDD1834"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 xml:space="preserve">82 (32.3)** </w:t>
            </w:r>
          </w:p>
        </w:tc>
      </w:tr>
      <w:tr w:rsidR="00BC1D4B" w14:paraId="37AA487D" w14:textId="77777777">
        <w:trPr>
          <w:trHeight w:val="794"/>
        </w:trPr>
        <w:tc>
          <w:tcPr>
            <w:tcW w:w="0" w:type="auto"/>
            <w:tcBorders>
              <w:top w:val="single" w:sz="8" w:space="0" w:color="5770BE"/>
              <w:left w:val="single" w:sz="8" w:space="0" w:color="5770BE"/>
              <w:bottom w:val="single" w:sz="8" w:space="0" w:color="5770BE"/>
              <w:right w:val="single" w:sz="8" w:space="0" w:color="5770BE"/>
            </w:tcBorders>
            <w:shd w:val="clear" w:color="auto" w:fill="DDE2F2"/>
            <w:tcMar>
              <w:top w:w="8" w:type="dxa"/>
              <w:left w:w="8" w:type="dxa"/>
              <w:bottom w:w="0" w:type="dxa"/>
              <w:right w:w="8" w:type="dxa"/>
            </w:tcMar>
            <w:vAlign w:val="center"/>
          </w:tcPr>
          <w:p w14:paraId="35229CB2" w14:textId="77777777" w:rsidR="00BC1D4B" w:rsidRDefault="00ED1F84">
            <w:pPr>
              <w:spacing w:after="0" w:line="256" w:lineRule="auto"/>
              <w:jc w:val="center"/>
              <w:rPr>
                <w:rFonts w:ascii="Verdana" w:hAnsi="Verdana" w:cs="Arial"/>
                <w:bCs/>
                <w:color w:val="000000"/>
                <w:sz w:val="18"/>
                <w:szCs w:val="18"/>
                <w:lang w:val="en-US" w:eastAsia="fr-FR"/>
              </w:rPr>
            </w:pPr>
            <w:r>
              <w:rPr>
                <w:rFonts w:ascii="Verdana" w:hAnsi="Verdana" w:cs="Arial"/>
                <w:bCs/>
                <w:color w:val="000000"/>
                <w:sz w:val="18"/>
                <w:szCs w:val="18"/>
                <w:lang w:val="en-US" w:eastAsia="fr-FR"/>
              </w:rPr>
              <w:t>F2 pups</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0BE22BEA" w14:textId="77777777" w:rsidR="00BC1D4B" w:rsidRDefault="00ED1F84">
            <w:pPr>
              <w:spacing w:after="0" w:line="256" w:lineRule="auto"/>
              <w:jc w:val="center"/>
              <w:rPr>
                <w:rFonts w:ascii="Verdana" w:hAnsi="Verdana" w:cs="Arial"/>
                <w:color w:val="000000"/>
                <w:sz w:val="18"/>
                <w:szCs w:val="18"/>
                <w:lang w:val="fr-FR" w:eastAsia="fr-FR"/>
              </w:rPr>
            </w:pPr>
            <w:r>
              <w:rPr>
                <w:rFonts w:ascii="Verdana" w:hAnsi="Verdana"/>
                <w:color w:val="000000"/>
                <w:sz w:val="18"/>
                <w:szCs w:val="18"/>
              </w:rPr>
              <w:t>2 (1.0)</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7EBB5BEA" w14:textId="77777777" w:rsidR="00BC1D4B" w:rsidRDefault="00ED1F84">
            <w:pPr>
              <w:spacing w:after="0" w:line="256" w:lineRule="auto"/>
              <w:jc w:val="center"/>
              <w:rPr>
                <w:rFonts w:ascii="Verdana" w:hAnsi="Verdana" w:cs="Arial"/>
                <w:color w:val="000000"/>
                <w:sz w:val="18"/>
                <w:szCs w:val="18"/>
                <w:lang w:val="fr-FR" w:eastAsia="fr-FR"/>
              </w:rPr>
            </w:pPr>
            <w:r>
              <w:rPr>
                <w:rFonts w:ascii="Verdana" w:hAnsi="Verdana"/>
                <w:color w:val="000000"/>
                <w:sz w:val="18"/>
                <w:szCs w:val="18"/>
              </w:rPr>
              <w:t>8 (3.4)</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74C20AC7" w14:textId="77777777" w:rsidR="00BC1D4B" w:rsidRDefault="00ED1F84">
            <w:pPr>
              <w:spacing w:after="0" w:line="256" w:lineRule="auto"/>
              <w:jc w:val="center"/>
              <w:rPr>
                <w:rFonts w:ascii="Verdana" w:hAnsi="Verdana" w:cs="Arial"/>
                <w:color w:val="000000"/>
                <w:sz w:val="18"/>
                <w:szCs w:val="18"/>
                <w:lang w:val="fr-FR" w:eastAsia="fr-FR"/>
              </w:rPr>
            </w:pPr>
            <w:r>
              <w:rPr>
                <w:rFonts w:ascii="Verdana" w:hAnsi="Verdana"/>
                <w:color w:val="000000"/>
                <w:sz w:val="18"/>
                <w:szCs w:val="18"/>
              </w:rPr>
              <w:t>56 (24.2)**</w:t>
            </w:r>
          </w:p>
        </w:tc>
        <w:tc>
          <w:tcPr>
            <w:tcW w:w="0" w:type="auto"/>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53246E5A" w14:textId="77777777" w:rsidR="00BC1D4B" w:rsidRDefault="00ED1F84">
            <w:pPr>
              <w:spacing w:after="0" w:line="256" w:lineRule="auto"/>
              <w:jc w:val="center"/>
              <w:rPr>
                <w:rFonts w:ascii="Verdana" w:hAnsi="Verdana" w:cs="Arial"/>
                <w:color w:val="000000"/>
                <w:sz w:val="18"/>
                <w:szCs w:val="18"/>
                <w:lang w:val="fr-FR" w:eastAsia="fr-FR"/>
              </w:rPr>
            </w:pPr>
            <w:r>
              <w:rPr>
                <w:rFonts w:ascii="Verdana" w:hAnsi="Verdana"/>
                <w:color w:val="000000"/>
                <w:sz w:val="18"/>
                <w:szCs w:val="18"/>
              </w:rPr>
              <w:t>73 (37.4)**</w:t>
            </w:r>
          </w:p>
        </w:tc>
      </w:tr>
    </w:tbl>
    <w:p w14:paraId="1AABBC6D" w14:textId="77777777" w:rsidR="00BC1D4B" w:rsidRDefault="00ED1F84">
      <w:pPr>
        <w:rPr>
          <w:rFonts w:ascii="Verdana" w:eastAsia="Calibri" w:hAnsi="Verdana"/>
          <w:bCs/>
          <w:sz w:val="20"/>
          <w:szCs w:val="20"/>
          <w:lang w:val="en-US"/>
        </w:rPr>
      </w:pPr>
      <w:r>
        <w:rPr>
          <w:rFonts w:ascii="Verdana" w:eastAsia="Calibri" w:hAnsi="Verdana"/>
          <w:bCs/>
          <w:sz w:val="20"/>
          <w:szCs w:val="20"/>
          <w:lang w:val="en-US"/>
        </w:rPr>
        <w:t>Statistical significance: *(p&lt;0.01) **(p&lt;0.001)</w:t>
      </w:r>
    </w:p>
    <w:p w14:paraId="49687358" w14:textId="77777777" w:rsidR="00BC1D4B" w:rsidRDefault="00ED1F84">
      <w:pPr>
        <w:spacing w:after="0"/>
        <w:jc w:val="both"/>
        <w:rPr>
          <w:rFonts w:ascii="Verdana" w:eastAsia="Calibri" w:hAnsi="Verdana"/>
          <w:b/>
          <w:bCs/>
          <w:sz w:val="20"/>
          <w:szCs w:val="20"/>
          <w:lang w:val="en-US"/>
        </w:rPr>
      </w:pPr>
      <w:r>
        <w:rPr>
          <w:rFonts w:ascii="Verdana" w:eastAsia="Calibri" w:hAnsi="Verdana"/>
          <w:b/>
          <w:bCs/>
          <w:sz w:val="20"/>
          <w:szCs w:val="20"/>
          <w:lang w:val="en-US"/>
        </w:rPr>
        <w:t xml:space="preserve">Other effects were considered as supporting data for reproductive toxicity, as they are consistent with the effects observed above but no statistical significance was attained. </w:t>
      </w:r>
    </w:p>
    <w:p w14:paraId="471DD754" w14:textId="77777777" w:rsidR="00BC1D4B" w:rsidRDefault="00ED1F84">
      <w:pPr>
        <w:spacing w:after="0"/>
        <w:jc w:val="both"/>
        <w:rPr>
          <w:rFonts w:ascii="Verdana" w:eastAsia="Calibri" w:hAnsi="Verdana"/>
          <w:b/>
          <w:bCs/>
          <w:sz w:val="20"/>
          <w:szCs w:val="20"/>
          <w:lang w:val="en-US"/>
        </w:rPr>
      </w:pPr>
      <w:r>
        <w:rPr>
          <w:rFonts w:ascii="Verdana" w:eastAsia="Calibri" w:hAnsi="Verdana"/>
          <w:b/>
          <w:bCs/>
          <w:sz w:val="20"/>
          <w:szCs w:val="20"/>
          <w:lang w:val="en-US"/>
        </w:rPr>
        <w:t xml:space="preserve"> </w:t>
      </w:r>
    </w:p>
    <w:p w14:paraId="5EDA7B9E" w14:textId="77777777" w:rsidR="00BC1D4B" w:rsidRDefault="00ED1F84">
      <w:pPr>
        <w:spacing w:after="0"/>
        <w:jc w:val="both"/>
        <w:rPr>
          <w:rFonts w:ascii="Verdana" w:eastAsia="Calibri" w:hAnsi="Verdana"/>
          <w:bCs/>
          <w:sz w:val="20"/>
          <w:szCs w:val="20"/>
          <w:lang w:val="en-US"/>
        </w:rPr>
      </w:pPr>
      <w:r>
        <w:rPr>
          <w:rFonts w:ascii="Verdana" w:eastAsia="Calibri" w:hAnsi="Verdana"/>
          <w:bCs/>
          <w:sz w:val="20"/>
          <w:szCs w:val="20"/>
          <w:lang w:val="en-US"/>
        </w:rPr>
        <w:t xml:space="preserve">A trend toward increased gestation period on an individual basis was observed in the P generation from 5 mg/kg bw/d. </w:t>
      </w:r>
    </w:p>
    <w:p w14:paraId="7EC54EE3" w14:textId="77777777" w:rsidR="00BC1D4B" w:rsidRDefault="00ED1F84">
      <w:pPr>
        <w:spacing w:after="0"/>
        <w:contextualSpacing/>
        <w:jc w:val="both"/>
        <w:rPr>
          <w:rFonts w:ascii="Verdana" w:eastAsia="Calibri" w:hAnsi="Verdana"/>
          <w:bCs/>
          <w:sz w:val="20"/>
          <w:szCs w:val="20"/>
        </w:rPr>
      </w:pPr>
      <w:r>
        <w:rPr>
          <w:rFonts w:ascii="Verdana" w:eastAsia="Calibri" w:hAnsi="Verdana"/>
          <w:bCs/>
          <w:sz w:val="20"/>
          <w:szCs w:val="20"/>
          <w:lang w:val="en-US"/>
        </w:rPr>
        <w:t xml:space="preserve">A tendency toward a lower </w:t>
      </w:r>
      <w:r>
        <w:rPr>
          <w:rFonts w:ascii="Verdana" w:eastAsia="Calibri" w:hAnsi="Verdana"/>
          <w:bCs/>
          <w:sz w:val="20"/>
          <w:szCs w:val="20"/>
        </w:rPr>
        <w:t>live birth index was recorded from 5 mg bw/kg bw/d in cohort 1B.</w:t>
      </w:r>
    </w:p>
    <w:p w14:paraId="72704948" w14:textId="77777777" w:rsidR="00BC1D4B" w:rsidRDefault="00ED1F84">
      <w:pPr>
        <w:contextualSpacing/>
        <w:rPr>
          <w:rFonts w:ascii="Verdana" w:eastAsia="Calibri" w:hAnsi="Verdana"/>
          <w:bCs/>
          <w:sz w:val="20"/>
          <w:szCs w:val="20"/>
        </w:rPr>
      </w:pPr>
      <w:r>
        <w:rPr>
          <w:rFonts w:ascii="Verdana" w:eastAsia="Calibri" w:hAnsi="Verdana"/>
          <w:bCs/>
          <w:sz w:val="20"/>
          <w:szCs w:val="20"/>
        </w:rPr>
        <w:t>A tendency toward an increase in post-implantation losses was seen in cohort 1B from 5mg/kg bw/d.</w:t>
      </w:r>
    </w:p>
    <w:p w14:paraId="58B841DF" w14:textId="77777777" w:rsidR="00BC1D4B" w:rsidRDefault="00BC1D4B">
      <w:pPr>
        <w:contextualSpacing/>
        <w:rPr>
          <w:rFonts w:ascii="Verdana" w:eastAsia="Calibri" w:hAnsi="Verdana"/>
          <w:bCs/>
          <w:sz w:val="20"/>
          <w:szCs w:val="20"/>
        </w:rPr>
      </w:pPr>
    </w:p>
    <w:p w14:paraId="2FC3E573" w14:textId="77777777" w:rsidR="00BC1D4B" w:rsidRDefault="00ED1F84">
      <w:pPr>
        <w:contextualSpacing/>
        <w:jc w:val="both"/>
        <w:rPr>
          <w:rFonts w:ascii="Verdana" w:eastAsia="Calibri" w:hAnsi="Verdana"/>
          <w:bCs/>
          <w:sz w:val="20"/>
          <w:szCs w:val="20"/>
          <w:lang w:val="en-US"/>
        </w:rPr>
      </w:pPr>
      <w:r>
        <w:rPr>
          <w:rFonts w:ascii="Verdana" w:hAnsi="Verdana"/>
          <w:sz w:val="20"/>
          <w:szCs w:val="20"/>
          <w:lang w:val="en-US"/>
        </w:rPr>
        <w:t xml:space="preserve">In addition, two </w:t>
      </w:r>
      <w:r>
        <w:rPr>
          <w:rFonts w:ascii="Verdana" w:hAnsi="Verdana"/>
          <w:sz w:val="20"/>
          <w:szCs w:val="20"/>
        </w:rPr>
        <w:t>females developed an adenocarcinoma in mammary gland, in the parental generation and in the F1 generation, at 5 mg/kg bw/d for the P and 25 mg/kg bw/d for the cohort 1B. There is no information to conclude if this effect was spontaneous or linked to the treatment.</w:t>
      </w:r>
      <w:r>
        <w:t xml:space="preserve"> </w:t>
      </w:r>
      <w:r>
        <w:rPr>
          <w:rFonts w:ascii="Verdana" w:eastAsia="Calibri" w:hAnsi="Verdana"/>
          <w:bCs/>
          <w:sz w:val="20"/>
          <w:szCs w:val="20"/>
          <w:lang w:val="en-US"/>
        </w:rPr>
        <w:t xml:space="preserve"> </w:t>
      </w:r>
    </w:p>
    <w:p w14:paraId="094633AA" w14:textId="77777777" w:rsidR="00BC1D4B" w:rsidRDefault="00BC1D4B">
      <w:pPr>
        <w:contextualSpacing/>
        <w:jc w:val="both"/>
        <w:rPr>
          <w:rFonts w:ascii="Verdana" w:eastAsia="Calibri" w:hAnsi="Verdana"/>
          <w:bCs/>
          <w:sz w:val="20"/>
          <w:szCs w:val="20"/>
          <w:lang w:val="en-US"/>
        </w:rPr>
      </w:pPr>
    </w:p>
    <w:p w14:paraId="6538ADCA"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bCs/>
          <w:sz w:val="20"/>
          <w:szCs w:val="20"/>
          <w:lang w:val="en-US"/>
        </w:rPr>
        <w:t xml:space="preserve">A LOAEL of 5 mg/kg bw/d was established and, thus, a NOAEL &lt; 5mg/kg bw/d for both fertility </w:t>
      </w:r>
      <w:r>
        <w:rPr>
          <w:rFonts w:ascii="Verdana" w:eastAsia="Calibri" w:hAnsi="Verdana"/>
          <w:sz w:val="20"/>
          <w:szCs w:val="20"/>
          <w:lang w:val="en-US"/>
        </w:rPr>
        <w:t xml:space="preserve">and developmental effects based on F1 pups mortality. </w:t>
      </w:r>
    </w:p>
    <w:p w14:paraId="4A6FFE97" w14:textId="77777777" w:rsidR="00BC1D4B" w:rsidRDefault="00BC1D4B">
      <w:pPr>
        <w:jc w:val="both"/>
        <w:rPr>
          <w:rFonts w:ascii="Verdana" w:eastAsia="Calibri" w:hAnsi="Verdana"/>
          <w:sz w:val="20"/>
          <w:szCs w:val="20"/>
          <w:u w:val="single"/>
          <w:lang w:val="en-US"/>
        </w:rPr>
      </w:pPr>
    </w:p>
    <w:p w14:paraId="4586C963" w14:textId="77777777" w:rsidR="00BC1D4B" w:rsidRDefault="00ED1F84">
      <w:pPr>
        <w:jc w:val="both"/>
        <w:rPr>
          <w:rFonts w:ascii="Verdana" w:eastAsia="Calibri" w:hAnsi="Verdana"/>
          <w:sz w:val="20"/>
          <w:szCs w:val="20"/>
          <w:u w:val="single"/>
          <w:lang w:val="en-US"/>
        </w:rPr>
      </w:pPr>
      <w:r>
        <w:rPr>
          <w:rFonts w:ascii="Verdana" w:eastAsia="Calibri" w:hAnsi="Verdana"/>
          <w:sz w:val="20"/>
          <w:szCs w:val="20"/>
          <w:u w:val="single"/>
          <w:lang w:val="en-US"/>
        </w:rPr>
        <w:t>DNEL derivation</w:t>
      </w:r>
    </w:p>
    <w:p w14:paraId="5EE8AF55"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 xml:space="preserve">The OECD TG 443 study is considered a key study for reproductive toxicity and the effects observed were considered relevant for DNEL derivation. Indeed, significant pups mortality was observed in F1 lactating pups from 5 mg/kg bw/d during PND1 to 4. The same tendency was recorded in F2 lactating pups with statistical significance at the mid dose. Considering the severity of this effect and its statistically significance at the lowest dose in F1, it was considered as the critical effect, and the LOAEL of 5 mg/kg bw/d as Point of Departure (PoD) for the calculation of the Derived no effect level (DNEL) for reproductive toxicity of DPG. </w:t>
      </w:r>
    </w:p>
    <w:p w14:paraId="1F9B3DF3"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Assessment factors are applied in accordance to ECHA guidance document R8</w:t>
      </w:r>
      <w:r>
        <w:rPr>
          <w:rFonts w:ascii="Verdana" w:eastAsia="Calibri" w:hAnsi="Verdana"/>
          <w:sz w:val="20"/>
          <w:szCs w:val="20"/>
          <w:vertAlign w:val="superscript"/>
          <w:lang w:val="en-US"/>
        </w:rPr>
        <w:t xml:space="preserve"> </w:t>
      </w:r>
      <w:r>
        <w:rPr>
          <w:rFonts w:ascii="Verdana" w:eastAsia="Calibri" w:hAnsi="Verdana"/>
          <w:sz w:val="20"/>
          <w:szCs w:val="20"/>
          <w:lang w:val="en-US"/>
        </w:rPr>
        <w:t xml:space="preserve">(ECHA, 2012), and are summarized in Table XXX and YY below: </w:t>
      </w:r>
    </w:p>
    <w:p w14:paraId="21A4669A" w14:textId="77777777" w:rsidR="00BC1D4B" w:rsidRDefault="00BC1D4B">
      <w:pPr>
        <w:spacing w:after="160" w:line="259" w:lineRule="auto"/>
        <w:jc w:val="both"/>
        <w:rPr>
          <w:rFonts w:ascii="Verdana" w:eastAsia="Calibri" w:hAnsi="Verdana"/>
          <w:sz w:val="20"/>
          <w:szCs w:val="20"/>
          <w:lang w:val="en-US"/>
        </w:rPr>
      </w:pPr>
    </w:p>
    <w:p w14:paraId="3B00D4D2" w14:textId="77777777" w:rsidR="00BC1D4B" w:rsidRDefault="00BC1D4B">
      <w:pPr>
        <w:spacing w:after="160" w:line="259" w:lineRule="auto"/>
        <w:jc w:val="both"/>
        <w:rPr>
          <w:rFonts w:ascii="Verdana" w:eastAsia="Calibri" w:hAnsi="Verdana"/>
          <w:sz w:val="20"/>
          <w:szCs w:val="20"/>
          <w:lang w:val="en-US"/>
        </w:rPr>
      </w:pPr>
    </w:p>
    <w:p w14:paraId="29F162F1" w14:textId="77777777" w:rsidR="00BC1D4B" w:rsidRDefault="00ED1F84">
      <w:pPr>
        <w:spacing w:after="160" w:line="259" w:lineRule="auto"/>
        <w:jc w:val="both"/>
        <w:rPr>
          <w:rFonts w:ascii="Verdana" w:eastAsia="Calibri" w:hAnsi="Verdana"/>
          <w:b/>
          <w:sz w:val="20"/>
          <w:szCs w:val="20"/>
          <w:lang w:val="en-US"/>
        </w:rPr>
      </w:pPr>
      <w:r>
        <w:rPr>
          <w:rFonts w:ascii="Verdana" w:eastAsia="Calibri" w:hAnsi="Verdana"/>
          <w:b/>
          <w:sz w:val="20"/>
          <w:szCs w:val="20"/>
          <w:lang w:val="en-US"/>
        </w:rPr>
        <w:lastRenderedPageBreak/>
        <w:t>Table 13: Summary of the assessment factors used in DNEL derivation for workers</w:t>
      </w:r>
    </w:p>
    <w:tbl>
      <w:tblPr>
        <w:tblW w:w="5000" w:type="pct"/>
        <w:tblCellMar>
          <w:left w:w="0" w:type="dxa"/>
          <w:right w:w="0" w:type="dxa"/>
        </w:tblCellMar>
        <w:tblLook w:val="0420" w:firstRow="1" w:lastRow="0" w:firstColumn="0" w:lastColumn="0" w:noHBand="0" w:noVBand="1"/>
      </w:tblPr>
      <w:tblGrid>
        <w:gridCol w:w="2684"/>
        <w:gridCol w:w="2804"/>
        <w:gridCol w:w="2804"/>
      </w:tblGrid>
      <w:tr w:rsidR="00BC1D4B" w14:paraId="5212C2BD" w14:textId="77777777">
        <w:trPr>
          <w:trHeight w:val="20"/>
        </w:trPr>
        <w:tc>
          <w:tcPr>
            <w:tcW w:w="1618" w:type="pct"/>
            <w:tcBorders>
              <w:top w:val="single" w:sz="8" w:space="0" w:color="FFFFFF"/>
              <w:left w:val="single" w:sz="8" w:space="0" w:color="FFFFFF"/>
              <w:bottom w:val="single" w:sz="24" w:space="0" w:color="FFFFFF"/>
              <w:right w:val="single" w:sz="8" w:space="0" w:color="FFFFFF"/>
            </w:tcBorders>
            <w:shd w:val="clear" w:color="auto" w:fill="5770BE"/>
            <w:tcMar>
              <w:top w:w="15" w:type="dxa"/>
              <w:left w:w="108" w:type="dxa"/>
              <w:bottom w:w="0" w:type="dxa"/>
              <w:right w:w="108" w:type="dxa"/>
            </w:tcMar>
            <w:vAlign w:val="center"/>
          </w:tcPr>
          <w:p w14:paraId="2C6D8B8C" w14:textId="77777777" w:rsidR="00BC1D4B" w:rsidRDefault="00ED1F84">
            <w:pPr>
              <w:spacing w:after="160" w:line="259" w:lineRule="auto"/>
              <w:jc w:val="center"/>
              <w:rPr>
                <w:rFonts w:ascii="Verdana" w:eastAsia="Calibri" w:hAnsi="Verdana"/>
                <w:color w:val="FFFFFF"/>
                <w:sz w:val="20"/>
                <w:szCs w:val="20"/>
                <w:lang w:val="en-US"/>
              </w:rPr>
            </w:pPr>
            <w:r>
              <w:rPr>
                <w:rFonts w:ascii="Verdana" w:eastAsia="Calibri" w:hAnsi="Verdana"/>
                <w:b/>
                <w:bCs/>
                <w:color w:val="FFFFFF"/>
                <w:sz w:val="20"/>
                <w:szCs w:val="20"/>
                <w:lang w:val="en-US"/>
              </w:rPr>
              <w:t>Starting point</w:t>
            </w:r>
          </w:p>
        </w:tc>
        <w:tc>
          <w:tcPr>
            <w:tcW w:w="1691" w:type="pct"/>
            <w:tcBorders>
              <w:top w:val="single" w:sz="8" w:space="0" w:color="FFFFFF"/>
              <w:left w:val="single" w:sz="8" w:space="0" w:color="FFFFFF"/>
              <w:bottom w:val="single" w:sz="24" w:space="0" w:color="FFFFFF"/>
              <w:right w:val="single" w:sz="8" w:space="0" w:color="FFFFFF"/>
            </w:tcBorders>
            <w:shd w:val="clear" w:color="auto" w:fill="5770BE"/>
            <w:tcMar>
              <w:top w:w="15" w:type="dxa"/>
              <w:left w:w="108" w:type="dxa"/>
              <w:bottom w:w="0" w:type="dxa"/>
              <w:right w:w="108" w:type="dxa"/>
            </w:tcMar>
          </w:tcPr>
          <w:p w14:paraId="018F4517" w14:textId="77777777" w:rsidR="00BC1D4B" w:rsidRDefault="00ED1F84">
            <w:pPr>
              <w:spacing w:after="160" w:line="259" w:lineRule="auto"/>
              <w:jc w:val="both"/>
              <w:rPr>
                <w:rFonts w:ascii="Verdana" w:eastAsia="Calibri" w:hAnsi="Verdana"/>
                <w:color w:val="FFFFFF"/>
                <w:sz w:val="20"/>
                <w:szCs w:val="20"/>
                <w:lang w:val="fr-FR"/>
              </w:rPr>
            </w:pPr>
            <w:r>
              <w:rPr>
                <w:rFonts w:ascii="Verdana" w:eastAsia="Calibri" w:hAnsi="Verdana"/>
                <w:b/>
                <w:bCs/>
                <w:color w:val="FFFFFF"/>
                <w:sz w:val="20"/>
                <w:szCs w:val="20"/>
                <w:lang w:val="en-US"/>
              </w:rPr>
              <w:t>Dermal</w:t>
            </w:r>
          </w:p>
        </w:tc>
        <w:tc>
          <w:tcPr>
            <w:tcW w:w="1691" w:type="pct"/>
            <w:tcBorders>
              <w:top w:val="single" w:sz="8" w:space="0" w:color="FFFFFF"/>
              <w:left w:val="single" w:sz="8" w:space="0" w:color="FFFFFF"/>
              <w:bottom w:val="single" w:sz="24" w:space="0" w:color="FFFFFF"/>
              <w:right w:val="single" w:sz="8" w:space="0" w:color="FFFFFF"/>
            </w:tcBorders>
            <w:shd w:val="clear" w:color="auto" w:fill="5770BE"/>
            <w:tcMar>
              <w:top w:w="72" w:type="dxa"/>
              <w:left w:w="144" w:type="dxa"/>
              <w:bottom w:w="72" w:type="dxa"/>
              <w:right w:w="144" w:type="dxa"/>
            </w:tcMar>
          </w:tcPr>
          <w:p w14:paraId="705A44EA" w14:textId="77777777" w:rsidR="00BC1D4B" w:rsidRDefault="00ED1F84">
            <w:pPr>
              <w:spacing w:after="160" w:line="259" w:lineRule="auto"/>
              <w:jc w:val="both"/>
              <w:rPr>
                <w:rFonts w:ascii="Verdana" w:eastAsia="Calibri" w:hAnsi="Verdana"/>
                <w:color w:val="FFFFFF"/>
                <w:sz w:val="20"/>
                <w:szCs w:val="20"/>
                <w:lang w:val="fr-FR"/>
              </w:rPr>
            </w:pPr>
            <w:r>
              <w:rPr>
                <w:rFonts w:ascii="Verdana" w:eastAsia="Calibri" w:hAnsi="Verdana"/>
                <w:b/>
                <w:bCs/>
                <w:color w:val="FFFFFF"/>
                <w:sz w:val="20"/>
                <w:szCs w:val="20"/>
                <w:lang w:val="fr-FR"/>
              </w:rPr>
              <w:t>Inhalation</w:t>
            </w:r>
          </w:p>
        </w:tc>
      </w:tr>
      <w:tr w:rsidR="00BC1D4B" w14:paraId="21EC85D6" w14:textId="77777777">
        <w:trPr>
          <w:trHeight w:val="20"/>
        </w:trPr>
        <w:tc>
          <w:tcPr>
            <w:tcW w:w="1618" w:type="pct"/>
            <w:tcBorders>
              <w:top w:val="single" w:sz="24"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vAlign w:val="center"/>
          </w:tcPr>
          <w:p w14:paraId="34C5AA19"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fr-FR"/>
              </w:rPr>
              <w:t>Correction for absorption</w:t>
            </w:r>
          </w:p>
        </w:tc>
        <w:tc>
          <w:tcPr>
            <w:tcW w:w="1691" w:type="pct"/>
            <w:tcBorders>
              <w:top w:val="single" w:sz="24"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vAlign w:val="center"/>
          </w:tcPr>
          <w:p w14:paraId="1E1B47F7"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10%</w:t>
            </w:r>
          </w:p>
        </w:tc>
        <w:tc>
          <w:tcPr>
            <w:tcW w:w="1691" w:type="pct"/>
            <w:tcBorders>
              <w:top w:val="single" w:sz="24" w:space="0" w:color="FFFFFF"/>
              <w:left w:val="single" w:sz="8" w:space="0" w:color="FFFFFF"/>
              <w:bottom w:val="single" w:sz="8" w:space="0" w:color="FFFFFF"/>
              <w:right w:val="single" w:sz="8" w:space="0" w:color="FFFFFF"/>
            </w:tcBorders>
            <w:shd w:val="clear" w:color="auto" w:fill="D1D5E8"/>
            <w:vAlign w:val="center"/>
          </w:tcPr>
          <w:p w14:paraId="17A4A221"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100%</w:t>
            </w:r>
          </w:p>
        </w:tc>
      </w:tr>
      <w:tr w:rsidR="00BC1D4B" w14:paraId="7F78C236" w14:textId="77777777">
        <w:trPr>
          <w:trHeight w:val="20"/>
        </w:trPr>
        <w:tc>
          <w:tcPr>
            <w:tcW w:w="1618" w:type="pct"/>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09D71EEA"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fr-FR"/>
              </w:rPr>
              <w:t xml:space="preserve">Corrected starting point  </w:t>
            </w:r>
          </w:p>
        </w:tc>
        <w:tc>
          <w:tcPr>
            <w:tcW w:w="1691" w:type="pct"/>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1CC9A504"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 xml:space="preserve">5 mg/kg bw/d x (7d/5d) : 10% </w:t>
            </w:r>
            <w:r>
              <w:rPr>
                <w:rFonts w:ascii="Wingdings" w:eastAsia="Wingdings" w:hAnsi="Wingdings" w:cs="Wingdings"/>
                <w:sz w:val="20"/>
                <w:szCs w:val="20"/>
                <w:lang w:val="fr-FR"/>
              </w:rPr>
              <w:t></w:t>
            </w:r>
            <w:r>
              <w:rPr>
                <w:rFonts w:ascii="Verdana" w:eastAsia="Calibri" w:hAnsi="Verdana"/>
                <w:sz w:val="20"/>
                <w:szCs w:val="20"/>
                <w:lang w:val="fr-FR"/>
              </w:rPr>
              <w:t xml:space="preserve"> </w:t>
            </w:r>
            <w:r>
              <w:rPr>
                <w:rFonts w:ascii="Verdana" w:eastAsia="Calibri" w:hAnsi="Verdana"/>
                <w:b/>
                <w:sz w:val="20"/>
                <w:szCs w:val="20"/>
                <w:lang w:val="fr-FR"/>
              </w:rPr>
              <w:t>70 mg/kg bw/d</w:t>
            </w:r>
            <w:r>
              <w:rPr>
                <w:rFonts w:ascii="Verdana" w:eastAsia="Calibri" w:hAnsi="Verdana"/>
                <w:sz w:val="20"/>
                <w:szCs w:val="20"/>
                <w:lang w:val="fr-FR"/>
              </w:rPr>
              <w:t xml:space="preserve"> </w:t>
            </w:r>
          </w:p>
        </w:tc>
        <w:tc>
          <w:tcPr>
            <w:tcW w:w="1691" w:type="pct"/>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7ECC5228" w14:textId="77777777" w:rsidR="00BC1D4B" w:rsidRDefault="00ED1F84">
            <w:pPr>
              <w:spacing w:after="160" w:line="259" w:lineRule="auto"/>
              <w:jc w:val="center"/>
              <w:rPr>
                <w:rFonts w:ascii="Verdana" w:eastAsia="Calibri" w:hAnsi="Verdana"/>
                <w:sz w:val="20"/>
                <w:szCs w:val="20"/>
                <w:lang w:val="en-US"/>
              </w:rPr>
            </w:pPr>
            <w:r>
              <w:rPr>
                <w:rFonts w:ascii="Verdana" w:eastAsia="Calibri" w:hAnsi="Verdana"/>
                <w:sz w:val="20"/>
                <w:szCs w:val="20"/>
                <w:lang w:val="en-US"/>
              </w:rPr>
              <w:t>5 mg/kg bw/d x (7d/5d)</w:t>
            </w:r>
            <w:r>
              <w:rPr>
                <w:rFonts w:ascii="Verdana" w:hAnsi="Verdana"/>
                <w:sz w:val="20"/>
                <w:szCs w:val="20"/>
              </w:rPr>
              <w:t xml:space="preserve"> x (1</w:t>
            </w:r>
            <w:r>
              <w:rPr>
                <w:rFonts w:ascii="Verdana" w:eastAsia="Calibri" w:hAnsi="Verdana"/>
                <w:sz w:val="20"/>
                <w:szCs w:val="20"/>
                <w:lang w:val="en-US"/>
              </w:rPr>
              <w:t>/0.38m</w:t>
            </w:r>
            <w:r>
              <w:rPr>
                <w:rFonts w:ascii="Verdana" w:eastAsia="Calibri" w:hAnsi="Verdana"/>
                <w:sz w:val="20"/>
                <w:szCs w:val="20"/>
                <w:vertAlign w:val="superscript"/>
                <w:lang w:val="en-US"/>
              </w:rPr>
              <w:t>3</w:t>
            </w:r>
            <w:r>
              <w:rPr>
                <w:rFonts w:ascii="Verdana" w:eastAsia="Calibri" w:hAnsi="Verdana"/>
                <w:sz w:val="20"/>
                <w:szCs w:val="20"/>
                <w:lang w:val="en-US"/>
              </w:rPr>
              <w:t>/kg/d) x (6.7m</w:t>
            </w:r>
            <w:r>
              <w:rPr>
                <w:rFonts w:ascii="Verdana" w:eastAsia="Calibri" w:hAnsi="Verdana"/>
                <w:sz w:val="20"/>
                <w:szCs w:val="20"/>
                <w:vertAlign w:val="superscript"/>
                <w:lang w:val="en-US"/>
              </w:rPr>
              <w:t>3</w:t>
            </w:r>
            <w:r>
              <w:rPr>
                <w:rFonts w:ascii="Verdana" w:eastAsia="Calibri" w:hAnsi="Verdana"/>
                <w:sz w:val="20"/>
                <w:szCs w:val="20"/>
                <w:lang w:val="en-US"/>
              </w:rPr>
              <w:t>/10m</w:t>
            </w:r>
            <w:r>
              <w:rPr>
                <w:rFonts w:ascii="Verdana" w:eastAsia="Calibri" w:hAnsi="Verdana"/>
                <w:sz w:val="20"/>
                <w:szCs w:val="20"/>
                <w:vertAlign w:val="superscript"/>
                <w:lang w:val="en-US"/>
              </w:rPr>
              <w:t>3</w:t>
            </w:r>
            <w:r>
              <w:rPr>
                <w:rFonts w:ascii="Verdana" w:eastAsia="Calibri" w:hAnsi="Verdana"/>
                <w:sz w:val="20"/>
                <w:szCs w:val="20"/>
                <w:lang w:val="en-US"/>
              </w:rPr>
              <w:t xml:space="preserve">) : 100% </w:t>
            </w:r>
            <w:r>
              <w:rPr>
                <w:rFonts w:ascii="Wingdings" w:eastAsia="Wingdings" w:hAnsi="Wingdings" w:cs="Wingdings"/>
                <w:sz w:val="20"/>
                <w:szCs w:val="20"/>
                <w:lang w:val="fr-FR"/>
              </w:rPr>
              <w:t></w:t>
            </w:r>
            <w:r>
              <w:rPr>
                <w:rFonts w:ascii="Verdana" w:eastAsia="Calibri" w:hAnsi="Verdana"/>
                <w:sz w:val="20"/>
                <w:szCs w:val="20"/>
                <w:lang w:val="en-US"/>
              </w:rPr>
              <w:t xml:space="preserve">  </w:t>
            </w:r>
            <w:r>
              <w:rPr>
                <w:rFonts w:ascii="Verdana" w:eastAsia="Calibri" w:hAnsi="Verdana"/>
                <w:b/>
                <w:sz w:val="20"/>
                <w:szCs w:val="20"/>
                <w:lang w:val="en-US"/>
              </w:rPr>
              <w:t>12.3 mg/m</w:t>
            </w:r>
            <w:r>
              <w:rPr>
                <w:rFonts w:ascii="Verdana" w:eastAsia="Calibri" w:hAnsi="Verdana"/>
                <w:b/>
                <w:sz w:val="20"/>
                <w:szCs w:val="20"/>
                <w:vertAlign w:val="superscript"/>
                <w:lang w:val="en-US"/>
              </w:rPr>
              <w:t>3</w:t>
            </w:r>
            <w:r>
              <w:rPr>
                <w:rFonts w:ascii="Verdana" w:eastAsia="Calibri" w:hAnsi="Verdana"/>
                <w:sz w:val="20"/>
                <w:szCs w:val="20"/>
                <w:lang w:val="en-US"/>
              </w:rPr>
              <w:t xml:space="preserve"> </w:t>
            </w:r>
          </w:p>
        </w:tc>
      </w:tr>
      <w:tr w:rsidR="00BC1D4B" w14:paraId="0DD10CF9" w14:textId="77777777">
        <w:trPr>
          <w:trHeight w:val="20"/>
        </w:trPr>
        <w:tc>
          <w:tcPr>
            <w:tcW w:w="1618" w:type="pct"/>
            <w:tcBorders>
              <w:top w:val="single" w:sz="8" w:space="0" w:color="FFFFFF"/>
              <w:left w:val="single" w:sz="8" w:space="0" w:color="FFFFFF"/>
              <w:bottom w:val="single" w:sz="8" w:space="0" w:color="FFFFFF"/>
              <w:right w:val="single" w:sz="8" w:space="0" w:color="FFFFFF"/>
            </w:tcBorders>
            <w:shd w:val="clear" w:color="auto" w:fill="5770BE"/>
            <w:tcMar>
              <w:top w:w="15" w:type="dxa"/>
              <w:left w:w="108" w:type="dxa"/>
              <w:bottom w:w="0" w:type="dxa"/>
              <w:right w:w="108" w:type="dxa"/>
            </w:tcMar>
          </w:tcPr>
          <w:p w14:paraId="56BF9138"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b/>
                <w:bCs/>
                <w:sz w:val="20"/>
                <w:szCs w:val="20"/>
                <w:lang w:val="en-US"/>
              </w:rPr>
              <w:t>Assessment factors- accounting for differences in:</w:t>
            </w:r>
          </w:p>
        </w:tc>
        <w:tc>
          <w:tcPr>
            <w:tcW w:w="1691" w:type="pct"/>
            <w:tcBorders>
              <w:top w:val="single" w:sz="8" w:space="0" w:color="FFFFFF"/>
              <w:left w:val="single" w:sz="8" w:space="0" w:color="FFFFFF"/>
              <w:bottom w:val="single" w:sz="24" w:space="0" w:color="FFFFFF"/>
              <w:right w:val="single" w:sz="8" w:space="0" w:color="FFFFFF"/>
            </w:tcBorders>
            <w:shd w:val="clear" w:color="auto" w:fill="5770BE"/>
            <w:tcMar>
              <w:top w:w="15" w:type="dxa"/>
              <w:left w:w="108" w:type="dxa"/>
              <w:bottom w:w="0" w:type="dxa"/>
              <w:right w:w="108" w:type="dxa"/>
            </w:tcMar>
            <w:vAlign w:val="center"/>
          </w:tcPr>
          <w:p w14:paraId="0E32F813" w14:textId="77777777" w:rsidR="00BC1D4B" w:rsidRDefault="00ED1F84">
            <w:pPr>
              <w:spacing w:after="160" w:line="259" w:lineRule="auto"/>
              <w:jc w:val="center"/>
              <w:rPr>
                <w:rFonts w:ascii="Verdana" w:eastAsia="Calibri" w:hAnsi="Verdana"/>
                <w:sz w:val="20"/>
                <w:szCs w:val="20"/>
                <w:lang w:val="en-US"/>
              </w:rPr>
            </w:pPr>
            <w:r>
              <w:rPr>
                <w:rFonts w:ascii="Verdana" w:eastAsia="Calibri" w:hAnsi="Verdana"/>
                <w:b/>
                <w:bCs/>
                <w:color w:val="FFFFFF"/>
                <w:sz w:val="20"/>
                <w:szCs w:val="20"/>
                <w:lang w:val="en-US"/>
              </w:rPr>
              <w:t>Dermal</w:t>
            </w:r>
          </w:p>
        </w:tc>
        <w:tc>
          <w:tcPr>
            <w:tcW w:w="1691" w:type="pct"/>
            <w:tcBorders>
              <w:top w:val="single" w:sz="8" w:space="0" w:color="FFFFFF"/>
              <w:left w:val="single" w:sz="8" w:space="0" w:color="FFFFFF"/>
              <w:bottom w:val="single" w:sz="24" w:space="0" w:color="FFFFFF"/>
              <w:right w:val="single" w:sz="8" w:space="0" w:color="FFFFFF"/>
            </w:tcBorders>
            <w:shd w:val="clear" w:color="auto" w:fill="5770BE"/>
            <w:vAlign w:val="center"/>
          </w:tcPr>
          <w:p w14:paraId="5463A580" w14:textId="77777777" w:rsidR="00BC1D4B" w:rsidRDefault="00ED1F84">
            <w:pPr>
              <w:spacing w:after="160" w:line="259" w:lineRule="auto"/>
              <w:jc w:val="center"/>
              <w:rPr>
                <w:rFonts w:ascii="Verdana" w:eastAsia="Calibri" w:hAnsi="Verdana"/>
                <w:sz w:val="20"/>
                <w:szCs w:val="20"/>
                <w:lang w:val="en-US"/>
              </w:rPr>
            </w:pPr>
            <w:r>
              <w:rPr>
                <w:rFonts w:ascii="Verdana" w:eastAsia="Calibri" w:hAnsi="Verdana"/>
                <w:b/>
                <w:bCs/>
                <w:color w:val="FFFFFF"/>
                <w:sz w:val="20"/>
                <w:szCs w:val="20"/>
                <w:lang w:val="fr-FR"/>
              </w:rPr>
              <w:t>Inhalation</w:t>
            </w:r>
          </w:p>
        </w:tc>
      </w:tr>
      <w:tr w:rsidR="00BC1D4B" w14:paraId="433E4A67" w14:textId="77777777">
        <w:trPr>
          <w:trHeight w:val="20"/>
        </w:trPr>
        <w:tc>
          <w:tcPr>
            <w:tcW w:w="1618" w:type="pct"/>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tcPr>
          <w:p w14:paraId="27EB6E65"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Intraspecies factor</w:t>
            </w:r>
          </w:p>
        </w:tc>
        <w:tc>
          <w:tcPr>
            <w:tcW w:w="1691" w:type="pct"/>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vAlign w:val="center"/>
          </w:tcPr>
          <w:p w14:paraId="0DF6EC8A"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5</w:t>
            </w:r>
          </w:p>
        </w:tc>
        <w:tc>
          <w:tcPr>
            <w:tcW w:w="1691" w:type="pct"/>
            <w:tcBorders>
              <w:top w:val="single" w:sz="8" w:space="0" w:color="FFFFFF"/>
              <w:left w:val="single" w:sz="8" w:space="0" w:color="FFFFFF"/>
              <w:bottom w:val="single" w:sz="8" w:space="0" w:color="FFFFFF"/>
              <w:right w:val="single" w:sz="8" w:space="0" w:color="FFFFFF"/>
            </w:tcBorders>
            <w:shd w:val="clear" w:color="auto" w:fill="D1D5E8"/>
            <w:vAlign w:val="center"/>
          </w:tcPr>
          <w:p w14:paraId="54DD276C"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5</w:t>
            </w:r>
          </w:p>
        </w:tc>
      </w:tr>
      <w:tr w:rsidR="00BC1D4B" w14:paraId="182B2B2C" w14:textId="77777777">
        <w:trPr>
          <w:trHeight w:val="20"/>
        </w:trPr>
        <w:tc>
          <w:tcPr>
            <w:tcW w:w="1618" w:type="pct"/>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tcPr>
          <w:p w14:paraId="47B92809"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Exposure duration</w:t>
            </w:r>
          </w:p>
        </w:tc>
        <w:tc>
          <w:tcPr>
            <w:tcW w:w="1691" w:type="pct"/>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2541BA36"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1</w:t>
            </w:r>
          </w:p>
        </w:tc>
        <w:tc>
          <w:tcPr>
            <w:tcW w:w="1691" w:type="pct"/>
            <w:tcBorders>
              <w:top w:val="single" w:sz="8" w:space="0" w:color="FFFFFF"/>
              <w:left w:val="single" w:sz="8" w:space="0" w:color="FFFFFF"/>
              <w:bottom w:val="single" w:sz="8" w:space="0" w:color="FFFFFF"/>
              <w:right w:val="single" w:sz="8" w:space="0" w:color="FFFFFF"/>
            </w:tcBorders>
            <w:shd w:val="clear" w:color="auto" w:fill="EAEBF4"/>
            <w:vAlign w:val="center"/>
          </w:tcPr>
          <w:p w14:paraId="65917465"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1</w:t>
            </w:r>
          </w:p>
        </w:tc>
      </w:tr>
      <w:tr w:rsidR="00BC1D4B" w14:paraId="77D80C20" w14:textId="77777777">
        <w:trPr>
          <w:trHeight w:val="20"/>
        </w:trPr>
        <w:tc>
          <w:tcPr>
            <w:tcW w:w="1618" w:type="pct"/>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tcPr>
          <w:p w14:paraId="4B2400B7"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Dose response/severity</w:t>
            </w:r>
          </w:p>
        </w:tc>
        <w:tc>
          <w:tcPr>
            <w:tcW w:w="1691" w:type="pct"/>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vAlign w:val="center"/>
          </w:tcPr>
          <w:p w14:paraId="3F3C3C21"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 xml:space="preserve">5 </w:t>
            </w:r>
          </w:p>
        </w:tc>
        <w:tc>
          <w:tcPr>
            <w:tcW w:w="1691" w:type="pct"/>
            <w:tcBorders>
              <w:top w:val="single" w:sz="8" w:space="0" w:color="FFFFFF"/>
              <w:left w:val="single" w:sz="8" w:space="0" w:color="FFFFFF"/>
              <w:bottom w:val="single" w:sz="8" w:space="0" w:color="FFFFFF"/>
              <w:right w:val="single" w:sz="8" w:space="0" w:color="FFFFFF"/>
            </w:tcBorders>
            <w:shd w:val="clear" w:color="auto" w:fill="D1D5E8"/>
            <w:vAlign w:val="center"/>
          </w:tcPr>
          <w:p w14:paraId="04DB9B0E"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5</w:t>
            </w:r>
          </w:p>
        </w:tc>
      </w:tr>
      <w:tr w:rsidR="00BC1D4B" w14:paraId="4F6C713F" w14:textId="77777777">
        <w:trPr>
          <w:trHeight w:val="20"/>
        </w:trPr>
        <w:tc>
          <w:tcPr>
            <w:tcW w:w="1618" w:type="pct"/>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tcPr>
          <w:p w14:paraId="36560FA0"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Data base quality</w:t>
            </w:r>
          </w:p>
        </w:tc>
        <w:tc>
          <w:tcPr>
            <w:tcW w:w="1691" w:type="pct"/>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1EA24B76"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1</w:t>
            </w:r>
          </w:p>
        </w:tc>
        <w:tc>
          <w:tcPr>
            <w:tcW w:w="1691" w:type="pct"/>
            <w:tcBorders>
              <w:top w:val="single" w:sz="8" w:space="0" w:color="FFFFFF"/>
              <w:left w:val="single" w:sz="8" w:space="0" w:color="FFFFFF"/>
              <w:bottom w:val="single" w:sz="8" w:space="0" w:color="FFFFFF"/>
              <w:right w:val="single" w:sz="8" w:space="0" w:color="FFFFFF"/>
            </w:tcBorders>
            <w:shd w:val="clear" w:color="auto" w:fill="EAEBF4"/>
            <w:vAlign w:val="center"/>
          </w:tcPr>
          <w:p w14:paraId="5335BBA4"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1</w:t>
            </w:r>
          </w:p>
        </w:tc>
      </w:tr>
      <w:tr w:rsidR="00BC1D4B" w14:paraId="0E84AFCA" w14:textId="77777777">
        <w:trPr>
          <w:trHeight w:val="20"/>
        </w:trPr>
        <w:tc>
          <w:tcPr>
            <w:tcW w:w="1618" w:type="pct"/>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tcPr>
          <w:p w14:paraId="0E416298"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Total assessment factor</w:t>
            </w:r>
          </w:p>
        </w:tc>
        <w:tc>
          <w:tcPr>
            <w:tcW w:w="1691" w:type="pct"/>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tcPr>
          <w:p w14:paraId="7D70197D"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250</w:t>
            </w:r>
          </w:p>
        </w:tc>
        <w:tc>
          <w:tcPr>
            <w:tcW w:w="1691" w:type="pct"/>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vAlign w:val="center"/>
          </w:tcPr>
          <w:p w14:paraId="508EBA0F"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62.5</w:t>
            </w:r>
          </w:p>
        </w:tc>
      </w:tr>
    </w:tbl>
    <w:p w14:paraId="13587FCC" w14:textId="77777777" w:rsidR="00BC1D4B" w:rsidRDefault="00BC1D4B">
      <w:pPr>
        <w:spacing w:after="160" w:line="259" w:lineRule="auto"/>
        <w:jc w:val="both"/>
        <w:rPr>
          <w:rFonts w:ascii="Verdana" w:eastAsia="Calibri" w:hAnsi="Verdana"/>
          <w:sz w:val="20"/>
          <w:szCs w:val="20"/>
        </w:rPr>
      </w:pPr>
    </w:p>
    <w:p w14:paraId="452B7D6A" w14:textId="77777777" w:rsidR="00BC1D4B" w:rsidRDefault="00ED1F84">
      <w:pPr>
        <w:spacing w:after="160" w:line="259" w:lineRule="auto"/>
        <w:jc w:val="both"/>
        <w:rPr>
          <w:rFonts w:ascii="Verdana" w:eastAsia="Calibri" w:hAnsi="Verdana"/>
          <w:sz w:val="20"/>
          <w:szCs w:val="20"/>
        </w:rPr>
      </w:pPr>
      <w:r>
        <w:rPr>
          <w:rFonts w:ascii="Verdana" w:eastAsia="Calibri" w:hAnsi="Verdana"/>
          <w:sz w:val="20"/>
          <w:szCs w:val="20"/>
        </w:rPr>
        <w:t>As evaluated in the Conclusion document (Anses, 2020), inhalation and oral absorption were considered 100% by default. A study conducted by Shah et al. (1985) demonstrated that DPG is slowly absorbed after dermal application to rats (around 10 % in rats). Thus, dermal absorption was considered 10% by default.</w:t>
      </w:r>
    </w:p>
    <w:p w14:paraId="30773036"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rPr>
        <w:t xml:space="preserve">Rats in the study are exposed 7/7 days whereas workers are exposed 5/7 days. An adjustment factor of 7/5 was added to correct the LOAEL for dermal and inhalation routes. </w:t>
      </w:r>
    </w:p>
    <w:p w14:paraId="67816640" w14:textId="77777777" w:rsidR="00BC1D4B" w:rsidRDefault="00ED1F84">
      <w:pPr>
        <w:spacing w:after="160" w:line="259" w:lineRule="auto"/>
        <w:jc w:val="both"/>
        <w:rPr>
          <w:rFonts w:ascii="Verdana" w:eastAsia="Calibri" w:hAnsi="Verdana"/>
          <w:sz w:val="20"/>
          <w:szCs w:val="20"/>
        </w:rPr>
      </w:pPr>
      <w:r>
        <w:rPr>
          <w:rFonts w:ascii="Verdana" w:eastAsia="Calibri" w:hAnsi="Verdana"/>
          <w:sz w:val="20"/>
          <w:szCs w:val="20"/>
        </w:rPr>
        <w:t xml:space="preserve">To establish the inhalation DNEL in workers, R8 guidance criteria were applied to correct the oral LOAEL based on </w:t>
      </w:r>
      <w:r>
        <w:rPr>
          <w:rFonts w:ascii="Verdana" w:hAnsi="Verdana"/>
          <w:sz w:val="20"/>
          <w:szCs w:val="20"/>
        </w:rPr>
        <w:t>a correction of respiratory volume for the relevant duration</w:t>
      </w:r>
      <w:r>
        <w:rPr>
          <w:rFonts w:ascii="Verdana" w:eastAsia="Calibri" w:hAnsi="Verdana"/>
          <w:sz w:val="20"/>
          <w:szCs w:val="20"/>
        </w:rPr>
        <w:t>: for a 8h of exposure, the respiratory volume of rats and humans are 0.38 m</w:t>
      </w:r>
      <w:r>
        <w:rPr>
          <w:rFonts w:ascii="Verdana" w:eastAsia="Calibri" w:hAnsi="Verdana"/>
          <w:sz w:val="20"/>
          <w:szCs w:val="20"/>
          <w:vertAlign w:val="superscript"/>
        </w:rPr>
        <w:t>3</w:t>
      </w:r>
      <w:r>
        <w:rPr>
          <w:rFonts w:ascii="Verdana" w:eastAsia="Calibri" w:hAnsi="Verdana"/>
          <w:sz w:val="20"/>
          <w:szCs w:val="20"/>
        </w:rPr>
        <w:t>/kg bw/d and 6.7 m</w:t>
      </w:r>
      <w:r>
        <w:rPr>
          <w:rFonts w:ascii="Verdana" w:eastAsia="Calibri" w:hAnsi="Verdana"/>
          <w:sz w:val="20"/>
          <w:szCs w:val="20"/>
          <w:vertAlign w:val="superscript"/>
        </w:rPr>
        <w:t>3</w:t>
      </w:r>
      <w:r>
        <w:rPr>
          <w:rFonts w:ascii="Verdana" w:eastAsia="Calibri" w:hAnsi="Verdana"/>
          <w:sz w:val="20"/>
          <w:szCs w:val="20"/>
        </w:rPr>
        <w:t>, respectively. The worker respiratory volume for light activity (8h exposure) is 10 m</w:t>
      </w:r>
      <w:r>
        <w:rPr>
          <w:rFonts w:ascii="Verdana" w:eastAsia="Calibri" w:hAnsi="Verdana"/>
          <w:sz w:val="20"/>
          <w:szCs w:val="20"/>
          <w:vertAlign w:val="superscript"/>
        </w:rPr>
        <w:t>3</w:t>
      </w:r>
      <w:r>
        <w:rPr>
          <w:rFonts w:ascii="Verdana" w:eastAsia="Calibri" w:hAnsi="Verdana"/>
          <w:sz w:val="20"/>
          <w:szCs w:val="20"/>
        </w:rPr>
        <w:t xml:space="preserve">/person. </w:t>
      </w:r>
    </w:p>
    <w:p w14:paraId="6A3C8EE6" w14:textId="77777777" w:rsidR="00BC1D4B" w:rsidRDefault="00ED1F84">
      <w:pPr>
        <w:spacing w:after="160" w:line="259" w:lineRule="auto"/>
        <w:jc w:val="both"/>
        <w:rPr>
          <w:rFonts w:ascii="Verdana" w:eastAsia="Calibri" w:hAnsi="Verdana"/>
          <w:b/>
          <w:sz w:val="20"/>
          <w:szCs w:val="20"/>
          <w:lang w:val="en-US"/>
        </w:rPr>
      </w:pPr>
      <w:r>
        <w:rPr>
          <w:rFonts w:ascii="Verdana" w:eastAsia="Calibri" w:hAnsi="Verdana"/>
          <w:b/>
          <w:sz w:val="20"/>
          <w:szCs w:val="20"/>
          <w:lang w:val="en-US"/>
        </w:rPr>
        <w:t>Table 14: Summary of the assessment factors used in DNEL derivation for consumers</w:t>
      </w:r>
    </w:p>
    <w:tbl>
      <w:tblPr>
        <w:tblW w:w="0" w:type="auto"/>
        <w:tblCellMar>
          <w:left w:w="0" w:type="dxa"/>
          <w:right w:w="0" w:type="dxa"/>
        </w:tblCellMar>
        <w:tblLook w:val="0420" w:firstRow="1" w:lastRow="0" w:firstColumn="0" w:lastColumn="0" w:noHBand="0" w:noVBand="1"/>
      </w:tblPr>
      <w:tblGrid>
        <w:gridCol w:w="2695"/>
        <w:gridCol w:w="1865"/>
        <w:gridCol w:w="1951"/>
        <w:gridCol w:w="1781"/>
      </w:tblGrid>
      <w:tr w:rsidR="00BC1D4B" w14:paraId="099DA68F" w14:textId="77777777">
        <w:trPr>
          <w:trHeight w:val="20"/>
        </w:trPr>
        <w:tc>
          <w:tcPr>
            <w:tcW w:w="2695" w:type="dxa"/>
            <w:tcBorders>
              <w:top w:val="single" w:sz="8" w:space="0" w:color="FFFFFF"/>
              <w:left w:val="single" w:sz="8" w:space="0" w:color="FFFFFF"/>
              <w:bottom w:val="single" w:sz="24" w:space="0" w:color="FFFFFF"/>
              <w:right w:val="single" w:sz="8" w:space="0" w:color="FFFFFF"/>
            </w:tcBorders>
            <w:shd w:val="clear" w:color="auto" w:fill="5770BE"/>
            <w:tcMar>
              <w:top w:w="15" w:type="dxa"/>
              <w:left w:w="108" w:type="dxa"/>
              <w:bottom w:w="0" w:type="dxa"/>
              <w:right w:w="108" w:type="dxa"/>
            </w:tcMar>
          </w:tcPr>
          <w:p w14:paraId="3042EBBE" w14:textId="77777777" w:rsidR="00BC1D4B" w:rsidRDefault="00ED1F84">
            <w:pPr>
              <w:spacing w:after="160" w:line="259" w:lineRule="auto"/>
              <w:jc w:val="both"/>
              <w:rPr>
                <w:rFonts w:ascii="Verdana" w:eastAsia="Calibri" w:hAnsi="Verdana"/>
                <w:color w:val="FFFFFF"/>
                <w:sz w:val="20"/>
                <w:szCs w:val="20"/>
                <w:lang w:val="en-US"/>
              </w:rPr>
            </w:pPr>
            <w:r>
              <w:rPr>
                <w:rFonts w:ascii="Verdana" w:eastAsia="Calibri" w:hAnsi="Verdana"/>
                <w:b/>
                <w:bCs/>
                <w:color w:val="FFFFFF"/>
                <w:sz w:val="20"/>
                <w:szCs w:val="20"/>
                <w:lang w:val="en-US"/>
              </w:rPr>
              <w:t>Starting point</w:t>
            </w:r>
          </w:p>
        </w:tc>
        <w:tc>
          <w:tcPr>
            <w:tcW w:w="1865" w:type="dxa"/>
            <w:tcBorders>
              <w:top w:val="single" w:sz="8" w:space="0" w:color="FFFFFF"/>
              <w:left w:val="single" w:sz="8" w:space="0" w:color="FFFFFF"/>
              <w:bottom w:val="single" w:sz="24" w:space="0" w:color="FFFFFF"/>
              <w:right w:val="single" w:sz="8" w:space="0" w:color="FFFFFF"/>
            </w:tcBorders>
            <w:shd w:val="clear" w:color="auto" w:fill="5770BE"/>
            <w:tcMar>
              <w:top w:w="15" w:type="dxa"/>
              <w:left w:w="108" w:type="dxa"/>
              <w:bottom w:w="0" w:type="dxa"/>
              <w:right w:w="108" w:type="dxa"/>
            </w:tcMar>
          </w:tcPr>
          <w:p w14:paraId="125A97DE" w14:textId="77777777" w:rsidR="00BC1D4B" w:rsidRDefault="00ED1F84">
            <w:pPr>
              <w:spacing w:after="160" w:line="259" w:lineRule="auto"/>
              <w:jc w:val="both"/>
              <w:rPr>
                <w:rFonts w:ascii="Verdana" w:eastAsia="Calibri" w:hAnsi="Verdana"/>
                <w:color w:val="FFFFFF"/>
                <w:sz w:val="20"/>
                <w:szCs w:val="20"/>
                <w:lang w:val="fr-FR"/>
              </w:rPr>
            </w:pPr>
            <w:r>
              <w:rPr>
                <w:rFonts w:ascii="Verdana" w:eastAsia="Calibri" w:hAnsi="Verdana"/>
                <w:b/>
                <w:bCs/>
                <w:color w:val="FFFFFF"/>
                <w:sz w:val="20"/>
                <w:szCs w:val="20"/>
                <w:lang w:val="en-US"/>
              </w:rPr>
              <w:t>Dermal</w:t>
            </w:r>
          </w:p>
        </w:tc>
        <w:tc>
          <w:tcPr>
            <w:tcW w:w="1951" w:type="dxa"/>
            <w:tcBorders>
              <w:top w:val="single" w:sz="8" w:space="0" w:color="FFFFFF"/>
              <w:left w:val="single" w:sz="8" w:space="0" w:color="FFFFFF"/>
              <w:bottom w:val="single" w:sz="24" w:space="0" w:color="FFFFFF"/>
              <w:right w:val="single" w:sz="8" w:space="0" w:color="FFFFFF"/>
            </w:tcBorders>
            <w:shd w:val="clear" w:color="auto" w:fill="5770BE"/>
            <w:tcMar>
              <w:top w:w="72" w:type="dxa"/>
              <w:left w:w="144" w:type="dxa"/>
              <w:bottom w:w="72" w:type="dxa"/>
              <w:right w:w="144" w:type="dxa"/>
            </w:tcMar>
          </w:tcPr>
          <w:p w14:paraId="3880C9D5" w14:textId="77777777" w:rsidR="00BC1D4B" w:rsidRDefault="00ED1F84">
            <w:pPr>
              <w:spacing w:after="160" w:line="259" w:lineRule="auto"/>
              <w:jc w:val="both"/>
              <w:rPr>
                <w:rFonts w:ascii="Verdana" w:eastAsia="Calibri" w:hAnsi="Verdana"/>
                <w:color w:val="FFFFFF"/>
                <w:sz w:val="20"/>
                <w:szCs w:val="20"/>
                <w:lang w:val="fr-FR"/>
              </w:rPr>
            </w:pPr>
            <w:r>
              <w:rPr>
                <w:rFonts w:ascii="Verdana" w:eastAsia="Calibri" w:hAnsi="Verdana"/>
                <w:b/>
                <w:bCs/>
                <w:color w:val="FFFFFF"/>
                <w:sz w:val="20"/>
                <w:szCs w:val="20"/>
                <w:lang w:val="fr-FR"/>
              </w:rPr>
              <w:t>Inhalation</w:t>
            </w:r>
          </w:p>
        </w:tc>
        <w:tc>
          <w:tcPr>
            <w:tcW w:w="1781" w:type="dxa"/>
            <w:tcBorders>
              <w:top w:val="single" w:sz="8" w:space="0" w:color="FFFFFF"/>
              <w:left w:val="single" w:sz="8" w:space="0" w:color="FFFFFF"/>
              <w:bottom w:val="single" w:sz="24" w:space="0" w:color="FFFFFF"/>
              <w:right w:val="single" w:sz="8" w:space="0" w:color="FFFFFF"/>
            </w:tcBorders>
            <w:shd w:val="clear" w:color="auto" w:fill="5770BE"/>
            <w:tcMar>
              <w:top w:w="72" w:type="dxa"/>
              <w:left w:w="144" w:type="dxa"/>
              <w:bottom w:w="72" w:type="dxa"/>
              <w:right w:w="144" w:type="dxa"/>
            </w:tcMar>
          </w:tcPr>
          <w:p w14:paraId="3FCBD455" w14:textId="77777777" w:rsidR="00BC1D4B" w:rsidRDefault="00ED1F84">
            <w:pPr>
              <w:spacing w:after="160" w:line="259" w:lineRule="auto"/>
              <w:jc w:val="both"/>
              <w:rPr>
                <w:rFonts w:ascii="Verdana" w:eastAsia="Calibri" w:hAnsi="Verdana"/>
                <w:color w:val="FFFFFF"/>
                <w:sz w:val="20"/>
                <w:szCs w:val="20"/>
                <w:lang w:val="fr-FR"/>
              </w:rPr>
            </w:pPr>
            <w:r>
              <w:rPr>
                <w:rFonts w:ascii="Verdana" w:eastAsia="Calibri" w:hAnsi="Verdana"/>
                <w:b/>
                <w:bCs/>
                <w:color w:val="FFFFFF"/>
                <w:sz w:val="20"/>
                <w:szCs w:val="20"/>
                <w:lang w:val="fr-FR"/>
              </w:rPr>
              <w:t>Oral</w:t>
            </w:r>
          </w:p>
        </w:tc>
      </w:tr>
      <w:tr w:rsidR="00BC1D4B" w14:paraId="141BC508" w14:textId="77777777">
        <w:trPr>
          <w:trHeight w:val="20"/>
        </w:trPr>
        <w:tc>
          <w:tcPr>
            <w:tcW w:w="2695"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000B8216"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fr-FR"/>
              </w:rPr>
              <w:t>Correction for absorption</w:t>
            </w:r>
          </w:p>
        </w:tc>
        <w:tc>
          <w:tcPr>
            <w:tcW w:w="1865"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548A3A11" w14:textId="77777777" w:rsidR="00BC1D4B" w:rsidRDefault="00ED1F84">
            <w:pPr>
              <w:spacing w:after="160" w:line="259" w:lineRule="auto"/>
              <w:jc w:val="center"/>
              <w:rPr>
                <w:rFonts w:ascii="Verdana" w:eastAsia="Calibri" w:hAnsi="Verdana"/>
                <w:sz w:val="20"/>
                <w:szCs w:val="20"/>
                <w:lang w:val="en-US"/>
              </w:rPr>
            </w:pPr>
            <w:r>
              <w:rPr>
                <w:rFonts w:ascii="Verdana" w:eastAsia="Calibri" w:hAnsi="Verdana"/>
                <w:sz w:val="20"/>
                <w:szCs w:val="20"/>
                <w:lang w:val="en-US"/>
              </w:rPr>
              <w:t>10%</w:t>
            </w:r>
          </w:p>
        </w:tc>
        <w:tc>
          <w:tcPr>
            <w:tcW w:w="1951" w:type="dxa"/>
            <w:tcBorders>
              <w:top w:val="single" w:sz="8" w:space="0" w:color="FFFFFF"/>
              <w:left w:val="single" w:sz="8" w:space="0" w:color="FFFFFF"/>
              <w:bottom w:val="single" w:sz="8" w:space="0" w:color="FFFFFF"/>
              <w:right w:val="single" w:sz="8" w:space="0" w:color="FFFFFF"/>
            </w:tcBorders>
            <w:shd w:val="clear" w:color="auto" w:fill="EAEBF4"/>
            <w:vAlign w:val="center"/>
          </w:tcPr>
          <w:p w14:paraId="55E2813B"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100%</w:t>
            </w:r>
          </w:p>
        </w:tc>
        <w:tc>
          <w:tcPr>
            <w:tcW w:w="1781" w:type="dxa"/>
            <w:tcBorders>
              <w:top w:val="single" w:sz="8" w:space="0" w:color="FFFFFF"/>
              <w:left w:val="single" w:sz="8" w:space="0" w:color="FFFFFF"/>
              <w:bottom w:val="single" w:sz="8" w:space="0" w:color="FFFFFF"/>
              <w:right w:val="single" w:sz="8" w:space="0" w:color="FFFFFF"/>
            </w:tcBorders>
            <w:shd w:val="clear" w:color="auto" w:fill="EAEBF4"/>
            <w:vAlign w:val="center"/>
          </w:tcPr>
          <w:p w14:paraId="6D84A0DA"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100%</w:t>
            </w:r>
          </w:p>
        </w:tc>
      </w:tr>
      <w:tr w:rsidR="00BC1D4B" w14:paraId="5EB37DE4" w14:textId="77777777">
        <w:trPr>
          <w:trHeight w:val="20"/>
        </w:trPr>
        <w:tc>
          <w:tcPr>
            <w:tcW w:w="2695"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086284DF"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fr-FR"/>
              </w:rPr>
              <w:t xml:space="preserve">Corrected starting point </w:t>
            </w:r>
          </w:p>
        </w:tc>
        <w:tc>
          <w:tcPr>
            <w:tcW w:w="1865"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469024FF" w14:textId="77777777" w:rsidR="00BC1D4B" w:rsidRDefault="00ED1F84">
            <w:pPr>
              <w:spacing w:after="160" w:line="259" w:lineRule="auto"/>
              <w:jc w:val="center"/>
              <w:rPr>
                <w:rFonts w:ascii="Verdana" w:eastAsia="Calibri" w:hAnsi="Verdana"/>
                <w:sz w:val="20"/>
                <w:szCs w:val="20"/>
                <w:lang w:val="en-US"/>
              </w:rPr>
            </w:pPr>
            <w:r>
              <w:rPr>
                <w:rFonts w:ascii="Verdana" w:eastAsia="Calibri" w:hAnsi="Verdana"/>
                <w:sz w:val="20"/>
                <w:szCs w:val="20"/>
                <w:lang w:val="en-US"/>
              </w:rPr>
              <w:t xml:space="preserve">5 mg/kg bw/d : 10% </w:t>
            </w:r>
            <w:r>
              <w:rPr>
                <w:rFonts w:ascii="Wingdings" w:eastAsia="Wingdings" w:hAnsi="Wingdings" w:cs="Wingdings"/>
                <w:sz w:val="20"/>
                <w:szCs w:val="20"/>
                <w:lang w:val="fr-FR"/>
              </w:rPr>
              <w:t></w:t>
            </w:r>
            <w:r>
              <w:rPr>
                <w:rFonts w:ascii="Verdana" w:eastAsia="Calibri" w:hAnsi="Verdana"/>
                <w:sz w:val="20"/>
                <w:szCs w:val="20"/>
                <w:lang w:val="en-US"/>
              </w:rPr>
              <w:t xml:space="preserve"> </w:t>
            </w:r>
            <w:r>
              <w:rPr>
                <w:rFonts w:ascii="Verdana" w:eastAsia="Calibri" w:hAnsi="Verdana"/>
                <w:b/>
                <w:sz w:val="20"/>
                <w:szCs w:val="20"/>
                <w:lang w:val="en-US"/>
              </w:rPr>
              <w:t>50 mg/kg bw/d</w:t>
            </w:r>
            <w:r>
              <w:rPr>
                <w:rFonts w:ascii="Verdana" w:eastAsia="Calibri" w:hAnsi="Verdana"/>
                <w:sz w:val="20"/>
                <w:szCs w:val="20"/>
                <w:lang w:val="en-US"/>
              </w:rPr>
              <w:t xml:space="preserve"> </w:t>
            </w:r>
          </w:p>
        </w:tc>
        <w:tc>
          <w:tcPr>
            <w:tcW w:w="1951" w:type="dxa"/>
            <w:tcBorders>
              <w:top w:val="single" w:sz="8" w:space="0" w:color="FFFFFF"/>
              <w:left w:val="single" w:sz="8" w:space="0" w:color="FFFFFF"/>
              <w:bottom w:val="single" w:sz="8" w:space="0" w:color="FFFFFF"/>
              <w:right w:val="single" w:sz="8" w:space="0" w:color="FFFFFF"/>
            </w:tcBorders>
            <w:shd w:val="clear" w:color="auto" w:fill="EAEBF4"/>
            <w:vAlign w:val="center"/>
          </w:tcPr>
          <w:p w14:paraId="22E81724" w14:textId="77777777" w:rsidR="00BC1D4B" w:rsidRDefault="00ED1F84">
            <w:pPr>
              <w:spacing w:after="160" w:line="259" w:lineRule="auto"/>
              <w:jc w:val="center"/>
              <w:rPr>
                <w:rFonts w:ascii="Verdana" w:eastAsia="Calibri" w:hAnsi="Verdana"/>
                <w:sz w:val="20"/>
                <w:szCs w:val="20"/>
                <w:lang w:val="en-US"/>
              </w:rPr>
            </w:pPr>
            <w:r>
              <w:rPr>
                <w:rFonts w:ascii="Verdana" w:eastAsia="Calibri" w:hAnsi="Verdana"/>
                <w:sz w:val="20"/>
                <w:szCs w:val="20"/>
                <w:lang w:val="en-US"/>
              </w:rPr>
              <w:t>5 mg/kg bw/d x (1/ 1.15m</w:t>
            </w:r>
            <w:r>
              <w:rPr>
                <w:rFonts w:ascii="Verdana" w:eastAsia="Calibri" w:hAnsi="Verdana"/>
                <w:sz w:val="20"/>
                <w:szCs w:val="20"/>
                <w:vertAlign w:val="superscript"/>
                <w:lang w:val="en-US"/>
              </w:rPr>
              <w:t>3</w:t>
            </w:r>
            <w:r>
              <w:rPr>
                <w:rFonts w:ascii="Verdana" w:eastAsia="Calibri" w:hAnsi="Verdana"/>
                <w:sz w:val="20"/>
                <w:szCs w:val="20"/>
                <w:lang w:val="en-US"/>
              </w:rPr>
              <w:t xml:space="preserve">/kg/day) : </w:t>
            </w:r>
            <w:r>
              <w:rPr>
                <w:rFonts w:ascii="Verdana" w:eastAsia="Calibri" w:hAnsi="Verdana"/>
                <w:sz w:val="20"/>
                <w:szCs w:val="20"/>
                <w:lang w:val="en-US"/>
              </w:rPr>
              <w:lastRenderedPageBreak/>
              <w:t xml:space="preserve">100% </w:t>
            </w:r>
            <w:r>
              <w:rPr>
                <w:rFonts w:ascii="Wingdings" w:eastAsia="Wingdings" w:hAnsi="Wingdings" w:cs="Wingdings"/>
                <w:sz w:val="20"/>
                <w:szCs w:val="20"/>
                <w:lang w:val="fr-FR"/>
              </w:rPr>
              <w:t></w:t>
            </w:r>
            <w:r>
              <w:rPr>
                <w:rFonts w:ascii="Verdana" w:eastAsia="Calibri" w:hAnsi="Verdana"/>
                <w:sz w:val="20"/>
                <w:szCs w:val="20"/>
                <w:lang w:val="en-US"/>
              </w:rPr>
              <w:t xml:space="preserve"> </w:t>
            </w:r>
            <w:r>
              <w:rPr>
                <w:rFonts w:ascii="Verdana" w:eastAsia="Calibri" w:hAnsi="Verdana"/>
                <w:b/>
                <w:sz w:val="20"/>
                <w:szCs w:val="20"/>
                <w:lang w:val="en-US"/>
              </w:rPr>
              <w:t>4.35 mg/m</w:t>
            </w:r>
            <w:r>
              <w:rPr>
                <w:rFonts w:ascii="Verdana" w:eastAsia="Calibri" w:hAnsi="Verdana"/>
                <w:b/>
                <w:sz w:val="20"/>
                <w:szCs w:val="20"/>
                <w:vertAlign w:val="superscript"/>
                <w:lang w:val="en-US"/>
              </w:rPr>
              <w:t>3</w:t>
            </w:r>
            <w:r>
              <w:rPr>
                <w:rFonts w:ascii="Verdana" w:eastAsia="Calibri" w:hAnsi="Verdana"/>
                <w:sz w:val="20"/>
                <w:szCs w:val="20"/>
                <w:lang w:val="en-US"/>
              </w:rPr>
              <w:t xml:space="preserve"> </w:t>
            </w:r>
          </w:p>
          <w:p w14:paraId="3CCC8503" w14:textId="77777777" w:rsidR="00BC1D4B" w:rsidRDefault="00BC1D4B">
            <w:pPr>
              <w:spacing w:after="160" w:line="259" w:lineRule="auto"/>
              <w:jc w:val="center"/>
              <w:rPr>
                <w:rFonts w:ascii="Verdana" w:eastAsia="Calibri" w:hAnsi="Verdana"/>
                <w:sz w:val="20"/>
                <w:szCs w:val="20"/>
                <w:lang w:val="en-US"/>
              </w:rPr>
            </w:pPr>
          </w:p>
        </w:tc>
        <w:tc>
          <w:tcPr>
            <w:tcW w:w="1781" w:type="dxa"/>
            <w:tcBorders>
              <w:top w:val="single" w:sz="8" w:space="0" w:color="FFFFFF"/>
              <w:left w:val="single" w:sz="8" w:space="0" w:color="FFFFFF"/>
              <w:bottom w:val="single" w:sz="8" w:space="0" w:color="FFFFFF"/>
              <w:right w:val="single" w:sz="8" w:space="0" w:color="FFFFFF"/>
            </w:tcBorders>
            <w:shd w:val="clear" w:color="auto" w:fill="EAEBF4"/>
            <w:vAlign w:val="center"/>
          </w:tcPr>
          <w:p w14:paraId="0D17A221"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b/>
                <w:sz w:val="20"/>
                <w:szCs w:val="20"/>
                <w:lang w:val="fr-FR"/>
              </w:rPr>
              <w:lastRenderedPageBreak/>
              <w:t>5</w:t>
            </w:r>
            <w:r>
              <w:rPr>
                <w:b/>
              </w:rPr>
              <w:t xml:space="preserve"> </w:t>
            </w:r>
            <w:r>
              <w:rPr>
                <w:rFonts w:ascii="Verdana" w:eastAsia="Calibri" w:hAnsi="Verdana"/>
                <w:b/>
                <w:sz w:val="20"/>
                <w:szCs w:val="20"/>
                <w:lang w:val="fr-FR"/>
              </w:rPr>
              <w:t>mg/kg bw/d</w:t>
            </w:r>
          </w:p>
        </w:tc>
      </w:tr>
      <w:tr w:rsidR="00BC1D4B" w14:paraId="44A2DD23" w14:textId="77777777">
        <w:trPr>
          <w:trHeight w:val="20"/>
        </w:trPr>
        <w:tc>
          <w:tcPr>
            <w:tcW w:w="2695" w:type="dxa"/>
            <w:tcBorders>
              <w:top w:val="single" w:sz="8" w:space="0" w:color="FFFFFF"/>
              <w:left w:val="single" w:sz="8" w:space="0" w:color="FFFFFF"/>
              <w:bottom w:val="single" w:sz="24" w:space="0" w:color="FFFFFF"/>
              <w:right w:val="single" w:sz="8" w:space="0" w:color="FFFFFF"/>
            </w:tcBorders>
            <w:shd w:val="clear" w:color="auto" w:fill="5770BE"/>
            <w:tcMar>
              <w:top w:w="15" w:type="dxa"/>
              <w:left w:w="108" w:type="dxa"/>
              <w:bottom w:w="0" w:type="dxa"/>
              <w:right w:w="108" w:type="dxa"/>
            </w:tcMar>
          </w:tcPr>
          <w:p w14:paraId="26F16C9F"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b/>
                <w:bCs/>
                <w:color w:val="FFFFFF"/>
                <w:sz w:val="20"/>
                <w:szCs w:val="20"/>
                <w:lang w:val="en-US"/>
              </w:rPr>
              <w:t>Assessment factors- accounting for differences in:</w:t>
            </w:r>
          </w:p>
        </w:tc>
        <w:tc>
          <w:tcPr>
            <w:tcW w:w="1865" w:type="dxa"/>
            <w:tcBorders>
              <w:top w:val="single" w:sz="8" w:space="0" w:color="FFFFFF"/>
              <w:left w:val="single" w:sz="8" w:space="0" w:color="FFFFFF"/>
              <w:bottom w:val="single" w:sz="24" w:space="0" w:color="FFFFFF"/>
              <w:right w:val="single" w:sz="8" w:space="0" w:color="FFFFFF"/>
            </w:tcBorders>
            <w:shd w:val="clear" w:color="auto" w:fill="5770BE"/>
            <w:tcMar>
              <w:top w:w="15" w:type="dxa"/>
              <w:left w:w="108" w:type="dxa"/>
              <w:bottom w:w="0" w:type="dxa"/>
              <w:right w:w="108" w:type="dxa"/>
            </w:tcMar>
          </w:tcPr>
          <w:p w14:paraId="16E0CC9B" w14:textId="77777777" w:rsidR="00BC1D4B" w:rsidRDefault="00ED1F84">
            <w:pPr>
              <w:spacing w:after="160" w:line="259" w:lineRule="auto"/>
              <w:jc w:val="center"/>
              <w:rPr>
                <w:rFonts w:ascii="Verdana" w:eastAsia="Calibri" w:hAnsi="Verdana"/>
                <w:sz w:val="20"/>
                <w:szCs w:val="20"/>
                <w:lang w:val="en-US"/>
              </w:rPr>
            </w:pPr>
            <w:r>
              <w:rPr>
                <w:rFonts w:ascii="Verdana" w:eastAsia="Calibri" w:hAnsi="Verdana"/>
                <w:b/>
                <w:bCs/>
                <w:color w:val="FFFFFF"/>
                <w:sz w:val="20"/>
                <w:szCs w:val="20"/>
                <w:lang w:val="en-US"/>
              </w:rPr>
              <w:t>Dermal</w:t>
            </w:r>
          </w:p>
        </w:tc>
        <w:tc>
          <w:tcPr>
            <w:tcW w:w="1951" w:type="dxa"/>
            <w:tcBorders>
              <w:top w:val="single" w:sz="8" w:space="0" w:color="FFFFFF"/>
              <w:left w:val="single" w:sz="8" w:space="0" w:color="FFFFFF"/>
              <w:bottom w:val="single" w:sz="24" w:space="0" w:color="FFFFFF"/>
              <w:right w:val="single" w:sz="8" w:space="0" w:color="FFFFFF"/>
            </w:tcBorders>
            <w:shd w:val="clear" w:color="auto" w:fill="5770BE"/>
          </w:tcPr>
          <w:p w14:paraId="49161CAB"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b/>
                <w:bCs/>
                <w:color w:val="FFFFFF"/>
                <w:sz w:val="20"/>
                <w:szCs w:val="20"/>
                <w:lang w:val="fr-FR"/>
              </w:rPr>
              <w:t>Inhalation</w:t>
            </w:r>
          </w:p>
        </w:tc>
        <w:tc>
          <w:tcPr>
            <w:tcW w:w="1781" w:type="dxa"/>
            <w:tcBorders>
              <w:top w:val="single" w:sz="8" w:space="0" w:color="FFFFFF"/>
              <w:left w:val="single" w:sz="8" w:space="0" w:color="FFFFFF"/>
              <w:bottom w:val="single" w:sz="24" w:space="0" w:color="FFFFFF"/>
              <w:right w:val="single" w:sz="8" w:space="0" w:color="FFFFFF"/>
            </w:tcBorders>
            <w:shd w:val="clear" w:color="auto" w:fill="5770BE"/>
          </w:tcPr>
          <w:p w14:paraId="70569519"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b/>
                <w:bCs/>
                <w:color w:val="FFFFFF"/>
                <w:sz w:val="20"/>
                <w:szCs w:val="20"/>
                <w:lang w:val="fr-FR"/>
              </w:rPr>
              <w:t>Oral</w:t>
            </w:r>
          </w:p>
        </w:tc>
      </w:tr>
      <w:tr w:rsidR="00BC1D4B" w14:paraId="255311E3" w14:textId="77777777">
        <w:trPr>
          <w:trHeight w:val="20"/>
        </w:trPr>
        <w:tc>
          <w:tcPr>
            <w:tcW w:w="2695" w:type="dxa"/>
            <w:tcBorders>
              <w:top w:val="single" w:sz="24"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tcPr>
          <w:p w14:paraId="370A67B3"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Remaining differences</w:t>
            </w:r>
          </w:p>
        </w:tc>
        <w:tc>
          <w:tcPr>
            <w:tcW w:w="1865" w:type="dxa"/>
            <w:tcBorders>
              <w:top w:val="single" w:sz="24"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vAlign w:val="center"/>
          </w:tcPr>
          <w:p w14:paraId="25390BA8"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2.5</w:t>
            </w:r>
          </w:p>
        </w:tc>
        <w:tc>
          <w:tcPr>
            <w:tcW w:w="1951" w:type="dxa"/>
            <w:tcBorders>
              <w:top w:val="single" w:sz="24" w:space="0" w:color="FFFFFF"/>
              <w:left w:val="single" w:sz="8" w:space="0" w:color="FFFFFF"/>
              <w:bottom w:val="single" w:sz="8" w:space="0" w:color="FFFFFF"/>
              <w:right w:val="single" w:sz="8" w:space="0" w:color="FFFFFF"/>
            </w:tcBorders>
            <w:shd w:val="clear" w:color="auto" w:fill="D1D5E8"/>
            <w:vAlign w:val="center"/>
          </w:tcPr>
          <w:p w14:paraId="1880E667"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2.5</w:t>
            </w:r>
          </w:p>
        </w:tc>
        <w:tc>
          <w:tcPr>
            <w:tcW w:w="1781" w:type="dxa"/>
            <w:tcBorders>
              <w:top w:val="single" w:sz="24" w:space="0" w:color="FFFFFF"/>
              <w:left w:val="single" w:sz="8" w:space="0" w:color="FFFFFF"/>
              <w:bottom w:val="single" w:sz="8" w:space="0" w:color="FFFFFF"/>
              <w:right w:val="single" w:sz="8" w:space="0" w:color="FFFFFF"/>
            </w:tcBorders>
            <w:shd w:val="clear" w:color="auto" w:fill="D1D5E8"/>
            <w:vAlign w:val="center"/>
          </w:tcPr>
          <w:p w14:paraId="2413C401"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2.5</w:t>
            </w:r>
          </w:p>
        </w:tc>
      </w:tr>
      <w:tr w:rsidR="00BC1D4B" w14:paraId="1C642FE3" w14:textId="77777777">
        <w:trPr>
          <w:trHeight w:val="20"/>
        </w:trPr>
        <w:tc>
          <w:tcPr>
            <w:tcW w:w="2695"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tcPr>
          <w:p w14:paraId="7EE1FBCA"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Interspecies factor</w:t>
            </w:r>
          </w:p>
        </w:tc>
        <w:tc>
          <w:tcPr>
            <w:tcW w:w="1865"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tcPr>
          <w:p w14:paraId="3E857BC7"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4 (rat, allometric scaling)</w:t>
            </w:r>
          </w:p>
        </w:tc>
        <w:tc>
          <w:tcPr>
            <w:tcW w:w="1951"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21EA63D3"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w:t>
            </w:r>
          </w:p>
        </w:tc>
        <w:tc>
          <w:tcPr>
            <w:tcW w:w="1781"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38046A06"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4 (rat, allometric scaling)</w:t>
            </w:r>
          </w:p>
        </w:tc>
      </w:tr>
      <w:tr w:rsidR="00BC1D4B" w14:paraId="7A638046" w14:textId="77777777">
        <w:trPr>
          <w:trHeight w:val="20"/>
        </w:trPr>
        <w:tc>
          <w:tcPr>
            <w:tcW w:w="2695" w:type="dxa"/>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tcPr>
          <w:p w14:paraId="4A8DEAC9"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Intraspecies factor</w:t>
            </w:r>
          </w:p>
        </w:tc>
        <w:tc>
          <w:tcPr>
            <w:tcW w:w="1865" w:type="dxa"/>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vAlign w:val="center"/>
          </w:tcPr>
          <w:p w14:paraId="4174FA42"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 xml:space="preserve">10 </w:t>
            </w:r>
          </w:p>
        </w:tc>
        <w:tc>
          <w:tcPr>
            <w:tcW w:w="1951" w:type="dxa"/>
            <w:tcBorders>
              <w:top w:val="single" w:sz="8" w:space="0" w:color="FFFFFF"/>
              <w:left w:val="single" w:sz="8" w:space="0" w:color="FFFFFF"/>
              <w:bottom w:val="single" w:sz="8" w:space="0" w:color="FFFFFF"/>
              <w:right w:val="single" w:sz="8" w:space="0" w:color="FFFFFF"/>
            </w:tcBorders>
            <w:shd w:val="clear" w:color="auto" w:fill="D1D5E8"/>
            <w:vAlign w:val="center"/>
          </w:tcPr>
          <w:p w14:paraId="3FB19CA1"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10</w:t>
            </w:r>
          </w:p>
        </w:tc>
        <w:tc>
          <w:tcPr>
            <w:tcW w:w="1781" w:type="dxa"/>
            <w:tcBorders>
              <w:top w:val="single" w:sz="8" w:space="0" w:color="FFFFFF"/>
              <w:left w:val="single" w:sz="8" w:space="0" w:color="FFFFFF"/>
              <w:bottom w:val="single" w:sz="8" w:space="0" w:color="FFFFFF"/>
              <w:right w:val="single" w:sz="8" w:space="0" w:color="FFFFFF"/>
            </w:tcBorders>
            <w:shd w:val="clear" w:color="auto" w:fill="D1D5E8"/>
            <w:vAlign w:val="center"/>
          </w:tcPr>
          <w:p w14:paraId="1BD2A07C"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10</w:t>
            </w:r>
          </w:p>
        </w:tc>
      </w:tr>
      <w:tr w:rsidR="00BC1D4B" w14:paraId="672D0A58" w14:textId="77777777">
        <w:trPr>
          <w:trHeight w:val="20"/>
        </w:trPr>
        <w:tc>
          <w:tcPr>
            <w:tcW w:w="2695"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tcPr>
          <w:p w14:paraId="563CE55B"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Exposure duration</w:t>
            </w:r>
          </w:p>
        </w:tc>
        <w:tc>
          <w:tcPr>
            <w:tcW w:w="1865"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7937AB7F"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1</w:t>
            </w:r>
          </w:p>
        </w:tc>
        <w:tc>
          <w:tcPr>
            <w:tcW w:w="1951" w:type="dxa"/>
            <w:tcBorders>
              <w:top w:val="single" w:sz="8" w:space="0" w:color="FFFFFF"/>
              <w:left w:val="single" w:sz="8" w:space="0" w:color="FFFFFF"/>
              <w:bottom w:val="single" w:sz="8" w:space="0" w:color="FFFFFF"/>
              <w:right w:val="single" w:sz="8" w:space="0" w:color="FFFFFF"/>
            </w:tcBorders>
            <w:shd w:val="clear" w:color="auto" w:fill="EAEBF4"/>
            <w:vAlign w:val="center"/>
          </w:tcPr>
          <w:p w14:paraId="67BB265D"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1</w:t>
            </w:r>
          </w:p>
        </w:tc>
        <w:tc>
          <w:tcPr>
            <w:tcW w:w="1781" w:type="dxa"/>
            <w:tcBorders>
              <w:top w:val="single" w:sz="8" w:space="0" w:color="FFFFFF"/>
              <w:left w:val="single" w:sz="8" w:space="0" w:color="FFFFFF"/>
              <w:bottom w:val="single" w:sz="8" w:space="0" w:color="FFFFFF"/>
              <w:right w:val="single" w:sz="8" w:space="0" w:color="FFFFFF"/>
            </w:tcBorders>
            <w:shd w:val="clear" w:color="auto" w:fill="EAEBF4"/>
            <w:vAlign w:val="center"/>
          </w:tcPr>
          <w:p w14:paraId="11BBA81D"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1</w:t>
            </w:r>
          </w:p>
        </w:tc>
      </w:tr>
      <w:tr w:rsidR="00BC1D4B" w14:paraId="5E4BF8D9" w14:textId="77777777">
        <w:trPr>
          <w:trHeight w:val="20"/>
        </w:trPr>
        <w:tc>
          <w:tcPr>
            <w:tcW w:w="2695" w:type="dxa"/>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tcPr>
          <w:p w14:paraId="45F2B972"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Dose response/severity</w:t>
            </w:r>
          </w:p>
        </w:tc>
        <w:tc>
          <w:tcPr>
            <w:tcW w:w="1865" w:type="dxa"/>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vAlign w:val="center"/>
          </w:tcPr>
          <w:p w14:paraId="0BC11E56"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5</w:t>
            </w:r>
          </w:p>
        </w:tc>
        <w:tc>
          <w:tcPr>
            <w:tcW w:w="1951" w:type="dxa"/>
            <w:tcBorders>
              <w:top w:val="single" w:sz="8" w:space="0" w:color="FFFFFF"/>
              <w:left w:val="single" w:sz="8" w:space="0" w:color="FFFFFF"/>
              <w:bottom w:val="single" w:sz="8" w:space="0" w:color="FFFFFF"/>
              <w:right w:val="single" w:sz="8" w:space="0" w:color="FFFFFF"/>
            </w:tcBorders>
            <w:shd w:val="clear" w:color="auto" w:fill="D1D5E8"/>
            <w:vAlign w:val="center"/>
          </w:tcPr>
          <w:p w14:paraId="0AB58D81"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5</w:t>
            </w:r>
          </w:p>
        </w:tc>
        <w:tc>
          <w:tcPr>
            <w:tcW w:w="1781" w:type="dxa"/>
            <w:tcBorders>
              <w:top w:val="single" w:sz="8" w:space="0" w:color="FFFFFF"/>
              <w:left w:val="single" w:sz="8" w:space="0" w:color="FFFFFF"/>
              <w:bottom w:val="single" w:sz="8" w:space="0" w:color="FFFFFF"/>
              <w:right w:val="single" w:sz="8" w:space="0" w:color="FFFFFF"/>
            </w:tcBorders>
            <w:shd w:val="clear" w:color="auto" w:fill="D1D5E8"/>
            <w:vAlign w:val="center"/>
          </w:tcPr>
          <w:p w14:paraId="7202538B"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5</w:t>
            </w:r>
          </w:p>
        </w:tc>
      </w:tr>
      <w:tr w:rsidR="00BC1D4B" w14:paraId="44A856A5" w14:textId="77777777">
        <w:trPr>
          <w:trHeight w:val="20"/>
        </w:trPr>
        <w:tc>
          <w:tcPr>
            <w:tcW w:w="2695"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tcPr>
          <w:p w14:paraId="239698B1"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Data base quality</w:t>
            </w:r>
          </w:p>
        </w:tc>
        <w:tc>
          <w:tcPr>
            <w:tcW w:w="1865" w:type="dxa"/>
            <w:tcBorders>
              <w:top w:val="single" w:sz="8" w:space="0" w:color="FFFFFF"/>
              <w:left w:val="single" w:sz="8" w:space="0" w:color="FFFFFF"/>
              <w:bottom w:val="single" w:sz="8" w:space="0" w:color="FFFFFF"/>
              <w:right w:val="single" w:sz="8" w:space="0" w:color="FFFFFF"/>
            </w:tcBorders>
            <w:shd w:val="clear" w:color="auto" w:fill="EAEBF4"/>
            <w:tcMar>
              <w:top w:w="15" w:type="dxa"/>
              <w:left w:w="108" w:type="dxa"/>
              <w:bottom w:w="0" w:type="dxa"/>
              <w:right w:w="108" w:type="dxa"/>
            </w:tcMar>
            <w:vAlign w:val="center"/>
          </w:tcPr>
          <w:p w14:paraId="636C7B71"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1</w:t>
            </w:r>
          </w:p>
        </w:tc>
        <w:tc>
          <w:tcPr>
            <w:tcW w:w="1951" w:type="dxa"/>
            <w:tcBorders>
              <w:top w:val="single" w:sz="8" w:space="0" w:color="FFFFFF"/>
              <w:left w:val="single" w:sz="8" w:space="0" w:color="FFFFFF"/>
              <w:bottom w:val="single" w:sz="8" w:space="0" w:color="FFFFFF"/>
              <w:right w:val="single" w:sz="8" w:space="0" w:color="FFFFFF"/>
            </w:tcBorders>
            <w:shd w:val="clear" w:color="auto" w:fill="EAEBF4"/>
            <w:vAlign w:val="center"/>
          </w:tcPr>
          <w:p w14:paraId="53C88048"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1</w:t>
            </w:r>
          </w:p>
        </w:tc>
        <w:tc>
          <w:tcPr>
            <w:tcW w:w="1781" w:type="dxa"/>
            <w:tcBorders>
              <w:top w:val="single" w:sz="8" w:space="0" w:color="FFFFFF"/>
              <w:left w:val="single" w:sz="8" w:space="0" w:color="FFFFFF"/>
              <w:bottom w:val="single" w:sz="8" w:space="0" w:color="FFFFFF"/>
              <w:right w:val="single" w:sz="8" w:space="0" w:color="FFFFFF"/>
            </w:tcBorders>
            <w:shd w:val="clear" w:color="auto" w:fill="EAEBF4"/>
            <w:vAlign w:val="center"/>
          </w:tcPr>
          <w:p w14:paraId="4DEE2904"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1</w:t>
            </w:r>
          </w:p>
        </w:tc>
      </w:tr>
      <w:tr w:rsidR="00BC1D4B" w14:paraId="633D067F" w14:textId="77777777">
        <w:trPr>
          <w:trHeight w:val="20"/>
        </w:trPr>
        <w:tc>
          <w:tcPr>
            <w:tcW w:w="2695" w:type="dxa"/>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tcPr>
          <w:p w14:paraId="0910C9C4" w14:textId="77777777" w:rsidR="00BC1D4B" w:rsidRDefault="00ED1F84">
            <w:pPr>
              <w:spacing w:after="160" w:line="259" w:lineRule="auto"/>
              <w:jc w:val="both"/>
              <w:rPr>
                <w:rFonts w:ascii="Verdana" w:eastAsia="Calibri" w:hAnsi="Verdana"/>
                <w:sz w:val="20"/>
                <w:szCs w:val="20"/>
                <w:lang w:val="fr-FR"/>
              </w:rPr>
            </w:pPr>
            <w:r>
              <w:rPr>
                <w:rFonts w:ascii="Verdana" w:eastAsia="Calibri" w:hAnsi="Verdana"/>
                <w:sz w:val="20"/>
                <w:szCs w:val="20"/>
                <w:lang w:val="en-US"/>
              </w:rPr>
              <w:t>Total assessment factor</w:t>
            </w:r>
          </w:p>
        </w:tc>
        <w:tc>
          <w:tcPr>
            <w:tcW w:w="1865" w:type="dxa"/>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vAlign w:val="center"/>
          </w:tcPr>
          <w:p w14:paraId="6419252A"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500</w:t>
            </w:r>
          </w:p>
        </w:tc>
        <w:tc>
          <w:tcPr>
            <w:tcW w:w="1951" w:type="dxa"/>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vAlign w:val="center"/>
          </w:tcPr>
          <w:p w14:paraId="33B3A89B"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en-US"/>
              </w:rPr>
              <w:t>125</w:t>
            </w:r>
          </w:p>
        </w:tc>
        <w:tc>
          <w:tcPr>
            <w:tcW w:w="1781" w:type="dxa"/>
            <w:tcBorders>
              <w:top w:val="single" w:sz="8" w:space="0" w:color="FFFFFF"/>
              <w:left w:val="single" w:sz="8" w:space="0" w:color="FFFFFF"/>
              <w:bottom w:val="single" w:sz="8" w:space="0" w:color="FFFFFF"/>
              <w:right w:val="single" w:sz="8" w:space="0" w:color="FFFFFF"/>
            </w:tcBorders>
            <w:shd w:val="clear" w:color="auto" w:fill="D1D5E8"/>
            <w:tcMar>
              <w:top w:w="15" w:type="dxa"/>
              <w:left w:w="108" w:type="dxa"/>
              <w:bottom w:w="0" w:type="dxa"/>
              <w:right w:w="108" w:type="dxa"/>
            </w:tcMar>
            <w:vAlign w:val="center"/>
          </w:tcPr>
          <w:p w14:paraId="0E580ED0" w14:textId="77777777" w:rsidR="00BC1D4B" w:rsidRDefault="00ED1F84">
            <w:pPr>
              <w:spacing w:after="160" w:line="259" w:lineRule="auto"/>
              <w:jc w:val="center"/>
              <w:rPr>
                <w:rFonts w:ascii="Verdana" w:eastAsia="Calibri" w:hAnsi="Verdana"/>
                <w:sz w:val="20"/>
                <w:szCs w:val="20"/>
                <w:lang w:val="fr-FR"/>
              </w:rPr>
            </w:pPr>
            <w:r>
              <w:rPr>
                <w:rFonts w:ascii="Verdana" w:eastAsia="Calibri" w:hAnsi="Verdana"/>
                <w:sz w:val="20"/>
                <w:szCs w:val="20"/>
                <w:lang w:val="fr-FR"/>
              </w:rPr>
              <w:t>500</w:t>
            </w:r>
          </w:p>
        </w:tc>
      </w:tr>
    </w:tbl>
    <w:p w14:paraId="372F142C" w14:textId="77777777" w:rsidR="00BC1D4B" w:rsidRDefault="00BC1D4B">
      <w:pPr>
        <w:spacing w:after="160" w:line="259" w:lineRule="auto"/>
        <w:jc w:val="both"/>
        <w:rPr>
          <w:rFonts w:ascii="Verdana" w:eastAsia="Calibri" w:hAnsi="Verdana"/>
          <w:sz w:val="20"/>
          <w:szCs w:val="20"/>
        </w:rPr>
      </w:pPr>
    </w:p>
    <w:p w14:paraId="2425B440" w14:textId="77777777" w:rsidR="00BC1D4B" w:rsidRDefault="00ED1F84">
      <w:pPr>
        <w:spacing w:after="160" w:line="259" w:lineRule="auto"/>
        <w:jc w:val="both"/>
        <w:rPr>
          <w:rFonts w:ascii="Verdana" w:eastAsia="Calibri" w:hAnsi="Verdana"/>
          <w:sz w:val="20"/>
          <w:szCs w:val="20"/>
        </w:rPr>
      </w:pPr>
      <w:r>
        <w:rPr>
          <w:rFonts w:ascii="Verdana" w:eastAsia="Calibri" w:hAnsi="Verdana"/>
          <w:sz w:val="20"/>
          <w:szCs w:val="20"/>
        </w:rPr>
        <w:t>To establish inhalation DNEL in consumers, R8 guidance criteria were applied to correct the oral LOAEL based on a correction of respiratory volume for relevant duration: for a daily exposure, the respiratory volume of rats is 1.15 m</w:t>
      </w:r>
      <w:r>
        <w:rPr>
          <w:rFonts w:ascii="Verdana" w:eastAsia="Calibri" w:hAnsi="Verdana"/>
          <w:sz w:val="20"/>
          <w:szCs w:val="20"/>
          <w:vertAlign w:val="superscript"/>
        </w:rPr>
        <w:t>3</w:t>
      </w:r>
      <w:r>
        <w:rPr>
          <w:rFonts w:ascii="Verdana" w:eastAsia="Calibri" w:hAnsi="Verdana"/>
          <w:sz w:val="20"/>
          <w:szCs w:val="20"/>
        </w:rPr>
        <w:t>/kg bw/d.</w:t>
      </w:r>
    </w:p>
    <w:p w14:paraId="5580D40A"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As recommended in the R8 guidance document (ECHA, 2012), the choice of a specific assessment factors in relation to qualitative and quantitative uncertainties should be decided on a case-by-case basis. The recommendations for specific assessment factors are given as intervals in the guidance document with the intention that the risk assessor should evaluate all available information on a case-by-case basis and justify the choice of the assessment factor.</w:t>
      </w:r>
      <w:r>
        <w:t xml:space="preserve"> </w:t>
      </w:r>
      <w:r>
        <w:rPr>
          <w:rFonts w:ascii="Verdana" w:eastAsia="Calibri" w:hAnsi="Verdana"/>
          <w:sz w:val="20"/>
          <w:szCs w:val="20"/>
          <w:lang w:val="en-US"/>
        </w:rPr>
        <w:t xml:space="preserve">It is proposed that, when the starting point for the DNEL calculation is a LOAEL, an assessment factor (dose-response assessment factor) ranging from 3 (as minimum/majority of cases) to 10 (as maximum/exceptional cases) is applied. As mentioned in R8 document, the factor retained should consider the dose spacing in the experiment, the shape and slope of the dose-response curve, and the extent and severity of the effect seen at the LOAEL. </w:t>
      </w:r>
    </w:p>
    <w:p w14:paraId="4A5366D6" w14:textId="77777777" w:rsidR="00BC1D4B" w:rsidRDefault="00ED1F84">
      <w:pPr>
        <w:spacing w:after="160" w:line="259" w:lineRule="auto"/>
        <w:jc w:val="both"/>
        <w:rPr>
          <w:rFonts w:ascii="Verdana" w:eastAsia="Calibri" w:hAnsi="Verdana"/>
          <w:b/>
          <w:sz w:val="20"/>
          <w:szCs w:val="20"/>
          <w:lang w:val="en-US"/>
        </w:rPr>
      </w:pPr>
      <w:r>
        <w:rPr>
          <w:rFonts w:ascii="Verdana" w:eastAsia="Calibri" w:hAnsi="Verdana"/>
          <w:b/>
          <w:sz w:val="20"/>
          <w:szCs w:val="20"/>
          <w:lang w:val="en-US"/>
        </w:rPr>
        <w:t>Slope of the dose-response:</w:t>
      </w:r>
    </w:p>
    <w:p w14:paraId="7C9D0C76"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When considering the data for F1 pups mortality, it is noticed that the slope of the dose-response curve is shallow, which gives uncertainty about the statistical derivation of the NOAEL.</w:t>
      </w:r>
      <w:r>
        <w:t xml:space="preserve"> </w:t>
      </w:r>
      <w:r>
        <w:rPr>
          <w:rFonts w:ascii="Verdana" w:eastAsia="Calibri" w:hAnsi="Verdana"/>
          <w:sz w:val="20"/>
          <w:szCs w:val="20"/>
          <w:lang w:val="en-US"/>
        </w:rPr>
        <w:t xml:space="preserve">The R8 guidance document mentions that the benchmark dose (BMD) approach is an alternative of the default assessment factors used in human health risk assessment for the dose response curve and, when possible, is preferred over the LOAEL NOAEL extrapolation. A BMD calculated as the lower confidence limit of the dose that produces a response of 5% (BMD5) has, on average, been proposed to be comparable to a NOAEL (WHO, 2000). This approach was considered in the aMSCA assessment. The BMR (benchmark dose response) with an extra risk of 5% compared to the controls for the pups of the F1 generation </w:t>
      </w:r>
      <w:r>
        <w:rPr>
          <w:rFonts w:ascii="Verdana" w:eastAsia="Calibri" w:hAnsi="Verdana"/>
          <w:sz w:val="20"/>
          <w:szCs w:val="20"/>
          <w:lang w:val="en-US"/>
        </w:rPr>
        <w:lastRenderedPageBreak/>
        <w:t xml:space="preserve">was used. Results were obtained using the EFSA web-tool for BMD analysis, which uses the R-package PROAST (v. 70.0) for the underlying calculations. </w:t>
      </w:r>
    </w:p>
    <w:p w14:paraId="2FF3FA36" w14:textId="77777777" w:rsidR="00BC1D4B" w:rsidRDefault="00BC1D4B">
      <w:pPr>
        <w:spacing w:after="160" w:line="259" w:lineRule="auto"/>
        <w:jc w:val="both"/>
        <w:rPr>
          <w:rFonts w:ascii="Verdana" w:eastAsia="Calibri" w:hAnsi="Verdana"/>
          <w:sz w:val="20"/>
          <w:szCs w:val="20"/>
          <w:lang w:val="en-US"/>
        </w:rPr>
      </w:pPr>
    </w:p>
    <w:p w14:paraId="3DD2C076" w14:textId="77777777" w:rsidR="00BC1D4B" w:rsidRDefault="00ED1F84">
      <w:pPr>
        <w:spacing w:after="160" w:line="259" w:lineRule="auto"/>
        <w:jc w:val="both"/>
        <w:rPr>
          <w:rFonts w:ascii="Verdana" w:eastAsia="Calibri" w:hAnsi="Verdana"/>
          <w:sz w:val="20"/>
          <w:szCs w:val="20"/>
          <w:lang w:val="en-US"/>
        </w:rPr>
      </w:pPr>
      <w:r>
        <w:rPr>
          <w:noProof/>
          <w:lang w:val="fr-FR" w:eastAsia="fr-FR"/>
        </w:rPr>
        <w:drawing>
          <wp:inline distT="0" distB="0" distL="0" distR="0">
            <wp:extent cx="3723437" cy="4358742"/>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9"/>
                    <a:srcRect l="1" t="15586" r="26351"/>
                    <a:stretch/>
                  </pic:blipFill>
                  <pic:spPr bwMode="auto">
                    <a:xfrm>
                      <a:off x="0" y="0"/>
                      <a:ext cx="3730443" cy="4366943"/>
                    </a:xfrm>
                    <a:prstGeom prst="rect">
                      <a:avLst/>
                    </a:prstGeom>
                    <a:ln>
                      <a:noFill/>
                    </a:ln>
                  </pic:spPr>
                </pic:pic>
              </a:graphicData>
            </a:graphic>
          </wp:inline>
        </w:drawing>
      </w:r>
    </w:p>
    <w:p w14:paraId="592E3659" w14:textId="77777777" w:rsidR="00BC1D4B" w:rsidRDefault="00ED1F84">
      <w:pPr>
        <w:spacing w:after="160" w:line="259" w:lineRule="auto"/>
        <w:jc w:val="both"/>
        <w:rPr>
          <w:rFonts w:ascii="Verdana" w:eastAsia="Calibri" w:hAnsi="Verdana"/>
          <w:b/>
          <w:sz w:val="20"/>
          <w:szCs w:val="20"/>
          <w:lang w:val="en-US"/>
        </w:rPr>
      </w:pPr>
      <w:r>
        <w:rPr>
          <w:rFonts w:ascii="Verdana" w:eastAsia="Calibri" w:hAnsi="Verdana"/>
          <w:b/>
          <w:sz w:val="20"/>
          <w:szCs w:val="20"/>
          <w:lang w:val="en-US"/>
        </w:rPr>
        <w:t>Figure 2: Bootstrap curves based on model averaging results (200 runs, extra risk 0.05, BMD 2.8 CI 8.03)</w:t>
      </w:r>
    </w:p>
    <w:p w14:paraId="5CE7D91C" w14:textId="77777777" w:rsidR="00BC1D4B" w:rsidRDefault="00BC1D4B">
      <w:pPr>
        <w:spacing w:after="160" w:line="259" w:lineRule="auto"/>
        <w:jc w:val="both"/>
        <w:rPr>
          <w:rFonts w:ascii="Verdana" w:eastAsia="Calibri" w:hAnsi="Verdana"/>
          <w:sz w:val="20"/>
          <w:szCs w:val="20"/>
          <w:lang w:val="en-US"/>
        </w:rPr>
      </w:pPr>
    </w:p>
    <w:p w14:paraId="4580ECC6"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F1 BMDL results of 2.85 mg/kg bw/d was obtained. However, an alert on AIC results while running the program, suggests that the use of the BMD approach might not be considered as an appropriate basis for DNEL derivation.</w:t>
      </w:r>
      <w:r>
        <w:t xml:space="preserve"> </w:t>
      </w:r>
      <w:r>
        <w:rPr>
          <w:rFonts w:ascii="Verdana" w:eastAsia="Calibri" w:hAnsi="Verdana"/>
          <w:sz w:val="20"/>
          <w:szCs w:val="20"/>
          <w:lang w:val="en-US"/>
        </w:rPr>
        <w:t xml:space="preserve">One hypothesis for this alert could be that the data containing the litter effect, which is only statistically significant at the higher dose, were not taken into account. </w:t>
      </w:r>
    </w:p>
    <w:p w14:paraId="7E084D74" w14:textId="77777777" w:rsidR="00BC1D4B" w:rsidRDefault="00ED1F84">
      <w:pPr>
        <w:spacing w:after="120"/>
        <w:ind w:right="-477"/>
        <w:jc w:val="both"/>
        <w:rPr>
          <w:b/>
          <w:lang w:val="en-US"/>
        </w:rPr>
      </w:pPr>
      <w:r>
        <w:rPr>
          <w:rFonts w:ascii="Verdana" w:hAnsi="Verdana"/>
          <w:b/>
          <w:sz w:val="20"/>
          <w:szCs w:val="20"/>
          <w:lang w:val="en-US"/>
        </w:rPr>
        <w:t>Table 15: Measured values indicating of the litter effect</w:t>
      </w:r>
    </w:p>
    <w:p w14:paraId="1F906011" w14:textId="77777777" w:rsidR="00BC1D4B" w:rsidRDefault="00BC1D4B">
      <w:pPr>
        <w:spacing w:after="160" w:line="259" w:lineRule="auto"/>
        <w:jc w:val="both"/>
        <w:rPr>
          <w:rFonts w:ascii="Verdana" w:eastAsia="Calibri" w:hAnsi="Verdana"/>
          <w:sz w:val="20"/>
          <w:szCs w:val="20"/>
          <w:lang w:val="en-US"/>
        </w:rPr>
      </w:pPr>
    </w:p>
    <w:tbl>
      <w:tblPr>
        <w:tblW w:w="0" w:type="auto"/>
        <w:tblCellMar>
          <w:left w:w="0" w:type="dxa"/>
          <w:right w:w="0" w:type="dxa"/>
        </w:tblCellMar>
        <w:tblLook w:val="0600" w:firstRow="0" w:lastRow="0" w:firstColumn="0" w:lastColumn="0" w:noHBand="1" w:noVBand="1"/>
      </w:tblPr>
      <w:tblGrid>
        <w:gridCol w:w="1894"/>
        <w:gridCol w:w="1758"/>
        <w:gridCol w:w="1417"/>
        <w:gridCol w:w="1416"/>
        <w:gridCol w:w="1703"/>
      </w:tblGrid>
      <w:tr w:rsidR="00BC1D4B" w14:paraId="670A876D" w14:textId="77777777">
        <w:trPr>
          <w:trHeight w:val="652"/>
        </w:trPr>
        <w:tc>
          <w:tcPr>
            <w:tcW w:w="0" w:type="auto"/>
            <w:tcBorders>
              <w:top w:val="none" w:sz="4" w:space="0" w:color="000000"/>
              <w:left w:val="none" w:sz="4" w:space="0" w:color="000000"/>
              <w:bottom w:val="single" w:sz="8" w:space="0" w:color="5770BE"/>
              <w:right w:val="single" w:sz="8" w:space="0" w:color="5770BE"/>
            </w:tcBorders>
            <w:shd w:val="clear" w:color="auto" w:fill="auto"/>
            <w:tcMar>
              <w:top w:w="8" w:type="dxa"/>
              <w:left w:w="8" w:type="dxa"/>
              <w:bottom w:w="0" w:type="dxa"/>
              <w:right w:w="8" w:type="dxa"/>
            </w:tcMar>
            <w:vAlign w:val="bottom"/>
          </w:tcPr>
          <w:p w14:paraId="00C228A6" w14:textId="77777777" w:rsidR="00BC1D4B" w:rsidRDefault="00ED1F84">
            <w:pPr>
              <w:spacing w:after="0" w:line="256" w:lineRule="auto"/>
              <w:rPr>
                <w:rFonts w:ascii="Verdana" w:hAnsi="Verdana" w:cs="Arial"/>
                <w:sz w:val="18"/>
                <w:szCs w:val="18"/>
                <w:lang w:val="en-US" w:eastAsia="fr-FR"/>
              </w:rPr>
            </w:pPr>
            <w:r>
              <w:rPr>
                <w:rFonts w:ascii="Verdana" w:hAnsi="Verdana" w:cs="Arial"/>
                <w:color w:val="000000"/>
                <w:sz w:val="18"/>
                <w:szCs w:val="18"/>
                <w:lang w:val="en-US" w:eastAsia="fr-FR"/>
              </w:rPr>
              <w:t> </w:t>
            </w:r>
          </w:p>
        </w:tc>
        <w:tc>
          <w:tcPr>
            <w:tcW w:w="6294" w:type="dxa"/>
            <w:gridSpan w:val="4"/>
            <w:tcBorders>
              <w:top w:val="single" w:sz="8" w:space="0" w:color="5770BE"/>
              <w:left w:val="single" w:sz="8" w:space="0" w:color="5770BE"/>
              <w:bottom w:val="single" w:sz="8" w:space="0" w:color="5770BE"/>
              <w:right w:val="single" w:sz="8" w:space="0" w:color="5770BE"/>
            </w:tcBorders>
            <w:shd w:val="clear" w:color="auto" w:fill="DDE2F2"/>
            <w:tcMar>
              <w:top w:w="8" w:type="dxa"/>
              <w:left w:w="8" w:type="dxa"/>
              <w:bottom w:w="0" w:type="dxa"/>
              <w:right w:w="8" w:type="dxa"/>
            </w:tcMar>
            <w:vAlign w:val="center"/>
          </w:tcPr>
          <w:p w14:paraId="339E0BD2" w14:textId="77777777" w:rsidR="00BC1D4B" w:rsidRDefault="00ED1F84">
            <w:pPr>
              <w:spacing w:after="0" w:line="256" w:lineRule="auto"/>
              <w:jc w:val="center"/>
              <w:rPr>
                <w:rFonts w:ascii="Verdana" w:hAnsi="Verdana" w:cs="Arial"/>
                <w:color w:val="000000"/>
                <w:sz w:val="18"/>
                <w:szCs w:val="18"/>
                <w:lang w:val="en-US" w:eastAsia="fr-FR"/>
              </w:rPr>
            </w:pPr>
            <w:r>
              <w:rPr>
                <w:rFonts w:ascii="Verdana" w:hAnsi="Verdana" w:cs="Arial"/>
                <w:color w:val="000000"/>
                <w:sz w:val="18"/>
                <w:szCs w:val="18"/>
                <w:lang w:val="en-US" w:eastAsia="fr-FR"/>
              </w:rPr>
              <w:t>Litter with Dead, Missing and/or</w:t>
            </w:r>
            <w:r>
              <w:rPr>
                <w:rFonts w:ascii="Verdana" w:hAnsi="Verdana" w:cs="Arial"/>
                <w:color w:val="000000"/>
                <w:sz w:val="18"/>
                <w:szCs w:val="18"/>
                <w:lang w:val="en-US" w:eastAsia="fr-FR"/>
              </w:rPr>
              <w:br/>
              <w:t>Cannibalized pups, Nb. (%) (first line)</w:t>
            </w:r>
          </w:p>
          <w:p w14:paraId="513854E0" w14:textId="77777777" w:rsidR="00BC1D4B" w:rsidRDefault="00BC1D4B">
            <w:pPr>
              <w:spacing w:after="0" w:line="256" w:lineRule="auto"/>
              <w:jc w:val="center"/>
              <w:rPr>
                <w:rFonts w:ascii="Verdana" w:hAnsi="Verdana" w:cs="Arial"/>
                <w:color w:val="000000"/>
                <w:sz w:val="18"/>
                <w:szCs w:val="18"/>
                <w:lang w:val="en-US" w:eastAsia="fr-FR"/>
              </w:rPr>
            </w:pPr>
          </w:p>
          <w:p w14:paraId="791CF5B1" w14:textId="77777777" w:rsidR="00BC1D4B" w:rsidRDefault="00ED1F84">
            <w:pPr>
              <w:spacing w:after="0" w:line="256" w:lineRule="auto"/>
              <w:jc w:val="center"/>
              <w:rPr>
                <w:rFonts w:ascii="Verdana" w:hAnsi="Verdana" w:cs="Arial"/>
                <w:color w:val="000000"/>
                <w:sz w:val="18"/>
                <w:szCs w:val="18"/>
                <w:lang w:val="en-US" w:eastAsia="fr-FR"/>
              </w:rPr>
            </w:pPr>
            <w:r>
              <w:rPr>
                <w:rFonts w:ascii="Verdana" w:hAnsi="Verdana" w:cs="Arial"/>
                <w:color w:val="000000"/>
                <w:sz w:val="18"/>
                <w:szCs w:val="18"/>
                <w:lang w:val="en-US" w:eastAsia="fr-FR"/>
              </w:rPr>
              <w:t>Litter with entire dead litter (second line)</w:t>
            </w:r>
          </w:p>
        </w:tc>
      </w:tr>
      <w:tr w:rsidR="00BC1D4B" w14:paraId="11AFD981" w14:textId="77777777">
        <w:trPr>
          <w:trHeight w:val="543"/>
        </w:trPr>
        <w:tc>
          <w:tcPr>
            <w:tcW w:w="0" w:type="auto"/>
            <w:tcBorders>
              <w:top w:val="single" w:sz="8" w:space="0" w:color="5770BE"/>
              <w:left w:val="single" w:sz="8" w:space="0" w:color="5770BE"/>
              <w:bottom w:val="single" w:sz="8" w:space="0" w:color="5770BE"/>
              <w:right w:val="single" w:sz="8" w:space="0" w:color="5770BE"/>
            </w:tcBorders>
            <w:shd w:val="clear" w:color="auto" w:fill="DDE2F2"/>
            <w:tcMar>
              <w:top w:w="8" w:type="dxa"/>
              <w:left w:w="8" w:type="dxa"/>
              <w:bottom w:w="0" w:type="dxa"/>
              <w:right w:w="8" w:type="dxa"/>
            </w:tcMar>
            <w:vAlign w:val="center"/>
          </w:tcPr>
          <w:p w14:paraId="19FA51D1"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bCs/>
                <w:color w:val="000000"/>
                <w:sz w:val="18"/>
                <w:szCs w:val="18"/>
                <w:lang w:val="fr-FR" w:eastAsia="fr-FR"/>
              </w:rPr>
              <w:t xml:space="preserve">Doses (mg/kg bw/d) </w:t>
            </w:r>
          </w:p>
        </w:tc>
        <w:tc>
          <w:tcPr>
            <w:tcW w:w="1758"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33218403"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0</w:t>
            </w:r>
          </w:p>
        </w:tc>
        <w:tc>
          <w:tcPr>
            <w:tcW w:w="1417"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27D22CB3"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5</w:t>
            </w:r>
          </w:p>
        </w:tc>
        <w:tc>
          <w:tcPr>
            <w:tcW w:w="1416"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45099F0D"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15</w:t>
            </w:r>
          </w:p>
        </w:tc>
        <w:tc>
          <w:tcPr>
            <w:tcW w:w="1703"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1D278F44"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lang w:val="fr-FR" w:eastAsia="fr-FR"/>
              </w:rPr>
              <w:t>25</w:t>
            </w:r>
          </w:p>
        </w:tc>
      </w:tr>
      <w:tr w:rsidR="00BC1D4B" w14:paraId="7C5783B4" w14:textId="77777777">
        <w:trPr>
          <w:trHeight w:val="794"/>
        </w:trPr>
        <w:tc>
          <w:tcPr>
            <w:tcW w:w="0" w:type="auto"/>
            <w:tcBorders>
              <w:top w:val="single" w:sz="8" w:space="0" w:color="5770BE"/>
              <w:left w:val="single" w:sz="8" w:space="0" w:color="5770BE"/>
              <w:bottom w:val="single" w:sz="8" w:space="0" w:color="5770BE"/>
              <w:right w:val="single" w:sz="8" w:space="0" w:color="5770BE"/>
            </w:tcBorders>
            <w:shd w:val="clear" w:color="auto" w:fill="DDE2F2"/>
            <w:tcMar>
              <w:top w:w="8" w:type="dxa"/>
              <w:left w:w="8" w:type="dxa"/>
              <w:bottom w:w="0" w:type="dxa"/>
              <w:right w:w="8" w:type="dxa"/>
            </w:tcMar>
            <w:vAlign w:val="center"/>
          </w:tcPr>
          <w:p w14:paraId="2237ED60"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bCs/>
                <w:color w:val="000000"/>
                <w:sz w:val="18"/>
                <w:szCs w:val="18"/>
                <w:lang w:val="fr-FR" w:eastAsia="fr-FR"/>
              </w:rPr>
              <w:lastRenderedPageBreak/>
              <w:t>F1 pups</w:t>
            </w:r>
            <w:r>
              <w:rPr>
                <w:rFonts w:ascii="Verdana" w:hAnsi="Verdana" w:cs="Arial"/>
                <w:color w:val="000000"/>
                <w:sz w:val="18"/>
                <w:szCs w:val="18"/>
                <w:lang w:val="en-US" w:eastAsia="fr-FR"/>
              </w:rPr>
              <w:t xml:space="preserve"> </w:t>
            </w:r>
          </w:p>
        </w:tc>
        <w:tc>
          <w:tcPr>
            <w:tcW w:w="1758"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569A489A" w14:textId="77777777" w:rsidR="00BC1D4B" w:rsidRDefault="00ED1F84">
            <w:pPr>
              <w:spacing w:after="0" w:line="256" w:lineRule="auto"/>
              <w:jc w:val="center"/>
              <w:rPr>
                <w:rFonts w:ascii="Verdana" w:hAnsi="Verdana" w:cs="Arial"/>
                <w:color w:val="000000"/>
                <w:sz w:val="18"/>
                <w:szCs w:val="18"/>
              </w:rPr>
            </w:pPr>
            <w:r>
              <w:rPr>
                <w:rFonts w:ascii="Verdana" w:hAnsi="Verdana" w:cs="Arial"/>
                <w:color w:val="000000"/>
                <w:sz w:val="18"/>
                <w:szCs w:val="18"/>
              </w:rPr>
              <w:t xml:space="preserve">5 (21.7) </w:t>
            </w:r>
          </w:p>
          <w:p w14:paraId="77E015C8" w14:textId="77777777" w:rsidR="00BC1D4B" w:rsidRDefault="00ED1F84">
            <w:pPr>
              <w:spacing w:after="0" w:line="256" w:lineRule="auto"/>
              <w:jc w:val="center"/>
              <w:rPr>
                <w:rFonts w:ascii="Verdana" w:hAnsi="Verdana" w:cs="Arial"/>
                <w:color w:val="000000"/>
                <w:sz w:val="18"/>
                <w:szCs w:val="18"/>
              </w:rPr>
            </w:pPr>
            <w:r>
              <w:rPr>
                <w:rFonts w:ascii="Verdana" w:hAnsi="Verdana" w:cs="Arial"/>
                <w:color w:val="000000"/>
                <w:sz w:val="18"/>
                <w:szCs w:val="18"/>
              </w:rPr>
              <w:br/>
              <w:t>0</w:t>
            </w:r>
          </w:p>
        </w:tc>
        <w:tc>
          <w:tcPr>
            <w:tcW w:w="1417"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6AB091B0" w14:textId="77777777" w:rsidR="00BC1D4B" w:rsidRDefault="00ED1F84">
            <w:pPr>
              <w:spacing w:after="0" w:line="256" w:lineRule="auto"/>
              <w:jc w:val="center"/>
              <w:rPr>
                <w:rFonts w:ascii="Verdana" w:hAnsi="Verdana" w:cs="Arial"/>
                <w:color w:val="000000"/>
                <w:sz w:val="18"/>
                <w:szCs w:val="18"/>
              </w:rPr>
            </w:pPr>
            <w:r>
              <w:rPr>
                <w:rFonts w:ascii="Verdana" w:hAnsi="Verdana" w:cs="Arial"/>
                <w:color w:val="000000"/>
                <w:sz w:val="18"/>
                <w:szCs w:val="18"/>
              </w:rPr>
              <w:t xml:space="preserve">8 (36.4) </w:t>
            </w:r>
          </w:p>
          <w:p w14:paraId="12D20CD8"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rPr>
              <w:br/>
              <w:t>2</w:t>
            </w:r>
          </w:p>
        </w:tc>
        <w:tc>
          <w:tcPr>
            <w:tcW w:w="1416"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1F437045" w14:textId="77777777" w:rsidR="00BC1D4B" w:rsidRDefault="00ED1F84">
            <w:pPr>
              <w:spacing w:after="0" w:line="256" w:lineRule="auto"/>
              <w:jc w:val="center"/>
              <w:rPr>
                <w:rFonts w:ascii="Verdana" w:hAnsi="Verdana" w:cs="Arial"/>
                <w:color w:val="000000"/>
                <w:sz w:val="18"/>
                <w:szCs w:val="18"/>
              </w:rPr>
            </w:pPr>
            <w:r>
              <w:rPr>
                <w:rFonts w:ascii="Verdana" w:hAnsi="Verdana" w:cs="Arial"/>
                <w:color w:val="000000"/>
                <w:sz w:val="18"/>
                <w:szCs w:val="18"/>
              </w:rPr>
              <w:t xml:space="preserve">10 (45.5) </w:t>
            </w:r>
          </w:p>
          <w:p w14:paraId="7936CA93"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rPr>
              <w:br/>
              <w:t>1</w:t>
            </w:r>
          </w:p>
        </w:tc>
        <w:tc>
          <w:tcPr>
            <w:tcW w:w="1703"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46065C7E" w14:textId="77777777" w:rsidR="00BC1D4B" w:rsidRDefault="00ED1F84">
            <w:pPr>
              <w:spacing w:after="0" w:line="256" w:lineRule="auto"/>
              <w:jc w:val="center"/>
              <w:rPr>
                <w:rFonts w:ascii="Verdana" w:hAnsi="Verdana" w:cs="Arial"/>
                <w:color w:val="000000"/>
                <w:sz w:val="18"/>
                <w:szCs w:val="18"/>
              </w:rPr>
            </w:pPr>
            <w:r>
              <w:rPr>
                <w:rFonts w:ascii="Verdana" w:hAnsi="Verdana" w:cs="Arial"/>
                <w:color w:val="000000"/>
                <w:sz w:val="18"/>
                <w:szCs w:val="18"/>
              </w:rPr>
              <w:t>14 (60.9) *</w:t>
            </w:r>
          </w:p>
          <w:p w14:paraId="7D17279C" w14:textId="77777777" w:rsidR="00BC1D4B" w:rsidRDefault="00ED1F84">
            <w:pPr>
              <w:spacing w:after="0" w:line="256" w:lineRule="auto"/>
              <w:jc w:val="center"/>
              <w:rPr>
                <w:rFonts w:ascii="Verdana" w:hAnsi="Verdana" w:cs="Arial"/>
                <w:sz w:val="18"/>
                <w:szCs w:val="18"/>
                <w:lang w:val="fr-FR" w:eastAsia="fr-FR"/>
              </w:rPr>
            </w:pPr>
            <w:r>
              <w:rPr>
                <w:rFonts w:ascii="Verdana" w:hAnsi="Verdana" w:cs="Arial"/>
                <w:color w:val="000000"/>
                <w:sz w:val="18"/>
                <w:szCs w:val="18"/>
              </w:rPr>
              <w:br/>
              <w:t>5*</w:t>
            </w:r>
          </w:p>
        </w:tc>
      </w:tr>
      <w:tr w:rsidR="00BC1D4B" w14:paraId="55D53311" w14:textId="77777777">
        <w:trPr>
          <w:trHeight w:val="794"/>
        </w:trPr>
        <w:tc>
          <w:tcPr>
            <w:tcW w:w="0" w:type="auto"/>
            <w:tcBorders>
              <w:top w:val="single" w:sz="8" w:space="0" w:color="5770BE"/>
              <w:left w:val="single" w:sz="8" w:space="0" w:color="5770BE"/>
              <w:bottom w:val="single" w:sz="8" w:space="0" w:color="5770BE"/>
              <w:right w:val="single" w:sz="8" w:space="0" w:color="5770BE"/>
            </w:tcBorders>
            <w:shd w:val="clear" w:color="auto" w:fill="DDE2F2"/>
            <w:tcMar>
              <w:top w:w="8" w:type="dxa"/>
              <w:left w:w="8" w:type="dxa"/>
              <w:bottom w:w="0" w:type="dxa"/>
              <w:right w:w="8" w:type="dxa"/>
            </w:tcMar>
            <w:vAlign w:val="center"/>
          </w:tcPr>
          <w:p w14:paraId="4464904B" w14:textId="77777777" w:rsidR="00BC1D4B" w:rsidRDefault="00ED1F84">
            <w:pPr>
              <w:spacing w:after="0" w:line="256" w:lineRule="auto"/>
              <w:jc w:val="center"/>
              <w:rPr>
                <w:rFonts w:ascii="Verdana" w:hAnsi="Verdana" w:cs="Arial"/>
                <w:bCs/>
                <w:color w:val="000000"/>
                <w:sz w:val="18"/>
                <w:szCs w:val="18"/>
                <w:lang w:val="en-US" w:eastAsia="fr-FR"/>
              </w:rPr>
            </w:pPr>
            <w:r>
              <w:rPr>
                <w:rFonts w:ascii="Verdana" w:hAnsi="Verdana" w:cs="Arial"/>
                <w:bCs/>
                <w:color w:val="000000"/>
                <w:sz w:val="18"/>
                <w:szCs w:val="18"/>
                <w:lang w:val="en-US" w:eastAsia="fr-FR"/>
              </w:rPr>
              <w:t>F2 pups</w:t>
            </w:r>
          </w:p>
        </w:tc>
        <w:tc>
          <w:tcPr>
            <w:tcW w:w="1758"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6100697B" w14:textId="77777777" w:rsidR="00BC1D4B" w:rsidRDefault="00ED1F84">
            <w:pPr>
              <w:spacing w:after="0" w:line="256" w:lineRule="auto"/>
              <w:jc w:val="center"/>
              <w:rPr>
                <w:rFonts w:ascii="Verdana" w:hAnsi="Verdana" w:cs="Arial"/>
                <w:color w:val="000000"/>
                <w:sz w:val="18"/>
                <w:szCs w:val="18"/>
              </w:rPr>
            </w:pPr>
            <w:r>
              <w:rPr>
                <w:rFonts w:ascii="Verdana" w:hAnsi="Verdana" w:cs="Arial"/>
                <w:color w:val="000000"/>
                <w:sz w:val="18"/>
                <w:szCs w:val="18"/>
              </w:rPr>
              <w:t xml:space="preserve">2 (11.8) </w:t>
            </w:r>
          </w:p>
          <w:p w14:paraId="67DB8486" w14:textId="77777777" w:rsidR="00BC1D4B" w:rsidRDefault="00ED1F84">
            <w:pPr>
              <w:spacing w:after="0" w:line="256" w:lineRule="auto"/>
              <w:jc w:val="center"/>
              <w:rPr>
                <w:rFonts w:ascii="Verdana" w:hAnsi="Verdana" w:cs="Arial"/>
                <w:color w:val="000000"/>
                <w:sz w:val="18"/>
                <w:szCs w:val="18"/>
                <w:lang w:val="fr-FR" w:eastAsia="fr-FR"/>
              </w:rPr>
            </w:pPr>
            <w:r>
              <w:rPr>
                <w:rFonts w:ascii="Verdana" w:hAnsi="Verdana" w:cs="Arial"/>
                <w:color w:val="000000"/>
                <w:sz w:val="18"/>
                <w:szCs w:val="18"/>
              </w:rPr>
              <w:br/>
              <w:t>0</w:t>
            </w:r>
          </w:p>
        </w:tc>
        <w:tc>
          <w:tcPr>
            <w:tcW w:w="1417"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6B77F7A5" w14:textId="77777777" w:rsidR="00BC1D4B" w:rsidRDefault="00ED1F84">
            <w:pPr>
              <w:spacing w:after="0" w:line="256" w:lineRule="auto"/>
              <w:jc w:val="center"/>
              <w:rPr>
                <w:rFonts w:ascii="Verdana" w:hAnsi="Verdana" w:cs="Arial"/>
                <w:color w:val="000000"/>
                <w:sz w:val="18"/>
                <w:szCs w:val="18"/>
              </w:rPr>
            </w:pPr>
            <w:r>
              <w:rPr>
                <w:rFonts w:ascii="Verdana" w:hAnsi="Verdana" w:cs="Arial"/>
                <w:color w:val="000000"/>
                <w:sz w:val="18"/>
                <w:szCs w:val="18"/>
              </w:rPr>
              <w:t xml:space="preserve">2 (10.0) </w:t>
            </w:r>
          </w:p>
          <w:p w14:paraId="74647584" w14:textId="77777777" w:rsidR="00BC1D4B" w:rsidRDefault="00ED1F84">
            <w:pPr>
              <w:spacing w:after="0" w:line="256" w:lineRule="auto"/>
              <w:jc w:val="center"/>
              <w:rPr>
                <w:rFonts w:ascii="Verdana" w:hAnsi="Verdana" w:cs="Arial"/>
                <w:color w:val="000000"/>
                <w:sz w:val="18"/>
                <w:szCs w:val="18"/>
                <w:lang w:val="fr-FR" w:eastAsia="fr-FR"/>
              </w:rPr>
            </w:pPr>
            <w:r>
              <w:rPr>
                <w:rFonts w:ascii="Verdana" w:hAnsi="Verdana" w:cs="Arial"/>
                <w:color w:val="000000"/>
                <w:sz w:val="18"/>
                <w:szCs w:val="18"/>
              </w:rPr>
              <w:br/>
              <w:t>0</w:t>
            </w:r>
          </w:p>
        </w:tc>
        <w:tc>
          <w:tcPr>
            <w:tcW w:w="1416"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4CFD3D77" w14:textId="77777777" w:rsidR="00BC1D4B" w:rsidRDefault="00ED1F84">
            <w:pPr>
              <w:spacing w:after="0" w:line="256" w:lineRule="auto"/>
              <w:jc w:val="center"/>
              <w:rPr>
                <w:rFonts w:ascii="Verdana" w:hAnsi="Verdana" w:cs="Arial"/>
                <w:color w:val="000000"/>
                <w:sz w:val="18"/>
                <w:szCs w:val="18"/>
              </w:rPr>
            </w:pPr>
            <w:r>
              <w:rPr>
                <w:rFonts w:ascii="Verdana" w:hAnsi="Verdana" w:cs="Arial"/>
                <w:color w:val="000000"/>
                <w:sz w:val="18"/>
                <w:szCs w:val="18"/>
              </w:rPr>
              <w:t xml:space="preserve">13 (68.4) </w:t>
            </w:r>
          </w:p>
          <w:p w14:paraId="2A2BE974" w14:textId="77777777" w:rsidR="00BC1D4B" w:rsidRDefault="00ED1F84">
            <w:pPr>
              <w:spacing w:after="0" w:line="256" w:lineRule="auto"/>
              <w:jc w:val="center"/>
              <w:rPr>
                <w:rFonts w:ascii="Verdana" w:hAnsi="Verdana" w:cs="Arial"/>
                <w:color w:val="000000"/>
                <w:sz w:val="18"/>
                <w:szCs w:val="18"/>
                <w:lang w:val="fr-FR" w:eastAsia="fr-FR"/>
              </w:rPr>
            </w:pPr>
            <w:r>
              <w:rPr>
                <w:rFonts w:ascii="Verdana" w:hAnsi="Verdana" w:cs="Arial"/>
                <w:color w:val="000000"/>
                <w:sz w:val="18"/>
                <w:szCs w:val="18"/>
              </w:rPr>
              <w:br/>
              <w:t>2</w:t>
            </w:r>
          </w:p>
        </w:tc>
        <w:tc>
          <w:tcPr>
            <w:tcW w:w="1703" w:type="dxa"/>
            <w:tcBorders>
              <w:top w:val="single" w:sz="8" w:space="0" w:color="5770BE"/>
              <w:left w:val="single" w:sz="8" w:space="0" w:color="5770BE"/>
              <w:bottom w:val="single" w:sz="8" w:space="0" w:color="5770BE"/>
              <w:right w:val="single" w:sz="8" w:space="0" w:color="5770BE"/>
            </w:tcBorders>
            <w:shd w:val="clear" w:color="auto" w:fill="auto"/>
            <w:tcMar>
              <w:top w:w="8" w:type="dxa"/>
              <w:left w:w="8" w:type="dxa"/>
              <w:bottom w:w="0" w:type="dxa"/>
              <w:right w:w="8" w:type="dxa"/>
            </w:tcMar>
            <w:vAlign w:val="center"/>
          </w:tcPr>
          <w:p w14:paraId="71A7DE34" w14:textId="77777777" w:rsidR="00BC1D4B" w:rsidRDefault="00ED1F84">
            <w:pPr>
              <w:spacing w:after="0" w:line="256" w:lineRule="auto"/>
              <w:jc w:val="center"/>
              <w:rPr>
                <w:rFonts w:ascii="Verdana" w:hAnsi="Verdana" w:cs="Arial"/>
                <w:color w:val="000000"/>
                <w:sz w:val="18"/>
                <w:szCs w:val="18"/>
              </w:rPr>
            </w:pPr>
            <w:r>
              <w:rPr>
                <w:rFonts w:ascii="Verdana" w:hAnsi="Verdana" w:cs="Arial"/>
                <w:color w:val="000000"/>
                <w:sz w:val="18"/>
                <w:szCs w:val="18"/>
              </w:rPr>
              <w:t>17 (89.5)</w:t>
            </w:r>
          </w:p>
          <w:p w14:paraId="500473A4" w14:textId="77777777" w:rsidR="00BC1D4B" w:rsidRDefault="00ED1F84">
            <w:pPr>
              <w:spacing w:after="0" w:line="256" w:lineRule="auto"/>
              <w:jc w:val="center"/>
              <w:rPr>
                <w:rFonts w:ascii="Verdana" w:hAnsi="Verdana" w:cs="Arial"/>
                <w:color w:val="000000"/>
                <w:sz w:val="18"/>
                <w:szCs w:val="18"/>
                <w:lang w:val="fr-FR" w:eastAsia="fr-FR"/>
              </w:rPr>
            </w:pPr>
            <w:r>
              <w:rPr>
                <w:rFonts w:ascii="Verdana" w:hAnsi="Verdana" w:cs="Arial"/>
                <w:color w:val="000000"/>
                <w:sz w:val="18"/>
                <w:szCs w:val="18"/>
              </w:rPr>
              <w:br/>
              <w:t>4</w:t>
            </w:r>
          </w:p>
        </w:tc>
      </w:tr>
    </w:tbl>
    <w:p w14:paraId="6F1500DE" w14:textId="77777777" w:rsidR="00BC1D4B" w:rsidRDefault="00ED1F84">
      <w:pPr>
        <w:rPr>
          <w:rFonts w:ascii="Verdana" w:eastAsia="Calibri" w:hAnsi="Verdana"/>
          <w:bCs/>
          <w:sz w:val="20"/>
          <w:szCs w:val="20"/>
          <w:lang w:val="en-US"/>
        </w:rPr>
      </w:pPr>
      <w:r>
        <w:rPr>
          <w:rFonts w:ascii="Verdana" w:eastAsia="Calibri" w:hAnsi="Verdana"/>
          <w:bCs/>
          <w:sz w:val="20"/>
          <w:szCs w:val="20"/>
          <w:lang w:val="en-US"/>
        </w:rPr>
        <w:t xml:space="preserve">Statistical significance: *(p&lt;0.05) </w:t>
      </w:r>
    </w:p>
    <w:p w14:paraId="13CF41DB"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However, the BMD approach provides an alternative approach that confirms the shallow shape of the slope and the uncertainties about the statistical derivation of the NOAEL.</w:t>
      </w:r>
    </w:p>
    <w:p w14:paraId="111E361E" w14:textId="77777777" w:rsidR="00BC1D4B" w:rsidRDefault="00BC1D4B">
      <w:pPr>
        <w:spacing w:after="160" w:line="259" w:lineRule="auto"/>
        <w:jc w:val="both"/>
        <w:rPr>
          <w:rFonts w:ascii="Verdana" w:eastAsia="Calibri" w:hAnsi="Verdana"/>
          <w:sz w:val="20"/>
          <w:szCs w:val="20"/>
          <w:lang w:val="en-US"/>
        </w:rPr>
      </w:pPr>
    </w:p>
    <w:p w14:paraId="4F0EE248" w14:textId="77777777" w:rsidR="00BC1D4B" w:rsidRDefault="00ED1F84">
      <w:pPr>
        <w:spacing w:after="160" w:line="259" w:lineRule="auto"/>
        <w:jc w:val="both"/>
        <w:rPr>
          <w:rFonts w:ascii="Verdana" w:eastAsia="Calibri" w:hAnsi="Verdana"/>
          <w:b/>
          <w:sz w:val="20"/>
          <w:szCs w:val="20"/>
          <w:lang w:val="en-US"/>
        </w:rPr>
      </w:pPr>
      <w:r>
        <w:rPr>
          <w:rFonts w:ascii="Verdana" w:eastAsia="Calibri" w:hAnsi="Verdana"/>
          <w:b/>
          <w:sz w:val="20"/>
          <w:szCs w:val="20"/>
          <w:lang w:val="en-US"/>
        </w:rPr>
        <w:t>Severity of the effect:</w:t>
      </w:r>
    </w:p>
    <w:p w14:paraId="090BC5A4"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Moreover, the R8 guidance document states that the extent and severity of the effects seen at the LOAEL in reproductive toxicity studies may, in some cases, be very marked, e.g. extensive foetal or offspring death. This should be reflected in the use of an appropriate assessment factor to account for the uncertainty related with the 'dose-response relationship'. In the study,</w:t>
      </w:r>
      <w:r>
        <w:t xml:space="preserve"> </w:t>
      </w:r>
      <w:r>
        <w:rPr>
          <w:rFonts w:ascii="Verdana" w:eastAsia="Calibri" w:hAnsi="Verdana"/>
          <w:sz w:val="20"/>
          <w:szCs w:val="20"/>
          <w:lang w:val="en-US"/>
        </w:rPr>
        <w:t>the critical effect is a statistically significant increase in mortality of F1 lactating pups at the dose 5 mg/kg bw/d, seen during PND 1 to 4 and is a severe and irreversible effect.</w:t>
      </w:r>
    </w:p>
    <w:p w14:paraId="23A9E41F" w14:textId="77777777" w:rsidR="00BC1D4B" w:rsidRDefault="00ED1F84">
      <w:pPr>
        <w:spacing w:after="160" w:line="259" w:lineRule="auto"/>
        <w:jc w:val="both"/>
        <w:rPr>
          <w:rFonts w:ascii="Verdana" w:eastAsia="Calibri" w:hAnsi="Verdana"/>
          <w:sz w:val="20"/>
          <w:szCs w:val="20"/>
          <w:lang w:val="en-US"/>
        </w:rPr>
      </w:pPr>
      <w:r>
        <w:rPr>
          <w:rFonts w:ascii="Verdana" w:eastAsia="Calibri" w:hAnsi="Verdana"/>
          <w:sz w:val="20"/>
          <w:szCs w:val="20"/>
          <w:lang w:val="en-US"/>
        </w:rPr>
        <w:t>In conclusion, considering the severity of the effect (mortality of pups) and the uncertainties regarding the shape and slope of the dose-response curve, an increase of the assessment factor (default factor of 3) is considered justified. Considering also that the effect is characterized from a study of good quality and of relevant statistical power, the aMSCA recommends an assessment factor of 5 for the extrapolation of the LOAEL to the NOAEL. The DNELs as calculated by the aMSCA are listed in the table below:</w:t>
      </w:r>
    </w:p>
    <w:p w14:paraId="47A12DF0" w14:textId="77777777" w:rsidR="00BC1D4B" w:rsidRDefault="00BC1D4B">
      <w:pPr>
        <w:spacing w:after="120"/>
        <w:ind w:right="-477"/>
        <w:jc w:val="both"/>
        <w:rPr>
          <w:rFonts w:ascii="Verdana" w:hAnsi="Verdana"/>
          <w:b/>
          <w:sz w:val="20"/>
          <w:szCs w:val="20"/>
          <w:lang w:val="en-US"/>
        </w:rPr>
      </w:pPr>
    </w:p>
    <w:p w14:paraId="0D6C1E44" w14:textId="77777777" w:rsidR="00BC1D4B" w:rsidRDefault="00ED1F84">
      <w:pPr>
        <w:spacing w:after="120"/>
        <w:ind w:right="-477"/>
        <w:jc w:val="both"/>
        <w:rPr>
          <w:b/>
          <w:lang w:val="en-US"/>
        </w:rPr>
      </w:pPr>
      <w:r>
        <w:rPr>
          <w:rFonts w:ascii="Verdana" w:hAnsi="Verdana"/>
          <w:b/>
          <w:sz w:val="20"/>
          <w:szCs w:val="20"/>
          <w:lang w:val="en-US"/>
        </w:rPr>
        <w:t>Table 16: DNEL revision by the aMSCA</w:t>
      </w:r>
    </w:p>
    <w:tbl>
      <w:tblPr>
        <w:tblStyle w:val="Grilledutableau4"/>
        <w:tblW w:w="5000" w:type="pct"/>
        <w:tblLook w:val="04A0" w:firstRow="1" w:lastRow="0" w:firstColumn="1" w:lastColumn="0" w:noHBand="0" w:noVBand="1"/>
      </w:tblPr>
      <w:tblGrid>
        <w:gridCol w:w="1252"/>
        <w:gridCol w:w="921"/>
        <w:gridCol w:w="1126"/>
        <w:gridCol w:w="995"/>
        <w:gridCol w:w="1063"/>
        <w:gridCol w:w="1034"/>
        <w:gridCol w:w="1175"/>
        <w:gridCol w:w="736"/>
      </w:tblGrid>
      <w:tr w:rsidR="00BC1D4B" w:rsidRPr="006E6890" w14:paraId="5CEFEBBB" w14:textId="77777777" w:rsidTr="006A23FE">
        <w:tc>
          <w:tcPr>
            <w:tcW w:w="772" w:type="pct"/>
          </w:tcPr>
          <w:p w14:paraId="07D1D486" w14:textId="77777777" w:rsidR="00BC1D4B" w:rsidRPr="006A23FE" w:rsidRDefault="00ED1F84">
            <w:pPr>
              <w:spacing w:after="200" w:line="276" w:lineRule="auto"/>
              <w:rPr>
                <w:rFonts w:ascii="Calibri" w:eastAsia="Calibri" w:hAnsi="Calibri"/>
                <w:b/>
                <w:sz w:val="20"/>
                <w:szCs w:val="20"/>
                <w:lang w:val="en-US"/>
              </w:rPr>
            </w:pPr>
            <w:r w:rsidRPr="006A23FE">
              <w:rPr>
                <w:rFonts w:ascii="Calibri" w:eastAsia="Calibri" w:hAnsi="Calibri"/>
                <w:b/>
                <w:sz w:val="20"/>
                <w:szCs w:val="20"/>
                <w:lang w:val="en-US"/>
              </w:rPr>
              <w:t>Endpoint of concern</w:t>
            </w:r>
          </w:p>
        </w:tc>
        <w:tc>
          <w:tcPr>
            <w:tcW w:w="572" w:type="pct"/>
          </w:tcPr>
          <w:p w14:paraId="17D2C68A" w14:textId="77777777" w:rsidR="00BC1D4B" w:rsidRPr="006A23FE" w:rsidRDefault="00ED1F84">
            <w:pPr>
              <w:spacing w:after="200" w:line="276" w:lineRule="auto"/>
              <w:rPr>
                <w:rFonts w:ascii="Calibri" w:eastAsia="Calibri" w:hAnsi="Calibri"/>
                <w:b/>
                <w:sz w:val="20"/>
                <w:szCs w:val="20"/>
                <w:lang w:val="en-US"/>
              </w:rPr>
            </w:pPr>
            <w:r w:rsidRPr="006A23FE">
              <w:rPr>
                <w:rFonts w:ascii="Calibri" w:eastAsia="Calibri" w:hAnsi="Calibri"/>
                <w:b/>
                <w:sz w:val="20"/>
                <w:szCs w:val="20"/>
                <w:lang w:val="en-US"/>
              </w:rPr>
              <w:t xml:space="preserve">Type of effects </w:t>
            </w:r>
          </w:p>
        </w:tc>
        <w:tc>
          <w:tcPr>
            <w:tcW w:w="667" w:type="pct"/>
          </w:tcPr>
          <w:p w14:paraId="0C1755E8" w14:textId="77777777" w:rsidR="00BC1D4B" w:rsidRPr="006A23FE" w:rsidRDefault="00ED1F84">
            <w:pPr>
              <w:spacing w:after="200" w:line="276" w:lineRule="auto"/>
              <w:rPr>
                <w:rFonts w:ascii="Calibri" w:eastAsia="Calibri" w:hAnsi="Calibri"/>
                <w:b/>
                <w:sz w:val="20"/>
                <w:szCs w:val="20"/>
                <w:lang w:val="en-US"/>
              </w:rPr>
            </w:pPr>
            <w:r w:rsidRPr="006A23FE">
              <w:rPr>
                <w:rFonts w:ascii="Calibri" w:eastAsia="Calibri" w:hAnsi="Calibri"/>
                <w:b/>
                <w:sz w:val="20"/>
                <w:szCs w:val="20"/>
                <w:lang w:val="en-US"/>
              </w:rPr>
              <w:t>Population</w:t>
            </w:r>
          </w:p>
        </w:tc>
        <w:tc>
          <w:tcPr>
            <w:tcW w:w="616" w:type="pct"/>
          </w:tcPr>
          <w:p w14:paraId="76475A7A" w14:textId="77777777" w:rsidR="00BC1D4B" w:rsidRPr="006A23FE" w:rsidRDefault="00ED1F84">
            <w:pPr>
              <w:spacing w:after="200" w:line="276" w:lineRule="auto"/>
              <w:rPr>
                <w:rFonts w:ascii="Calibri" w:eastAsia="Calibri" w:hAnsi="Calibri"/>
                <w:b/>
                <w:sz w:val="20"/>
                <w:szCs w:val="20"/>
                <w:lang w:val="en-US"/>
              </w:rPr>
            </w:pPr>
            <w:r w:rsidRPr="006A23FE">
              <w:rPr>
                <w:rFonts w:ascii="Calibri" w:eastAsia="Calibri" w:hAnsi="Calibri"/>
                <w:b/>
                <w:sz w:val="20"/>
                <w:szCs w:val="20"/>
                <w:lang w:val="en-US"/>
              </w:rPr>
              <w:t xml:space="preserve">Route of exposure </w:t>
            </w:r>
          </w:p>
        </w:tc>
        <w:tc>
          <w:tcPr>
            <w:tcW w:w="621" w:type="pct"/>
          </w:tcPr>
          <w:p w14:paraId="2A66F92D" w14:textId="77777777" w:rsidR="00BC1D4B" w:rsidRPr="006A23FE" w:rsidRDefault="00ED1F84">
            <w:pPr>
              <w:spacing w:after="200" w:line="276" w:lineRule="auto"/>
              <w:rPr>
                <w:rFonts w:ascii="Calibri" w:eastAsia="Calibri" w:hAnsi="Calibri"/>
                <w:b/>
                <w:sz w:val="20"/>
                <w:szCs w:val="20"/>
                <w:lang w:val="en-US"/>
              </w:rPr>
            </w:pPr>
            <w:r w:rsidRPr="006A23FE">
              <w:rPr>
                <w:rFonts w:ascii="Calibri" w:eastAsia="Calibri" w:hAnsi="Calibri"/>
                <w:b/>
                <w:sz w:val="20"/>
                <w:szCs w:val="20"/>
                <w:lang w:val="en-US"/>
              </w:rPr>
              <w:t xml:space="preserve">dose descriptor </w:t>
            </w:r>
          </w:p>
        </w:tc>
        <w:tc>
          <w:tcPr>
            <w:tcW w:w="607" w:type="pct"/>
          </w:tcPr>
          <w:p w14:paraId="4B71FAC1" w14:textId="77777777" w:rsidR="00BC1D4B" w:rsidRPr="006A23FE" w:rsidRDefault="00ED1F84">
            <w:pPr>
              <w:spacing w:after="200" w:line="276" w:lineRule="auto"/>
              <w:rPr>
                <w:rFonts w:ascii="Calibri" w:eastAsia="Calibri" w:hAnsi="Calibri"/>
                <w:b/>
                <w:sz w:val="20"/>
                <w:szCs w:val="20"/>
                <w:lang w:val="en-US"/>
              </w:rPr>
            </w:pPr>
            <w:r w:rsidRPr="006A23FE">
              <w:rPr>
                <w:rFonts w:ascii="Calibri" w:eastAsia="Calibri" w:hAnsi="Calibri"/>
                <w:b/>
                <w:sz w:val="20"/>
                <w:szCs w:val="20"/>
                <w:lang w:val="en-US"/>
              </w:rPr>
              <w:t xml:space="preserve">Corrected starting point </w:t>
            </w:r>
          </w:p>
        </w:tc>
        <w:tc>
          <w:tcPr>
            <w:tcW w:w="686" w:type="pct"/>
          </w:tcPr>
          <w:p w14:paraId="6EAD9BEC" w14:textId="77777777" w:rsidR="00BC1D4B" w:rsidRPr="006A23FE" w:rsidRDefault="00ED1F84">
            <w:pPr>
              <w:spacing w:after="200" w:line="276" w:lineRule="auto"/>
              <w:rPr>
                <w:rFonts w:ascii="Calibri" w:eastAsia="Calibri" w:hAnsi="Calibri"/>
                <w:b/>
                <w:sz w:val="20"/>
                <w:szCs w:val="20"/>
                <w:lang w:val="en-US"/>
              </w:rPr>
            </w:pPr>
            <w:r w:rsidRPr="006A23FE">
              <w:rPr>
                <w:rFonts w:ascii="Calibri" w:eastAsia="Calibri" w:hAnsi="Calibri"/>
                <w:b/>
                <w:sz w:val="20"/>
                <w:szCs w:val="20"/>
                <w:lang w:val="en-US"/>
              </w:rPr>
              <w:t>Total assessment factor</w:t>
            </w:r>
          </w:p>
        </w:tc>
        <w:tc>
          <w:tcPr>
            <w:tcW w:w="459" w:type="pct"/>
          </w:tcPr>
          <w:p w14:paraId="15439676" w14:textId="77777777" w:rsidR="00BC1D4B" w:rsidRPr="006A23FE" w:rsidRDefault="00ED1F84">
            <w:pPr>
              <w:spacing w:after="200" w:line="276" w:lineRule="auto"/>
              <w:rPr>
                <w:rFonts w:ascii="Calibri" w:eastAsia="Calibri" w:hAnsi="Calibri"/>
                <w:b/>
                <w:sz w:val="20"/>
                <w:szCs w:val="20"/>
                <w:lang w:val="en-US"/>
              </w:rPr>
            </w:pPr>
            <w:r w:rsidRPr="006A23FE">
              <w:rPr>
                <w:rFonts w:ascii="Calibri" w:eastAsia="Calibri" w:hAnsi="Calibri"/>
                <w:b/>
                <w:sz w:val="20"/>
                <w:szCs w:val="20"/>
                <w:lang w:val="en-US"/>
              </w:rPr>
              <w:t>DNELs</w:t>
            </w:r>
          </w:p>
        </w:tc>
      </w:tr>
      <w:tr w:rsidR="00BC1D4B" w:rsidRPr="006E6890" w14:paraId="51F22304" w14:textId="77777777" w:rsidTr="006A23FE">
        <w:tc>
          <w:tcPr>
            <w:tcW w:w="772" w:type="pct"/>
            <w:vMerge w:val="restart"/>
            <w:vAlign w:val="center"/>
          </w:tcPr>
          <w:p w14:paraId="7B334DFB"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 xml:space="preserve">Reproductive toxicity </w:t>
            </w:r>
          </w:p>
        </w:tc>
        <w:tc>
          <w:tcPr>
            <w:tcW w:w="572" w:type="pct"/>
            <w:vMerge w:val="restart"/>
            <w:vAlign w:val="center"/>
          </w:tcPr>
          <w:p w14:paraId="7A438958" w14:textId="77777777" w:rsidR="00BC1D4B" w:rsidRPr="006A23FE" w:rsidRDefault="00ED1F84">
            <w:pPr>
              <w:spacing w:after="200" w:line="276" w:lineRule="auto"/>
              <w:jc w:val="center"/>
              <w:rPr>
                <w:rFonts w:ascii="Calibri" w:eastAsia="Calibri" w:hAnsi="Calibri"/>
                <w:sz w:val="18"/>
                <w:szCs w:val="18"/>
                <w:lang w:val="en-US"/>
              </w:rPr>
            </w:pPr>
            <w:r w:rsidRPr="006A23FE">
              <w:rPr>
                <w:rFonts w:ascii="Calibri" w:eastAsia="Calibri" w:hAnsi="Calibri"/>
                <w:sz w:val="18"/>
                <w:szCs w:val="18"/>
                <w:lang w:val="en-US"/>
              </w:rPr>
              <w:t>Post-natal mortality of pups</w:t>
            </w:r>
          </w:p>
        </w:tc>
        <w:tc>
          <w:tcPr>
            <w:tcW w:w="667" w:type="pct"/>
            <w:vMerge w:val="restart"/>
            <w:vAlign w:val="center"/>
          </w:tcPr>
          <w:p w14:paraId="0BF8FC38" w14:textId="77777777" w:rsidR="00BC1D4B" w:rsidRPr="006A23FE" w:rsidRDefault="00ED1F84">
            <w:pPr>
              <w:spacing w:after="200" w:line="276" w:lineRule="auto"/>
              <w:jc w:val="center"/>
              <w:rPr>
                <w:rFonts w:ascii="Calibri" w:eastAsia="Calibri" w:hAnsi="Calibri"/>
                <w:sz w:val="18"/>
                <w:szCs w:val="18"/>
                <w:lang w:val="en-US"/>
              </w:rPr>
            </w:pPr>
            <w:r w:rsidRPr="006A23FE">
              <w:rPr>
                <w:rFonts w:ascii="Calibri" w:eastAsia="Calibri" w:hAnsi="Calibri"/>
                <w:sz w:val="18"/>
                <w:szCs w:val="18"/>
                <w:lang w:val="en-US"/>
              </w:rPr>
              <w:t>Workers</w:t>
            </w:r>
          </w:p>
        </w:tc>
        <w:tc>
          <w:tcPr>
            <w:tcW w:w="616" w:type="pct"/>
          </w:tcPr>
          <w:p w14:paraId="69F09E93"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Inhalation</w:t>
            </w:r>
          </w:p>
        </w:tc>
        <w:tc>
          <w:tcPr>
            <w:tcW w:w="621" w:type="pct"/>
            <w:vMerge w:val="restart"/>
            <w:vAlign w:val="center"/>
          </w:tcPr>
          <w:p w14:paraId="4F004A03" w14:textId="77777777" w:rsidR="00BC1D4B" w:rsidRPr="006A23FE" w:rsidRDefault="00ED1F84">
            <w:pPr>
              <w:spacing w:after="200" w:line="276" w:lineRule="auto"/>
              <w:jc w:val="center"/>
              <w:rPr>
                <w:rFonts w:ascii="Calibri" w:eastAsia="Calibri" w:hAnsi="Calibri"/>
                <w:sz w:val="18"/>
                <w:szCs w:val="18"/>
                <w:lang w:val="en-US"/>
              </w:rPr>
            </w:pPr>
            <w:r w:rsidRPr="006A23FE">
              <w:rPr>
                <w:rFonts w:ascii="Calibri" w:eastAsia="Calibri" w:hAnsi="Calibri"/>
                <w:sz w:val="18"/>
                <w:szCs w:val="18"/>
                <w:lang w:val="en-US"/>
              </w:rPr>
              <w:t>LOAEL = 5 mg/kg bw/d</w:t>
            </w:r>
          </w:p>
          <w:p w14:paraId="59244269" w14:textId="77777777" w:rsidR="00BC1D4B" w:rsidRPr="006A23FE" w:rsidRDefault="00BC1D4B">
            <w:pPr>
              <w:spacing w:after="200" w:line="276" w:lineRule="auto"/>
              <w:jc w:val="center"/>
              <w:rPr>
                <w:rFonts w:ascii="Calibri" w:eastAsia="Calibri" w:hAnsi="Calibri"/>
                <w:sz w:val="18"/>
                <w:szCs w:val="18"/>
                <w:lang w:val="en-US"/>
              </w:rPr>
            </w:pPr>
          </w:p>
        </w:tc>
        <w:tc>
          <w:tcPr>
            <w:tcW w:w="607" w:type="pct"/>
          </w:tcPr>
          <w:p w14:paraId="5F149082"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fr-FR"/>
              </w:rPr>
              <w:t>12.3 mg/m</w:t>
            </w:r>
            <w:r w:rsidRPr="006A23FE">
              <w:rPr>
                <w:rFonts w:ascii="Calibri" w:eastAsia="Calibri" w:hAnsi="Calibri"/>
                <w:sz w:val="18"/>
                <w:szCs w:val="18"/>
                <w:vertAlign w:val="superscript"/>
                <w:lang w:val="fr-FR"/>
              </w:rPr>
              <w:t>3</w:t>
            </w:r>
          </w:p>
        </w:tc>
        <w:tc>
          <w:tcPr>
            <w:tcW w:w="686" w:type="pct"/>
          </w:tcPr>
          <w:p w14:paraId="32F8A751"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 xml:space="preserve">62.5 </w:t>
            </w:r>
          </w:p>
        </w:tc>
        <w:tc>
          <w:tcPr>
            <w:tcW w:w="459" w:type="pct"/>
          </w:tcPr>
          <w:p w14:paraId="08378AF9" w14:textId="77777777" w:rsidR="00BC1D4B" w:rsidRPr="006A23FE" w:rsidRDefault="00ED1F84">
            <w:pPr>
              <w:spacing w:after="200" w:line="276" w:lineRule="auto"/>
              <w:rPr>
                <w:rFonts w:ascii="Calibri" w:eastAsia="Calibri" w:hAnsi="Calibri"/>
                <w:sz w:val="18"/>
                <w:szCs w:val="18"/>
                <w:lang w:val="fr-FR"/>
              </w:rPr>
            </w:pPr>
            <w:r w:rsidRPr="006A23FE">
              <w:rPr>
                <w:rFonts w:ascii="Calibri" w:eastAsia="Calibri" w:hAnsi="Calibri"/>
                <w:sz w:val="18"/>
                <w:szCs w:val="18"/>
                <w:lang w:val="en-US"/>
              </w:rPr>
              <w:t>0.197 mg/m</w:t>
            </w:r>
            <w:r w:rsidRPr="006A23FE">
              <w:rPr>
                <w:rFonts w:ascii="Calibri" w:eastAsia="Calibri" w:hAnsi="Calibri"/>
                <w:sz w:val="18"/>
                <w:szCs w:val="18"/>
                <w:vertAlign w:val="superscript"/>
                <w:lang w:val="en-US"/>
              </w:rPr>
              <w:t>3</w:t>
            </w:r>
          </w:p>
          <w:p w14:paraId="55DB1CF1" w14:textId="77777777" w:rsidR="00BC1D4B" w:rsidRPr="006A23FE" w:rsidRDefault="00BC1D4B">
            <w:pPr>
              <w:spacing w:after="200" w:line="276" w:lineRule="auto"/>
              <w:rPr>
                <w:rFonts w:ascii="Calibri" w:eastAsia="Calibri" w:hAnsi="Calibri"/>
                <w:sz w:val="18"/>
                <w:szCs w:val="18"/>
                <w:lang w:val="en-US"/>
              </w:rPr>
            </w:pPr>
          </w:p>
        </w:tc>
      </w:tr>
      <w:tr w:rsidR="00BC1D4B" w:rsidRPr="006E6890" w14:paraId="175DFE21" w14:textId="77777777" w:rsidTr="006A23FE">
        <w:tc>
          <w:tcPr>
            <w:tcW w:w="772" w:type="pct"/>
            <w:vMerge/>
          </w:tcPr>
          <w:p w14:paraId="513625A5" w14:textId="77777777" w:rsidR="00BC1D4B" w:rsidRPr="006A23FE" w:rsidRDefault="00BC1D4B">
            <w:pPr>
              <w:spacing w:after="200" w:line="276" w:lineRule="auto"/>
              <w:rPr>
                <w:rFonts w:ascii="Calibri" w:eastAsia="Calibri" w:hAnsi="Calibri"/>
                <w:sz w:val="18"/>
                <w:szCs w:val="18"/>
                <w:lang w:val="en-US"/>
              </w:rPr>
            </w:pPr>
          </w:p>
        </w:tc>
        <w:tc>
          <w:tcPr>
            <w:tcW w:w="572" w:type="pct"/>
            <w:vMerge/>
            <w:vAlign w:val="center"/>
          </w:tcPr>
          <w:p w14:paraId="254F18F0" w14:textId="77777777" w:rsidR="00BC1D4B" w:rsidRPr="006A23FE" w:rsidRDefault="00BC1D4B">
            <w:pPr>
              <w:spacing w:after="200" w:line="276" w:lineRule="auto"/>
              <w:jc w:val="center"/>
              <w:rPr>
                <w:rFonts w:ascii="Calibri" w:eastAsia="Calibri" w:hAnsi="Calibri"/>
                <w:sz w:val="18"/>
                <w:szCs w:val="18"/>
                <w:lang w:val="en-US"/>
              </w:rPr>
            </w:pPr>
          </w:p>
        </w:tc>
        <w:tc>
          <w:tcPr>
            <w:tcW w:w="667" w:type="pct"/>
            <w:vMerge/>
          </w:tcPr>
          <w:p w14:paraId="667C7B8A" w14:textId="77777777" w:rsidR="00BC1D4B" w:rsidRPr="006A23FE" w:rsidRDefault="00BC1D4B">
            <w:pPr>
              <w:spacing w:after="200" w:line="276" w:lineRule="auto"/>
              <w:rPr>
                <w:rFonts w:ascii="Calibri" w:eastAsia="Calibri" w:hAnsi="Calibri"/>
                <w:sz w:val="18"/>
                <w:szCs w:val="18"/>
                <w:lang w:val="en-US"/>
              </w:rPr>
            </w:pPr>
          </w:p>
        </w:tc>
        <w:tc>
          <w:tcPr>
            <w:tcW w:w="616" w:type="pct"/>
          </w:tcPr>
          <w:p w14:paraId="509C3A7E"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Dermal</w:t>
            </w:r>
          </w:p>
        </w:tc>
        <w:tc>
          <w:tcPr>
            <w:tcW w:w="621" w:type="pct"/>
            <w:vMerge/>
          </w:tcPr>
          <w:p w14:paraId="147CDA0E" w14:textId="77777777" w:rsidR="00BC1D4B" w:rsidRPr="006A23FE" w:rsidRDefault="00BC1D4B">
            <w:pPr>
              <w:spacing w:after="200" w:line="276" w:lineRule="auto"/>
              <w:rPr>
                <w:rFonts w:ascii="Calibri" w:eastAsia="Calibri" w:hAnsi="Calibri"/>
                <w:sz w:val="18"/>
                <w:szCs w:val="18"/>
                <w:lang w:val="en-US"/>
              </w:rPr>
            </w:pPr>
          </w:p>
        </w:tc>
        <w:tc>
          <w:tcPr>
            <w:tcW w:w="607" w:type="pct"/>
          </w:tcPr>
          <w:p w14:paraId="14C5FC3E"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70 mg/kg bw/d</w:t>
            </w:r>
          </w:p>
        </w:tc>
        <w:tc>
          <w:tcPr>
            <w:tcW w:w="686" w:type="pct"/>
          </w:tcPr>
          <w:p w14:paraId="0A6A8FFF"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250</w:t>
            </w:r>
          </w:p>
        </w:tc>
        <w:tc>
          <w:tcPr>
            <w:tcW w:w="459" w:type="pct"/>
          </w:tcPr>
          <w:p w14:paraId="3522E954"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 xml:space="preserve">0.280 </w:t>
            </w:r>
            <w:r w:rsidRPr="006A23FE">
              <w:rPr>
                <w:rFonts w:ascii="Calibri" w:eastAsia="Calibri" w:hAnsi="Calibri"/>
                <w:sz w:val="18"/>
                <w:szCs w:val="18"/>
              </w:rPr>
              <w:t>mg/kg bw/d</w:t>
            </w:r>
          </w:p>
        </w:tc>
      </w:tr>
      <w:tr w:rsidR="00BC1D4B" w:rsidRPr="006E6890" w14:paraId="39C1EE79" w14:textId="77777777" w:rsidTr="006A23FE">
        <w:trPr>
          <w:trHeight w:val="269"/>
        </w:trPr>
        <w:tc>
          <w:tcPr>
            <w:tcW w:w="772" w:type="pct"/>
            <w:vMerge/>
          </w:tcPr>
          <w:p w14:paraId="0BEAFDD3" w14:textId="77777777" w:rsidR="00BC1D4B" w:rsidRPr="006A23FE" w:rsidRDefault="00BC1D4B">
            <w:pPr>
              <w:spacing w:after="200" w:line="276" w:lineRule="auto"/>
              <w:rPr>
                <w:rFonts w:ascii="Calibri" w:eastAsia="Calibri" w:hAnsi="Calibri"/>
                <w:sz w:val="18"/>
                <w:szCs w:val="18"/>
                <w:lang w:val="en-US"/>
              </w:rPr>
            </w:pPr>
          </w:p>
        </w:tc>
        <w:tc>
          <w:tcPr>
            <w:tcW w:w="572" w:type="pct"/>
            <w:vMerge/>
            <w:vAlign w:val="center"/>
          </w:tcPr>
          <w:p w14:paraId="51184637" w14:textId="77777777" w:rsidR="00BC1D4B" w:rsidRPr="006A23FE" w:rsidRDefault="00BC1D4B">
            <w:pPr>
              <w:spacing w:after="200" w:line="276" w:lineRule="auto"/>
              <w:jc w:val="center"/>
              <w:rPr>
                <w:rFonts w:ascii="Calibri" w:eastAsia="Calibri" w:hAnsi="Calibri"/>
                <w:sz w:val="18"/>
                <w:szCs w:val="18"/>
                <w:lang w:val="en-US"/>
              </w:rPr>
            </w:pPr>
          </w:p>
        </w:tc>
        <w:tc>
          <w:tcPr>
            <w:tcW w:w="667" w:type="pct"/>
            <w:vMerge w:val="restart"/>
            <w:vAlign w:val="center"/>
          </w:tcPr>
          <w:p w14:paraId="2B4A9F85" w14:textId="77777777" w:rsidR="00BC1D4B" w:rsidRPr="006A23FE" w:rsidRDefault="00ED1F84">
            <w:pPr>
              <w:spacing w:after="200" w:line="276" w:lineRule="auto"/>
              <w:jc w:val="center"/>
              <w:rPr>
                <w:rFonts w:ascii="Calibri" w:eastAsia="Calibri" w:hAnsi="Calibri"/>
                <w:sz w:val="18"/>
                <w:szCs w:val="18"/>
                <w:lang w:val="en-US"/>
              </w:rPr>
            </w:pPr>
            <w:r w:rsidRPr="006A23FE">
              <w:rPr>
                <w:rFonts w:ascii="Calibri" w:eastAsia="Calibri" w:hAnsi="Calibri"/>
                <w:sz w:val="18"/>
                <w:szCs w:val="18"/>
                <w:lang w:val="en-US"/>
              </w:rPr>
              <w:t>Consumers</w:t>
            </w:r>
          </w:p>
        </w:tc>
        <w:tc>
          <w:tcPr>
            <w:tcW w:w="616" w:type="pct"/>
          </w:tcPr>
          <w:p w14:paraId="68D68E9A"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Oral</w:t>
            </w:r>
          </w:p>
        </w:tc>
        <w:tc>
          <w:tcPr>
            <w:tcW w:w="621" w:type="pct"/>
            <w:vMerge/>
          </w:tcPr>
          <w:p w14:paraId="0A298942" w14:textId="77777777" w:rsidR="00BC1D4B" w:rsidRPr="006A23FE" w:rsidRDefault="00BC1D4B">
            <w:pPr>
              <w:spacing w:after="200" w:line="276" w:lineRule="auto"/>
              <w:rPr>
                <w:rFonts w:ascii="Calibri" w:eastAsia="Calibri" w:hAnsi="Calibri"/>
                <w:sz w:val="18"/>
                <w:szCs w:val="18"/>
                <w:lang w:val="en-US"/>
              </w:rPr>
            </w:pPr>
          </w:p>
        </w:tc>
        <w:tc>
          <w:tcPr>
            <w:tcW w:w="607" w:type="pct"/>
          </w:tcPr>
          <w:p w14:paraId="76835E3F"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5 mg/kg bw/d</w:t>
            </w:r>
          </w:p>
        </w:tc>
        <w:tc>
          <w:tcPr>
            <w:tcW w:w="686" w:type="pct"/>
          </w:tcPr>
          <w:p w14:paraId="28C39CB6"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500</w:t>
            </w:r>
          </w:p>
        </w:tc>
        <w:tc>
          <w:tcPr>
            <w:tcW w:w="459" w:type="pct"/>
          </w:tcPr>
          <w:p w14:paraId="735FB57A"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 xml:space="preserve">0.010 </w:t>
            </w:r>
            <w:r w:rsidRPr="006A23FE">
              <w:rPr>
                <w:rFonts w:ascii="Calibri" w:eastAsia="Calibri" w:hAnsi="Calibri"/>
                <w:sz w:val="18"/>
                <w:szCs w:val="18"/>
              </w:rPr>
              <w:t>mg/kg bw/d</w:t>
            </w:r>
          </w:p>
        </w:tc>
      </w:tr>
      <w:tr w:rsidR="00BC1D4B" w:rsidRPr="006E6890" w14:paraId="1A8CFF15" w14:textId="77777777" w:rsidTr="006A23FE">
        <w:tc>
          <w:tcPr>
            <w:tcW w:w="772" w:type="pct"/>
            <w:vMerge/>
          </w:tcPr>
          <w:p w14:paraId="5FE67A30" w14:textId="77777777" w:rsidR="00BC1D4B" w:rsidRPr="006A23FE" w:rsidRDefault="00BC1D4B">
            <w:pPr>
              <w:spacing w:after="200" w:line="276" w:lineRule="auto"/>
              <w:rPr>
                <w:rFonts w:ascii="Calibri" w:eastAsia="Calibri" w:hAnsi="Calibri"/>
                <w:sz w:val="18"/>
                <w:szCs w:val="18"/>
                <w:lang w:val="en-US"/>
              </w:rPr>
            </w:pPr>
          </w:p>
        </w:tc>
        <w:tc>
          <w:tcPr>
            <w:tcW w:w="572" w:type="pct"/>
            <w:vMerge/>
            <w:vAlign w:val="center"/>
          </w:tcPr>
          <w:p w14:paraId="27EA624C" w14:textId="77777777" w:rsidR="00BC1D4B" w:rsidRPr="006A23FE" w:rsidRDefault="00BC1D4B">
            <w:pPr>
              <w:spacing w:after="200" w:line="276" w:lineRule="auto"/>
              <w:jc w:val="center"/>
              <w:rPr>
                <w:rFonts w:ascii="Calibri" w:eastAsia="Calibri" w:hAnsi="Calibri"/>
                <w:sz w:val="18"/>
                <w:szCs w:val="18"/>
                <w:lang w:val="en-US"/>
              </w:rPr>
            </w:pPr>
          </w:p>
        </w:tc>
        <w:tc>
          <w:tcPr>
            <w:tcW w:w="667" w:type="pct"/>
            <w:vMerge/>
          </w:tcPr>
          <w:p w14:paraId="65C9D5CC" w14:textId="77777777" w:rsidR="00BC1D4B" w:rsidRPr="006A23FE" w:rsidRDefault="00BC1D4B">
            <w:pPr>
              <w:spacing w:after="200" w:line="276" w:lineRule="auto"/>
              <w:rPr>
                <w:rFonts w:ascii="Calibri" w:eastAsia="Calibri" w:hAnsi="Calibri"/>
                <w:sz w:val="18"/>
                <w:szCs w:val="18"/>
                <w:lang w:val="en-US"/>
              </w:rPr>
            </w:pPr>
          </w:p>
        </w:tc>
        <w:tc>
          <w:tcPr>
            <w:tcW w:w="616" w:type="pct"/>
          </w:tcPr>
          <w:p w14:paraId="0B1BEB4C"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Inhalation</w:t>
            </w:r>
          </w:p>
        </w:tc>
        <w:tc>
          <w:tcPr>
            <w:tcW w:w="621" w:type="pct"/>
            <w:vMerge/>
          </w:tcPr>
          <w:p w14:paraId="491E8392" w14:textId="77777777" w:rsidR="00BC1D4B" w:rsidRPr="006A23FE" w:rsidRDefault="00BC1D4B">
            <w:pPr>
              <w:spacing w:after="200" w:line="276" w:lineRule="auto"/>
              <w:rPr>
                <w:rFonts w:ascii="Calibri" w:eastAsia="Calibri" w:hAnsi="Calibri"/>
                <w:sz w:val="18"/>
                <w:szCs w:val="18"/>
                <w:lang w:val="en-US"/>
              </w:rPr>
            </w:pPr>
          </w:p>
        </w:tc>
        <w:tc>
          <w:tcPr>
            <w:tcW w:w="607" w:type="pct"/>
          </w:tcPr>
          <w:p w14:paraId="32AA6463"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4.35 mg/m</w:t>
            </w:r>
            <w:r w:rsidRPr="006A23FE">
              <w:rPr>
                <w:rFonts w:ascii="Calibri" w:eastAsia="Calibri" w:hAnsi="Calibri"/>
                <w:sz w:val="18"/>
                <w:szCs w:val="18"/>
                <w:vertAlign w:val="superscript"/>
                <w:lang w:val="en-US"/>
              </w:rPr>
              <w:t>3</w:t>
            </w:r>
          </w:p>
        </w:tc>
        <w:tc>
          <w:tcPr>
            <w:tcW w:w="686" w:type="pct"/>
          </w:tcPr>
          <w:p w14:paraId="4DD9F677"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125</w:t>
            </w:r>
          </w:p>
        </w:tc>
        <w:tc>
          <w:tcPr>
            <w:tcW w:w="459" w:type="pct"/>
          </w:tcPr>
          <w:p w14:paraId="3DD11E87" w14:textId="77777777" w:rsidR="00BC1D4B" w:rsidRPr="006A23FE" w:rsidRDefault="00ED1F84">
            <w:pPr>
              <w:spacing w:after="200" w:line="276" w:lineRule="auto"/>
              <w:rPr>
                <w:rFonts w:ascii="Calibri" w:eastAsia="Calibri" w:hAnsi="Calibri"/>
                <w:sz w:val="18"/>
                <w:szCs w:val="18"/>
                <w:lang w:val="fr-FR"/>
              </w:rPr>
            </w:pPr>
            <w:r w:rsidRPr="006A23FE">
              <w:rPr>
                <w:rFonts w:ascii="Calibri" w:eastAsia="Calibri" w:hAnsi="Calibri"/>
                <w:sz w:val="18"/>
                <w:szCs w:val="18"/>
                <w:lang w:val="en-US"/>
              </w:rPr>
              <w:t>0.035 mg/m</w:t>
            </w:r>
            <w:r w:rsidRPr="006A23FE">
              <w:rPr>
                <w:rFonts w:ascii="Calibri" w:eastAsia="Calibri" w:hAnsi="Calibri"/>
                <w:sz w:val="18"/>
                <w:szCs w:val="18"/>
                <w:vertAlign w:val="superscript"/>
                <w:lang w:val="en-US"/>
              </w:rPr>
              <w:t>3</w:t>
            </w:r>
          </w:p>
        </w:tc>
      </w:tr>
      <w:tr w:rsidR="00BC1D4B" w:rsidRPr="006E6890" w14:paraId="7BCE600D" w14:textId="77777777" w:rsidTr="006A23FE">
        <w:tc>
          <w:tcPr>
            <w:tcW w:w="772" w:type="pct"/>
            <w:vMerge/>
          </w:tcPr>
          <w:p w14:paraId="2E227A88" w14:textId="77777777" w:rsidR="00BC1D4B" w:rsidRPr="006A23FE" w:rsidRDefault="00BC1D4B">
            <w:pPr>
              <w:spacing w:after="200" w:line="276" w:lineRule="auto"/>
              <w:rPr>
                <w:rFonts w:ascii="Calibri" w:eastAsia="Calibri" w:hAnsi="Calibri"/>
                <w:sz w:val="18"/>
                <w:szCs w:val="18"/>
                <w:lang w:val="en-US"/>
              </w:rPr>
            </w:pPr>
          </w:p>
        </w:tc>
        <w:tc>
          <w:tcPr>
            <w:tcW w:w="572" w:type="pct"/>
            <w:vMerge/>
            <w:vAlign w:val="center"/>
          </w:tcPr>
          <w:p w14:paraId="7BC38C31" w14:textId="77777777" w:rsidR="00BC1D4B" w:rsidRPr="006A23FE" w:rsidRDefault="00BC1D4B">
            <w:pPr>
              <w:spacing w:after="200" w:line="276" w:lineRule="auto"/>
              <w:jc w:val="center"/>
              <w:rPr>
                <w:rFonts w:ascii="Calibri" w:eastAsia="Calibri" w:hAnsi="Calibri"/>
                <w:sz w:val="18"/>
                <w:szCs w:val="18"/>
                <w:lang w:val="en-US"/>
              </w:rPr>
            </w:pPr>
          </w:p>
        </w:tc>
        <w:tc>
          <w:tcPr>
            <w:tcW w:w="667" w:type="pct"/>
            <w:vMerge/>
          </w:tcPr>
          <w:p w14:paraId="17E63D5F" w14:textId="77777777" w:rsidR="00BC1D4B" w:rsidRPr="006A23FE" w:rsidRDefault="00BC1D4B">
            <w:pPr>
              <w:spacing w:after="200" w:line="276" w:lineRule="auto"/>
              <w:rPr>
                <w:rFonts w:ascii="Calibri" w:eastAsia="Calibri" w:hAnsi="Calibri"/>
                <w:sz w:val="18"/>
                <w:szCs w:val="18"/>
                <w:lang w:val="en-US"/>
              </w:rPr>
            </w:pPr>
          </w:p>
        </w:tc>
        <w:tc>
          <w:tcPr>
            <w:tcW w:w="616" w:type="pct"/>
          </w:tcPr>
          <w:p w14:paraId="76CD2BDE"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 xml:space="preserve">Dermal </w:t>
            </w:r>
          </w:p>
        </w:tc>
        <w:tc>
          <w:tcPr>
            <w:tcW w:w="621" w:type="pct"/>
            <w:vMerge/>
          </w:tcPr>
          <w:p w14:paraId="3818D2FE" w14:textId="77777777" w:rsidR="00BC1D4B" w:rsidRPr="006A23FE" w:rsidRDefault="00BC1D4B">
            <w:pPr>
              <w:spacing w:after="200" w:line="276" w:lineRule="auto"/>
              <w:rPr>
                <w:rFonts w:ascii="Calibri" w:eastAsia="Calibri" w:hAnsi="Calibri"/>
                <w:sz w:val="18"/>
                <w:szCs w:val="18"/>
                <w:lang w:val="en-US"/>
              </w:rPr>
            </w:pPr>
          </w:p>
        </w:tc>
        <w:tc>
          <w:tcPr>
            <w:tcW w:w="607" w:type="pct"/>
          </w:tcPr>
          <w:p w14:paraId="2B63311E"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50 mg/kg bw/d</w:t>
            </w:r>
          </w:p>
        </w:tc>
        <w:tc>
          <w:tcPr>
            <w:tcW w:w="686" w:type="pct"/>
          </w:tcPr>
          <w:p w14:paraId="17601362"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500</w:t>
            </w:r>
          </w:p>
        </w:tc>
        <w:tc>
          <w:tcPr>
            <w:tcW w:w="459" w:type="pct"/>
          </w:tcPr>
          <w:p w14:paraId="5BD45504" w14:textId="77777777" w:rsidR="00BC1D4B" w:rsidRPr="006A23FE" w:rsidRDefault="00ED1F84">
            <w:pPr>
              <w:spacing w:after="200" w:line="276" w:lineRule="auto"/>
              <w:rPr>
                <w:rFonts w:ascii="Calibri" w:eastAsia="Calibri" w:hAnsi="Calibri"/>
                <w:sz w:val="18"/>
                <w:szCs w:val="18"/>
                <w:lang w:val="en-US"/>
              </w:rPr>
            </w:pPr>
            <w:r w:rsidRPr="006A23FE">
              <w:rPr>
                <w:rFonts w:ascii="Calibri" w:eastAsia="Calibri" w:hAnsi="Calibri"/>
                <w:sz w:val="18"/>
                <w:szCs w:val="18"/>
                <w:lang w:val="en-US"/>
              </w:rPr>
              <w:t xml:space="preserve">0.100 </w:t>
            </w:r>
            <w:r w:rsidRPr="006A23FE">
              <w:rPr>
                <w:rFonts w:ascii="Calibri" w:eastAsia="Calibri" w:hAnsi="Calibri"/>
                <w:sz w:val="18"/>
                <w:szCs w:val="18"/>
              </w:rPr>
              <w:t>mg/kg bw/d</w:t>
            </w:r>
          </w:p>
        </w:tc>
      </w:tr>
    </w:tbl>
    <w:p w14:paraId="3747DE9D" w14:textId="77777777" w:rsidR="00BC1D4B" w:rsidRDefault="00BC1D4B">
      <w:pPr>
        <w:rPr>
          <w:lang w:val="nl-BE"/>
        </w:rPr>
      </w:pPr>
    </w:p>
    <w:p w14:paraId="5B340BAB" w14:textId="77777777" w:rsidR="00BC1D4B" w:rsidRDefault="00ED1F84">
      <w:pPr>
        <w:pStyle w:val="Titre3"/>
        <w:rPr>
          <w:lang w:val="nl-BE"/>
        </w:rPr>
      </w:pPr>
      <w:bookmarkStart w:id="47" w:name="_Toc137044491"/>
      <w:r>
        <w:rPr>
          <w:lang w:val="nl-BE"/>
        </w:rPr>
        <w:t xml:space="preserve">Assessment of endocrine </w:t>
      </w:r>
      <w:r>
        <w:t>disrupting</w:t>
      </w:r>
      <w:r>
        <w:rPr>
          <w:lang w:val="nl-BE"/>
        </w:rPr>
        <w:t xml:space="preserve"> (ED) properties</w:t>
      </w:r>
      <w:bookmarkEnd w:id="47"/>
    </w:p>
    <w:p w14:paraId="76B088C4" w14:textId="77777777" w:rsidR="00BC1D4B" w:rsidRDefault="00ED1F84">
      <w:pPr>
        <w:spacing w:after="240"/>
        <w:jc w:val="both"/>
        <w:rPr>
          <w:rFonts w:ascii="Verdana" w:hAnsi="Verdana"/>
          <w:sz w:val="20"/>
          <w:szCs w:val="20"/>
          <w:lang w:val="en-US"/>
        </w:rPr>
      </w:pPr>
      <w:r>
        <w:rPr>
          <w:rFonts w:ascii="Verdana" w:hAnsi="Verdana"/>
          <w:sz w:val="20"/>
          <w:szCs w:val="20"/>
          <w:lang w:val="en-US"/>
        </w:rPr>
        <w:t>In 2020, ANSES published a substance evaluation conclusion report on DPG based on the REACH registration and the literature available, and as required by REACH Art. 48 (ANSES, 2020). However, no conclusion on endocrine disrupting properties could have been made at that time as a datagap covering adverse effects on the full range of reproductive endpoints was identified. It was recommended to reassess the endpoint following the analysis of the requested EOGRTS study.</w:t>
      </w:r>
    </w:p>
    <w:p w14:paraId="6D7BCBC0" w14:textId="77777777" w:rsidR="00BC1D4B" w:rsidRDefault="00ED1F84">
      <w:pPr>
        <w:spacing w:after="240"/>
        <w:jc w:val="both"/>
        <w:rPr>
          <w:rFonts w:ascii="Verdana" w:hAnsi="Verdana"/>
          <w:sz w:val="20"/>
          <w:szCs w:val="20"/>
          <w:u w:val="single"/>
          <w:lang w:val="en-US"/>
        </w:rPr>
      </w:pPr>
      <w:r>
        <w:rPr>
          <w:rFonts w:ascii="Verdana" w:hAnsi="Verdana"/>
          <w:sz w:val="20"/>
          <w:szCs w:val="20"/>
          <w:u w:val="single"/>
          <w:lang w:val="en-US"/>
        </w:rPr>
        <w:t xml:space="preserve">Reproductive and developmental adverse effects </w:t>
      </w:r>
    </w:p>
    <w:p w14:paraId="41446B07" w14:textId="77777777" w:rsidR="00BC1D4B" w:rsidRDefault="00ED1F84">
      <w:pPr>
        <w:spacing w:after="240"/>
        <w:jc w:val="both"/>
        <w:rPr>
          <w:rFonts w:ascii="Verdana" w:hAnsi="Verdana"/>
          <w:sz w:val="20"/>
          <w:szCs w:val="20"/>
          <w:lang w:val="en-US"/>
        </w:rPr>
      </w:pPr>
      <w:r>
        <w:rPr>
          <w:rFonts w:ascii="Verdana" w:hAnsi="Verdana"/>
          <w:sz w:val="20"/>
          <w:szCs w:val="20"/>
          <w:lang w:val="en-US"/>
        </w:rPr>
        <w:t>After reception of the EOGRTS study on rats (unpublished study report, 2021), several reproductive and developmental effects raised concerns about endocrine disruption properties of DPG (see section 2.1.3 for a detailed description of the study result):</w:t>
      </w:r>
    </w:p>
    <w:p w14:paraId="78CAC322" w14:textId="77777777" w:rsidR="00BC1D4B" w:rsidRDefault="00ED1F84">
      <w:pPr>
        <w:spacing w:after="0"/>
        <w:jc w:val="both"/>
        <w:rPr>
          <w:rFonts w:ascii="Verdana" w:hAnsi="Verdana"/>
          <w:sz w:val="20"/>
          <w:szCs w:val="20"/>
          <w:lang w:val="en-US"/>
        </w:rPr>
      </w:pPr>
      <w:r>
        <w:rPr>
          <w:rFonts w:ascii="Verdana" w:hAnsi="Verdana"/>
          <w:sz w:val="20"/>
          <w:szCs w:val="20"/>
          <w:lang w:val="en-US"/>
        </w:rPr>
        <w:t xml:space="preserve">- Increase in adrenal gland weight: </w:t>
      </w:r>
    </w:p>
    <w:p w14:paraId="15ACD628"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A statistically significant increase in absolute and relative-to-body adrenal gland weights was observed in females at 15 and 25 mg/kg bw/d (up to +23% versus the controls) in the P generation. The total weight of the adrenal gland was considered and no data was available to discriminate if the medulla or cortical part of the adrenal glands was modified. There was no microscopic correlates. Variation was not observed in males of P generation, nor in males and females of F1 generation (Cohort 1A). This endpoint was not investigated in F2 pups. </w:t>
      </w:r>
    </w:p>
    <w:p w14:paraId="22A0781A" w14:textId="77777777" w:rsidR="00BC1D4B" w:rsidRDefault="00ED1F84">
      <w:pPr>
        <w:spacing w:after="0"/>
        <w:jc w:val="both"/>
        <w:rPr>
          <w:rFonts w:ascii="Verdana" w:hAnsi="Verdana"/>
          <w:sz w:val="20"/>
          <w:szCs w:val="20"/>
          <w:lang w:val="en-US"/>
        </w:rPr>
      </w:pPr>
      <w:r>
        <w:rPr>
          <w:rFonts w:ascii="Verdana" w:hAnsi="Verdana"/>
          <w:sz w:val="20"/>
          <w:szCs w:val="20"/>
          <w:lang w:val="en-US"/>
        </w:rPr>
        <w:t xml:space="preserve">- Effects on thyroid hormones: </w:t>
      </w:r>
    </w:p>
    <w:p w14:paraId="012C406F" w14:textId="77777777" w:rsidR="00BC1D4B" w:rsidRDefault="00ED1F84">
      <w:pPr>
        <w:spacing w:after="0"/>
        <w:jc w:val="both"/>
        <w:rPr>
          <w:rFonts w:ascii="Verdana" w:hAnsi="Verdana"/>
          <w:sz w:val="20"/>
          <w:szCs w:val="20"/>
          <w:lang w:val="en-US"/>
        </w:rPr>
      </w:pPr>
      <w:r>
        <w:rPr>
          <w:rFonts w:ascii="Verdana" w:hAnsi="Verdana"/>
          <w:sz w:val="20"/>
          <w:szCs w:val="20"/>
          <w:lang w:val="en-US"/>
        </w:rPr>
        <w:t>A statistically significant increase of T4 concentrations (+38% versus the controls) was noticed at 25 mg/kg bw/d in P generation females. It was associated with a tendency to decrease in TSH concentrations (-10% not statistically significant).</w:t>
      </w:r>
    </w:p>
    <w:p w14:paraId="19B0A4A3" w14:textId="77777777" w:rsidR="00BC1D4B" w:rsidRDefault="00ED1F84">
      <w:pPr>
        <w:spacing w:after="0"/>
        <w:jc w:val="both"/>
        <w:rPr>
          <w:rFonts w:ascii="Verdana" w:hAnsi="Verdana"/>
          <w:sz w:val="20"/>
          <w:szCs w:val="20"/>
          <w:lang w:val="en-US"/>
        </w:rPr>
      </w:pPr>
      <w:r>
        <w:rPr>
          <w:rFonts w:ascii="Verdana" w:hAnsi="Verdana"/>
          <w:sz w:val="20"/>
          <w:szCs w:val="20"/>
          <w:lang w:val="en-US"/>
        </w:rPr>
        <w:t>A statistically significant decrease of T4 concentrations was observed in males of F1 generation (cohort 1A) at 5 and 15</w:t>
      </w:r>
      <w:r>
        <w:t xml:space="preserve"> </w:t>
      </w:r>
      <w:r>
        <w:rPr>
          <w:rFonts w:ascii="Verdana" w:hAnsi="Verdana"/>
          <w:sz w:val="20"/>
          <w:szCs w:val="20"/>
          <w:lang w:val="en-US"/>
        </w:rPr>
        <w:t>mg/kg bw/d.</w:t>
      </w:r>
    </w:p>
    <w:p w14:paraId="28A8D18A" w14:textId="77777777" w:rsidR="00BC1D4B" w:rsidRDefault="00ED1F84">
      <w:pPr>
        <w:spacing w:after="0"/>
        <w:jc w:val="both"/>
        <w:rPr>
          <w:rFonts w:ascii="Verdana" w:hAnsi="Verdana"/>
          <w:sz w:val="20"/>
          <w:szCs w:val="20"/>
          <w:lang w:val="en-US"/>
        </w:rPr>
      </w:pPr>
      <w:r>
        <w:rPr>
          <w:rFonts w:ascii="Verdana" w:hAnsi="Verdana"/>
          <w:sz w:val="20"/>
          <w:szCs w:val="20"/>
          <w:lang w:val="en-US"/>
        </w:rPr>
        <w:t>No effect on weight and histopathology of the thyroid was observed in males and females of any generation.</w:t>
      </w:r>
    </w:p>
    <w:p w14:paraId="6F7B75AE" w14:textId="77777777" w:rsidR="00BC1D4B" w:rsidRDefault="00BC1D4B">
      <w:pPr>
        <w:spacing w:after="0"/>
        <w:jc w:val="both"/>
        <w:rPr>
          <w:rFonts w:ascii="Verdana" w:hAnsi="Verdana"/>
          <w:sz w:val="20"/>
          <w:szCs w:val="20"/>
          <w:lang w:val="en-US"/>
        </w:rPr>
      </w:pPr>
    </w:p>
    <w:p w14:paraId="6E5E94E6"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 Two </w:t>
      </w:r>
      <w:r>
        <w:rPr>
          <w:rFonts w:ascii="Verdana" w:hAnsi="Verdana"/>
          <w:sz w:val="20"/>
          <w:szCs w:val="20"/>
        </w:rPr>
        <w:t>females developed an adenocarcinoma in mammary gland; one in P generation at 5 mg/kg bw/d. This female was sacrificed moribund at the study day 40 (around 15 weeks of age); and one in the F1 generation (cohort 1B) at 25 mg/kg bw/d. This female was sacrificed moribund at the study day 97 (around 14 weeks of age).</w:t>
      </w:r>
    </w:p>
    <w:p w14:paraId="3D832761" w14:textId="77777777" w:rsidR="00BC1D4B" w:rsidRDefault="00ED1F84">
      <w:pPr>
        <w:spacing w:after="0"/>
        <w:jc w:val="both"/>
        <w:rPr>
          <w:rFonts w:ascii="Verdana" w:hAnsi="Verdana"/>
          <w:sz w:val="20"/>
          <w:szCs w:val="20"/>
          <w:lang w:val="en-US"/>
        </w:rPr>
      </w:pPr>
      <w:r>
        <w:rPr>
          <w:rFonts w:ascii="Verdana" w:hAnsi="Verdana"/>
          <w:sz w:val="20"/>
          <w:szCs w:val="20"/>
          <w:lang w:val="en-US"/>
        </w:rPr>
        <w:t xml:space="preserve">- An increased duration of gestation was observed on an individual basis: </w:t>
      </w:r>
    </w:p>
    <w:p w14:paraId="6B8A7666" w14:textId="77777777" w:rsidR="00BC1D4B" w:rsidRDefault="00ED1F84">
      <w:pPr>
        <w:spacing w:after="0"/>
        <w:jc w:val="both"/>
        <w:rPr>
          <w:rFonts w:ascii="Verdana" w:hAnsi="Verdana"/>
          <w:sz w:val="20"/>
          <w:szCs w:val="20"/>
          <w:lang w:val="en-US"/>
        </w:rPr>
      </w:pPr>
      <w:r>
        <w:rPr>
          <w:rFonts w:ascii="Verdana" w:hAnsi="Verdana"/>
          <w:sz w:val="20"/>
          <w:szCs w:val="20"/>
          <w:lang w:val="en-US"/>
        </w:rPr>
        <w:t xml:space="preserve">In the P generation, 2/22 females exposed to 5 mg/kg bw/d had a gestation duration of 24 days, associated with a high pup mortality rate. At 25 mg/kg bw/d, an increased number of females (7/24) had 23-day gestation duration (no statistical analysis was performed) when compared with 3 in the control group, associated with a high post-implantation loss. No difference was identified in the mean duration of gestation. </w:t>
      </w:r>
    </w:p>
    <w:p w14:paraId="39ED0FCE" w14:textId="77777777" w:rsidR="00BC1D4B" w:rsidRDefault="00ED1F84">
      <w:pPr>
        <w:spacing w:after="0"/>
        <w:jc w:val="both"/>
        <w:rPr>
          <w:rFonts w:ascii="Verdana" w:hAnsi="Verdana"/>
          <w:sz w:val="20"/>
          <w:szCs w:val="20"/>
          <w:lang w:val="en-US"/>
        </w:rPr>
      </w:pPr>
      <w:r>
        <w:rPr>
          <w:rFonts w:ascii="Verdana" w:hAnsi="Verdana"/>
          <w:sz w:val="20"/>
          <w:szCs w:val="20"/>
          <w:lang w:val="en-US"/>
        </w:rPr>
        <w:t xml:space="preserve">In the F1 generation (cohort 1B), a same trend was observed. One female over 18 exposed to 15 mg/kg bw/d, and 7/19 females exposed to 25 mg/kg bw/d had 23 </w:t>
      </w:r>
      <w:r>
        <w:rPr>
          <w:rFonts w:ascii="Verdana" w:hAnsi="Verdana"/>
          <w:sz w:val="20"/>
          <w:szCs w:val="20"/>
          <w:lang w:val="en-US"/>
        </w:rPr>
        <w:lastRenderedPageBreak/>
        <w:t>days of gestation. A statistically significant increase in the mean duration of gestation was noted at 25 mg/kg bw/d (22.3 vs 21.9 in controls).</w:t>
      </w:r>
    </w:p>
    <w:p w14:paraId="56842947" w14:textId="77777777" w:rsidR="00BC1D4B" w:rsidRDefault="00BC1D4B">
      <w:pPr>
        <w:spacing w:after="0"/>
        <w:jc w:val="both"/>
        <w:rPr>
          <w:rFonts w:ascii="Verdana" w:hAnsi="Verdana"/>
          <w:sz w:val="20"/>
          <w:szCs w:val="20"/>
          <w:lang w:val="en-US"/>
        </w:rPr>
      </w:pPr>
    </w:p>
    <w:p w14:paraId="273061A9" w14:textId="77777777" w:rsidR="00BC1D4B" w:rsidRDefault="00ED1F84">
      <w:pPr>
        <w:spacing w:after="0"/>
        <w:jc w:val="both"/>
        <w:rPr>
          <w:rFonts w:ascii="Verdana" w:eastAsia="Calibri" w:hAnsi="Verdana"/>
          <w:sz w:val="20"/>
          <w:szCs w:val="20"/>
          <w:lang w:val="en-US"/>
        </w:rPr>
      </w:pPr>
      <w:r>
        <w:rPr>
          <w:rFonts w:ascii="Verdana" w:eastAsia="Calibri" w:hAnsi="Verdana"/>
          <w:sz w:val="20"/>
          <w:szCs w:val="20"/>
          <w:lang w:val="en-US"/>
        </w:rPr>
        <w:t xml:space="preserve">- Females presenting reproduction difficulties: </w:t>
      </w:r>
    </w:p>
    <w:p w14:paraId="061F5435" w14:textId="77777777" w:rsidR="00BC1D4B" w:rsidRDefault="00ED1F84">
      <w:pPr>
        <w:spacing w:after="0"/>
        <w:jc w:val="both"/>
        <w:rPr>
          <w:rFonts w:ascii="Verdana" w:eastAsia="Calibri" w:hAnsi="Verdana"/>
          <w:sz w:val="20"/>
          <w:szCs w:val="20"/>
          <w:lang w:val="en-US"/>
        </w:rPr>
      </w:pPr>
      <w:r>
        <w:rPr>
          <w:rFonts w:ascii="Verdana" w:eastAsia="Calibri" w:hAnsi="Verdana"/>
          <w:sz w:val="20"/>
          <w:szCs w:val="20"/>
          <w:lang w:val="en-US"/>
        </w:rPr>
        <w:t xml:space="preserve">In the P generation, one female presented reddish vaginal discharge and a dead litter at 5 mg/kg bw/d. At 15 mg/kg bw/d, one female presented a dead litter and one female had dystocia with abdomen increased in size. </w:t>
      </w:r>
    </w:p>
    <w:p w14:paraId="7AEE377D" w14:textId="77777777" w:rsidR="00BC1D4B" w:rsidRDefault="00ED1F84">
      <w:pPr>
        <w:spacing w:after="0"/>
        <w:jc w:val="both"/>
        <w:rPr>
          <w:rFonts w:ascii="Verdana" w:eastAsia="Calibri" w:hAnsi="Verdana"/>
          <w:sz w:val="20"/>
          <w:szCs w:val="20"/>
          <w:lang w:val="en-US"/>
        </w:rPr>
      </w:pPr>
      <w:r>
        <w:rPr>
          <w:rFonts w:ascii="Verdana" w:eastAsia="Calibri" w:hAnsi="Verdana"/>
          <w:sz w:val="20"/>
          <w:szCs w:val="20"/>
          <w:lang w:val="en-US"/>
        </w:rPr>
        <w:t xml:space="preserve">In the F1 generation (cohort 1B), two females treated with 15 mg/kg bw/d had dead litter. At 25 mg/kg bw/d one female had dead litters and one female presented dystocia. </w:t>
      </w:r>
    </w:p>
    <w:p w14:paraId="1FD3A621" w14:textId="77777777" w:rsidR="00BC1D4B" w:rsidRDefault="00ED1F84">
      <w:pPr>
        <w:spacing w:after="0"/>
        <w:jc w:val="both"/>
        <w:rPr>
          <w:rFonts w:ascii="Verdana" w:eastAsia="Verdana" w:hAnsi="Verdana" w:cs="Verdana"/>
          <w:color w:val="000000"/>
          <w:sz w:val="20"/>
          <w:szCs w:val="20"/>
        </w:rPr>
      </w:pPr>
      <w:r>
        <w:rPr>
          <w:rFonts w:ascii="Verdana" w:eastAsia="Verdana" w:hAnsi="Verdana" w:cs="Verdana"/>
          <w:color w:val="000000"/>
          <w:sz w:val="20"/>
        </w:rPr>
        <w:t>No sign of neurotoxicity (e.g clonic convulsion, locomotor difficulties, loss</w:t>
      </w:r>
    </w:p>
    <w:p w14:paraId="1599133D" w14:textId="77777777" w:rsidR="00BC1D4B" w:rsidRDefault="00ED1F84">
      <w:pPr>
        <w:spacing w:after="0"/>
        <w:jc w:val="both"/>
        <w:rPr>
          <w:szCs w:val="20"/>
        </w:rPr>
      </w:pPr>
      <w:r>
        <w:rPr>
          <w:rFonts w:ascii="Verdana" w:eastAsia="Verdana" w:hAnsi="Verdana" w:cs="Verdana"/>
          <w:color w:val="000000"/>
          <w:sz w:val="20"/>
        </w:rPr>
        <w:t xml:space="preserve">of balance, staggering gait and/or tonic seizures) were observed in these females </w:t>
      </w:r>
      <w:r>
        <w:rPr>
          <w:rFonts w:ascii="Verdana" w:eastAsia="Verdana" w:hAnsi="Verdana" w:cs="Verdana"/>
          <w:sz w:val="20"/>
        </w:rPr>
        <w:t>in both generations</w:t>
      </w:r>
      <w:r>
        <w:t>.</w:t>
      </w:r>
    </w:p>
    <w:p w14:paraId="2C83B712" w14:textId="77777777" w:rsidR="00BC1D4B" w:rsidRDefault="00BC1D4B">
      <w:pPr>
        <w:spacing w:after="0"/>
        <w:jc w:val="both"/>
        <w:rPr>
          <w:rFonts w:ascii="Verdana" w:hAnsi="Verdana"/>
          <w:lang w:val="en-US"/>
        </w:rPr>
      </w:pPr>
    </w:p>
    <w:p w14:paraId="5412F1F3" w14:textId="77777777" w:rsidR="00BC1D4B" w:rsidRDefault="00ED1F84">
      <w:pPr>
        <w:spacing w:after="0"/>
        <w:jc w:val="both"/>
        <w:rPr>
          <w:rFonts w:ascii="Verdana" w:hAnsi="Verdana"/>
          <w:sz w:val="20"/>
          <w:szCs w:val="20"/>
          <w:lang w:val="en-US"/>
        </w:rPr>
      </w:pPr>
      <w:r>
        <w:rPr>
          <w:rFonts w:ascii="Verdana" w:hAnsi="Verdana"/>
          <w:sz w:val="20"/>
          <w:szCs w:val="20"/>
          <w:lang w:val="en-US"/>
        </w:rPr>
        <w:t xml:space="preserve">- Post-implantation loss: </w:t>
      </w:r>
    </w:p>
    <w:p w14:paraId="75D8CAE5" w14:textId="77777777" w:rsidR="00BC1D4B" w:rsidRDefault="00ED1F84">
      <w:pPr>
        <w:spacing w:after="0"/>
        <w:jc w:val="both"/>
        <w:rPr>
          <w:rFonts w:ascii="Verdana" w:hAnsi="Verdana"/>
          <w:sz w:val="20"/>
          <w:szCs w:val="20"/>
          <w:lang w:val="en-US"/>
        </w:rPr>
      </w:pPr>
      <w:r>
        <w:rPr>
          <w:rFonts w:ascii="Verdana" w:hAnsi="Verdana"/>
          <w:sz w:val="20"/>
          <w:szCs w:val="20"/>
          <w:lang w:val="en-US"/>
        </w:rPr>
        <w:t xml:space="preserve">In the P generation, a statistically significant increase in the mean percent of post-implantation loss was observed in females exposed to 25 mg/kg bw/d, (27.1% vs 15.6% in controls). </w:t>
      </w:r>
    </w:p>
    <w:p w14:paraId="18ECA84F" w14:textId="77777777" w:rsidR="00BC1D4B" w:rsidRDefault="00ED1F84">
      <w:pPr>
        <w:spacing w:after="0"/>
        <w:jc w:val="both"/>
        <w:rPr>
          <w:rFonts w:ascii="Verdana" w:hAnsi="Verdana"/>
          <w:sz w:val="20"/>
          <w:szCs w:val="20"/>
          <w:lang w:val="en-US"/>
        </w:rPr>
      </w:pPr>
      <w:r>
        <w:rPr>
          <w:rFonts w:ascii="Verdana" w:hAnsi="Verdana"/>
          <w:sz w:val="20"/>
          <w:szCs w:val="20"/>
          <w:lang w:val="en-US"/>
        </w:rPr>
        <w:t>In the F1 generation (cohort 1B), a tendency (non-statistically significant) for a dose-related increase in the mean percent of post-implantation loss was noted from 5 mg/kg bw/d.</w:t>
      </w:r>
    </w:p>
    <w:p w14:paraId="4A018E94" w14:textId="77777777" w:rsidR="00BC1D4B" w:rsidRDefault="00BC1D4B">
      <w:pPr>
        <w:spacing w:after="0"/>
        <w:jc w:val="both"/>
        <w:rPr>
          <w:rFonts w:ascii="Verdana" w:hAnsi="Verdana"/>
          <w:sz w:val="20"/>
          <w:szCs w:val="20"/>
          <w:lang w:val="en-US"/>
        </w:rPr>
      </w:pPr>
    </w:p>
    <w:p w14:paraId="38C7A03A" w14:textId="77777777" w:rsidR="00BC1D4B" w:rsidRDefault="00ED1F84">
      <w:pPr>
        <w:spacing w:after="0"/>
        <w:jc w:val="both"/>
        <w:rPr>
          <w:rFonts w:ascii="Verdana" w:hAnsi="Verdana"/>
          <w:sz w:val="20"/>
          <w:szCs w:val="20"/>
          <w:lang w:val="en-US"/>
        </w:rPr>
      </w:pPr>
      <w:r>
        <w:rPr>
          <w:rFonts w:ascii="Verdana" w:hAnsi="Verdana"/>
          <w:sz w:val="20"/>
          <w:szCs w:val="20"/>
          <w:lang w:val="en-US"/>
        </w:rPr>
        <w:t xml:space="preserve">- Estrous cycle alterations: </w:t>
      </w:r>
    </w:p>
    <w:p w14:paraId="5D5AB074" w14:textId="77777777" w:rsidR="00BC1D4B" w:rsidRDefault="00ED1F84">
      <w:pPr>
        <w:spacing w:after="0"/>
        <w:jc w:val="both"/>
        <w:rPr>
          <w:rFonts w:ascii="Verdana" w:hAnsi="Verdana"/>
          <w:sz w:val="20"/>
          <w:szCs w:val="20"/>
          <w:lang w:val="en-US"/>
        </w:rPr>
      </w:pPr>
      <w:r>
        <w:rPr>
          <w:rFonts w:ascii="Verdana" w:hAnsi="Verdana"/>
          <w:sz w:val="20"/>
          <w:szCs w:val="20"/>
          <w:lang w:val="en-US"/>
        </w:rPr>
        <w:t xml:space="preserve">In the P generation, the EORGTS study reported a lower mean number of days spent in the metestrus stage (statistically significant) for females exposed to 15 mg/kg/day and 25 mg/kg bw/d. An increase in the mean number of days spent in the estrus phase was noticed at 25 mg/kg bw/d. No difference in the mean duration of the estrous cycle was observed in this EOGRTS study. </w:t>
      </w:r>
    </w:p>
    <w:p w14:paraId="7B3034BE" w14:textId="77777777" w:rsidR="00BC1D4B" w:rsidRDefault="00ED1F84">
      <w:pPr>
        <w:spacing w:after="0"/>
        <w:jc w:val="both"/>
        <w:rPr>
          <w:rFonts w:ascii="Verdana" w:hAnsi="Verdana"/>
          <w:sz w:val="20"/>
          <w:szCs w:val="20"/>
          <w:lang w:val="en-US"/>
        </w:rPr>
      </w:pPr>
      <w:r>
        <w:rPr>
          <w:rFonts w:ascii="Verdana" w:hAnsi="Verdana"/>
          <w:sz w:val="20"/>
          <w:szCs w:val="20"/>
          <w:lang w:val="en-US"/>
        </w:rPr>
        <w:t xml:space="preserve">The same trends were observed in the F1 generation (cohort 1A) at 25 mg/kg bw/d without any statistical significance. </w:t>
      </w:r>
    </w:p>
    <w:p w14:paraId="03645EBA" w14:textId="77777777" w:rsidR="00BC1D4B" w:rsidRDefault="00BC1D4B">
      <w:pPr>
        <w:spacing w:after="0"/>
        <w:jc w:val="both"/>
        <w:rPr>
          <w:szCs w:val="20"/>
        </w:rPr>
      </w:pPr>
    </w:p>
    <w:p w14:paraId="3C92C93B" w14:textId="77777777" w:rsidR="00BC1D4B" w:rsidRDefault="00ED1F84">
      <w:pPr>
        <w:pBdr>
          <w:top w:val="none" w:sz="4" w:space="0" w:color="000000"/>
          <w:left w:val="none" w:sz="4" w:space="0" w:color="000000"/>
          <w:bottom w:val="none" w:sz="4" w:space="0" w:color="000000"/>
          <w:right w:val="none" w:sz="4" w:space="0" w:color="000000"/>
        </w:pBdr>
        <w:tabs>
          <w:tab w:val="left" w:pos="4535"/>
          <w:tab w:val="left" w:pos="9071"/>
        </w:tabs>
        <w:spacing w:after="120"/>
        <w:jc w:val="both"/>
        <w:rPr>
          <w:rFonts w:ascii="Verdana" w:eastAsia="Verdana" w:hAnsi="Verdana" w:cs="Verdana"/>
          <w:color w:val="000000"/>
          <w:sz w:val="20"/>
        </w:rPr>
      </w:pPr>
      <w:r>
        <w:rPr>
          <w:rFonts w:ascii="Verdana" w:hAnsi="Verdana"/>
          <w:sz w:val="20"/>
          <w:szCs w:val="20"/>
          <w:lang w:val="en-US"/>
        </w:rPr>
        <w:t>In an additional 90-day study on rats (NTP, 1995),</w:t>
      </w:r>
      <w:r>
        <w:rPr>
          <w:color w:val="000000"/>
          <w:sz w:val="20"/>
        </w:rPr>
        <w:t xml:space="preserve"> </w:t>
      </w:r>
      <w:r>
        <w:rPr>
          <w:rFonts w:ascii="Verdana" w:eastAsia="Verdana" w:hAnsi="Verdana" w:cs="Verdana"/>
          <w:color w:val="000000"/>
          <w:sz w:val="20"/>
        </w:rPr>
        <w:t>Rats (F344/N strain) and mice (B6C3F strain) were respectively exposed through diet to doses of 0, 250, 500, 750, 1500 and 3000 ppm (equivalent to  0, 17/17, 32/32, 49/50, 100/95, 181/184 mg/kg bw/day in males and females rats respectively and equivalent to 0, 38/46, 75/93, 114/141, 231/285, 457/577 mg/kg bw/d in males and females mice respectively). Reproductive organs and other parameters were investigated.</w:t>
      </w:r>
    </w:p>
    <w:p w14:paraId="663EB718" w14:textId="77777777" w:rsidR="00BC1D4B" w:rsidRDefault="00ED1F84">
      <w:pPr>
        <w:pBdr>
          <w:top w:val="none" w:sz="4" w:space="0" w:color="000000"/>
          <w:left w:val="none" w:sz="4" w:space="0" w:color="000000"/>
          <w:bottom w:val="none" w:sz="4" w:space="0" w:color="000000"/>
          <w:right w:val="none" w:sz="4" w:space="0" w:color="000000"/>
        </w:pBdr>
        <w:spacing w:after="120"/>
        <w:jc w:val="both"/>
        <w:rPr>
          <w:rFonts w:ascii="Verdana" w:hAnsi="Verdana"/>
          <w:sz w:val="20"/>
          <w:szCs w:val="20"/>
          <w:lang w:val="en-US"/>
        </w:rPr>
      </w:pPr>
      <w:r>
        <w:rPr>
          <w:rFonts w:ascii="Verdana" w:eastAsia="Verdana" w:hAnsi="Verdana" w:cs="Verdana"/>
          <w:color w:val="000000"/>
          <w:sz w:val="20"/>
        </w:rPr>
        <w:t xml:space="preserve">In rats, at 181/184 mg/kg bw/d, decreased mean body weights were observed during the first week of the study for males and the first 2 weeks of the study for females. A high mortality was reported in this exposure group, 4/10 males survived and there was 100% mortality for females at the end of the study. At 100/95 </w:t>
      </w:r>
      <w:r>
        <w:rPr>
          <w:rFonts w:ascii="Verdana" w:eastAsia="Verdana" w:hAnsi="Verdana" w:cs="Verdana"/>
          <w:sz w:val="20"/>
          <w:szCs w:val="20"/>
        </w:rPr>
        <w:t>mg/kg bw/d</w:t>
      </w:r>
      <w:r>
        <w:rPr>
          <w:rFonts w:ascii="Verdana" w:eastAsia="Verdana" w:hAnsi="Verdana" w:cs="Verdana"/>
          <w:color w:val="000000"/>
          <w:sz w:val="20"/>
        </w:rPr>
        <w:t xml:space="preserve">, a marked decrease of the mean body weight and average food consumption was observed in males and females. At 49/50 </w:t>
      </w:r>
      <w:r>
        <w:rPr>
          <w:rFonts w:ascii="Verdana" w:eastAsia="Verdana" w:hAnsi="Verdana" w:cs="Verdana"/>
          <w:sz w:val="20"/>
          <w:szCs w:val="20"/>
        </w:rPr>
        <w:t>mg/kg bw/d</w:t>
      </w:r>
      <w:r>
        <w:rPr>
          <w:rFonts w:ascii="Verdana" w:eastAsia="Verdana" w:hAnsi="Verdana" w:cs="Verdana"/>
          <w:color w:val="000000"/>
          <w:sz w:val="20"/>
        </w:rPr>
        <w:t>, only a slight decrease of body weight was seen.</w:t>
      </w:r>
      <w:r>
        <w:rPr>
          <w:rFonts w:ascii="Verdana" w:eastAsia="Verdana" w:hAnsi="Verdana" w:cs="Verdana"/>
          <w:sz w:val="22"/>
          <w:lang w:val="en-US"/>
        </w:rPr>
        <w:t xml:space="preserve"> </w:t>
      </w:r>
    </w:p>
    <w:p w14:paraId="0F030BAF" w14:textId="77777777" w:rsidR="00BC1D4B" w:rsidRDefault="00ED1F84">
      <w:pPr>
        <w:pBdr>
          <w:top w:val="none" w:sz="4" w:space="0" w:color="000000"/>
          <w:left w:val="none" w:sz="4" w:space="0" w:color="000000"/>
          <w:bottom w:val="none" w:sz="4" w:space="0" w:color="000000"/>
          <w:right w:val="none" w:sz="4" w:space="0" w:color="000000"/>
        </w:pBdr>
        <w:spacing w:after="120"/>
        <w:jc w:val="both"/>
        <w:rPr>
          <w:rFonts w:ascii="Verdana" w:eastAsia="Verdana" w:hAnsi="Verdana" w:cs="Verdana"/>
          <w:color w:val="000000"/>
          <w:sz w:val="20"/>
          <w:szCs w:val="20"/>
        </w:rPr>
      </w:pPr>
      <w:r>
        <w:rPr>
          <w:rFonts w:ascii="Verdana" w:eastAsia="Verdana" w:hAnsi="Verdana" w:cs="Verdana"/>
          <w:color w:val="000000"/>
          <w:sz w:val="20"/>
        </w:rPr>
        <w:t>In B6C3F mice, no mortality was observed at all doses. At 750 ppm and 3000 ppm, the mean body weight of both sexes was lower compared to controls. Females presented a thin appearance that was also seen in males in the 3000 ppm exposure group. There was no difference on the mean feed consumption at all doses during the study.</w:t>
      </w:r>
    </w:p>
    <w:p w14:paraId="02E3E4A3" w14:textId="77777777" w:rsidR="00BC1D4B" w:rsidRDefault="00ED1F84">
      <w:pPr>
        <w:pBdr>
          <w:top w:val="none" w:sz="4" w:space="0" w:color="000000"/>
          <w:left w:val="none" w:sz="4" w:space="0" w:color="000000"/>
          <w:bottom w:val="none" w:sz="4" w:space="0" w:color="000000"/>
          <w:right w:val="none" w:sz="4" w:space="0" w:color="000000"/>
        </w:pBdr>
        <w:spacing w:after="120"/>
        <w:jc w:val="both"/>
        <w:rPr>
          <w:rFonts w:ascii="Verdana" w:hAnsi="Verdana"/>
          <w:sz w:val="20"/>
          <w:szCs w:val="20"/>
          <w:lang w:val="en-US"/>
        </w:rPr>
      </w:pPr>
      <w:r>
        <w:rPr>
          <w:rFonts w:ascii="Verdana" w:hAnsi="Verdana"/>
          <w:sz w:val="20"/>
          <w:szCs w:val="20"/>
          <w:lang w:val="en-US"/>
        </w:rPr>
        <w:t xml:space="preserve">-Estrous cycle adversity in the NTP study: </w:t>
      </w:r>
    </w:p>
    <w:p w14:paraId="7BC6ED32" w14:textId="77777777" w:rsidR="00BC1D4B" w:rsidRDefault="00ED1F84">
      <w:pPr>
        <w:pBdr>
          <w:top w:val="none" w:sz="4" w:space="0" w:color="000000"/>
          <w:left w:val="none" w:sz="4" w:space="0" w:color="000000"/>
          <w:bottom w:val="none" w:sz="4" w:space="0" w:color="000000"/>
          <w:right w:val="none" w:sz="4" w:space="0" w:color="000000"/>
        </w:pBdr>
        <w:spacing w:after="120"/>
        <w:contextualSpacing/>
        <w:jc w:val="both"/>
        <w:rPr>
          <w:rFonts w:ascii="Verdana" w:hAnsi="Verdana"/>
          <w:sz w:val="20"/>
          <w:szCs w:val="20"/>
        </w:rPr>
      </w:pPr>
      <w:r>
        <w:rPr>
          <w:rFonts w:ascii="Verdana" w:hAnsi="Verdana"/>
          <w:sz w:val="20"/>
          <w:szCs w:val="20"/>
          <w:lang w:val="en-US"/>
        </w:rPr>
        <w:t>In rats, a significant increase in the length of the estrous cycle was observed for the middle dose only (50 mg/kg bw/d).</w:t>
      </w:r>
      <w:r>
        <w:rPr>
          <w:rFonts w:ascii="Verdana" w:hAnsi="Verdana"/>
          <w:sz w:val="20"/>
          <w:szCs w:val="20"/>
        </w:rPr>
        <w:t xml:space="preserve"> This dose is two-fold higher that the maximal dose used in the EORGTS study.  </w:t>
      </w:r>
    </w:p>
    <w:p w14:paraId="198688E9" w14:textId="77777777" w:rsidR="00BC1D4B" w:rsidRDefault="00ED1F84">
      <w:pPr>
        <w:pBdr>
          <w:top w:val="none" w:sz="4" w:space="0" w:color="000000"/>
          <w:left w:val="none" w:sz="4" w:space="0" w:color="000000"/>
          <w:bottom w:val="none" w:sz="4" w:space="0" w:color="000000"/>
          <w:right w:val="none" w:sz="4" w:space="0" w:color="000000"/>
        </w:pBdr>
        <w:spacing w:after="120"/>
        <w:contextualSpacing/>
        <w:jc w:val="both"/>
        <w:rPr>
          <w:rFonts w:ascii="Verdana" w:hAnsi="Verdana"/>
          <w:sz w:val="20"/>
          <w:szCs w:val="20"/>
        </w:rPr>
      </w:pPr>
      <w:r>
        <w:rPr>
          <w:rFonts w:ascii="Verdana" w:hAnsi="Verdana"/>
          <w:sz w:val="20"/>
          <w:szCs w:val="20"/>
        </w:rPr>
        <w:lastRenderedPageBreak/>
        <w:t xml:space="preserve">In mice, the </w:t>
      </w:r>
      <w:r>
        <w:rPr>
          <w:rFonts w:ascii="Verdana" w:hAnsi="Verdana"/>
          <w:sz w:val="20"/>
          <w:szCs w:val="20"/>
          <w:lang w:val="en-US"/>
        </w:rPr>
        <w:t>increased length of estrous cycle was statistically significant at the high dose (577</w:t>
      </w:r>
      <w:r>
        <w:t xml:space="preserve"> </w:t>
      </w:r>
      <w:r>
        <w:rPr>
          <w:rFonts w:ascii="Verdana" w:hAnsi="Verdana"/>
          <w:sz w:val="20"/>
          <w:szCs w:val="20"/>
          <w:lang w:val="en-US"/>
        </w:rPr>
        <w:t xml:space="preserve">mg/kg bw/d). </w:t>
      </w:r>
    </w:p>
    <w:p w14:paraId="593F12DB"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Change in estrous cyclicity is an apical endpoint relevant for estrogen-mediated activity and for steroidogenesis-related activity as indicated in Revised Guidance Document 150 on Standardised Test Guidelines for Evaluating Chemicals for Endocrine Disruption (OECD, 2018). Therefore, this endpoint was further investigated by the Anses ED working group.  </w:t>
      </w:r>
    </w:p>
    <w:p w14:paraId="63C34EF2" w14:textId="77777777" w:rsidR="00BC1D4B" w:rsidRDefault="00ED1F84">
      <w:pPr>
        <w:spacing w:after="240"/>
        <w:jc w:val="both"/>
        <w:rPr>
          <w:rFonts w:ascii="Verdana" w:eastAsia="Calibri" w:hAnsi="Verdana"/>
          <w:sz w:val="20"/>
          <w:szCs w:val="20"/>
          <w:lang w:val="en-US"/>
        </w:rPr>
      </w:pPr>
      <w:r>
        <w:rPr>
          <w:rFonts w:ascii="Verdana" w:hAnsi="Verdana"/>
          <w:color w:val="000000"/>
          <w:sz w:val="20"/>
          <w:szCs w:val="20"/>
          <w:lang w:val="en-US"/>
        </w:rPr>
        <w:t xml:space="preserve">According to the </w:t>
      </w:r>
      <w:r>
        <w:rPr>
          <w:rFonts w:ascii="Verdana" w:eastAsia="Verdana" w:hAnsi="Verdana" w:cs="Verdana"/>
          <w:color w:val="000000"/>
          <w:sz w:val="20"/>
        </w:rPr>
        <w:t xml:space="preserve">OECD Guidance document for histologic evaluation of endocrine and reproductive tests in rodents part 5 (OECD, 2009), </w:t>
      </w:r>
      <w:r>
        <w:rPr>
          <w:rFonts w:ascii="Verdana" w:hAnsi="Verdana"/>
          <w:color w:val="000000"/>
          <w:sz w:val="20"/>
          <w:szCs w:val="20"/>
          <w:lang w:val="en-US"/>
        </w:rPr>
        <w:t>only the duration of the cycle is considered to es</w:t>
      </w:r>
      <w:r>
        <w:rPr>
          <w:rFonts w:ascii="Verdana" w:hAnsi="Verdana"/>
          <w:sz w:val="20"/>
          <w:szCs w:val="20"/>
          <w:lang w:val="en-US"/>
        </w:rPr>
        <w:t>tablish whether a cycle is normal or not. An appropriate succession of the four stages of the estrous cycle, based on the well-established neuroendocrine regulation of the gonadotropic axis, is important to consider in the estimation of regular cyclicity, in particular in the control group, before any further analysis. In the EOGRTS study, only 50% of control females from the P generation had regular estrous cyclicity based on the succession of at least 2 comp</w:t>
      </w:r>
      <w:r>
        <w:rPr>
          <w:rFonts w:ascii="Verdana" w:hAnsi="Verdana"/>
          <w:color w:val="000000"/>
          <w:sz w:val="20"/>
          <w:szCs w:val="20"/>
          <w:lang w:val="en-US"/>
        </w:rPr>
        <w:t xml:space="preserve">lete cycles (around 4 days for each cycle and covering the main estrous stages) during the 15 days of monitoring. This contrasts with the study report, which concluded that 79.2% of control females had normal cycles. </w:t>
      </w:r>
      <w:r>
        <w:rPr>
          <w:rFonts w:ascii="Verdana" w:hAnsi="Verdana"/>
          <w:sz w:val="20"/>
          <w:szCs w:val="20"/>
          <w:lang w:val="en-US"/>
        </w:rPr>
        <w:t>Thus, the data for this generation could not be used to compare the mean duration of the cycles between the experimental groups.</w:t>
      </w:r>
      <w:r>
        <w:rPr>
          <w:rFonts w:ascii="Verdana" w:eastAsia="Calibri" w:hAnsi="Verdana"/>
          <w:sz w:val="20"/>
          <w:szCs w:val="20"/>
          <w:lang w:val="en-US"/>
        </w:rPr>
        <w:t xml:space="preserve"> In the F1 generation, 90% of the females were considered to have a regular cyclicity. In the exposed groups, 70% of females exposed to 5 and 15 mg/kg bw/d, and 65% of those exposed to 25 mg/kg bw/d had a regular estrous cyclicity. Despite this tendency to decrease, no statistically significant effect of the treatment was found.  </w:t>
      </w:r>
    </w:p>
    <w:p w14:paraId="56B88FA0" w14:textId="77777777" w:rsidR="00BC1D4B" w:rsidRDefault="00ED1F84">
      <w:pPr>
        <w:spacing w:after="240"/>
        <w:jc w:val="both"/>
        <w:rPr>
          <w:rFonts w:ascii="Verdana" w:eastAsia="Calibri" w:hAnsi="Verdana"/>
          <w:sz w:val="20"/>
          <w:szCs w:val="20"/>
          <w:lang w:val="en-US"/>
        </w:rPr>
      </w:pPr>
      <w:r>
        <w:rPr>
          <w:rFonts w:ascii="Verdana" w:eastAsia="Calibri" w:hAnsi="Verdana"/>
          <w:sz w:val="20"/>
          <w:szCs w:val="20"/>
          <w:lang w:val="en-US"/>
        </w:rPr>
        <w:t>A literature review on Pubmed was performed using the keywords “1-3 diphenylamine OR DPG”, and did not allow to retrieve additional relevant data regarding potential ED adverse effects. The database relevant to fertility and development was already considered when assessing toxicity for the reproduction in the scope of the CLH report for the substance and no additional information was considered relevant for endocrine disruption assessment.</w:t>
      </w:r>
    </w:p>
    <w:p w14:paraId="016AD4AE" w14:textId="77777777" w:rsidR="00BC1D4B" w:rsidRDefault="00ED1F84">
      <w:pPr>
        <w:spacing w:after="240"/>
        <w:jc w:val="both"/>
        <w:rPr>
          <w:rFonts w:ascii="Verdana" w:eastAsia="Calibri" w:hAnsi="Verdana"/>
          <w:sz w:val="20"/>
          <w:szCs w:val="20"/>
          <w:u w:val="single"/>
          <w:lang w:val="en-US"/>
        </w:rPr>
      </w:pPr>
      <w:r>
        <w:rPr>
          <w:rFonts w:ascii="Verdana" w:eastAsia="Calibri" w:hAnsi="Verdana"/>
          <w:sz w:val="20"/>
          <w:szCs w:val="20"/>
          <w:u w:val="single"/>
          <w:lang w:val="en-US"/>
        </w:rPr>
        <w:t>Endocrine activity</w:t>
      </w:r>
    </w:p>
    <w:p w14:paraId="7A6DCBBC" w14:textId="77777777" w:rsidR="00BC1D4B" w:rsidRDefault="00ED1F84">
      <w:pPr>
        <w:spacing w:after="240"/>
        <w:jc w:val="both"/>
        <w:rPr>
          <w:rFonts w:ascii="Verdana" w:eastAsia="Calibri" w:hAnsi="Verdana"/>
          <w:sz w:val="20"/>
          <w:szCs w:val="20"/>
          <w:lang w:val="en-US"/>
        </w:rPr>
      </w:pPr>
      <w:r>
        <w:rPr>
          <w:rFonts w:ascii="Verdana" w:eastAsia="Calibri" w:hAnsi="Verdana"/>
          <w:sz w:val="20"/>
          <w:szCs w:val="20"/>
          <w:lang w:val="en-US"/>
        </w:rPr>
        <w:t xml:space="preserve">Kreider &amp; Panko (2016), published a document in which DPG underwent testing for endocrine disruption potential using the Tier 1 screening assays developed for the U.S. EPA’s EDSP (U.S. EPA, 2011, 2015). On the basis of these tests, the weight of evidence (WoE) analysis indicates that DPG is unlikely to act as an endocrine disruptor through EATS modes of action. This information was complemented with a literature review of the potential mode of action of DPG, ToxCast data, Danish QSAR data and OECD QSAR Toolbox data on DPG. </w:t>
      </w:r>
    </w:p>
    <w:p w14:paraId="612DD1CC" w14:textId="77777777" w:rsidR="00BC1D4B" w:rsidRDefault="00ED1F84">
      <w:pPr>
        <w:spacing w:after="200" w:line="276" w:lineRule="auto"/>
        <w:jc w:val="both"/>
        <w:rPr>
          <w:rFonts w:ascii="Verdana" w:eastAsia="Calibri" w:hAnsi="Verdana"/>
          <w:sz w:val="20"/>
          <w:szCs w:val="20"/>
          <w:lang w:val="en-US"/>
        </w:rPr>
      </w:pPr>
      <w:r>
        <w:rPr>
          <w:rFonts w:ascii="Verdana" w:eastAsia="Calibri" w:hAnsi="Verdana"/>
          <w:sz w:val="20"/>
          <w:szCs w:val="20"/>
          <w:lang w:val="en-US"/>
        </w:rPr>
        <w:t xml:space="preserve">In ToxCast ER agonist and antagonist models, as well as in the AR agonist model, with area under the curve (AUC) values of 0.00 or 0.000156, DPG is considered inactive. With an AUC value of 0.0584, the AR antagonist model is inconclusive; AR antagonist assays in the ToxCast database were thus further investigated. </w:t>
      </w:r>
    </w:p>
    <w:p w14:paraId="0FFB802D" w14:textId="77777777" w:rsidR="006E6890" w:rsidRDefault="006E6890">
      <w:pPr>
        <w:spacing w:after="200" w:line="276" w:lineRule="auto"/>
        <w:jc w:val="both"/>
        <w:rPr>
          <w:rFonts w:ascii="Verdana" w:eastAsia="Calibri" w:hAnsi="Verdana"/>
          <w:b/>
          <w:sz w:val="20"/>
          <w:szCs w:val="20"/>
          <w:lang w:val="en-US"/>
        </w:rPr>
      </w:pPr>
    </w:p>
    <w:p w14:paraId="6158FCD0" w14:textId="77777777" w:rsidR="006E6890" w:rsidRDefault="006E6890">
      <w:pPr>
        <w:spacing w:after="200" w:line="276" w:lineRule="auto"/>
        <w:jc w:val="both"/>
        <w:rPr>
          <w:rFonts w:ascii="Verdana" w:eastAsia="Calibri" w:hAnsi="Verdana"/>
          <w:b/>
          <w:sz w:val="20"/>
          <w:szCs w:val="20"/>
          <w:lang w:val="en-US"/>
        </w:rPr>
      </w:pPr>
    </w:p>
    <w:p w14:paraId="2299615F" w14:textId="77777777" w:rsidR="006E6890" w:rsidRDefault="006E6890">
      <w:pPr>
        <w:spacing w:after="200" w:line="276" w:lineRule="auto"/>
        <w:jc w:val="both"/>
        <w:rPr>
          <w:rFonts w:ascii="Verdana" w:eastAsia="Calibri" w:hAnsi="Verdana"/>
          <w:b/>
          <w:sz w:val="20"/>
          <w:szCs w:val="20"/>
          <w:lang w:val="en-US"/>
        </w:rPr>
      </w:pPr>
    </w:p>
    <w:p w14:paraId="02A6E037" w14:textId="77777777" w:rsidR="006E6890" w:rsidRDefault="006E6890">
      <w:pPr>
        <w:spacing w:after="200" w:line="276" w:lineRule="auto"/>
        <w:jc w:val="both"/>
        <w:rPr>
          <w:rFonts w:ascii="Verdana" w:eastAsia="Calibri" w:hAnsi="Verdana"/>
          <w:b/>
          <w:sz w:val="20"/>
          <w:szCs w:val="20"/>
          <w:lang w:val="en-US"/>
        </w:rPr>
      </w:pPr>
    </w:p>
    <w:p w14:paraId="35D67712" w14:textId="519956E1" w:rsidR="00BC1D4B" w:rsidRDefault="00ED1F84">
      <w:pPr>
        <w:spacing w:after="200" w:line="276" w:lineRule="auto"/>
        <w:jc w:val="both"/>
        <w:rPr>
          <w:rFonts w:ascii="Verdana" w:eastAsia="Calibri" w:hAnsi="Verdana"/>
          <w:b/>
          <w:sz w:val="20"/>
          <w:szCs w:val="20"/>
          <w:lang w:val="en-US"/>
        </w:rPr>
      </w:pPr>
      <w:r>
        <w:rPr>
          <w:rFonts w:ascii="Verdana" w:eastAsia="Calibri" w:hAnsi="Verdana"/>
          <w:b/>
          <w:sz w:val="20"/>
          <w:szCs w:val="20"/>
          <w:lang w:val="en-US"/>
        </w:rPr>
        <w:lastRenderedPageBreak/>
        <w:t>Table 17: ToxCast Model Prediction (data extracted in December, 2022)</w:t>
      </w:r>
    </w:p>
    <w:p w14:paraId="7FA2BFF5" w14:textId="77777777" w:rsidR="00BC1D4B" w:rsidRDefault="00ED1F84">
      <w:pPr>
        <w:spacing w:after="200" w:line="276" w:lineRule="auto"/>
        <w:jc w:val="both"/>
        <w:rPr>
          <w:rFonts w:ascii="Calibri" w:eastAsia="Calibri" w:hAnsi="Calibri"/>
          <w:sz w:val="22"/>
          <w:szCs w:val="22"/>
          <w:lang w:val="en-US"/>
        </w:rPr>
      </w:pPr>
      <w:r>
        <w:rPr>
          <w:rFonts w:ascii="Calibri" w:eastAsia="Calibri" w:hAnsi="Calibri"/>
          <w:noProof/>
          <w:sz w:val="22"/>
          <w:szCs w:val="22"/>
          <w:lang w:val="fr-FR" w:eastAsia="fr-FR"/>
        </w:rPr>
        <w:drawing>
          <wp:inline distT="0" distB="0" distL="0" distR="0">
            <wp:extent cx="3507105" cy="786615"/>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0"/>
                    <a:srcRect l="1931" t="591" r="57492" b="70165"/>
                    <a:stretch/>
                  </pic:blipFill>
                  <pic:spPr bwMode="auto">
                    <a:xfrm>
                      <a:off x="0" y="0"/>
                      <a:ext cx="3545448" cy="795215"/>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0"/>
        <w:gridCol w:w="1103"/>
        <w:gridCol w:w="950"/>
        <w:gridCol w:w="1209"/>
        <w:gridCol w:w="950"/>
      </w:tblGrid>
      <w:tr w:rsidR="00BC1D4B" w14:paraId="33B6D8CC" w14:textId="77777777">
        <w:trPr>
          <w:trHeight w:val="300"/>
        </w:trPr>
        <w:tc>
          <w:tcPr>
            <w:tcW w:w="2464" w:type="pct"/>
            <w:shd w:val="clear" w:color="auto" w:fill="auto"/>
            <w:noWrap/>
            <w:vAlign w:val="bottom"/>
          </w:tcPr>
          <w:p w14:paraId="21AB12B7"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Model</w:t>
            </w:r>
          </w:p>
        </w:tc>
        <w:tc>
          <w:tcPr>
            <w:tcW w:w="664" w:type="pct"/>
            <w:shd w:val="clear" w:color="auto" w:fill="auto"/>
            <w:noWrap/>
            <w:vAlign w:val="bottom"/>
          </w:tcPr>
          <w:p w14:paraId="3AF9C1EF"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Receptor</w:t>
            </w:r>
          </w:p>
        </w:tc>
        <w:tc>
          <w:tcPr>
            <w:tcW w:w="572" w:type="pct"/>
            <w:shd w:val="clear" w:color="auto" w:fill="auto"/>
            <w:noWrap/>
            <w:vAlign w:val="bottom"/>
          </w:tcPr>
          <w:p w14:paraId="1A91C44B"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Agonist</w:t>
            </w:r>
          </w:p>
        </w:tc>
        <w:tc>
          <w:tcPr>
            <w:tcW w:w="728" w:type="pct"/>
            <w:shd w:val="clear" w:color="auto" w:fill="auto"/>
            <w:noWrap/>
            <w:vAlign w:val="bottom"/>
          </w:tcPr>
          <w:p w14:paraId="65243C3F"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Antagonist</w:t>
            </w:r>
          </w:p>
        </w:tc>
        <w:tc>
          <w:tcPr>
            <w:tcW w:w="572" w:type="pct"/>
            <w:shd w:val="clear" w:color="auto" w:fill="auto"/>
            <w:noWrap/>
            <w:vAlign w:val="bottom"/>
          </w:tcPr>
          <w:p w14:paraId="3A283645"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Binding</w:t>
            </w:r>
          </w:p>
        </w:tc>
      </w:tr>
      <w:tr w:rsidR="00BC1D4B" w14:paraId="1604D14B" w14:textId="77777777">
        <w:trPr>
          <w:trHeight w:val="300"/>
        </w:trPr>
        <w:tc>
          <w:tcPr>
            <w:tcW w:w="2464" w:type="pct"/>
            <w:shd w:val="clear" w:color="auto" w:fill="auto"/>
            <w:noWrap/>
            <w:vAlign w:val="bottom"/>
          </w:tcPr>
          <w:p w14:paraId="08A7DAE3"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COMPARA (Consensus)</w:t>
            </w:r>
          </w:p>
        </w:tc>
        <w:tc>
          <w:tcPr>
            <w:tcW w:w="664" w:type="pct"/>
            <w:shd w:val="clear" w:color="auto" w:fill="auto"/>
            <w:noWrap/>
            <w:vAlign w:val="bottom"/>
          </w:tcPr>
          <w:p w14:paraId="2A84E299"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Androgen</w:t>
            </w:r>
          </w:p>
        </w:tc>
        <w:tc>
          <w:tcPr>
            <w:tcW w:w="572" w:type="pct"/>
            <w:shd w:val="clear" w:color="auto" w:fill="auto"/>
            <w:noWrap/>
            <w:vAlign w:val="bottom"/>
          </w:tcPr>
          <w:p w14:paraId="46F5E0E5"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0</w:t>
            </w:r>
          </w:p>
        </w:tc>
        <w:tc>
          <w:tcPr>
            <w:tcW w:w="728" w:type="pct"/>
            <w:shd w:val="clear" w:color="auto" w:fill="auto"/>
            <w:noWrap/>
            <w:vAlign w:val="bottom"/>
          </w:tcPr>
          <w:p w14:paraId="61C19ECF"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0</w:t>
            </w:r>
          </w:p>
        </w:tc>
        <w:tc>
          <w:tcPr>
            <w:tcW w:w="572" w:type="pct"/>
            <w:shd w:val="clear" w:color="auto" w:fill="auto"/>
            <w:noWrap/>
            <w:vAlign w:val="bottom"/>
          </w:tcPr>
          <w:p w14:paraId="5BF6616F"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0</w:t>
            </w:r>
          </w:p>
        </w:tc>
      </w:tr>
      <w:tr w:rsidR="00BC1D4B" w14:paraId="23A6EF16" w14:textId="77777777">
        <w:trPr>
          <w:trHeight w:val="300"/>
        </w:trPr>
        <w:tc>
          <w:tcPr>
            <w:tcW w:w="2464" w:type="pct"/>
            <w:shd w:val="clear" w:color="auto" w:fill="auto"/>
            <w:noWrap/>
            <w:vAlign w:val="bottom"/>
          </w:tcPr>
          <w:p w14:paraId="51DDE849"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ToxCast Pathway Model (AUC)*</w:t>
            </w:r>
          </w:p>
        </w:tc>
        <w:tc>
          <w:tcPr>
            <w:tcW w:w="664" w:type="pct"/>
            <w:shd w:val="clear" w:color="auto" w:fill="auto"/>
            <w:noWrap/>
            <w:vAlign w:val="bottom"/>
          </w:tcPr>
          <w:p w14:paraId="492521A5"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Estrogen</w:t>
            </w:r>
          </w:p>
        </w:tc>
        <w:tc>
          <w:tcPr>
            <w:tcW w:w="572" w:type="pct"/>
            <w:shd w:val="clear" w:color="auto" w:fill="auto"/>
            <w:noWrap/>
            <w:vAlign w:val="bottom"/>
          </w:tcPr>
          <w:p w14:paraId="30888AB6"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0</w:t>
            </w:r>
          </w:p>
        </w:tc>
        <w:tc>
          <w:tcPr>
            <w:tcW w:w="728" w:type="pct"/>
            <w:shd w:val="clear" w:color="auto" w:fill="auto"/>
            <w:noWrap/>
            <w:vAlign w:val="bottom"/>
          </w:tcPr>
          <w:p w14:paraId="013E44CF"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0,000156</w:t>
            </w:r>
          </w:p>
        </w:tc>
        <w:tc>
          <w:tcPr>
            <w:tcW w:w="572" w:type="pct"/>
            <w:shd w:val="clear" w:color="auto" w:fill="auto"/>
            <w:noWrap/>
            <w:vAlign w:val="bottom"/>
          </w:tcPr>
          <w:p w14:paraId="4CE260C3"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w:t>
            </w:r>
          </w:p>
        </w:tc>
      </w:tr>
      <w:tr w:rsidR="00BC1D4B" w14:paraId="39EE1083" w14:textId="77777777">
        <w:trPr>
          <w:trHeight w:val="300"/>
        </w:trPr>
        <w:tc>
          <w:tcPr>
            <w:tcW w:w="2464" w:type="pct"/>
            <w:shd w:val="clear" w:color="auto" w:fill="auto"/>
            <w:noWrap/>
            <w:vAlign w:val="bottom"/>
          </w:tcPr>
          <w:p w14:paraId="562EE08E"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ToxCast Pathway Model (AUC)*</w:t>
            </w:r>
          </w:p>
        </w:tc>
        <w:tc>
          <w:tcPr>
            <w:tcW w:w="664" w:type="pct"/>
            <w:shd w:val="clear" w:color="auto" w:fill="auto"/>
            <w:noWrap/>
            <w:vAlign w:val="bottom"/>
          </w:tcPr>
          <w:p w14:paraId="5F697EF3" w14:textId="77777777" w:rsidR="00BC1D4B" w:rsidRDefault="00ED1F84">
            <w:pPr>
              <w:spacing w:after="200" w:line="276" w:lineRule="auto"/>
              <w:jc w:val="both"/>
              <w:rPr>
                <w:rFonts w:ascii="Verdana" w:eastAsia="Calibri" w:hAnsi="Verdana"/>
                <w:b/>
                <w:sz w:val="16"/>
                <w:szCs w:val="16"/>
              </w:rPr>
            </w:pPr>
            <w:r>
              <w:rPr>
                <w:rFonts w:ascii="Verdana" w:eastAsia="Calibri" w:hAnsi="Verdana"/>
                <w:b/>
                <w:sz w:val="16"/>
                <w:szCs w:val="16"/>
                <w:lang w:val="fr-FR"/>
              </w:rPr>
              <w:t>Androgen</w:t>
            </w:r>
          </w:p>
        </w:tc>
        <w:tc>
          <w:tcPr>
            <w:tcW w:w="572" w:type="pct"/>
            <w:shd w:val="clear" w:color="auto" w:fill="auto"/>
            <w:noWrap/>
            <w:vAlign w:val="bottom"/>
          </w:tcPr>
          <w:p w14:paraId="6D382889"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0</w:t>
            </w:r>
          </w:p>
        </w:tc>
        <w:tc>
          <w:tcPr>
            <w:tcW w:w="728" w:type="pct"/>
            <w:shd w:val="clear" w:color="auto" w:fill="auto"/>
            <w:noWrap/>
            <w:vAlign w:val="bottom"/>
          </w:tcPr>
          <w:p w14:paraId="1E77FE11" w14:textId="77777777" w:rsidR="00BC1D4B" w:rsidRDefault="00ED1F84">
            <w:pPr>
              <w:spacing w:after="200" w:line="276" w:lineRule="auto"/>
              <w:jc w:val="both"/>
              <w:rPr>
                <w:rFonts w:ascii="Verdana" w:eastAsia="Calibri" w:hAnsi="Verdana"/>
                <w:b/>
                <w:sz w:val="16"/>
                <w:szCs w:val="16"/>
                <w:lang w:val="fr-FR"/>
              </w:rPr>
            </w:pPr>
            <w:r>
              <w:rPr>
                <w:rFonts w:ascii="Verdana" w:eastAsia="Calibri" w:hAnsi="Verdana"/>
                <w:b/>
                <w:sz w:val="16"/>
                <w:szCs w:val="16"/>
                <w:lang w:val="fr-FR"/>
              </w:rPr>
              <w:t>0,0584</w:t>
            </w:r>
          </w:p>
        </w:tc>
        <w:tc>
          <w:tcPr>
            <w:tcW w:w="572" w:type="pct"/>
            <w:shd w:val="clear" w:color="auto" w:fill="auto"/>
            <w:noWrap/>
            <w:vAlign w:val="bottom"/>
          </w:tcPr>
          <w:p w14:paraId="7C5A9409"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w:t>
            </w:r>
          </w:p>
        </w:tc>
      </w:tr>
      <w:tr w:rsidR="00BC1D4B" w14:paraId="6088EE73" w14:textId="77777777">
        <w:trPr>
          <w:trHeight w:val="300"/>
        </w:trPr>
        <w:tc>
          <w:tcPr>
            <w:tcW w:w="2464" w:type="pct"/>
            <w:shd w:val="clear" w:color="auto" w:fill="auto"/>
            <w:noWrap/>
            <w:vAlign w:val="bottom"/>
          </w:tcPr>
          <w:p w14:paraId="7CFC3326" w14:textId="77777777" w:rsidR="00BC1D4B" w:rsidRDefault="00ED1F84">
            <w:pPr>
              <w:spacing w:after="200" w:line="276" w:lineRule="auto"/>
              <w:jc w:val="both"/>
              <w:rPr>
                <w:rFonts w:ascii="Verdana" w:eastAsia="Calibri" w:hAnsi="Verdana"/>
                <w:sz w:val="16"/>
                <w:szCs w:val="16"/>
                <w:lang w:val="en-US"/>
              </w:rPr>
            </w:pPr>
            <w:r>
              <w:rPr>
                <w:rFonts w:ascii="Verdana" w:eastAsia="Calibri" w:hAnsi="Verdana"/>
                <w:sz w:val="16"/>
                <w:szCs w:val="16"/>
                <w:lang w:val="en-US"/>
              </w:rPr>
              <w:t>CERAPP Potency Level (From Literature)</w:t>
            </w:r>
          </w:p>
        </w:tc>
        <w:tc>
          <w:tcPr>
            <w:tcW w:w="664" w:type="pct"/>
            <w:shd w:val="clear" w:color="auto" w:fill="auto"/>
            <w:noWrap/>
            <w:vAlign w:val="bottom"/>
          </w:tcPr>
          <w:p w14:paraId="72433688"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Estrogen</w:t>
            </w:r>
          </w:p>
        </w:tc>
        <w:tc>
          <w:tcPr>
            <w:tcW w:w="572" w:type="pct"/>
            <w:shd w:val="clear" w:color="auto" w:fill="auto"/>
            <w:noWrap/>
            <w:vAlign w:val="bottom"/>
          </w:tcPr>
          <w:p w14:paraId="178FF7D2"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Inactive</w:t>
            </w:r>
          </w:p>
        </w:tc>
        <w:tc>
          <w:tcPr>
            <w:tcW w:w="728" w:type="pct"/>
            <w:shd w:val="clear" w:color="auto" w:fill="auto"/>
            <w:noWrap/>
            <w:vAlign w:val="bottom"/>
          </w:tcPr>
          <w:p w14:paraId="0922E2DF"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Inactive</w:t>
            </w:r>
          </w:p>
        </w:tc>
        <w:tc>
          <w:tcPr>
            <w:tcW w:w="572" w:type="pct"/>
            <w:shd w:val="clear" w:color="auto" w:fill="auto"/>
            <w:noWrap/>
            <w:vAlign w:val="bottom"/>
          </w:tcPr>
          <w:p w14:paraId="1A66459A"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Inactive</w:t>
            </w:r>
          </w:p>
        </w:tc>
      </w:tr>
      <w:tr w:rsidR="00BC1D4B" w14:paraId="57C80336" w14:textId="77777777">
        <w:trPr>
          <w:trHeight w:val="300"/>
        </w:trPr>
        <w:tc>
          <w:tcPr>
            <w:tcW w:w="2464" w:type="pct"/>
            <w:shd w:val="clear" w:color="auto" w:fill="auto"/>
            <w:noWrap/>
            <w:vAlign w:val="bottom"/>
          </w:tcPr>
          <w:p w14:paraId="003092E3"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CERAPP Potency Level (Consensus)</w:t>
            </w:r>
          </w:p>
        </w:tc>
        <w:tc>
          <w:tcPr>
            <w:tcW w:w="664" w:type="pct"/>
            <w:shd w:val="clear" w:color="auto" w:fill="auto"/>
            <w:noWrap/>
            <w:vAlign w:val="bottom"/>
          </w:tcPr>
          <w:p w14:paraId="627FD186"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Estrogen</w:t>
            </w:r>
          </w:p>
        </w:tc>
        <w:tc>
          <w:tcPr>
            <w:tcW w:w="572" w:type="pct"/>
            <w:shd w:val="clear" w:color="auto" w:fill="auto"/>
            <w:noWrap/>
            <w:vAlign w:val="bottom"/>
          </w:tcPr>
          <w:p w14:paraId="5C95F153"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0</w:t>
            </w:r>
          </w:p>
        </w:tc>
        <w:tc>
          <w:tcPr>
            <w:tcW w:w="728" w:type="pct"/>
            <w:shd w:val="clear" w:color="auto" w:fill="auto"/>
            <w:noWrap/>
            <w:vAlign w:val="bottom"/>
          </w:tcPr>
          <w:p w14:paraId="7F57D7BD"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0</w:t>
            </w:r>
          </w:p>
        </w:tc>
        <w:tc>
          <w:tcPr>
            <w:tcW w:w="572" w:type="pct"/>
            <w:shd w:val="clear" w:color="auto" w:fill="auto"/>
            <w:noWrap/>
            <w:vAlign w:val="bottom"/>
          </w:tcPr>
          <w:p w14:paraId="67FC5EA6" w14:textId="77777777" w:rsidR="00BC1D4B" w:rsidRDefault="00ED1F84">
            <w:pPr>
              <w:spacing w:after="200" w:line="276" w:lineRule="auto"/>
              <w:jc w:val="both"/>
              <w:rPr>
                <w:rFonts w:ascii="Verdana" w:eastAsia="Calibri" w:hAnsi="Verdana"/>
                <w:sz w:val="16"/>
                <w:szCs w:val="16"/>
                <w:lang w:val="fr-FR"/>
              </w:rPr>
            </w:pPr>
            <w:r>
              <w:rPr>
                <w:rFonts w:ascii="Verdana" w:eastAsia="Calibri" w:hAnsi="Verdana"/>
                <w:sz w:val="16"/>
                <w:szCs w:val="16"/>
                <w:lang w:val="fr-FR"/>
              </w:rPr>
              <w:t>0</w:t>
            </w:r>
          </w:p>
        </w:tc>
      </w:tr>
    </w:tbl>
    <w:p w14:paraId="2F300097" w14:textId="77777777" w:rsidR="00BC1D4B" w:rsidRDefault="00BC1D4B">
      <w:pPr>
        <w:spacing w:after="200" w:line="276" w:lineRule="auto"/>
        <w:jc w:val="both"/>
      </w:pPr>
    </w:p>
    <w:p w14:paraId="5F936FC1" w14:textId="77777777" w:rsidR="00BC1D4B" w:rsidRDefault="009E2E72">
      <w:pPr>
        <w:spacing w:after="200" w:line="276" w:lineRule="auto"/>
        <w:jc w:val="both"/>
        <w:rPr>
          <w:rFonts w:ascii="Verdana" w:eastAsia="Calibri" w:hAnsi="Verdana"/>
          <w:color w:val="0000FF"/>
          <w:sz w:val="18"/>
          <w:szCs w:val="18"/>
          <w:u w:val="single"/>
        </w:rPr>
      </w:pPr>
      <w:hyperlink r:id="rId21" w:tooltip="https://comptox.epa.gov/dashboard/chemical/bioactivity-toxcast-models/DTXSID3025178" w:history="1">
        <w:r w:rsidR="00ED1F84">
          <w:rPr>
            <w:rFonts w:ascii="Verdana" w:eastAsia="Calibri" w:hAnsi="Verdana"/>
            <w:color w:val="0000FF"/>
            <w:sz w:val="18"/>
            <w:szCs w:val="18"/>
            <w:u w:val="single"/>
          </w:rPr>
          <w:t>https://comptox.epa.gov/dashboard/chemical/bioactivity-toxcast-models/DTXSID3025178</w:t>
        </w:r>
      </w:hyperlink>
    </w:p>
    <w:p w14:paraId="36332338" w14:textId="77777777" w:rsidR="00BC1D4B" w:rsidRDefault="00ED1F84">
      <w:pPr>
        <w:spacing w:after="200" w:line="276" w:lineRule="auto"/>
        <w:jc w:val="both"/>
        <w:rPr>
          <w:rFonts w:ascii="Verdana" w:eastAsia="Calibri" w:hAnsi="Verdana"/>
          <w:sz w:val="16"/>
          <w:szCs w:val="16"/>
        </w:rPr>
      </w:pPr>
      <w:r>
        <w:rPr>
          <w:rFonts w:ascii="Verdana" w:eastAsia="Calibri" w:hAnsi="Verdana"/>
          <w:sz w:val="16"/>
          <w:szCs w:val="16"/>
        </w:rPr>
        <w:t>*The ToxCast Pathway Model (AUC) provides a value (range from 0-1) for Androgen and Estrogen receptor activity, each (in agonist or antagonist mode). If any of these values exceed 0.1, then there is a significant interaction.</w:t>
      </w:r>
    </w:p>
    <w:p w14:paraId="62DAE898" w14:textId="77777777" w:rsidR="00BC1D4B" w:rsidRDefault="00ED1F84">
      <w:pPr>
        <w:spacing w:after="200" w:line="276" w:lineRule="auto"/>
        <w:jc w:val="both"/>
        <w:rPr>
          <w:rFonts w:ascii="Verdana" w:eastAsia="Calibri" w:hAnsi="Verdana"/>
          <w:sz w:val="20"/>
          <w:szCs w:val="20"/>
          <w:lang w:val="en-US"/>
        </w:rPr>
      </w:pPr>
      <w:r>
        <w:rPr>
          <w:rFonts w:ascii="Verdana" w:eastAsia="Calibri" w:hAnsi="Verdana"/>
          <w:sz w:val="20"/>
          <w:szCs w:val="20"/>
          <w:lang w:val="en-US"/>
        </w:rPr>
        <w:t>DPG was active in 4 of these AR assays. However, in the ACEA_AR_antagonist_80hr test, the LogAC50 value is similar to the one in the corresponding viability assay. DPG was active in TOX21_AR_LUC_MDAKB2_Antagonist_0.5nM_R1881 and TOX21_AR_LUC_MDAKB2_Antagonist_10nM_R1881, although at a lower concentration in presence of 10 nM R1881 (LogAC50=0.52) than with 0.5 nM R1881 (LogAC50=0.89). No diminution of the cell viability was observed in the corresponding tests. Based on ToxCast assays, no clear AR antagonist activity was thus evidenced. In a binding test to AR (OT_AR_ARSRC1_0960), the substance is active at a value of LogAC50=1.36. As post-implantation losses, increased duration of gestation and dystocia have been sometime associated with aromatase inhibition</w:t>
      </w:r>
      <w:r>
        <w:rPr>
          <w:rFonts w:ascii="Verdana" w:eastAsia="Calibri" w:hAnsi="Verdana"/>
          <w:sz w:val="20"/>
          <w:szCs w:val="20"/>
          <w:vertAlign w:val="superscript"/>
          <w:lang w:val="en-US"/>
        </w:rPr>
        <w:footnoteReference w:id="20"/>
      </w:r>
      <w:r>
        <w:rPr>
          <w:rFonts w:ascii="Verdana" w:eastAsia="Calibri" w:hAnsi="Verdana"/>
          <w:sz w:val="20"/>
          <w:szCs w:val="20"/>
          <w:lang w:val="en-US"/>
        </w:rPr>
        <w:t xml:space="preserve">, the steroidogenesis endpoint was also investigated in the ToxCast database. DPG was active in the aromatase inhibition test (TOX21_Aromatase_Inhibition) but with a LogAC50 value similar to the one in the corresponding viability assay. Moreover, there was no decrease in the synthesis of estradiol or estrone in the H295R cellular assay (CEETOX_H295R_ESTRADIOL_noMTC_dn:INACTIVE and CEETOX_H295R_ESTRONE_noMTC_dn:INACTIVE). In this assay, the only reported effects (without effects on the cellular viability) are related to decreased synthesis of desoxycorticosterone (LogAC 50: 1.7), cortisol (LogAC50: 1.66) and corticosterone (LogAC50: 1.53) (as well as Desoxycortisol, Androstenedione and OHpregnenolone, with an effect above baseline only at the highest concentration). </w:t>
      </w:r>
      <w:r>
        <w:rPr>
          <w:rFonts w:ascii="Verdana" w:eastAsia="Calibri" w:hAnsi="Verdana"/>
          <w:sz w:val="20"/>
          <w:szCs w:val="20"/>
          <w:lang w:val="en-US"/>
        </w:rPr>
        <w:lastRenderedPageBreak/>
        <w:t>Based on these data, the only possible endocrine activity of DPG seems therefore to be on the corticosteroid pathway.</w:t>
      </w:r>
    </w:p>
    <w:p w14:paraId="159E4426" w14:textId="77777777" w:rsidR="00BC1D4B" w:rsidRDefault="00ED1F84">
      <w:pPr>
        <w:spacing w:after="200" w:line="276" w:lineRule="auto"/>
        <w:jc w:val="both"/>
        <w:rPr>
          <w:rFonts w:ascii="Verdana" w:eastAsia="Calibri" w:hAnsi="Verdana"/>
          <w:sz w:val="20"/>
          <w:szCs w:val="20"/>
          <w:lang w:val="en-US"/>
        </w:rPr>
      </w:pPr>
      <w:r>
        <w:rPr>
          <w:rFonts w:ascii="Verdana" w:hAnsi="Verdana"/>
          <w:sz w:val="20"/>
          <w:szCs w:val="20"/>
          <w:lang w:val="en-US"/>
        </w:rPr>
        <w:t xml:space="preserve">In the EOGRTS study on rats (unpublished study report, 2021), an increase in adrenal gland weight was observed although it is not supported with </w:t>
      </w:r>
      <w:r>
        <w:rPr>
          <w:rFonts w:ascii="Verdana" w:eastAsia="Calibri" w:hAnsi="Verdana"/>
          <w:sz w:val="20"/>
          <w:szCs w:val="20"/>
          <w:lang w:val="en-US"/>
        </w:rPr>
        <w:t>histological</w:t>
      </w:r>
      <w:r>
        <w:rPr>
          <w:rFonts w:ascii="Verdana" w:hAnsi="Verdana"/>
          <w:sz w:val="20"/>
          <w:szCs w:val="20"/>
          <w:lang w:val="en-US"/>
        </w:rPr>
        <w:t xml:space="preserve"> alteration, </w:t>
      </w:r>
      <w:r>
        <w:rPr>
          <w:rFonts w:ascii="Verdana" w:eastAsia="Calibri" w:hAnsi="Verdana"/>
          <w:sz w:val="20"/>
          <w:szCs w:val="20"/>
          <w:lang w:val="en-US"/>
        </w:rPr>
        <w:t>and hormone measurement were not available.</w:t>
      </w:r>
      <w:r>
        <w:rPr>
          <w:rFonts w:ascii="Verdana" w:hAnsi="Verdana"/>
          <w:sz w:val="20"/>
          <w:szCs w:val="20"/>
          <w:lang w:val="en-US"/>
        </w:rPr>
        <w:t xml:space="preserve"> </w:t>
      </w:r>
      <w:r>
        <w:rPr>
          <w:rFonts w:ascii="Verdana" w:eastAsia="Calibri" w:hAnsi="Verdana"/>
          <w:sz w:val="20"/>
          <w:szCs w:val="20"/>
          <w:lang w:val="en-US"/>
        </w:rPr>
        <w:t>Moreover</w:t>
      </w:r>
      <w:r>
        <w:rPr>
          <w:rFonts w:ascii="Verdana" w:hAnsi="Verdana"/>
          <w:sz w:val="20"/>
          <w:szCs w:val="20"/>
          <w:lang w:val="en-US"/>
        </w:rPr>
        <w:t>, it was impossible to discriminate which of the medulla or cortical part are involved in the increase in the adrenal gland weight preventing to link the adverse effect to a possible endocrine mode of action. Thus, a plausible link between the effect and the endocrine activity is not possible</w:t>
      </w:r>
      <w:r>
        <w:rPr>
          <w:rFonts w:ascii="Verdana" w:eastAsia="Calibri" w:hAnsi="Verdana"/>
          <w:sz w:val="20"/>
          <w:szCs w:val="20"/>
          <w:lang w:val="en-US"/>
        </w:rPr>
        <w:t xml:space="preserve"> and this endpoint was not further investigated. </w:t>
      </w:r>
    </w:p>
    <w:p w14:paraId="73A91B74" w14:textId="77777777" w:rsidR="00BC1D4B" w:rsidRDefault="00BC1D4B">
      <w:pPr>
        <w:spacing w:after="200" w:line="276" w:lineRule="auto"/>
        <w:jc w:val="both"/>
        <w:rPr>
          <w:rFonts w:ascii="Verdana" w:eastAsia="Calibri" w:hAnsi="Verdana"/>
          <w:sz w:val="20"/>
          <w:szCs w:val="20"/>
          <w:lang w:val="en-US"/>
        </w:rPr>
      </w:pPr>
    </w:p>
    <w:p w14:paraId="398F2415" w14:textId="77777777" w:rsidR="00BC1D4B" w:rsidRDefault="00ED1F84">
      <w:pPr>
        <w:spacing w:after="200" w:line="276" w:lineRule="auto"/>
        <w:jc w:val="both"/>
        <w:rPr>
          <w:rFonts w:ascii="Verdana" w:eastAsia="Calibri" w:hAnsi="Verdana"/>
          <w:b/>
          <w:sz w:val="20"/>
          <w:szCs w:val="20"/>
          <w:lang w:val="en-US"/>
        </w:rPr>
      </w:pPr>
      <w:r>
        <w:rPr>
          <w:rFonts w:ascii="Verdana" w:eastAsia="Calibri" w:hAnsi="Verdana"/>
          <w:b/>
          <w:sz w:val="20"/>
          <w:szCs w:val="20"/>
          <w:lang w:val="en-US"/>
        </w:rPr>
        <w:t>Table 18: ToxCast Data (data extracted in December, 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6"/>
        <w:gridCol w:w="1298"/>
        <w:gridCol w:w="4254"/>
        <w:gridCol w:w="1644"/>
      </w:tblGrid>
      <w:tr w:rsidR="00BC1D4B" w14:paraId="2F86AFC6" w14:textId="77777777">
        <w:trPr>
          <w:trHeight w:val="409"/>
          <w:jc w:val="center"/>
        </w:trPr>
        <w:tc>
          <w:tcPr>
            <w:tcW w:w="666" w:type="pct"/>
            <w:shd w:val="clear" w:color="auto" w:fill="4F81BD"/>
            <w:vAlign w:val="center"/>
          </w:tcPr>
          <w:p w14:paraId="436805AE" w14:textId="77777777" w:rsidR="00BC1D4B" w:rsidRDefault="00ED1F84">
            <w:pPr>
              <w:spacing w:after="0"/>
              <w:contextualSpacing/>
              <w:jc w:val="both"/>
              <w:rPr>
                <w:rFonts w:ascii="Verdana" w:hAnsi="Verdana"/>
                <w:b/>
                <w:color w:val="FFFFFF"/>
                <w:sz w:val="16"/>
                <w:szCs w:val="16"/>
              </w:rPr>
            </w:pPr>
            <w:r>
              <w:rPr>
                <w:rFonts w:ascii="Verdana" w:hAnsi="Verdana"/>
                <w:b/>
                <w:color w:val="FFFFFF"/>
                <w:sz w:val="16"/>
                <w:szCs w:val="16"/>
              </w:rPr>
              <w:t>Intended target</w:t>
            </w:r>
          </w:p>
        </w:tc>
        <w:tc>
          <w:tcPr>
            <w:tcW w:w="782" w:type="pct"/>
            <w:shd w:val="clear" w:color="auto" w:fill="4F81BD"/>
          </w:tcPr>
          <w:p w14:paraId="08AECC11" w14:textId="77777777" w:rsidR="00BC1D4B" w:rsidRDefault="00ED1F84">
            <w:pPr>
              <w:spacing w:after="0"/>
              <w:contextualSpacing/>
              <w:jc w:val="both"/>
              <w:rPr>
                <w:rFonts w:ascii="Verdana" w:hAnsi="Verdana"/>
                <w:b/>
                <w:color w:val="FFFFFF"/>
                <w:sz w:val="16"/>
                <w:szCs w:val="16"/>
              </w:rPr>
            </w:pPr>
            <w:r>
              <w:rPr>
                <w:rFonts w:ascii="Verdana" w:hAnsi="Verdana"/>
                <w:b/>
                <w:color w:val="FFFFFF" w:themeColor="background1"/>
                <w:sz w:val="16"/>
                <w:szCs w:val="16"/>
              </w:rPr>
              <w:t>Assay family</w:t>
            </w:r>
          </w:p>
        </w:tc>
        <w:tc>
          <w:tcPr>
            <w:tcW w:w="2562" w:type="pct"/>
            <w:shd w:val="clear" w:color="auto" w:fill="4F81BD"/>
          </w:tcPr>
          <w:p w14:paraId="34D75236" w14:textId="77777777" w:rsidR="00BC1D4B" w:rsidRDefault="00ED1F84">
            <w:pPr>
              <w:spacing w:after="0"/>
              <w:contextualSpacing/>
              <w:jc w:val="both"/>
              <w:rPr>
                <w:rFonts w:ascii="Verdana" w:hAnsi="Verdana"/>
                <w:b/>
                <w:color w:val="FFFFFF"/>
                <w:sz w:val="16"/>
                <w:szCs w:val="16"/>
              </w:rPr>
            </w:pPr>
            <w:r>
              <w:rPr>
                <w:rFonts w:ascii="Verdana" w:hAnsi="Verdana"/>
                <w:b/>
                <w:color w:val="FFFFFF"/>
                <w:sz w:val="16"/>
                <w:szCs w:val="16"/>
              </w:rPr>
              <w:t>Name</w:t>
            </w:r>
          </w:p>
        </w:tc>
        <w:tc>
          <w:tcPr>
            <w:tcW w:w="990" w:type="pct"/>
            <w:shd w:val="clear" w:color="auto" w:fill="4F81BD"/>
            <w:vAlign w:val="center"/>
          </w:tcPr>
          <w:p w14:paraId="4379B7A3" w14:textId="77777777" w:rsidR="00BC1D4B" w:rsidRDefault="00ED1F84">
            <w:pPr>
              <w:spacing w:after="0"/>
              <w:contextualSpacing/>
              <w:jc w:val="both"/>
              <w:rPr>
                <w:rFonts w:ascii="Verdana" w:hAnsi="Verdana"/>
                <w:b/>
                <w:color w:val="FFFFFF"/>
                <w:sz w:val="16"/>
                <w:szCs w:val="16"/>
              </w:rPr>
            </w:pPr>
            <w:r>
              <w:rPr>
                <w:rFonts w:ascii="Verdana" w:hAnsi="Verdana"/>
                <w:b/>
                <w:color w:val="FFFFFF"/>
                <w:sz w:val="16"/>
                <w:szCs w:val="16"/>
              </w:rPr>
              <w:t>Result</w:t>
            </w:r>
          </w:p>
        </w:tc>
      </w:tr>
      <w:tr w:rsidR="00BC1D4B" w14:paraId="45AC1ECC" w14:textId="77777777">
        <w:trPr>
          <w:trHeight w:val="142"/>
          <w:jc w:val="center"/>
        </w:trPr>
        <w:tc>
          <w:tcPr>
            <w:tcW w:w="666" w:type="pct"/>
            <w:vMerge w:val="restart"/>
            <w:shd w:val="clear" w:color="auto" w:fill="FFFFFF"/>
          </w:tcPr>
          <w:p w14:paraId="5D120450" w14:textId="77777777" w:rsidR="00BC1D4B" w:rsidRDefault="00ED1F84">
            <w:pPr>
              <w:spacing w:after="0"/>
              <w:contextualSpacing/>
              <w:jc w:val="both"/>
              <w:rPr>
                <w:rFonts w:ascii="Verdana" w:hAnsi="Verdana"/>
                <w:b/>
                <w:sz w:val="16"/>
                <w:szCs w:val="16"/>
              </w:rPr>
            </w:pPr>
            <w:r>
              <w:rPr>
                <w:rFonts w:ascii="Verdana" w:hAnsi="Verdana"/>
                <w:b/>
                <w:sz w:val="16"/>
                <w:szCs w:val="16"/>
              </w:rPr>
              <w:t>AR</w:t>
            </w:r>
          </w:p>
        </w:tc>
        <w:tc>
          <w:tcPr>
            <w:tcW w:w="782" w:type="pct"/>
            <w:vMerge w:val="restart"/>
            <w:shd w:val="clear" w:color="auto" w:fill="FFFFFF"/>
          </w:tcPr>
          <w:p w14:paraId="173C528C" w14:textId="77777777" w:rsidR="00BC1D4B" w:rsidRDefault="00ED1F84">
            <w:pPr>
              <w:spacing w:after="0"/>
              <w:contextualSpacing/>
              <w:jc w:val="both"/>
              <w:rPr>
                <w:rFonts w:ascii="Verdana" w:hAnsi="Verdana"/>
                <w:sz w:val="16"/>
                <w:szCs w:val="16"/>
              </w:rPr>
            </w:pPr>
            <w:r>
              <w:rPr>
                <w:rFonts w:ascii="Verdana" w:hAnsi="Verdana"/>
                <w:sz w:val="16"/>
                <w:szCs w:val="16"/>
              </w:rPr>
              <w:t>Agonist activity</w:t>
            </w:r>
          </w:p>
        </w:tc>
        <w:tc>
          <w:tcPr>
            <w:tcW w:w="2562" w:type="pct"/>
            <w:shd w:val="clear" w:color="auto" w:fill="FFFFFF"/>
          </w:tcPr>
          <w:p w14:paraId="00378467"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ACEA_AR_agonist_80hr</w:t>
            </w:r>
          </w:p>
        </w:tc>
        <w:tc>
          <w:tcPr>
            <w:tcW w:w="990" w:type="pct"/>
            <w:shd w:val="clear" w:color="auto" w:fill="FFFFFF"/>
          </w:tcPr>
          <w:p w14:paraId="6CDF1817"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1B1CDDEE" w14:textId="77777777">
        <w:trPr>
          <w:trHeight w:val="142"/>
          <w:jc w:val="center"/>
        </w:trPr>
        <w:tc>
          <w:tcPr>
            <w:tcW w:w="666" w:type="pct"/>
            <w:vMerge/>
            <w:shd w:val="clear" w:color="auto" w:fill="FFFFFF"/>
          </w:tcPr>
          <w:p w14:paraId="7726444F"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1217807D" w14:textId="77777777" w:rsidR="00BC1D4B" w:rsidRDefault="00BC1D4B">
            <w:pPr>
              <w:spacing w:after="0"/>
              <w:contextualSpacing/>
              <w:jc w:val="both"/>
              <w:rPr>
                <w:rFonts w:ascii="Verdana" w:hAnsi="Verdana"/>
                <w:sz w:val="16"/>
                <w:szCs w:val="16"/>
              </w:rPr>
            </w:pPr>
          </w:p>
        </w:tc>
        <w:tc>
          <w:tcPr>
            <w:tcW w:w="2562" w:type="pct"/>
            <w:shd w:val="clear" w:color="auto" w:fill="FFFFFF"/>
          </w:tcPr>
          <w:p w14:paraId="2AA90391"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UPITT_HCI_U2OS_AR_TIF2_Nucleoli_Agonist</w:t>
            </w:r>
          </w:p>
        </w:tc>
        <w:tc>
          <w:tcPr>
            <w:tcW w:w="990" w:type="pct"/>
            <w:shd w:val="clear" w:color="auto" w:fill="FFFFFF"/>
          </w:tcPr>
          <w:p w14:paraId="30FAA872"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34EA41E1" w14:textId="77777777">
        <w:trPr>
          <w:trHeight w:val="142"/>
          <w:jc w:val="center"/>
        </w:trPr>
        <w:tc>
          <w:tcPr>
            <w:tcW w:w="666" w:type="pct"/>
            <w:vMerge/>
            <w:shd w:val="clear" w:color="auto" w:fill="FFFFFF"/>
          </w:tcPr>
          <w:p w14:paraId="3D7AB5FF"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27A4DCDE" w14:textId="77777777" w:rsidR="00BC1D4B" w:rsidRDefault="00BC1D4B">
            <w:pPr>
              <w:spacing w:after="0"/>
              <w:contextualSpacing/>
              <w:jc w:val="both"/>
              <w:rPr>
                <w:rFonts w:ascii="Verdana" w:hAnsi="Verdana"/>
                <w:sz w:val="16"/>
                <w:szCs w:val="16"/>
              </w:rPr>
            </w:pPr>
          </w:p>
        </w:tc>
        <w:tc>
          <w:tcPr>
            <w:tcW w:w="2562" w:type="pct"/>
            <w:shd w:val="clear" w:color="auto" w:fill="FFFFFF"/>
          </w:tcPr>
          <w:p w14:paraId="7AB9F355"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TOX21_AR_BLA_Agonist_ratio</w:t>
            </w:r>
          </w:p>
        </w:tc>
        <w:tc>
          <w:tcPr>
            <w:tcW w:w="990" w:type="pct"/>
            <w:shd w:val="clear" w:color="auto" w:fill="FFFFFF"/>
          </w:tcPr>
          <w:p w14:paraId="4AB8F70B"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466A2654" w14:textId="77777777">
        <w:trPr>
          <w:trHeight w:val="142"/>
          <w:jc w:val="center"/>
        </w:trPr>
        <w:tc>
          <w:tcPr>
            <w:tcW w:w="666" w:type="pct"/>
            <w:vMerge/>
            <w:shd w:val="clear" w:color="auto" w:fill="FFFFFF"/>
          </w:tcPr>
          <w:p w14:paraId="19EE2943"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60B19E9E" w14:textId="77777777" w:rsidR="00BC1D4B" w:rsidRDefault="00BC1D4B">
            <w:pPr>
              <w:spacing w:after="0"/>
              <w:contextualSpacing/>
              <w:jc w:val="both"/>
              <w:rPr>
                <w:rFonts w:ascii="Verdana" w:hAnsi="Verdana"/>
                <w:sz w:val="16"/>
                <w:szCs w:val="16"/>
              </w:rPr>
            </w:pPr>
          </w:p>
        </w:tc>
        <w:tc>
          <w:tcPr>
            <w:tcW w:w="2562" w:type="pct"/>
            <w:shd w:val="clear" w:color="auto" w:fill="FFFFFF"/>
          </w:tcPr>
          <w:p w14:paraId="191F04D8"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TOX21_AR_LUC_MDAKB2_Agonist</w:t>
            </w:r>
          </w:p>
        </w:tc>
        <w:tc>
          <w:tcPr>
            <w:tcW w:w="990" w:type="pct"/>
            <w:shd w:val="clear" w:color="auto" w:fill="FFFFFF"/>
          </w:tcPr>
          <w:p w14:paraId="56098618"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110610F9" w14:textId="77777777">
        <w:trPr>
          <w:trHeight w:val="142"/>
          <w:jc w:val="center"/>
        </w:trPr>
        <w:tc>
          <w:tcPr>
            <w:tcW w:w="666" w:type="pct"/>
            <w:vMerge/>
            <w:shd w:val="clear" w:color="auto" w:fill="FFFFFF"/>
          </w:tcPr>
          <w:p w14:paraId="714D35A9"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3A1089BC" w14:textId="77777777" w:rsidR="00BC1D4B" w:rsidRDefault="00BC1D4B">
            <w:pPr>
              <w:spacing w:after="0"/>
              <w:contextualSpacing/>
              <w:jc w:val="both"/>
              <w:rPr>
                <w:rFonts w:ascii="Verdana" w:hAnsi="Verdana"/>
                <w:sz w:val="16"/>
                <w:szCs w:val="16"/>
              </w:rPr>
            </w:pPr>
          </w:p>
        </w:tc>
        <w:tc>
          <w:tcPr>
            <w:tcW w:w="2562" w:type="pct"/>
            <w:shd w:val="clear" w:color="auto" w:fill="FFFFFF"/>
          </w:tcPr>
          <w:p w14:paraId="2780B628"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TOX21_AR_LUC_MDAKB2_Agonist_3uM_Nilutamide</w:t>
            </w:r>
          </w:p>
        </w:tc>
        <w:tc>
          <w:tcPr>
            <w:tcW w:w="990" w:type="pct"/>
            <w:shd w:val="clear" w:color="auto" w:fill="FFFFFF"/>
          </w:tcPr>
          <w:p w14:paraId="0FD8F39A"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698B81CE" w14:textId="77777777">
        <w:trPr>
          <w:trHeight w:val="142"/>
          <w:jc w:val="center"/>
        </w:trPr>
        <w:tc>
          <w:tcPr>
            <w:tcW w:w="666" w:type="pct"/>
            <w:vMerge/>
            <w:shd w:val="clear" w:color="auto" w:fill="FFFFFF"/>
          </w:tcPr>
          <w:p w14:paraId="30C5D283"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3029ABF4" w14:textId="77777777" w:rsidR="00BC1D4B" w:rsidRDefault="00BC1D4B">
            <w:pPr>
              <w:spacing w:after="0"/>
              <w:contextualSpacing/>
              <w:jc w:val="both"/>
              <w:rPr>
                <w:rFonts w:ascii="Verdana" w:hAnsi="Verdana"/>
                <w:sz w:val="16"/>
                <w:szCs w:val="16"/>
              </w:rPr>
            </w:pPr>
          </w:p>
        </w:tc>
        <w:tc>
          <w:tcPr>
            <w:tcW w:w="2562" w:type="pct"/>
            <w:shd w:val="clear" w:color="auto" w:fill="FFFFFF"/>
          </w:tcPr>
          <w:p w14:paraId="49B68A9A"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OT_AR_ARELUC_AG_1440</w:t>
            </w:r>
          </w:p>
        </w:tc>
        <w:tc>
          <w:tcPr>
            <w:tcW w:w="990" w:type="pct"/>
            <w:shd w:val="clear" w:color="auto" w:fill="FFFFFF"/>
          </w:tcPr>
          <w:p w14:paraId="7AF0236A"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10C18B58" w14:textId="77777777">
        <w:trPr>
          <w:trHeight w:val="142"/>
          <w:jc w:val="center"/>
        </w:trPr>
        <w:tc>
          <w:tcPr>
            <w:tcW w:w="666" w:type="pct"/>
            <w:vMerge/>
            <w:shd w:val="clear" w:color="auto" w:fill="FFFFFF"/>
          </w:tcPr>
          <w:p w14:paraId="27FFB60C"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17F7A7A7" w14:textId="77777777" w:rsidR="00BC1D4B" w:rsidRDefault="00BC1D4B">
            <w:pPr>
              <w:spacing w:after="0"/>
              <w:contextualSpacing/>
              <w:jc w:val="both"/>
              <w:rPr>
                <w:rFonts w:ascii="Verdana" w:hAnsi="Verdana"/>
                <w:sz w:val="16"/>
                <w:szCs w:val="16"/>
              </w:rPr>
            </w:pPr>
          </w:p>
        </w:tc>
        <w:tc>
          <w:tcPr>
            <w:tcW w:w="2562" w:type="pct"/>
            <w:shd w:val="clear" w:color="auto" w:fill="FFFFFF"/>
          </w:tcPr>
          <w:p w14:paraId="12E77B7A"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ATG_AR_TRANS_up</w:t>
            </w:r>
          </w:p>
        </w:tc>
        <w:tc>
          <w:tcPr>
            <w:tcW w:w="990" w:type="pct"/>
            <w:shd w:val="clear" w:color="auto" w:fill="FFFFFF"/>
          </w:tcPr>
          <w:p w14:paraId="5578A793"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1D27996B" w14:textId="77777777" w:rsidTr="002F4101">
        <w:trPr>
          <w:trHeight w:val="194"/>
          <w:jc w:val="center"/>
        </w:trPr>
        <w:tc>
          <w:tcPr>
            <w:tcW w:w="666" w:type="pct"/>
            <w:vMerge/>
            <w:shd w:val="clear" w:color="auto" w:fill="FFFFFF"/>
          </w:tcPr>
          <w:p w14:paraId="6C0B79BF" w14:textId="77777777" w:rsidR="00BC1D4B" w:rsidRDefault="00BC1D4B">
            <w:pPr>
              <w:spacing w:after="0"/>
              <w:contextualSpacing/>
              <w:jc w:val="both"/>
              <w:rPr>
                <w:rFonts w:ascii="Verdana" w:hAnsi="Verdana"/>
                <w:b/>
                <w:sz w:val="16"/>
                <w:szCs w:val="16"/>
              </w:rPr>
            </w:pPr>
          </w:p>
        </w:tc>
        <w:tc>
          <w:tcPr>
            <w:tcW w:w="782" w:type="pct"/>
            <w:vMerge w:val="restart"/>
            <w:shd w:val="clear" w:color="auto" w:fill="FFFFFF"/>
          </w:tcPr>
          <w:p w14:paraId="0F4A78DE" w14:textId="77777777" w:rsidR="00BC1D4B" w:rsidRDefault="00ED1F84">
            <w:pPr>
              <w:spacing w:after="0"/>
              <w:contextualSpacing/>
              <w:jc w:val="both"/>
              <w:rPr>
                <w:rFonts w:ascii="Verdana" w:hAnsi="Verdana"/>
                <w:sz w:val="16"/>
                <w:szCs w:val="16"/>
              </w:rPr>
            </w:pPr>
            <w:r>
              <w:rPr>
                <w:rFonts w:ascii="Verdana" w:hAnsi="Verdana"/>
                <w:sz w:val="16"/>
                <w:szCs w:val="16"/>
              </w:rPr>
              <w:t>Antagonist activity</w:t>
            </w:r>
          </w:p>
        </w:tc>
        <w:tc>
          <w:tcPr>
            <w:tcW w:w="2562" w:type="pct"/>
            <w:shd w:val="clear" w:color="auto" w:fill="FFFFFF"/>
          </w:tcPr>
          <w:p w14:paraId="370BA674"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 xml:space="preserve">ACEA_AR_antagonist_80hr (22Rv1 cell proliferation measured by impedence) </w:t>
            </w:r>
          </w:p>
        </w:tc>
        <w:tc>
          <w:tcPr>
            <w:tcW w:w="990" w:type="pct"/>
            <w:shd w:val="clear" w:color="auto" w:fill="FFFFFF"/>
          </w:tcPr>
          <w:p w14:paraId="54FD86C2"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 xml:space="preserve">LogAC50 = 1 </w:t>
            </w:r>
          </w:p>
        </w:tc>
      </w:tr>
      <w:tr w:rsidR="00BC1D4B" w14:paraId="7F9C421D" w14:textId="77777777">
        <w:trPr>
          <w:trHeight w:val="142"/>
          <w:jc w:val="center"/>
        </w:trPr>
        <w:tc>
          <w:tcPr>
            <w:tcW w:w="666" w:type="pct"/>
            <w:vMerge/>
            <w:shd w:val="clear" w:color="auto" w:fill="FFFFFF"/>
          </w:tcPr>
          <w:p w14:paraId="133568A7"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02FC8CCA" w14:textId="77777777" w:rsidR="00BC1D4B" w:rsidRDefault="00BC1D4B">
            <w:pPr>
              <w:spacing w:after="0"/>
              <w:contextualSpacing/>
              <w:jc w:val="both"/>
              <w:rPr>
                <w:rFonts w:ascii="Verdana" w:hAnsi="Verdana"/>
                <w:sz w:val="16"/>
                <w:szCs w:val="16"/>
              </w:rPr>
            </w:pPr>
          </w:p>
        </w:tc>
        <w:tc>
          <w:tcPr>
            <w:tcW w:w="2562" w:type="pct"/>
            <w:shd w:val="clear" w:color="auto" w:fill="FFFFFF"/>
          </w:tcPr>
          <w:p w14:paraId="2DB1C4C0"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TOX21_AR_LUC_MDAKB2_Antagonist_0.5nM_R1881</w:t>
            </w:r>
          </w:p>
        </w:tc>
        <w:tc>
          <w:tcPr>
            <w:tcW w:w="990" w:type="pct"/>
            <w:shd w:val="clear" w:color="auto" w:fill="FFFFFF"/>
          </w:tcPr>
          <w:p w14:paraId="17D5C967"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LogAC50 = 0.89</w:t>
            </w:r>
          </w:p>
        </w:tc>
      </w:tr>
      <w:tr w:rsidR="00BC1D4B" w14:paraId="6CAE8956" w14:textId="77777777">
        <w:trPr>
          <w:trHeight w:val="142"/>
          <w:jc w:val="center"/>
        </w:trPr>
        <w:tc>
          <w:tcPr>
            <w:tcW w:w="666" w:type="pct"/>
            <w:vMerge/>
            <w:shd w:val="clear" w:color="auto" w:fill="FFFFFF"/>
          </w:tcPr>
          <w:p w14:paraId="28A1609A"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5203B668" w14:textId="77777777" w:rsidR="00BC1D4B" w:rsidRDefault="00BC1D4B">
            <w:pPr>
              <w:spacing w:after="0"/>
              <w:contextualSpacing/>
              <w:jc w:val="both"/>
              <w:rPr>
                <w:rFonts w:ascii="Verdana" w:hAnsi="Verdana"/>
                <w:sz w:val="16"/>
                <w:szCs w:val="16"/>
              </w:rPr>
            </w:pPr>
          </w:p>
        </w:tc>
        <w:tc>
          <w:tcPr>
            <w:tcW w:w="2562" w:type="pct"/>
            <w:shd w:val="clear" w:color="auto" w:fill="FFFFFF"/>
          </w:tcPr>
          <w:p w14:paraId="7379920A"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TOX21_AR_LUC_MDAKB2_Antagonist_10nM_R1881</w:t>
            </w:r>
          </w:p>
        </w:tc>
        <w:tc>
          <w:tcPr>
            <w:tcW w:w="990" w:type="pct"/>
            <w:shd w:val="clear" w:color="auto" w:fill="FFFFFF"/>
          </w:tcPr>
          <w:p w14:paraId="19E476CE"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LogAC50 = 0.52</w:t>
            </w:r>
          </w:p>
        </w:tc>
      </w:tr>
      <w:tr w:rsidR="00BC1D4B" w14:paraId="1F6663B6" w14:textId="77777777">
        <w:trPr>
          <w:trHeight w:val="142"/>
          <w:jc w:val="center"/>
        </w:trPr>
        <w:tc>
          <w:tcPr>
            <w:tcW w:w="666" w:type="pct"/>
            <w:vMerge/>
            <w:shd w:val="clear" w:color="auto" w:fill="FFFFFF"/>
          </w:tcPr>
          <w:p w14:paraId="7ED79389"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2F43F32B" w14:textId="77777777" w:rsidR="00BC1D4B" w:rsidRDefault="00BC1D4B">
            <w:pPr>
              <w:spacing w:after="0"/>
              <w:contextualSpacing/>
              <w:jc w:val="both"/>
              <w:rPr>
                <w:rFonts w:ascii="Verdana" w:hAnsi="Verdana"/>
                <w:sz w:val="16"/>
                <w:szCs w:val="16"/>
              </w:rPr>
            </w:pPr>
          </w:p>
        </w:tc>
        <w:tc>
          <w:tcPr>
            <w:tcW w:w="2562" w:type="pct"/>
            <w:shd w:val="clear" w:color="auto" w:fill="FFFFFF"/>
          </w:tcPr>
          <w:p w14:paraId="5CD490F6"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 xml:space="preserve">TOX21_AR_BLA_Antagonist_ratio </w:t>
            </w:r>
          </w:p>
        </w:tc>
        <w:tc>
          <w:tcPr>
            <w:tcW w:w="990" w:type="pct"/>
            <w:shd w:val="clear" w:color="auto" w:fill="FFFFFF"/>
          </w:tcPr>
          <w:p w14:paraId="61CA0D20"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5459189F" w14:textId="77777777">
        <w:trPr>
          <w:trHeight w:val="142"/>
          <w:jc w:val="center"/>
        </w:trPr>
        <w:tc>
          <w:tcPr>
            <w:tcW w:w="666" w:type="pct"/>
            <w:vMerge/>
            <w:shd w:val="clear" w:color="auto" w:fill="FFFFFF"/>
          </w:tcPr>
          <w:p w14:paraId="360C03DA"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05FC87A8" w14:textId="77777777" w:rsidR="00BC1D4B" w:rsidRDefault="00BC1D4B">
            <w:pPr>
              <w:spacing w:after="0"/>
              <w:contextualSpacing/>
              <w:jc w:val="both"/>
              <w:rPr>
                <w:rFonts w:ascii="Verdana" w:hAnsi="Verdana"/>
                <w:sz w:val="16"/>
                <w:szCs w:val="16"/>
              </w:rPr>
            </w:pPr>
          </w:p>
        </w:tc>
        <w:tc>
          <w:tcPr>
            <w:tcW w:w="2562" w:type="pct"/>
            <w:shd w:val="clear" w:color="auto" w:fill="FFFFFF"/>
          </w:tcPr>
          <w:p w14:paraId="43ECFA1E"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UPITT_HCI_U2OS_AR_TIF2_Nucleoli_Antagonist</w:t>
            </w:r>
          </w:p>
        </w:tc>
        <w:tc>
          <w:tcPr>
            <w:tcW w:w="990" w:type="pct"/>
            <w:shd w:val="clear" w:color="auto" w:fill="FFFFFF"/>
          </w:tcPr>
          <w:p w14:paraId="754432AD"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258A2902" w14:textId="77777777">
        <w:trPr>
          <w:trHeight w:val="142"/>
          <w:jc w:val="center"/>
        </w:trPr>
        <w:tc>
          <w:tcPr>
            <w:tcW w:w="666" w:type="pct"/>
            <w:vMerge/>
            <w:shd w:val="clear" w:color="auto" w:fill="FFFFFF"/>
          </w:tcPr>
          <w:p w14:paraId="79127CAD"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5545EEC9" w14:textId="77777777" w:rsidR="00BC1D4B" w:rsidRDefault="00BC1D4B">
            <w:pPr>
              <w:spacing w:after="0"/>
              <w:contextualSpacing/>
              <w:jc w:val="both"/>
              <w:rPr>
                <w:rFonts w:ascii="Verdana" w:hAnsi="Verdana"/>
                <w:sz w:val="16"/>
                <w:szCs w:val="16"/>
              </w:rPr>
            </w:pPr>
          </w:p>
        </w:tc>
        <w:tc>
          <w:tcPr>
            <w:tcW w:w="2562" w:type="pct"/>
            <w:shd w:val="clear" w:color="auto" w:fill="FFFFFF"/>
          </w:tcPr>
          <w:p w14:paraId="76E66B42"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ATG_AR_TRANS_dn</w:t>
            </w:r>
          </w:p>
        </w:tc>
        <w:tc>
          <w:tcPr>
            <w:tcW w:w="990" w:type="pct"/>
            <w:shd w:val="clear" w:color="auto" w:fill="FFFFFF"/>
          </w:tcPr>
          <w:p w14:paraId="00ADC5CE"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504E8F07" w14:textId="77777777" w:rsidTr="002F4101">
        <w:trPr>
          <w:trHeight w:val="194"/>
          <w:jc w:val="center"/>
        </w:trPr>
        <w:tc>
          <w:tcPr>
            <w:tcW w:w="666" w:type="pct"/>
            <w:vMerge/>
            <w:shd w:val="clear" w:color="auto" w:fill="FFFFFF"/>
          </w:tcPr>
          <w:p w14:paraId="4053FBE8" w14:textId="77777777" w:rsidR="00BC1D4B" w:rsidRDefault="00BC1D4B">
            <w:pPr>
              <w:spacing w:after="0"/>
              <w:contextualSpacing/>
              <w:jc w:val="both"/>
              <w:rPr>
                <w:rFonts w:ascii="Verdana" w:hAnsi="Verdana"/>
                <w:b/>
                <w:sz w:val="16"/>
                <w:szCs w:val="16"/>
              </w:rPr>
            </w:pPr>
          </w:p>
        </w:tc>
        <w:tc>
          <w:tcPr>
            <w:tcW w:w="782" w:type="pct"/>
            <w:vMerge w:val="restart"/>
            <w:shd w:val="clear" w:color="auto" w:fill="FFFFFF"/>
          </w:tcPr>
          <w:p w14:paraId="70F3D1E0" w14:textId="77777777" w:rsidR="00BC1D4B" w:rsidRDefault="00ED1F84">
            <w:pPr>
              <w:spacing w:after="0"/>
              <w:contextualSpacing/>
              <w:jc w:val="both"/>
              <w:rPr>
                <w:rFonts w:ascii="Verdana" w:hAnsi="Verdana"/>
                <w:sz w:val="16"/>
                <w:szCs w:val="16"/>
              </w:rPr>
            </w:pPr>
            <w:r>
              <w:rPr>
                <w:rFonts w:ascii="Verdana" w:hAnsi="Verdana"/>
                <w:sz w:val="16"/>
                <w:szCs w:val="16"/>
              </w:rPr>
              <w:t>Binding</w:t>
            </w:r>
          </w:p>
        </w:tc>
        <w:tc>
          <w:tcPr>
            <w:tcW w:w="2562" w:type="pct"/>
            <w:shd w:val="clear" w:color="auto" w:fill="FFFFFF"/>
          </w:tcPr>
          <w:p w14:paraId="54C777C2"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OT_AR_ARSRC1_0960</w:t>
            </w:r>
          </w:p>
        </w:tc>
        <w:tc>
          <w:tcPr>
            <w:tcW w:w="990" w:type="pct"/>
            <w:shd w:val="clear" w:color="auto" w:fill="FFFFFF"/>
          </w:tcPr>
          <w:p w14:paraId="034A3136"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LogAC50 = 1.36</w:t>
            </w:r>
          </w:p>
        </w:tc>
      </w:tr>
      <w:tr w:rsidR="00BC1D4B" w14:paraId="10955BB0" w14:textId="77777777">
        <w:trPr>
          <w:jc w:val="center"/>
        </w:trPr>
        <w:tc>
          <w:tcPr>
            <w:tcW w:w="666" w:type="pct"/>
            <w:vMerge/>
            <w:shd w:val="clear" w:color="auto" w:fill="FFFFFF"/>
          </w:tcPr>
          <w:p w14:paraId="70D1D20A"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3C73B9F3" w14:textId="77777777" w:rsidR="00BC1D4B" w:rsidRDefault="00BC1D4B">
            <w:pPr>
              <w:spacing w:after="0"/>
              <w:contextualSpacing/>
              <w:jc w:val="both"/>
              <w:rPr>
                <w:rFonts w:ascii="Verdana" w:hAnsi="Verdana"/>
                <w:sz w:val="16"/>
                <w:szCs w:val="16"/>
              </w:rPr>
            </w:pPr>
          </w:p>
        </w:tc>
        <w:tc>
          <w:tcPr>
            <w:tcW w:w="2562" w:type="pct"/>
            <w:shd w:val="clear" w:color="auto" w:fill="FFFFFF"/>
          </w:tcPr>
          <w:p w14:paraId="3EB183E8"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 xml:space="preserve">OT_AR_ARSRC1_0480 </w:t>
            </w:r>
          </w:p>
        </w:tc>
        <w:tc>
          <w:tcPr>
            <w:tcW w:w="990" w:type="pct"/>
            <w:shd w:val="clear" w:color="auto" w:fill="FFFFFF"/>
          </w:tcPr>
          <w:p w14:paraId="3B1E32F3"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58B66389" w14:textId="77777777" w:rsidTr="002F4101">
        <w:trPr>
          <w:trHeight w:val="194"/>
          <w:jc w:val="center"/>
        </w:trPr>
        <w:tc>
          <w:tcPr>
            <w:tcW w:w="666" w:type="pct"/>
            <w:vMerge/>
            <w:shd w:val="clear" w:color="auto" w:fill="FFFFFF"/>
          </w:tcPr>
          <w:p w14:paraId="4CEB2662" w14:textId="77777777" w:rsidR="00BC1D4B" w:rsidRDefault="00BC1D4B">
            <w:pPr>
              <w:spacing w:after="0"/>
              <w:contextualSpacing/>
              <w:jc w:val="both"/>
              <w:rPr>
                <w:rFonts w:ascii="Verdana" w:hAnsi="Verdana"/>
                <w:b/>
                <w:sz w:val="16"/>
                <w:szCs w:val="16"/>
              </w:rPr>
            </w:pPr>
          </w:p>
        </w:tc>
        <w:tc>
          <w:tcPr>
            <w:tcW w:w="782" w:type="pct"/>
            <w:vMerge w:val="restart"/>
            <w:shd w:val="clear" w:color="auto" w:fill="FFFFFF"/>
          </w:tcPr>
          <w:p w14:paraId="742C6753" w14:textId="77777777" w:rsidR="00BC1D4B" w:rsidRDefault="00ED1F84">
            <w:pPr>
              <w:spacing w:after="0"/>
              <w:contextualSpacing/>
              <w:jc w:val="both"/>
              <w:rPr>
                <w:rFonts w:ascii="Verdana" w:hAnsi="Verdana"/>
                <w:sz w:val="16"/>
                <w:szCs w:val="16"/>
              </w:rPr>
            </w:pPr>
            <w:r>
              <w:rPr>
                <w:rFonts w:ascii="Verdana" w:hAnsi="Verdana"/>
                <w:sz w:val="16"/>
                <w:szCs w:val="16"/>
              </w:rPr>
              <w:t>Viability</w:t>
            </w:r>
          </w:p>
        </w:tc>
        <w:tc>
          <w:tcPr>
            <w:tcW w:w="2562" w:type="pct"/>
            <w:shd w:val="clear" w:color="auto" w:fill="FFFFFF"/>
          </w:tcPr>
          <w:p w14:paraId="6684C04E"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ACEA_AR_antagonist_AUC_viability</w:t>
            </w:r>
          </w:p>
        </w:tc>
        <w:tc>
          <w:tcPr>
            <w:tcW w:w="990" w:type="pct"/>
            <w:shd w:val="clear" w:color="auto" w:fill="FFFFFF"/>
          </w:tcPr>
          <w:p w14:paraId="0DD25292"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LogAC50 = 1.04</w:t>
            </w:r>
          </w:p>
        </w:tc>
      </w:tr>
      <w:tr w:rsidR="00BC1D4B" w14:paraId="2015E817" w14:textId="77777777">
        <w:trPr>
          <w:trHeight w:val="142"/>
          <w:jc w:val="center"/>
        </w:trPr>
        <w:tc>
          <w:tcPr>
            <w:tcW w:w="666" w:type="pct"/>
            <w:vMerge/>
            <w:shd w:val="clear" w:color="auto" w:fill="FFFFFF"/>
          </w:tcPr>
          <w:p w14:paraId="681556F5"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15B5ED31" w14:textId="77777777" w:rsidR="00BC1D4B" w:rsidRDefault="00BC1D4B">
            <w:pPr>
              <w:spacing w:after="0"/>
              <w:contextualSpacing/>
              <w:jc w:val="both"/>
              <w:rPr>
                <w:rFonts w:ascii="Verdana" w:hAnsi="Verdana"/>
                <w:sz w:val="16"/>
                <w:szCs w:val="16"/>
              </w:rPr>
            </w:pPr>
          </w:p>
        </w:tc>
        <w:tc>
          <w:tcPr>
            <w:tcW w:w="2562" w:type="pct"/>
            <w:shd w:val="clear" w:color="auto" w:fill="FFFFFF"/>
          </w:tcPr>
          <w:p w14:paraId="7F5931C3"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TOX21_AR_BLA_Antagonist_viability</w:t>
            </w:r>
          </w:p>
        </w:tc>
        <w:tc>
          <w:tcPr>
            <w:tcW w:w="990" w:type="pct"/>
            <w:shd w:val="clear" w:color="auto" w:fill="FFFFFF"/>
          </w:tcPr>
          <w:p w14:paraId="1BD6F230"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28C42C34" w14:textId="77777777">
        <w:trPr>
          <w:trHeight w:val="142"/>
          <w:jc w:val="center"/>
        </w:trPr>
        <w:tc>
          <w:tcPr>
            <w:tcW w:w="666" w:type="pct"/>
            <w:vMerge/>
            <w:shd w:val="clear" w:color="auto" w:fill="FFFFFF"/>
          </w:tcPr>
          <w:p w14:paraId="03758D3B"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4FB7BFDD" w14:textId="77777777" w:rsidR="00BC1D4B" w:rsidRDefault="00BC1D4B">
            <w:pPr>
              <w:spacing w:after="0"/>
              <w:contextualSpacing/>
              <w:jc w:val="both"/>
              <w:rPr>
                <w:rFonts w:ascii="Verdana" w:hAnsi="Verdana"/>
                <w:sz w:val="16"/>
                <w:szCs w:val="16"/>
              </w:rPr>
            </w:pPr>
          </w:p>
        </w:tc>
        <w:tc>
          <w:tcPr>
            <w:tcW w:w="2562" w:type="pct"/>
            <w:shd w:val="clear" w:color="auto" w:fill="FFFFFF"/>
          </w:tcPr>
          <w:p w14:paraId="57485A4D" w14:textId="77777777" w:rsidR="00BC1D4B" w:rsidRDefault="00ED1F84">
            <w:pPr>
              <w:spacing w:after="0"/>
              <w:contextualSpacing/>
              <w:rPr>
                <w:rFonts w:ascii="Verdana" w:hAnsi="Verdana"/>
                <w:sz w:val="16"/>
                <w:szCs w:val="16"/>
              </w:rPr>
            </w:pPr>
            <w:r>
              <w:rPr>
                <w:rFonts w:ascii="Verdana" w:eastAsia="Calibri" w:hAnsi="Verdana"/>
                <w:sz w:val="16"/>
                <w:szCs w:val="16"/>
                <w:lang w:val="en-US"/>
              </w:rPr>
              <w:t xml:space="preserve">TOX21_AR_LUC_MDAKB2_Antagonist_0.5nM_R1881_viability </w:t>
            </w:r>
          </w:p>
        </w:tc>
        <w:tc>
          <w:tcPr>
            <w:tcW w:w="990" w:type="pct"/>
            <w:shd w:val="clear" w:color="auto" w:fill="FFFFFF"/>
          </w:tcPr>
          <w:p w14:paraId="0DBD0DB9" w14:textId="77777777" w:rsidR="00BC1D4B" w:rsidRDefault="00ED1F84">
            <w:pPr>
              <w:spacing w:after="0"/>
              <w:contextualSpacing/>
              <w:jc w:val="both"/>
              <w:rPr>
                <w:rFonts w:ascii="Verdana" w:hAnsi="Verdana"/>
                <w:sz w:val="16"/>
                <w:szCs w:val="16"/>
              </w:rPr>
            </w:pPr>
            <w:r>
              <w:rPr>
                <w:rFonts w:ascii="Verdana" w:eastAsia="Calibri" w:hAnsi="Verdana"/>
                <w:sz w:val="16"/>
                <w:szCs w:val="16"/>
                <w:lang w:val="en-US"/>
              </w:rPr>
              <w:t>INACTIVE</w:t>
            </w:r>
          </w:p>
        </w:tc>
      </w:tr>
      <w:tr w:rsidR="00BC1D4B" w14:paraId="4D5218E0" w14:textId="77777777">
        <w:trPr>
          <w:trHeight w:val="142"/>
          <w:jc w:val="center"/>
        </w:trPr>
        <w:tc>
          <w:tcPr>
            <w:tcW w:w="666" w:type="pct"/>
            <w:vMerge/>
            <w:shd w:val="clear" w:color="auto" w:fill="FFFFFF"/>
          </w:tcPr>
          <w:p w14:paraId="08E09100"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2A2752C4" w14:textId="77777777" w:rsidR="00BC1D4B" w:rsidRDefault="00BC1D4B">
            <w:pPr>
              <w:spacing w:after="0"/>
              <w:contextualSpacing/>
              <w:jc w:val="both"/>
              <w:rPr>
                <w:rFonts w:ascii="Verdana" w:hAnsi="Verdana"/>
                <w:sz w:val="16"/>
                <w:szCs w:val="16"/>
              </w:rPr>
            </w:pPr>
          </w:p>
        </w:tc>
        <w:tc>
          <w:tcPr>
            <w:tcW w:w="2562" w:type="pct"/>
            <w:shd w:val="clear" w:color="auto" w:fill="FFFFFF"/>
          </w:tcPr>
          <w:p w14:paraId="419EF1A9" w14:textId="77777777" w:rsidR="00BC1D4B" w:rsidRDefault="00ED1F84">
            <w:pPr>
              <w:spacing w:after="0"/>
              <w:contextualSpacing/>
              <w:rPr>
                <w:rFonts w:ascii="Verdana" w:hAnsi="Verdana"/>
                <w:sz w:val="16"/>
                <w:szCs w:val="16"/>
              </w:rPr>
            </w:pPr>
            <w:r>
              <w:rPr>
                <w:rFonts w:ascii="Verdana" w:eastAsia="Calibri" w:hAnsi="Verdana"/>
                <w:sz w:val="16"/>
                <w:szCs w:val="16"/>
                <w:lang w:val="en-US"/>
              </w:rPr>
              <w:t>TOX21_AR_LUC_MDAKB2_Antagonist_10nM_R1881_viability</w:t>
            </w:r>
          </w:p>
        </w:tc>
        <w:tc>
          <w:tcPr>
            <w:tcW w:w="990" w:type="pct"/>
            <w:shd w:val="clear" w:color="auto" w:fill="FFFFFF"/>
          </w:tcPr>
          <w:p w14:paraId="09A9ACAD" w14:textId="77777777" w:rsidR="00BC1D4B" w:rsidRDefault="00ED1F84">
            <w:pPr>
              <w:spacing w:after="0"/>
              <w:contextualSpacing/>
              <w:jc w:val="both"/>
              <w:rPr>
                <w:rFonts w:ascii="Verdana" w:hAnsi="Verdana"/>
                <w:sz w:val="16"/>
                <w:szCs w:val="16"/>
              </w:rPr>
            </w:pPr>
            <w:r>
              <w:rPr>
                <w:rFonts w:ascii="Verdana" w:eastAsia="Calibri" w:hAnsi="Verdana"/>
                <w:sz w:val="16"/>
                <w:szCs w:val="16"/>
                <w:lang w:val="en-US"/>
              </w:rPr>
              <w:t>INACTIVE</w:t>
            </w:r>
          </w:p>
        </w:tc>
      </w:tr>
      <w:tr w:rsidR="00BC1D4B" w14:paraId="10371C27" w14:textId="77777777">
        <w:trPr>
          <w:trHeight w:val="142"/>
          <w:jc w:val="center"/>
        </w:trPr>
        <w:tc>
          <w:tcPr>
            <w:tcW w:w="666" w:type="pct"/>
            <w:vMerge w:val="restart"/>
            <w:shd w:val="clear" w:color="auto" w:fill="FFFFFF"/>
          </w:tcPr>
          <w:p w14:paraId="619133C5" w14:textId="77777777" w:rsidR="00BC1D4B" w:rsidRDefault="00ED1F84">
            <w:pPr>
              <w:spacing w:after="0"/>
              <w:contextualSpacing/>
              <w:jc w:val="both"/>
              <w:rPr>
                <w:rFonts w:ascii="Verdana" w:hAnsi="Verdana"/>
                <w:b/>
                <w:sz w:val="16"/>
                <w:szCs w:val="16"/>
              </w:rPr>
            </w:pPr>
            <w:r>
              <w:rPr>
                <w:rFonts w:ascii="Verdana" w:hAnsi="Verdana"/>
                <w:b/>
                <w:sz w:val="16"/>
                <w:szCs w:val="16"/>
              </w:rPr>
              <w:t xml:space="preserve">Thyroid </w:t>
            </w:r>
          </w:p>
        </w:tc>
        <w:tc>
          <w:tcPr>
            <w:tcW w:w="782" w:type="pct"/>
            <w:vMerge w:val="restart"/>
            <w:shd w:val="clear" w:color="auto" w:fill="FFFFFF"/>
          </w:tcPr>
          <w:p w14:paraId="1A7C0A13" w14:textId="77777777" w:rsidR="00BC1D4B" w:rsidRDefault="00ED1F84">
            <w:pPr>
              <w:spacing w:after="0"/>
              <w:contextualSpacing/>
              <w:jc w:val="both"/>
              <w:rPr>
                <w:rFonts w:ascii="Verdana" w:hAnsi="Verdana"/>
                <w:sz w:val="16"/>
                <w:szCs w:val="16"/>
              </w:rPr>
            </w:pPr>
            <w:r>
              <w:rPr>
                <w:rFonts w:ascii="Verdana" w:hAnsi="Verdana"/>
                <w:sz w:val="16"/>
                <w:szCs w:val="16"/>
              </w:rPr>
              <w:t>Thyroid hormone receptor (ThR)</w:t>
            </w:r>
          </w:p>
        </w:tc>
        <w:tc>
          <w:tcPr>
            <w:tcW w:w="2562" w:type="pct"/>
            <w:shd w:val="clear" w:color="auto" w:fill="FFFFFF"/>
          </w:tcPr>
          <w:p w14:paraId="239B37E5" w14:textId="77777777" w:rsidR="00BC1D4B" w:rsidRDefault="00ED1F84">
            <w:pPr>
              <w:spacing w:after="0"/>
              <w:contextualSpacing/>
              <w:rPr>
                <w:rFonts w:ascii="Verdana" w:hAnsi="Verdana"/>
                <w:sz w:val="16"/>
                <w:szCs w:val="16"/>
              </w:rPr>
            </w:pPr>
            <w:r>
              <w:rPr>
                <w:rFonts w:ascii="Verdana" w:hAnsi="Verdana"/>
                <w:sz w:val="16"/>
                <w:szCs w:val="16"/>
              </w:rPr>
              <w:t>ATG_THRa1_TRANS_dn</w:t>
            </w:r>
          </w:p>
        </w:tc>
        <w:tc>
          <w:tcPr>
            <w:tcW w:w="990" w:type="pct"/>
            <w:shd w:val="clear" w:color="auto" w:fill="FFFFFF"/>
          </w:tcPr>
          <w:p w14:paraId="14BC207D" w14:textId="77777777" w:rsidR="00BC1D4B" w:rsidRDefault="00ED1F84">
            <w:pPr>
              <w:spacing w:after="0"/>
              <w:contextualSpacing/>
              <w:jc w:val="both"/>
              <w:rPr>
                <w:rFonts w:ascii="Verdana" w:hAnsi="Verdana"/>
                <w:sz w:val="16"/>
                <w:szCs w:val="16"/>
              </w:rPr>
            </w:pPr>
            <w:r>
              <w:rPr>
                <w:rFonts w:ascii="Verdana" w:eastAsia="Calibri" w:hAnsi="Verdana"/>
                <w:sz w:val="16"/>
                <w:szCs w:val="16"/>
                <w:lang w:val="en-US"/>
              </w:rPr>
              <w:t>INACTIVE</w:t>
            </w:r>
          </w:p>
        </w:tc>
      </w:tr>
      <w:tr w:rsidR="00BC1D4B" w14:paraId="1F41C13C" w14:textId="77777777">
        <w:trPr>
          <w:jc w:val="center"/>
        </w:trPr>
        <w:tc>
          <w:tcPr>
            <w:tcW w:w="666" w:type="pct"/>
            <w:vMerge/>
            <w:shd w:val="clear" w:color="auto" w:fill="FFFFFF"/>
          </w:tcPr>
          <w:p w14:paraId="2D3FB53F"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00190AC2" w14:textId="77777777" w:rsidR="00BC1D4B" w:rsidRDefault="00BC1D4B">
            <w:pPr>
              <w:spacing w:after="0"/>
              <w:contextualSpacing/>
              <w:jc w:val="both"/>
              <w:rPr>
                <w:rFonts w:ascii="Verdana" w:hAnsi="Verdana"/>
                <w:sz w:val="16"/>
                <w:szCs w:val="16"/>
              </w:rPr>
            </w:pPr>
          </w:p>
        </w:tc>
        <w:tc>
          <w:tcPr>
            <w:tcW w:w="2562" w:type="pct"/>
            <w:shd w:val="clear" w:color="auto" w:fill="FFFFFF"/>
          </w:tcPr>
          <w:p w14:paraId="5BBE51EC" w14:textId="77777777" w:rsidR="00BC1D4B" w:rsidRDefault="00ED1F84">
            <w:pPr>
              <w:spacing w:after="0"/>
              <w:contextualSpacing/>
              <w:rPr>
                <w:rFonts w:ascii="Verdana" w:hAnsi="Verdana"/>
                <w:sz w:val="16"/>
                <w:szCs w:val="16"/>
              </w:rPr>
            </w:pPr>
            <w:r>
              <w:rPr>
                <w:rFonts w:ascii="Verdana" w:hAnsi="Verdana"/>
                <w:sz w:val="16"/>
                <w:szCs w:val="16"/>
              </w:rPr>
              <w:t>ATG_THRa1_TRANS_up</w:t>
            </w:r>
          </w:p>
        </w:tc>
        <w:tc>
          <w:tcPr>
            <w:tcW w:w="990" w:type="pct"/>
            <w:shd w:val="clear" w:color="auto" w:fill="FFFFFF"/>
          </w:tcPr>
          <w:p w14:paraId="2F59B356" w14:textId="77777777" w:rsidR="00BC1D4B" w:rsidRDefault="00ED1F84">
            <w:pPr>
              <w:spacing w:after="0"/>
              <w:contextualSpacing/>
              <w:jc w:val="both"/>
              <w:rPr>
                <w:rFonts w:ascii="Verdana" w:hAnsi="Verdana"/>
                <w:sz w:val="16"/>
                <w:szCs w:val="16"/>
              </w:rPr>
            </w:pPr>
            <w:r>
              <w:rPr>
                <w:rFonts w:ascii="Verdana" w:eastAsia="Calibri" w:hAnsi="Verdana"/>
                <w:sz w:val="16"/>
                <w:szCs w:val="16"/>
                <w:lang w:val="en-US"/>
              </w:rPr>
              <w:t>INACTIVE</w:t>
            </w:r>
          </w:p>
        </w:tc>
      </w:tr>
      <w:tr w:rsidR="00BC1D4B" w14:paraId="7555FA13" w14:textId="77777777">
        <w:trPr>
          <w:jc w:val="center"/>
        </w:trPr>
        <w:tc>
          <w:tcPr>
            <w:tcW w:w="666" w:type="pct"/>
            <w:vMerge/>
            <w:shd w:val="clear" w:color="auto" w:fill="FFFFFF"/>
          </w:tcPr>
          <w:p w14:paraId="389EF037"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44724A84" w14:textId="77777777" w:rsidR="00BC1D4B" w:rsidRDefault="00BC1D4B">
            <w:pPr>
              <w:spacing w:after="0"/>
              <w:contextualSpacing/>
              <w:jc w:val="both"/>
              <w:rPr>
                <w:rFonts w:ascii="Verdana" w:hAnsi="Verdana"/>
                <w:sz w:val="16"/>
                <w:szCs w:val="16"/>
              </w:rPr>
            </w:pPr>
          </w:p>
        </w:tc>
        <w:tc>
          <w:tcPr>
            <w:tcW w:w="2562" w:type="pct"/>
            <w:shd w:val="clear" w:color="auto" w:fill="FFFFFF"/>
          </w:tcPr>
          <w:p w14:paraId="6FA1904D" w14:textId="77777777" w:rsidR="00BC1D4B" w:rsidRDefault="00ED1F84">
            <w:pPr>
              <w:spacing w:after="0"/>
              <w:contextualSpacing/>
              <w:rPr>
                <w:rFonts w:ascii="Verdana" w:hAnsi="Verdana"/>
                <w:sz w:val="16"/>
                <w:szCs w:val="16"/>
              </w:rPr>
            </w:pPr>
            <w:r>
              <w:rPr>
                <w:rFonts w:ascii="Verdana" w:hAnsi="Verdana"/>
                <w:sz w:val="16"/>
                <w:szCs w:val="16"/>
              </w:rPr>
              <w:t>TOX21_TR_LUC_GH3_Agonist</w:t>
            </w:r>
          </w:p>
        </w:tc>
        <w:tc>
          <w:tcPr>
            <w:tcW w:w="990" w:type="pct"/>
            <w:shd w:val="clear" w:color="auto" w:fill="FFFFFF"/>
          </w:tcPr>
          <w:p w14:paraId="2429DED3" w14:textId="77777777" w:rsidR="00BC1D4B" w:rsidRDefault="00ED1F84">
            <w:pPr>
              <w:spacing w:after="0"/>
              <w:contextualSpacing/>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70421D03" w14:textId="77777777">
        <w:trPr>
          <w:jc w:val="center"/>
        </w:trPr>
        <w:tc>
          <w:tcPr>
            <w:tcW w:w="666" w:type="pct"/>
            <w:vMerge/>
            <w:shd w:val="clear" w:color="auto" w:fill="FFFFFF"/>
          </w:tcPr>
          <w:p w14:paraId="7E67984B"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674A7CF0" w14:textId="77777777" w:rsidR="00BC1D4B" w:rsidRDefault="00BC1D4B">
            <w:pPr>
              <w:spacing w:after="0"/>
              <w:contextualSpacing/>
              <w:jc w:val="both"/>
              <w:rPr>
                <w:rFonts w:ascii="Verdana" w:hAnsi="Verdana"/>
                <w:sz w:val="16"/>
                <w:szCs w:val="16"/>
              </w:rPr>
            </w:pPr>
          </w:p>
        </w:tc>
        <w:tc>
          <w:tcPr>
            <w:tcW w:w="2562" w:type="pct"/>
            <w:shd w:val="clear" w:color="auto" w:fill="FFFFFF"/>
          </w:tcPr>
          <w:p w14:paraId="2FA80198" w14:textId="77777777" w:rsidR="00BC1D4B" w:rsidRDefault="00ED1F84">
            <w:pPr>
              <w:spacing w:after="0"/>
              <w:contextualSpacing/>
              <w:rPr>
                <w:rFonts w:ascii="Verdana" w:hAnsi="Verdana"/>
                <w:sz w:val="16"/>
                <w:szCs w:val="16"/>
              </w:rPr>
            </w:pPr>
            <w:r>
              <w:rPr>
                <w:rFonts w:ascii="Verdana" w:hAnsi="Verdana"/>
                <w:sz w:val="16"/>
                <w:szCs w:val="16"/>
              </w:rPr>
              <w:t>TOX21_TR_LUC_GH3_Antagonist</w:t>
            </w:r>
          </w:p>
        </w:tc>
        <w:tc>
          <w:tcPr>
            <w:tcW w:w="990" w:type="pct"/>
            <w:shd w:val="clear" w:color="auto" w:fill="FFFFFF"/>
          </w:tcPr>
          <w:p w14:paraId="5B51E81A" w14:textId="77777777" w:rsidR="00BC1D4B" w:rsidRDefault="00ED1F84">
            <w:pPr>
              <w:spacing w:after="0"/>
              <w:contextualSpacing/>
              <w:jc w:val="both"/>
              <w:rPr>
                <w:rFonts w:ascii="Verdana" w:eastAsia="Calibri" w:hAnsi="Verdana"/>
                <w:sz w:val="16"/>
                <w:szCs w:val="16"/>
                <w:lang w:val="en-US"/>
              </w:rPr>
            </w:pPr>
            <w:r>
              <w:rPr>
                <w:rFonts w:ascii="Verdana" w:eastAsia="Calibri" w:hAnsi="Verdana"/>
                <w:sz w:val="16"/>
                <w:szCs w:val="16"/>
                <w:lang w:val="en-US"/>
              </w:rPr>
              <w:t>INACTIVE</w:t>
            </w:r>
          </w:p>
        </w:tc>
      </w:tr>
      <w:tr w:rsidR="00BC1D4B" w14:paraId="484C25EB" w14:textId="77777777" w:rsidTr="002F4101">
        <w:trPr>
          <w:trHeight w:val="194"/>
          <w:jc w:val="center"/>
        </w:trPr>
        <w:tc>
          <w:tcPr>
            <w:tcW w:w="666" w:type="pct"/>
            <w:vMerge/>
            <w:shd w:val="clear" w:color="auto" w:fill="FFFFFF"/>
          </w:tcPr>
          <w:p w14:paraId="335FE7B0" w14:textId="77777777" w:rsidR="00BC1D4B" w:rsidRDefault="00BC1D4B">
            <w:pPr>
              <w:spacing w:after="0"/>
              <w:contextualSpacing/>
              <w:jc w:val="both"/>
              <w:rPr>
                <w:rFonts w:ascii="Verdana" w:hAnsi="Verdana"/>
                <w:b/>
                <w:sz w:val="16"/>
                <w:szCs w:val="16"/>
              </w:rPr>
            </w:pPr>
          </w:p>
        </w:tc>
        <w:tc>
          <w:tcPr>
            <w:tcW w:w="782" w:type="pct"/>
            <w:vMerge w:val="restart"/>
            <w:shd w:val="clear" w:color="auto" w:fill="FFFFFF"/>
          </w:tcPr>
          <w:p w14:paraId="01481E7D" w14:textId="77777777" w:rsidR="00BC1D4B" w:rsidRDefault="00ED1F84">
            <w:pPr>
              <w:spacing w:after="0"/>
              <w:contextualSpacing/>
              <w:jc w:val="both"/>
              <w:rPr>
                <w:rFonts w:ascii="Verdana" w:hAnsi="Verdana"/>
                <w:sz w:val="16"/>
                <w:szCs w:val="16"/>
              </w:rPr>
            </w:pPr>
            <w:r>
              <w:rPr>
                <w:rFonts w:ascii="Verdana" w:hAnsi="Verdana"/>
                <w:sz w:val="16"/>
                <w:szCs w:val="16"/>
              </w:rPr>
              <w:t>TSH Receptor (TSHR)</w:t>
            </w:r>
          </w:p>
        </w:tc>
        <w:tc>
          <w:tcPr>
            <w:tcW w:w="2562" w:type="pct"/>
            <w:shd w:val="clear" w:color="auto" w:fill="FFFFFF"/>
          </w:tcPr>
          <w:p w14:paraId="46C642D4" w14:textId="77777777" w:rsidR="00BC1D4B" w:rsidRDefault="00ED1F84">
            <w:pPr>
              <w:spacing w:after="0"/>
              <w:contextualSpacing/>
              <w:rPr>
                <w:rFonts w:ascii="Verdana" w:hAnsi="Verdana"/>
                <w:sz w:val="16"/>
                <w:szCs w:val="16"/>
              </w:rPr>
            </w:pPr>
            <w:r>
              <w:rPr>
                <w:rFonts w:ascii="Verdana" w:hAnsi="Verdana"/>
                <w:sz w:val="16"/>
                <w:szCs w:val="16"/>
              </w:rPr>
              <w:t>TOX21_TSHR_HTRF_Agonist_ratio</w:t>
            </w:r>
          </w:p>
        </w:tc>
        <w:tc>
          <w:tcPr>
            <w:tcW w:w="990" w:type="pct"/>
            <w:shd w:val="clear" w:color="auto" w:fill="FFFFFF"/>
          </w:tcPr>
          <w:p w14:paraId="3EFE994E" w14:textId="77777777" w:rsidR="00BC1D4B" w:rsidRDefault="00ED1F84">
            <w:pPr>
              <w:spacing w:after="0"/>
              <w:contextualSpacing/>
              <w:jc w:val="both"/>
              <w:rPr>
                <w:rFonts w:ascii="Verdana" w:hAnsi="Verdana"/>
                <w:sz w:val="16"/>
                <w:szCs w:val="16"/>
              </w:rPr>
            </w:pPr>
            <w:r>
              <w:rPr>
                <w:rFonts w:ascii="Verdana" w:eastAsia="Calibri" w:hAnsi="Verdana"/>
                <w:sz w:val="16"/>
                <w:szCs w:val="16"/>
                <w:lang w:val="en-US"/>
              </w:rPr>
              <w:t>INACTIVE</w:t>
            </w:r>
          </w:p>
        </w:tc>
      </w:tr>
      <w:tr w:rsidR="00BC1D4B" w14:paraId="4443633F" w14:textId="77777777">
        <w:trPr>
          <w:jc w:val="center"/>
        </w:trPr>
        <w:tc>
          <w:tcPr>
            <w:tcW w:w="666" w:type="pct"/>
            <w:vMerge/>
            <w:shd w:val="clear" w:color="auto" w:fill="FFFFFF"/>
          </w:tcPr>
          <w:p w14:paraId="2C578762"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34F17A5E" w14:textId="77777777" w:rsidR="00BC1D4B" w:rsidRDefault="00BC1D4B">
            <w:pPr>
              <w:spacing w:after="0"/>
              <w:contextualSpacing/>
              <w:jc w:val="both"/>
              <w:rPr>
                <w:rFonts w:ascii="Verdana" w:hAnsi="Verdana"/>
                <w:sz w:val="16"/>
                <w:szCs w:val="16"/>
              </w:rPr>
            </w:pPr>
          </w:p>
        </w:tc>
        <w:tc>
          <w:tcPr>
            <w:tcW w:w="2562" w:type="pct"/>
            <w:shd w:val="clear" w:color="auto" w:fill="FFFFFF"/>
          </w:tcPr>
          <w:p w14:paraId="2EF031BB" w14:textId="77777777" w:rsidR="00BC1D4B" w:rsidRDefault="00ED1F84">
            <w:pPr>
              <w:spacing w:after="0"/>
              <w:contextualSpacing/>
              <w:rPr>
                <w:rFonts w:ascii="Verdana" w:hAnsi="Verdana"/>
                <w:sz w:val="16"/>
                <w:szCs w:val="16"/>
              </w:rPr>
            </w:pPr>
            <w:r>
              <w:rPr>
                <w:rFonts w:ascii="Verdana" w:hAnsi="Verdana"/>
                <w:sz w:val="16"/>
                <w:szCs w:val="16"/>
              </w:rPr>
              <w:t>TOX21_TSHR_HTRF_Antagonist_ratio</w:t>
            </w:r>
          </w:p>
        </w:tc>
        <w:tc>
          <w:tcPr>
            <w:tcW w:w="990" w:type="pct"/>
            <w:shd w:val="clear" w:color="auto" w:fill="FFFFFF"/>
          </w:tcPr>
          <w:p w14:paraId="4FB094A5" w14:textId="77777777" w:rsidR="00BC1D4B" w:rsidRDefault="00ED1F84">
            <w:pPr>
              <w:spacing w:after="0"/>
              <w:contextualSpacing/>
              <w:jc w:val="both"/>
              <w:rPr>
                <w:rFonts w:ascii="Verdana" w:hAnsi="Verdana"/>
                <w:sz w:val="16"/>
                <w:szCs w:val="16"/>
              </w:rPr>
            </w:pPr>
            <w:r>
              <w:rPr>
                <w:rFonts w:ascii="Verdana" w:eastAsia="Calibri" w:hAnsi="Verdana"/>
                <w:sz w:val="16"/>
                <w:szCs w:val="16"/>
                <w:lang w:val="en-US"/>
              </w:rPr>
              <w:t>INACTIVE</w:t>
            </w:r>
          </w:p>
        </w:tc>
      </w:tr>
      <w:tr w:rsidR="00BC1D4B" w14:paraId="3B3BF5CB" w14:textId="77777777">
        <w:trPr>
          <w:jc w:val="center"/>
        </w:trPr>
        <w:tc>
          <w:tcPr>
            <w:tcW w:w="666" w:type="pct"/>
            <w:vMerge/>
            <w:shd w:val="clear" w:color="auto" w:fill="FFFFFF"/>
          </w:tcPr>
          <w:p w14:paraId="6843318A"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74D06A2C" w14:textId="77777777" w:rsidR="00BC1D4B" w:rsidRDefault="00BC1D4B">
            <w:pPr>
              <w:spacing w:after="0"/>
              <w:contextualSpacing/>
              <w:jc w:val="both"/>
              <w:rPr>
                <w:rFonts w:ascii="Verdana" w:hAnsi="Verdana"/>
                <w:sz w:val="16"/>
                <w:szCs w:val="16"/>
              </w:rPr>
            </w:pPr>
          </w:p>
        </w:tc>
        <w:tc>
          <w:tcPr>
            <w:tcW w:w="2562" w:type="pct"/>
            <w:shd w:val="clear" w:color="auto" w:fill="FFFFFF"/>
          </w:tcPr>
          <w:p w14:paraId="7A862187" w14:textId="77777777" w:rsidR="00BC1D4B" w:rsidRDefault="00ED1F84">
            <w:pPr>
              <w:spacing w:after="0"/>
              <w:contextualSpacing/>
              <w:rPr>
                <w:rFonts w:ascii="Verdana" w:hAnsi="Verdana"/>
                <w:sz w:val="16"/>
                <w:szCs w:val="16"/>
              </w:rPr>
            </w:pPr>
            <w:r>
              <w:rPr>
                <w:rFonts w:ascii="Verdana" w:hAnsi="Verdana"/>
                <w:sz w:val="16"/>
                <w:szCs w:val="16"/>
              </w:rPr>
              <w:t>TOX21_TSHR_HTRF_wt_ratio</w:t>
            </w:r>
          </w:p>
        </w:tc>
        <w:tc>
          <w:tcPr>
            <w:tcW w:w="990" w:type="pct"/>
            <w:shd w:val="clear" w:color="auto" w:fill="FFFFFF"/>
          </w:tcPr>
          <w:p w14:paraId="06C12884" w14:textId="77777777" w:rsidR="00BC1D4B" w:rsidRDefault="00ED1F84">
            <w:pPr>
              <w:spacing w:after="0"/>
              <w:contextualSpacing/>
              <w:jc w:val="both"/>
              <w:rPr>
                <w:rFonts w:ascii="Verdana" w:hAnsi="Verdana"/>
                <w:sz w:val="16"/>
                <w:szCs w:val="16"/>
              </w:rPr>
            </w:pPr>
            <w:r>
              <w:rPr>
                <w:rFonts w:ascii="Verdana" w:eastAsia="Calibri" w:hAnsi="Verdana"/>
                <w:sz w:val="16"/>
                <w:szCs w:val="16"/>
                <w:lang w:val="en-US"/>
              </w:rPr>
              <w:t>INACTIVE</w:t>
            </w:r>
          </w:p>
        </w:tc>
      </w:tr>
      <w:tr w:rsidR="00BC1D4B" w14:paraId="1086189D" w14:textId="77777777" w:rsidTr="002F4101">
        <w:trPr>
          <w:trHeight w:val="194"/>
          <w:jc w:val="center"/>
        </w:trPr>
        <w:tc>
          <w:tcPr>
            <w:tcW w:w="666" w:type="pct"/>
            <w:vMerge/>
            <w:shd w:val="clear" w:color="auto" w:fill="FFFFFF"/>
          </w:tcPr>
          <w:p w14:paraId="06513C2D" w14:textId="77777777" w:rsidR="00BC1D4B" w:rsidRDefault="00BC1D4B">
            <w:pPr>
              <w:spacing w:after="0"/>
              <w:contextualSpacing/>
              <w:jc w:val="both"/>
              <w:rPr>
                <w:rFonts w:ascii="Verdana" w:hAnsi="Verdana"/>
                <w:b/>
                <w:sz w:val="16"/>
                <w:szCs w:val="16"/>
              </w:rPr>
            </w:pPr>
          </w:p>
        </w:tc>
        <w:tc>
          <w:tcPr>
            <w:tcW w:w="782" w:type="pct"/>
            <w:vMerge w:val="restart"/>
            <w:shd w:val="clear" w:color="auto" w:fill="FFFFFF"/>
          </w:tcPr>
          <w:p w14:paraId="757E2C23" w14:textId="77777777" w:rsidR="00BC1D4B" w:rsidRDefault="00ED1F84">
            <w:pPr>
              <w:spacing w:after="0"/>
              <w:contextualSpacing/>
              <w:jc w:val="both"/>
              <w:rPr>
                <w:rFonts w:ascii="Verdana" w:hAnsi="Verdana"/>
                <w:sz w:val="16"/>
                <w:szCs w:val="16"/>
              </w:rPr>
            </w:pPr>
            <w:r>
              <w:rPr>
                <w:rFonts w:ascii="Verdana" w:hAnsi="Verdana"/>
                <w:sz w:val="16"/>
                <w:szCs w:val="16"/>
              </w:rPr>
              <w:t>TRH receptor (TRHR)</w:t>
            </w:r>
          </w:p>
        </w:tc>
        <w:tc>
          <w:tcPr>
            <w:tcW w:w="2562" w:type="pct"/>
            <w:shd w:val="clear" w:color="auto" w:fill="FFFFFF"/>
          </w:tcPr>
          <w:p w14:paraId="047037D9" w14:textId="77777777" w:rsidR="00BC1D4B" w:rsidRDefault="00ED1F84">
            <w:pPr>
              <w:spacing w:after="0"/>
              <w:contextualSpacing/>
              <w:jc w:val="both"/>
              <w:rPr>
                <w:rFonts w:ascii="Verdana" w:hAnsi="Verdana"/>
                <w:sz w:val="16"/>
                <w:szCs w:val="16"/>
              </w:rPr>
            </w:pPr>
            <w:r>
              <w:rPr>
                <w:rFonts w:ascii="Verdana" w:hAnsi="Verdana"/>
                <w:sz w:val="16"/>
                <w:szCs w:val="16"/>
              </w:rPr>
              <w:t>TOX21_TRHR_HEK293_Agonist</w:t>
            </w:r>
          </w:p>
        </w:tc>
        <w:tc>
          <w:tcPr>
            <w:tcW w:w="990" w:type="pct"/>
            <w:shd w:val="clear" w:color="auto" w:fill="FFFFFF"/>
          </w:tcPr>
          <w:p w14:paraId="601B407E" w14:textId="77777777" w:rsidR="00BC1D4B" w:rsidRDefault="00ED1F84">
            <w:pPr>
              <w:spacing w:after="0"/>
              <w:contextualSpacing/>
              <w:jc w:val="both"/>
              <w:rPr>
                <w:rFonts w:ascii="Verdana" w:hAnsi="Verdana"/>
                <w:sz w:val="16"/>
                <w:szCs w:val="16"/>
              </w:rPr>
            </w:pPr>
            <w:r>
              <w:rPr>
                <w:rFonts w:ascii="Verdana" w:hAnsi="Verdana"/>
                <w:sz w:val="16"/>
                <w:szCs w:val="16"/>
              </w:rPr>
              <w:t>LogAC50 = 1.03</w:t>
            </w:r>
          </w:p>
        </w:tc>
      </w:tr>
      <w:tr w:rsidR="00BC1D4B" w14:paraId="627A5625" w14:textId="77777777">
        <w:trPr>
          <w:trHeight w:val="70"/>
          <w:jc w:val="center"/>
        </w:trPr>
        <w:tc>
          <w:tcPr>
            <w:tcW w:w="666" w:type="pct"/>
            <w:vMerge/>
            <w:shd w:val="clear" w:color="auto" w:fill="FFFFFF"/>
          </w:tcPr>
          <w:p w14:paraId="036AF5A9"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395F17D5" w14:textId="77777777" w:rsidR="00BC1D4B" w:rsidRDefault="00BC1D4B">
            <w:pPr>
              <w:spacing w:after="0"/>
              <w:contextualSpacing/>
              <w:jc w:val="both"/>
              <w:rPr>
                <w:rFonts w:ascii="Verdana" w:hAnsi="Verdana"/>
                <w:sz w:val="16"/>
                <w:szCs w:val="16"/>
              </w:rPr>
            </w:pPr>
          </w:p>
        </w:tc>
        <w:tc>
          <w:tcPr>
            <w:tcW w:w="2562" w:type="pct"/>
            <w:shd w:val="clear" w:color="auto" w:fill="FFFFFF"/>
          </w:tcPr>
          <w:p w14:paraId="10220C24" w14:textId="77777777" w:rsidR="00BC1D4B" w:rsidRDefault="00ED1F84">
            <w:pPr>
              <w:spacing w:after="0"/>
              <w:contextualSpacing/>
              <w:jc w:val="both"/>
              <w:rPr>
                <w:rFonts w:ascii="Verdana" w:hAnsi="Verdana"/>
                <w:sz w:val="16"/>
                <w:szCs w:val="16"/>
              </w:rPr>
            </w:pPr>
            <w:r>
              <w:rPr>
                <w:rFonts w:ascii="Verdana" w:hAnsi="Verdana"/>
                <w:sz w:val="16"/>
                <w:szCs w:val="16"/>
              </w:rPr>
              <w:t>TOX21_TRHR_HEK293_Antagonist</w:t>
            </w:r>
          </w:p>
        </w:tc>
        <w:tc>
          <w:tcPr>
            <w:tcW w:w="990" w:type="pct"/>
            <w:shd w:val="clear" w:color="auto" w:fill="FFFFFF"/>
          </w:tcPr>
          <w:p w14:paraId="053878AE" w14:textId="77777777" w:rsidR="00BC1D4B" w:rsidRDefault="00ED1F84">
            <w:pPr>
              <w:spacing w:after="0"/>
              <w:contextualSpacing/>
              <w:jc w:val="both"/>
              <w:rPr>
                <w:rFonts w:ascii="Verdana" w:hAnsi="Verdana"/>
                <w:sz w:val="16"/>
                <w:szCs w:val="16"/>
              </w:rPr>
            </w:pPr>
            <w:r>
              <w:rPr>
                <w:rFonts w:ascii="Verdana" w:hAnsi="Verdana"/>
                <w:sz w:val="16"/>
                <w:szCs w:val="16"/>
              </w:rPr>
              <w:t>LogAC50 = 1.29</w:t>
            </w:r>
          </w:p>
        </w:tc>
      </w:tr>
      <w:tr w:rsidR="00BC1D4B" w14:paraId="344AD25A" w14:textId="77777777">
        <w:trPr>
          <w:trHeight w:val="343"/>
          <w:jc w:val="center"/>
        </w:trPr>
        <w:tc>
          <w:tcPr>
            <w:tcW w:w="666" w:type="pct"/>
            <w:vMerge/>
            <w:shd w:val="clear" w:color="auto" w:fill="FFFFFF"/>
          </w:tcPr>
          <w:p w14:paraId="0A47A65B" w14:textId="77777777" w:rsidR="00BC1D4B" w:rsidRDefault="00BC1D4B">
            <w:pPr>
              <w:spacing w:after="0"/>
              <w:contextualSpacing/>
              <w:jc w:val="both"/>
              <w:rPr>
                <w:rFonts w:ascii="Verdana" w:hAnsi="Verdana"/>
                <w:b/>
                <w:sz w:val="16"/>
                <w:szCs w:val="16"/>
              </w:rPr>
            </w:pPr>
          </w:p>
        </w:tc>
        <w:tc>
          <w:tcPr>
            <w:tcW w:w="782" w:type="pct"/>
            <w:vMerge w:val="restart"/>
            <w:shd w:val="clear" w:color="auto" w:fill="FFFFFF"/>
          </w:tcPr>
          <w:p w14:paraId="79C5AD86" w14:textId="77777777" w:rsidR="00BC1D4B" w:rsidRDefault="00ED1F84">
            <w:pPr>
              <w:spacing w:after="0"/>
              <w:contextualSpacing/>
              <w:jc w:val="both"/>
              <w:rPr>
                <w:rFonts w:ascii="Verdana" w:hAnsi="Verdana"/>
                <w:sz w:val="16"/>
                <w:szCs w:val="16"/>
              </w:rPr>
            </w:pPr>
            <w:r>
              <w:rPr>
                <w:rFonts w:ascii="Verdana" w:hAnsi="Verdana"/>
                <w:sz w:val="16"/>
                <w:szCs w:val="16"/>
              </w:rPr>
              <w:t>thyroid hormone responsive (THSRP)</w:t>
            </w:r>
          </w:p>
        </w:tc>
        <w:tc>
          <w:tcPr>
            <w:tcW w:w="2562" w:type="pct"/>
            <w:shd w:val="clear" w:color="auto" w:fill="FFFFFF"/>
          </w:tcPr>
          <w:p w14:paraId="2F9EDDEC" w14:textId="77777777" w:rsidR="00BC1D4B" w:rsidRDefault="00ED1F84">
            <w:pPr>
              <w:spacing w:after="0"/>
              <w:contextualSpacing/>
              <w:jc w:val="both"/>
              <w:rPr>
                <w:rFonts w:ascii="Verdana" w:hAnsi="Verdana"/>
                <w:sz w:val="16"/>
                <w:szCs w:val="16"/>
              </w:rPr>
            </w:pPr>
            <w:r>
              <w:rPr>
                <w:rFonts w:ascii="Verdana" w:hAnsi="Verdana"/>
                <w:sz w:val="16"/>
                <w:szCs w:val="16"/>
              </w:rPr>
              <w:t>LTEA_HepaRG_THSRP_dn</w:t>
            </w:r>
          </w:p>
        </w:tc>
        <w:tc>
          <w:tcPr>
            <w:tcW w:w="990" w:type="pct"/>
            <w:shd w:val="clear" w:color="auto" w:fill="FFFFFF"/>
          </w:tcPr>
          <w:p w14:paraId="7CB48477" w14:textId="77777777" w:rsidR="00BC1D4B" w:rsidRDefault="00ED1F84">
            <w:pPr>
              <w:spacing w:after="0"/>
              <w:contextualSpacing/>
              <w:jc w:val="both"/>
              <w:rPr>
                <w:rFonts w:ascii="Verdana" w:hAnsi="Verdana"/>
                <w:sz w:val="16"/>
                <w:szCs w:val="16"/>
              </w:rPr>
            </w:pPr>
            <w:r>
              <w:rPr>
                <w:rFonts w:ascii="Verdana" w:hAnsi="Verdana"/>
                <w:sz w:val="16"/>
                <w:szCs w:val="16"/>
              </w:rPr>
              <w:t>LogAC50 = 1.24</w:t>
            </w:r>
          </w:p>
        </w:tc>
      </w:tr>
      <w:tr w:rsidR="00BC1D4B" w14:paraId="7FC2BD5E" w14:textId="77777777">
        <w:trPr>
          <w:trHeight w:val="70"/>
          <w:jc w:val="center"/>
        </w:trPr>
        <w:tc>
          <w:tcPr>
            <w:tcW w:w="666" w:type="pct"/>
            <w:vMerge/>
            <w:shd w:val="clear" w:color="auto" w:fill="FFFFFF"/>
          </w:tcPr>
          <w:p w14:paraId="357489C2" w14:textId="77777777" w:rsidR="00BC1D4B" w:rsidRDefault="00BC1D4B">
            <w:pPr>
              <w:spacing w:after="0"/>
              <w:contextualSpacing/>
              <w:jc w:val="both"/>
              <w:rPr>
                <w:rFonts w:ascii="Verdana" w:hAnsi="Verdana"/>
                <w:b/>
                <w:sz w:val="16"/>
                <w:szCs w:val="16"/>
              </w:rPr>
            </w:pPr>
          </w:p>
        </w:tc>
        <w:tc>
          <w:tcPr>
            <w:tcW w:w="782" w:type="pct"/>
            <w:vMerge/>
            <w:shd w:val="clear" w:color="auto" w:fill="FFFFFF"/>
          </w:tcPr>
          <w:p w14:paraId="52D5A0C1" w14:textId="77777777" w:rsidR="00BC1D4B" w:rsidRDefault="00BC1D4B">
            <w:pPr>
              <w:spacing w:after="0"/>
              <w:contextualSpacing/>
              <w:jc w:val="both"/>
              <w:rPr>
                <w:rFonts w:ascii="Verdana" w:hAnsi="Verdana"/>
                <w:sz w:val="16"/>
                <w:szCs w:val="16"/>
              </w:rPr>
            </w:pPr>
          </w:p>
        </w:tc>
        <w:tc>
          <w:tcPr>
            <w:tcW w:w="2562" w:type="pct"/>
            <w:shd w:val="clear" w:color="auto" w:fill="FFFFFF"/>
          </w:tcPr>
          <w:p w14:paraId="6884FEAD" w14:textId="77777777" w:rsidR="00BC1D4B" w:rsidRDefault="00ED1F84">
            <w:pPr>
              <w:spacing w:after="0"/>
              <w:contextualSpacing/>
              <w:jc w:val="both"/>
              <w:rPr>
                <w:rFonts w:ascii="Verdana" w:hAnsi="Verdana"/>
                <w:sz w:val="16"/>
                <w:szCs w:val="16"/>
              </w:rPr>
            </w:pPr>
            <w:r>
              <w:rPr>
                <w:rFonts w:ascii="Verdana" w:hAnsi="Verdana"/>
                <w:sz w:val="16"/>
                <w:szCs w:val="16"/>
              </w:rPr>
              <w:t>LTEA_HepaRG_THSRP_up</w:t>
            </w:r>
          </w:p>
        </w:tc>
        <w:tc>
          <w:tcPr>
            <w:tcW w:w="990" w:type="pct"/>
            <w:shd w:val="clear" w:color="auto" w:fill="FFFFFF"/>
          </w:tcPr>
          <w:p w14:paraId="512B28A2" w14:textId="77777777" w:rsidR="00BC1D4B" w:rsidRDefault="00ED1F84">
            <w:pPr>
              <w:spacing w:after="0"/>
              <w:contextualSpacing/>
              <w:jc w:val="both"/>
              <w:rPr>
                <w:rFonts w:ascii="Verdana" w:eastAsia="Calibri" w:hAnsi="Verdana"/>
                <w:sz w:val="16"/>
                <w:szCs w:val="16"/>
                <w:lang w:val="en-US"/>
              </w:rPr>
            </w:pPr>
            <w:r>
              <w:rPr>
                <w:rFonts w:ascii="Verdana" w:hAnsi="Verdana"/>
                <w:sz w:val="16"/>
                <w:szCs w:val="16"/>
              </w:rPr>
              <w:t>INACTIVE</w:t>
            </w:r>
          </w:p>
        </w:tc>
      </w:tr>
      <w:tr w:rsidR="00BC1D4B" w14:paraId="41C77B1A" w14:textId="77777777">
        <w:trPr>
          <w:trHeight w:val="142"/>
          <w:jc w:val="center"/>
        </w:trPr>
        <w:tc>
          <w:tcPr>
            <w:tcW w:w="666" w:type="pct"/>
            <w:vMerge w:val="restart"/>
            <w:shd w:val="clear" w:color="auto" w:fill="FFFFFF"/>
          </w:tcPr>
          <w:p w14:paraId="6CE7BC47" w14:textId="77777777" w:rsidR="00BC1D4B" w:rsidRDefault="00ED1F84">
            <w:pPr>
              <w:spacing w:after="0"/>
              <w:contextualSpacing/>
              <w:jc w:val="both"/>
              <w:rPr>
                <w:rFonts w:ascii="Verdana" w:hAnsi="Verdana"/>
                <w:b/>
                <w:sz w:val="16"/>
                <w:szCs w:val="16"/>
              </w:rPr>
            </w:pPr>
            <w:r>
              <w:rPr>
                <w:rFonts w:ascii="Verdana" w:hAnsi="Verdana"/>
                <w:b/>
                <w:sz w:val="16"/>
                <w:szCs w:val="16"/>
              </w:rPr>
              <w:t>S</w:t>
            </w:r>
          </w:p>
        </w:tc>
        <w:tc>
          <w:tcPr>
            <w:tcW w:w="782" w:type="pct"/>
            <w:shd w:val="clear" w:color="auto" w:fill="FFFFFF"/>
          </w:tcPr>
          <w:p w14:paraId="112ED6D3" w14:textId="77777777" w:rsidR="00BC1D4B" w:rsidRDefault="00ED1F84">
            <w:pPr>
              <w:spacing w:after="0"/>
              <w:contextualSpacing/>
              <w:jc w:val="both"/>
              <w:rPr>
                <w:rFonts w:ascii="Verdana" w:hAnsi="Verdana"/>
                <w:sz w:val="16"/>
                <w:szCs w:val="16"/>
              </w:rPr>
            </w:pPr>
            <w:r>
              <w:rPr>
                <w:rFonts w:ascii="Verdana" w:hAnsi="Verdana"/>
                <w:sz w:val="16"/>
                <w:szCs w:val="16"/>
              </w:rPr>
              <w:t>Aromatase inhibition</w:t>
            </w:r>
          </w:p>
        </w:tc>
        <w:tc>
          <w:tcPr>
            <w:tcW w:w="2562" w:type="pct"/>
            <w:shd w:val="clear" w:color="auto" w:fill="FFFFFF"/>
          </w:tcPr>
          <w:p w14:paraId="4CF406D6" w14:textId="77777777" w:rsidR="00BC1D4B" w:rsidRDefault="00ED1F84">
            <w:pPr>
              <w:spacing w:after="0"/>
              <w:contextualSpacing/>
              <w:jc w:val="both"/>
              <w:rPr>
                <w:rFonts w:ascii="Verdana" w:hAnsi="Verdana"/>
                <w:sz w:val="16"/>
                <w:szCs w:val="16"/>
              </w:rPr>
            </w:pPr>
            <w:r>
              <w:rPr>
                <w:rFonts w:ascii="Verdana" w:hAnsi="Verdana"/>
                <w:sz w:val="16"/>
                <w:szCs w:val="16"/>
                <w:lang w:val="en-US"/>
              </w:rPr>
              <w:t>TOX21_Aromatase_Inhibition</w:t>
            </w:r>
          </w:p>
        </w:tc>
        <w:tc>
          <w:tcPr>
            <w:tcW w:w="990" w:type="pct"/>
            <w:shd w:val="clear" w:color="auto" w:fill="FFFFFF"/>
          </w:tcPr>
          <w:p w14:paraId="48B723B2"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LogAC50 = 1.45</w:t>
            </w:r>
          </w:p>
          <w:p w14:paraId="34E14958" w14:textId="77777777" w:rsidR="00BC1D4B" w:rsidRDefault="00BC1D4B">
            <w:pPr>
              <w:spacing w:after="0"/>
              <w:contextualSpacing/>
              <w:jc w:val="both"/>
              <w:rPr>
                <w:rFonts w:ascii="Verdana" w:hAnsi="Verdana"/>
                <w:sz w:val="16"/>
                <w:szCs w:val="16"/>
              </w:rPr>
            </w:pPr>
          </w:p>
        </w:tc>
      </w:tr>
      <w:tr w:rsidR="00BC1D4B" w14:paraId="0E9E7240" w14:textId="77777777">
        <w:trPr>
          <w:trHeight w:val="142"/>
          <w:jc w:val="center"/>
        </w:trPr>
        <w:tc>
          <w:tcPr>
            <w:tcW w:w="666" w:type="pct"/>
            <w:vMerge/>
            <w:shd w:val="clear" w:color="auto" w:fill="FFFFFF"/>
          </w:tcPr>
          <w:p w14:paraId="1CCA6EE3" w14:textId="77777777" w:rsidR="00BC1D4B" w:rsidRDefault="00BC1D4B">
            <w:pPr>
              <w:spacing w:after="0"/>
              <w:contextualSpacing/>
              <w:jc w:val="both"/>
              <w:rPr>
                <w:rFonts w:ascii="Verdana" w:hAnsi="Verdana"/>
                <w:b/>
                <w:sz w:val="16"/>
                <w:szCs w:val="16"/>
              </w:rPr>
            </w:pPr>
          </w:p>
        </w:tc>
        <w:tc>
          <w:tcPr>
            <w:tcW w:w="782" w:type="pct"/>
            <w:shd w:val="clear" w:color="auto" w:fill="FFFFFF"/>
          </w:tcPr>
          <w:p w14:paraId="1D0CB729" w14:textId="77777777" w:rsidR="00BC1D4B" w:rsidRDefault="00ED1F84">
            <w:pPr>
              <w:spacing w:after="0"/>
              <w:contextualSpacing/>
              <w:jc w:val="both"/>
              <w:rPr>
                <w:rFonts w:ascii="Verdana" w:hAnsi="Verdana"/>
                <w:sz w:val="16"/>
                <w:szCs w:val="16"/>
              </w:rPr>
            </w:pPr>
            <w:r>
              <w:rPr>
                <w:rFonts w:ascii="Verdana" w:hAnsi="Verdana"/>
                <w:sz w:val="16"/>
                <w:szCs w:val="16"/>
              </w:rPr>
              <w:t>Viability</w:t>
            </w:r>
          </w:p>
        </w:tc>
        <w:tc>
          <w:tcPr>
            <w:tcW w:w="2562" w:type="pct"/>
            <w:shd w:val="clear" w:color="auto" w:fill="FFFFFF"/>
          </w:tcPr>
          <w:p w14:paraId="0BDB5852"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TOX21_Aromatase_Inhibition_viability</w:t>
            </w:r>
          </w:p>
        </w:tc>
        <w:tc>
          <w:tcPr>
            <w:tcW w:w="990" w:type="pct"/>
            <w:shd w:val="clear" w:color="auto" w:fill="FFFFFF"/>
          </w:tcPr>
          <w:p w14:paraId="78D7ECA5" w14:textId="77777777" w:rsidR="00BC1D4B" w:rsidRDefault="00ED1F84">
            <w:pPr>
              <w:spacing w:after="0"/>
              <w:contextualSpacing/>
              <w:jc w:val="both"/>
              <w:rPr>
                <w:rFonts w:ascii="Verdana" w:hAnsi="Verdana"/>
                <w:sz w:val="16"/>
                <w:szCs w:val="16"/>
              </w:rPr>
            </w:pPr>
            <w:r>
              <w:rPr>
                <w:rFonts w:ascii="Verdana" w:hAnsi="Verdana"/>
                <w:sz w:val="16"/>
                <w:szCs w:val="16"/>
                <w:lang w:val="en-US"/>
              </w:rPr>
              <w:t>LogAC50 = 1.36</w:t>
            </w:r>
          </w:p>
        </w:tc>
      </w:tr>
      <w:tr w:rsidR="00BC1D4B" w14:paraId="25609547" w14:textId="77777777" w:rsidTr="002F4101">
        <w:trPr>
          <w:trHeight w:val="194"/>
          <w:jc w:val="center"/>
        </w:trPr>
        <w:tc>
          <w:tcPr>
            <w:tcW w:w="666" w:type="pct"/>
            <w:vMerge/>
            <w:shd w:val="clear" w:color="FFFFFF" w:fill="FFFFFF"/>
          </w:tcPr>
          <w:p w14:paraId="6F91C1E9" w14:textId="77777777" w:rsidR="00BC1D4B" w:rsidRDefault="00BC1D4B">
            <w:pPr>
              <w:spacing w:after="0"/>
              <w:contextualSpacing/>
              <w:jc w:val="both"/>
              <w:rPr>
                <w:rFonts w:ascii="Verdana" w:hAnsi="Verdana"/>
                <w:sz w:val="16"/>
                <w:szCs w:val="16"/>
              </w:rPr>
            </w:pPr>
          </w:p>
        </w:tc>
        <w:tc>
          <w:tcPr>
            <w:tcW w:w="782" w:type="pct"/>
            <w:vMerge w:val="restart"/>
            <w:shd w:val="clear" w:color="auto" w:fill="FFFFFF"/>
          </w:tcPr>
          <w:p w14:paraId="45C8FE7B" w14:textId="77777777" w:rsidR="00BC1D4B" w:rsidRDefault="00ED1F84">
            <w:pPr>
              <w:spacing w:after="0"/>
              <w:contextualSpacing/>
              <w:jc w:val="both"/>
              <w:rPr>
                <w:rFonts w:ascii="Verdana" w:hAnsi="Verdana"/>
                <w:sz w:val="16"/>
                <w:szCs w:val="16"/>
              </w:rPr>
            </w:pPr>
            <w:r>
              <w:rPr>
                <w:rFonts w:ascii="Verdana" w:hAnsi="Verdana"/>
                <w:sz w:val="16"/>
                <w:szCs w:val="16"/>
              </w:rPr>
              <w:t>Synthesis</w:t>
            </w:r>
          </w:p>
        </w:tc>
        <w:tc>
          <w:tcPr>
            <w:tcW w:w="2562" w:type="pct"/>
            <w:shd w:val="clear" w:color="FFFFFF" w:fill="FFFFFF"/>
          </w:tcPr>
          <w:p w14:paraId="4AD791D2" w14:textId="77777777" w:rsidR="00BC1D4B" w:rsidRDefault="00ED1F84">
            <w:pPr>
              <w:spacing w:after="0"/>
              <w:contextualSpacing/>
              <w:jc w:val="both"/>
              <w:rPr>
                <w:rFonts w:ascii="Verdana" w:hAnsi="Verdana"/>
                <w:sz w:val="16"/>
                <w:szCs w:val="16"/>
                <w:lang w:val="en-US"/>
              </w:rPr>
            </w:pPr>
            <w:r>
              <w:rPr>
                <w:rFonts w:ascii="Verdana" w:hAnsi="Verdana"/>
                <w:sz w:val="16"/>
                <w:szCs w:val="16"/>
              </w:rPr>
              <w:t>CEETOX_H295R_11DCORT_noMTC_dn</w:t>
            </w:r>
            <w:r>
              <w:rPr>
                <w:rFonts w:ascii="Verdana" w:hAnsi="Verdana"/>
                <w:sz w:val="16"/>
                <w:szCs w:val="16"/>
                <w:lang w:val="en-US"/>
              </w:rPr>
              <w:t xml:space="preserve"> </w:t>
            </w:r>
          </w:p>
        </w:tc>
        <w:tc>
          <w:tcPr>
            <w:tcW w:w="990" w:type="pct"/>
            <w:shd w:val="clear" w:color="FFFFFF" w:fill="FFFFFF"/>
          </w:tcPr>
          <w:p w14:paraId="4B01F6A9"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LogAC50 = 1.84</w:t>
            </w:r>
          </w:p>
        </w:tc>
      </w:tr>
      <w:tr w:rsidR="00BC1D4B" w14:paraId="224BF104" w14:textId="77777777">
        <w:trPr>
          <w:trHeight w:val="142"/>
          <w:jc w:val="center"/>
        </w:trPr>
        <w:tc>
          <w:tcPr>
            <w:tcW w:w="666" w:type="pct"/>
            <w:vMerge/>
            <w:shd w:val="clear" w:color="FFFFFF" w:fill="FFFFFF"/>
          </w:tcPr>
          <w:p w14:paraId="054B7D25"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3C0C9855"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4A3CCEF1"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CEETOX_H295R_ANDR_noMTC_dn</w:t>
            </w:r>
          </w:p>
        </w:tc>
        <w:tc>
          <w:tcPr>
            <w:tcW w:w="990" w:type="pct"/>
            <w:shd w:val="clear" w:color="FFFFFF" w:fill="FFFFFF"/>
          </w:tcPr>
          <w:p w14:paraId="19DBDA21"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LogAC50 = 1.95</w:t>
            </w:r>
          </w:p>
        </w:tc>
      </w:tr>
      <w:tr w:rsidR="00BC1D4B" w14:paraId="69E6F144" w14:textId="77777777">
        <w:trPr>
          <w:trHeight w:val="142"/>
          <w:jc w:val="center"/>
        </w:trPr>
        <w:tc>
          <w:tcPr>
            <w:tcW w:w="666" w:type="pct"/>
            <w:vMerge/>
            <w:shd w:val="clear" w:color="FFFFFF" w:fill="FFFFFF"/>
          </w:tcPr>
          <w:p w14:paraId="5669F5CD"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3A07A106"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51B93E11"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CEETOX_H295R_CORTIC_noMTC_dn</w:t>
            </w:r>
          </w:p>
        </w:tc>
        <w:tc>
          <w:tcPr>
            <w:tcW w:w="990" w:type="pct"/>
            <w:shd w:val="clear" w:color="FFFFFF" w:fill="FFFFFF"/>
          </w:tcPr>
          <w:p w14:paraId="4A8EF8AD"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LogAC50 = 1.53</w:t>
            </w:r>
          </w:p>
        </w:tc>
      </w:tr>
      <w:tr w:rsidR="00BC1D4B" w14:paraId="22522EBE" w14:textId="77777777">
        <w:trPr>
          <w:trHeight w:val="142"/>
          <w:jc w:val="center"/>
        </w:trPr>
        <w:tc>
          <w:tcPr>
            <w:tcW w:w="666" w:type="pct"/>
            <w:vMerge/>
            <w:shd w:val="clear" w:color="FFFFFF" w:fill="FFFFFF"/>
          </w:tcPr>
          <w:p w14:paraId="5BC2B789"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5807E9F2"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42A6C753" w14:textId="77777777" w:rsidR="00BC1D4B" w:rsidRDefault="00ED1F84">
            <w:pPr>
              <w:spacing w:after="0"/>
              <w:contextualSpacing/>
              <w:jc w:val="both"/>
              <w:rPr>
                <w:rFonts w:ascii="Verdana" w:hAnsi="Verdana"/>
                <w:sz w:val="16"/>
                <w:szCs w:val="16"/>
                <w:lang w:val="fr-FR"/>
              </w:rPr>
            </w:pPr>
            <w:r>
              <w:rPr>
                <w:rFonts w:ascii="Verdana" w:hAnsi="Verdana"/>
                <w:sz w:val="16"/>
                <w:szCs w:val="16"/>
                <w:lang w:val="fr-FR"/>
              </w:rPr>
              <w:t>CEETOX_H295R_CORTISOL_noMTC_dn</w:t>
            </w:r>
          </w:p>
        </w:tc>
        <w:tc>
          <w:tcPr>
            <w:tcW w:w="990" w:type="pct"/>
            <w:shd w:val="clear" w:color="FFFFFF" w:fill="FFFFFF"/>
          </w:tcPr>
          <w:p w14:paraId="13398FE6" w14:textId="77777777" w:rsidR="00BC1D4B" w:rsidRDefault="00ED1F84">
            <w:pPr>
              <w:spacing w:after="0"/>
              <w:contextualSpacing/>
              <w:jc w:val="both"/>
              <w:rPr>
                <w:rFonts w:ascii="Verdana" w:hAnsi="Verdana"/>
                <w:sz w:val="16"/>
                <w:szCs w:val="16"/>
              </w:rPr>
            </w:pPr>
            <w:r>
              <w:rPr>
                <w:rFonts w:ascii="Verdana" w:hAnsi="Verdana"/>
                <w:sz w:val="16"/>
                <w:szCs w:val="16"/>
                <w:lang w:val="en-US"/>
              </w:rPr>
              <w:t>LogAC50 = 1.66</w:t>
            </w:r>
          </w:p>
        </w:tc>
      </w:tr>
      <w:tr w:rsidR="00BC1D4B" w14:paraId="73F3EA8B" w14:textId="77777777">
        <w:trPr>
          <w:trHeight w:val="142"/>
          <w:jc w:val="center"/>
        </w:trPr>
        <w:tc>
          <w:tcPr>
            <w:tcW w:w="666" w:type="pct"/>
            <w:vMerge/>
            <w:shd w:val="clear" w:color="FFFFFF" w:fill="FFFFFF"/>
          </w:tcPr>
          <w:p w14:paraId="45D7EDBD"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07C846C7"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294FEEFA" w14:textId="77777777" w:rsidR="00BC1D4B" w:rsidRDefault="00ED1F84">
            <w:pPr>
              <w:spacing w:after="0"/>
              <w:contextualSpacing/>
              <w:jc w:val="both"/>
              <w:rPr>
                <w:rFonts w:ascii="Verdana" w:hAnsi="Verdana"/>
                <w:sz w:val="16"/>
                <w:szCs w:val="16"/>
                <w:lang w:val="fr-FR"/>
              </w:rPr>
            </w:pPr>
            <w:r>
              <w:rPr>
                <w:rFonts w:ascii="Verdana" w:hAnsi="Verdana"/>
                <w:sz w:val="16"/>
                <w:szCs w:val="16"/>
                <w:lang w:val="en-US"/>
              </w:rPr>
              <w:t>CEETOX_H295R_DOC_noMTC_dn</w:t>
            </w:r>
          </w:p>
        </w:tc>
        <w:tc>
          <w:tcPr>
            <w:tcW w:w="990" w:type="pct"/>
            <w:shd w:val="clear" w:color="FFFFFF" w:fill="FFFFFF"/>
          </w:tcPr>
          <w:p w14:paraId="7A8FA683" w14:textId="77777777" w:rsidR="00BC1D4B" w:rsidRDefault="00ED1F84">
            <w:pPr>
              <w:spacing w:after="0"/>
              <w:contextualSpacing/>
              <w:jc w:val="both"/>
              <w:rPr>
                <w:rFonts w:ascii="Verdana" w:hAnsi="Verdana"/>
                <w:sz w:val="16"/>
                <w:szCs w:val="16"/>
              </w:rPr>
            </w:pPr>
            <w:r>
              <w:rPr>
                <w:rFonts w:ascii="Verdana" w:hAnsi="Verdana"/>
                <w:sz w:val="16"/>
                <w:szCs w:val="16"/>
                <w:lang w:val="en-US"/>
              </w:rPr>
              <w:t>LogAC50 = 1.70</w:t>
            </w:r>
          </w:p>
        </w:tc>
      </w:tr>
      <w:tr w:rsidR="00BC1D4B" w14:paraId="0D814DF4" w14:textId="77777777">
        <w:trPr>
          <w:trHeight w:val="142"/>
          <w:jc w:val="center"/>
        </w:trPr>
        <w:tc>
          <w:tcPr>
            <w:tcW w:w="666" w:type="pct"/>
            <w:vMerge/>
            <w:shd w:val="clear" w:color="FFFFFF" w:fill="FFFFFF"/>
          </w:tcPr>
          <w:p w14:paraId="6F79D98B"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309B9DDC"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5D03DE35"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CEETOX_H295R_OHPREG_noMTC_dn</w:t>
            </w:r>
          </w:p>
        </w:tc>
        <w:tc>
          <w:tcPr>
            <w:tcW w:w="990" w:type="pct"/>
            <w:shd w:val="clear" w:color="FFFFFF" w:fill="FFFFFF"/>
          </w:tcPr>
          <w:p w14:paraId="7870768F"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LogAC50 = 1.92</w:t>
            </w:r>
          </w:p>
        </w:tc>
      </w:tr>
      <w:tr w:rsidR="00BC1D4B" w14:paraId="4BB5363C" w14:textId="77777777">
        <w:trPr>
          <w:trHeight w:val="142"/>
          <w:jc w:val="center"/>
        </w:trPr>
        <w:tc>
          <w:tcPr>
            <w:tcW w:w="666" w:type="pct"/>
            <w:vMerge/>
            <w:shd w:val="clear" w:color="FFFFFF" w:fill="FFFFFF"/>
          </w:tcPr>
          <w:p w14:paraId="349842D0"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5047EFBE"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72C51F1E"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CEETOX_H295R_11DCORT_noMTC_up</w:t>
            </w:r>
          </w:p>
        </w:tc>
        <w:tc>
          <w:tcPr>
            <w:tcW w:w="990" w:type="pct"/>
            <w:shd w:val="clear" w:color="FFFFFF" w:fill="FFFFFF"/>
          </w:tcPr>
          <w:p w14:paraId="0F47AC9A"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0E3B28C1" w14:textId="77777777">
        <w:trPr>
          <w:trHeight w:val="142"/>
          <w:jc w:val="center"/>
        </w:trPr>
        <w:tc>
          <w:tcPr>
            <w:tcW w:w="666" w:type="pct"/>
            <w:vMerge/>
            <w:shd w:val="clear" w:color="FFFFFF" w:fill="FFFFFF"/>
          </w:tcPr>
          <w:p w14:paraId="01EE6EAC"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33186BEA"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4AF0C906"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CEETOX_H295R_ANDR_noMTC_up</w:t>
            </w:r>
          </w:p>
        </w:tc>
        <w:tc>
          <w:tcPr>
            <w:tcW w:w="990" w:type="pct"/>
            <w:shd w:val="clear" w:color="FFFFFF" w:fill="FFFFFF"/>
          </w:tcPr>
          <w:p w14:paraId="125CD3EF"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5BB0B478" w14:textId="77777777">
        <w:trPr>
          <w:trHeight w:val="142"/>
          <w:jc w:val="center"/>
        </w:trPr>
        <w:tc>
          <w:tcPr>
            <w:tcW w:w="666" w:type="pct"/>
            <w:vMerge/>
            <w:shd w:val="clear" w:color="FFFFFF" w:fill="FFFFFF"/>
          </w:tcPr>
          <w:p w14:paraId="0E973F0B"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5B5A550C"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337D9536"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CEETOX_H295R_CORTIC_noMTC_up</w:t>
            </w:r>
          </w:p>
        </w:tc>
        <w:tc>
          <w:tcPr>
            <w:tcW w:w="990" w:type="pct"/>
            <w:shd w:val="clear" w:color="FFFFFF" w:fill="FFFFFF"/>
          </w:tcPr>
          <w:p w14:paraId="73D20903"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68E85235" w14:textId="77777777">
        <w:trPr>
          <w:trHeight w:val="142"/>
          <w:jc w:val="center"/>
        </w:trPr>
        <w:tc>
          <w:tcPr>
            <w:tcW w:w="666" w:type="pct"/>
            <w:vMerge/>
            <w:shd w:val="clear" w:color="FFFFFF" w:fill="FFFFFF"/>
          </w:tcPr>
          <w:p w14:paraId="25084D84"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4A928656"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723872B9"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CEETOX_H295R_CORTISOL_noMTC_up</w:t>
            </w:r>
          </w:p>
        </w:tc>
        <w:tc>
          <w:tcPr>
            <w:tcW w:w="990" w:type="pct"/>
            <w:shd w:val="clear" w:color="FFFFFF" w:fill="FFFFFF"/>
          </w:tcPr>
          <w:p w14:paraId="7A96091B"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77FC2EA7" w14:textId="77777777">
        <w:trPr>
          <w:trHeight w:val="142"/>
          <w:jc w:val="center"/>
        </w:trPr>
        <w:tc>
          <w:tcPr>
            <w:tcW w:w="666" w:type="pct"/>
            <w:vMerge/>
            <w:shd w:val="clear" w:color="FFFFFF" w:fill="FFFFFF"/>
          </w:tcPr>
          <w:p w14:paraId="33A6AFC5"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1CB1DD5A"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6E8595CB"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CEETOX_H295R_DOC_noMTC_up</w:t>
            </w:r>
          </w:p>
        </w:tc>
        <w:tc>
          <w:tcPr>
            <w:tcW w:w="990" w:type="pct"/>
            <w:shd w:val="clear" w:color="FFFFFF" w:fill="FFFFFF"/>
          </w:tcPr>
          <w:p w14:paraId="15D06D42"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45445B0C" w14:textId="77777777">
        <w:trPr>
          <w:trHeight w:val="142"/>
          <w:jc w:val="center"/>
        </w:trPr>
        <w:tc>
          <w:tcPr>
            <w:tcW w:w="666" w:type="pct"/>
            <w:vMerge/>
            <w:shd w:val="clear" w:color="FFFFFF" w:fill="FFFFFF"/>
          </w:tcPr>
          <w:p w14:paraId="2096A6EB"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4E8E4EBA"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446F08BE" w14:textId="77777777" w:rsidR="00BC1D4B" w:rsidRDefault="00ED1F84">
            <w:pPr>
              <w:spacing w:after="0"/>
              <w:contextualSpacing/>
              <w:jc w:val="both"/>
              <w:rPr>
                <w:rFonts w:ascii="Verdana" w:hAnsi="Verdana"/>
                <w:sz w:val="16"/>
                <w:szCs w:val="16"/>
                <w:lang w:val="fr-FR"/>
              </w:rPr>
            </w:pPr>
            <w:r>
              <w:rPr>
                <w:rFonts w:ascii="Verdana" w:hAnsi="Verdana"/>
                <w:sz w:val="16"/>
                <w:szCs w:val="16"/>
                <w:lang w:val="fr-FR"/>
              </w:rPr>
              <w:t>CEETOX_H295R_ESTRADIOL_noMTC_dn</w:t>
            </w:r>
          </w:p>
        </w:tc>
        <w:tc>
          <w:tcPr>
            <w:tcW w:w="990" w:type="pct"/>
            <w:shd w:val="clear" w:color="FFFFFF" w:fill="FFFFFF"/>
          </w:tcPr>
          <w:p w14:paraId="72AF2C53"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29DAB9DD" w14:textId="77777777">
        <w:trPr>
          <w:trHeight w:val="142"/>
          <w:jc w:val="center"/>
        </w:trPr>
        <w:tc>
          <w:tcPr>
            <w:tcW w:w="666" w:type="pct"/>
            <w:vMerge/>
            <w:shd w:val="clear" w:color="FFFFFF" w:fill="FFFFFF"/>
          </w:tcPr>
          <w:p w14:paraId="6A65AE9A" w14:textId="77777777" w:rsidR="00BC1D4B" w:rsidRDefault="00BC1D4B">
            <w:pPr>
              <w:spacing w:after="0"/>
              <w:contextualSpacing/>
              <w:jc w:val="both"/>
              <w:rPr>
                <w:rFonts w:ascii="Verdana" w:hAnsi="Verdana"/>
                <w:sz w:val="16"/>
                <w:szCs w:val="16"/>
              </w:rPr>
            </w:pPr>
          </w:p>
        </w:tc>
        <w:tc>
          <w:tcPr>
            <w:tcW w:w="782" w:type="pct"/>
            <w:vMerge/>
            <w:shd w:val="clear" w:color="auto" w:fill="FFFFFF"/>
          </w:tcPr>
          <w:p w14:paraId="59E84294" w14:textId="77777777" w:rsidR="00BC1D4B" w:rsidRDefault="00BC1D4B">
            <w:pPr>
              <w:spacing w:after="0"/>
              <w:contextualSpacing/>
              <w:jc w:val="both"/>
              <w:rPr>
                <w:rFonts w:ascii="Verdana" w:hAnsi="Verdana"/>
                <w:sz w:val="16"/>
                <w:szCs w:val="16"/>
              </w:rPr>
            </w:pPr>
          </w:p>
        </w:tc>
        <w:tc>
          <w:tcPr>
            <w:tcW w:w="2562" w:type="pct"/>
            <w:shd w:val="clear" w:color="FFFFFF" w:fill="FFFFFF"/>
          </w:tcPr>
          <w:p w14:paraId="3E4F128A" w14:textId="77777777" w:rsidR="00BC1D4B" w:rsidRDefault="00ED1F84">
            <w:pPr>
              <w:spacing w:after="0"/>
              <w:contextualSpacing/>
              <w:jc w:val="both"/>
              <w:rPr>
                <w:rFonts w:ascii="Verdana" w:hAnsi="Verdana"/>
                <w:sz w:val="16"/>
                <w:szCs w:val="16"/>
                <w:lang w:val="fr-FR"/>
              </w:rPr>
            </w:pPr>
            <w:r>
              <w:rPr>
                <w:rFonts w:ascii="Verdana" w:hAnsi="Verdana"/>
                <w:sz w:val="16"/>
                <w:szCs w:val="16"/>
                <w:lang w:val="fr-FR"/>
              </w:rPr>
              <w:t>CEETOX_H295R_ESTRADIOL_noMTC_up</w:t>
            </w:r>
          </w:p>
        </w:tc>
        <w:tc>
          <w:tcPr>
            <w:tcW w:w="990" w:type="pct"/>
            <w:shd w:val="clear" w:color="FFFFFF" w:fill="FFFFFF"/>
          </w:tcPr>
          <w:p w14:paraId="7A870BC0" w14:textId="77777777" w:rsidR="00BC1D4B" w:rsidRDefault="00ED1F84">
            <w:pPr>
              <w:spacing w:after="0"/>
              <w:contextualSpacing/>
              <w:jc w:val="both"/>
              <w:rPr>
                <w:rFonts w:ascii="Verdana" w:hAnsi="Verdana"/>
                <w:sz w:val="16"/>
                <w:szCs w:val="16"/>
                <w:lang w:val="fr-FR"/>
              </w:rPr>
            </w:pPr>
            <w:r>
              <w:rPr>
                <w:rFonts w:ascii="Verdana" w:hAnsi="Verdana"/>
                <w:sz w:val="16"/>
                <w:szCs w:val="16"/>
                <w:lang w:val="en-US"/>
              </w:rPr>
              <w:t>INACTIVE</w:t>
            </w:r>
          </w:p>
        </w:tc>
      </w:tr>
      <w:tr w:rsidR="00BC1D4B" w14:paraId="42E1A41C" w14:textId="77777777">
        <w:trPr>
          <w:trHeight w:val="142"/>
          <w:jc w:val="center"/>
        </w:trPr>
        <w:tc>
          <w:tcPr>
            <w:tcW w:w="666" w:type="pct"/>
            <w:vMerge/>
            <w:shd w:val="clear" w:color="FFFFFF" w:fill="FFFFFF"/>
          </w:tcPr>
          <w:p w14:paraId="47192987" w14:textId="77777777" w:rsidR="00BC1D4B" w:rsidRDefault="00BC1D4B">
            <w:pPr>
              <w:spacing w:after="0"/>
              <w:contextualSpacing/>
              <w:jc w:val="both"/>
              <w:rPr>
                <w:rFonts w:ascii="Verdana" w:hAnsi="Verdana"/>
                <w:sz w:val="16"/>
                <w:szCs w:val="16"/>
                <w:lang w:val="fr-FR"/>
              </w:rPr>
            </w:pPr>
          </w:p>
        </w:tc>
        <w:tc>
          <w:tcPr>
            <w:tcW w:w="782" w:type="pct"/>
            <w:vMerge/>
            <w:shd w:val="clear" w:color="auto" w:fill="FFFFFF"/>
          </w:tcPr>
          <w:p w14:paraId="2B5AFC82" w14:textId="77777777" w:rsidR="00BC1D4B" w:rsidRDefault="00BC1D4B">
            <w:pPr>
              <w:spacing w:after="0"/>
              <w:contextualSpacing/>
              <w:jc w:val="both"/>
              <w:rPr>
                <w:rFonts w:ascii="Verdana" w:hAnsi="Verdana"/>
                <w:sz w:val="16"/>
                <w:szCs w:val="16"/>
                <w:lang w:val="fr-FR"/>
              </w:rPr>
            </w:pPr>
          </w:p>
        </w:tc>
        <w:tc>
          <w:tcPr>
            <w:tcW w:w="2562" w:type="pct"/>
            <w:shd w:val="clear" w:color="FFFFFF" w:fill="FFFFFF"/>
          </w:tcPr>
          <w:p w14:paraId="5C95C03F" w14:textId="77777777" w:rsidR="00BC1D4B" w:rsidRDefault="00ED1F84">
            <w:pPr>
              <w:spacing w:after="0"/>
              <w:contextualSpacing/>
              <w:jc w:val="both"/>
              <w:rPr>
                <w:rFonts w:ascii="Verdana" w:hAnsi="Verdana"/>
                <w:sz w:val="16"/>
                <w:szCs w:val="16"/>
                <w:lang w:val="fr-FR"/>
              </w:rPr>
            </w:pPr>
            <w:r>
              <w:rPr>
                <w:rFonts w:ascii="Verdana" w:hAnsi="Verdana"/>
                <w:sz w:val="16"/>
                <w:szCs w:val="16"/>
                <w:lang w:val="fr-FR"/>
              </w:rPr>
              <w:t>CEETOX_H295R_ESTRONE_noMTC_dn</w:t>
            </w:r>
          </w:p>
        </w:tc>
        <w:tc>
          <w:tcPr>
            <w:tcW w:w="990" w:type="pct"/>
            <w:shd w:val="clear" w:color="FFFFFF" w:fill="FFFFFF"/>
          </w:tcPr>
          <w:p w14:paraId="77FD137D" w14:textId="77777777" w:rsidR="00BC1D4B" w:rsidRDefault="00ED1F84">
            <w:pPr>
              <w:spacing w:after="0"/>
              <w:contextualSpacing/>
              <w:jc w:val="both"/>
              <w:rPr>
                <w:rFonts w:ascii="Verdana" w:hAnsi="Verdana"/>
                <w:sz w:val="16"/>
                <w:szCs w:val="16"/>
                <w:lang w:val="fr-FR"/>
              </w:rPr>
            </w:pPr>
            <w:r>
              <w:rPr>
                <w:rFonts w:ascii="Verdana" w:hAnsi="Verdana"/>
                <w:sz w:val="16"/>
                <w:szCs w:val="16"/>
                <w:lang w:val="en-US"/>
              </w:rPr>
              <w:t>INACTIVE</w:t>
            </w:r>
          </w:p>
        </w:tc>
      </w:tr>
      <w:tr w:rsidR="00BC1D4B" w14:paraId="0E01BDCD" w14:textId="77777777">
        <w:trPr>
          <w:trHeight w:val="142"/>
          <w:jc w:val="center"/>
        </w:trPr>
        <w:tc>
          <w:tcPr>
            <w:tcW w:w="666" w:type="pct"/>
            <w:vMerge/>
            <w:shd w:val="clear" w:color="FFFFFF" w:fill="FFFFFF"/>
          </w:tcPr>
          <w:p w14:paraId="6561B032" w14:textId="77777777" w:rsidR="00BC1D4B" w:rsidRDefault="00BC1D4B">
            <w:pPr>
              <w:spacing w:after="0"/>
              <w:contextualSpacing/>
              <w:jc w:val="both"/>
              <w:rPr>
                <w:rFonts w:ascii="Verdana" w:hAnsi="Verdana"/>
                <w:sz w:val="16"/>
                <w:szCs w:val="16"/>
                <w:lang w:val="fr-FR"/>
              </w:rPr>
            </w:pPr>
          </w:p>
        </w:tc>
        <w:tc>
          <w:tcPr>
            <w:tcW w:w="782" w:type="pct"/>
            <w:vMerge/>
            <w:shd w:val="clear" w:color="auto" w:fill="FFFFFF"/>
          </w:tcPr>
          <w:p w14:paraId="6FB148D3" w14:textId="77777777" w:rsidR="00BC1D4B" w:rsidRDefault="00BC1D4B">
            <w:pPr>
              <w:spacing w:after="0"/>
              <w:contextualSpacing/>
              <w:jc w:val="both"/>
              <w:rPr>
                <w:rFonts w:ascii="Verdana" w:hAnsi="Verdana"/>
                <w:sz w:val="16"/>
                <w:szCs w:val="16"/>
                <w:lang w:val="fr-FR"/>
              </w:rPr>
            </w:pPr>
          </w:p>
        </w:tc>
        <w:tc>
          <w:tcPr>
            <w:tcW w:w="2562" w:type="pct"/>
            <w:shd w:val="clear" w:color="FFFFFF" w:fill="FFFFFF"/>
          </w:tcPr>
          <w:p w14:paraId="7F43BE9C"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CEETOX_H295R_ESTRONE_noMTC_up</w:t>
            </w:r>
          </w:p>
        </w:tc>
        <w:tc>
          <w:tcPr>
            <w:tcW w:w="990" w:type="pct"/>
            <w:shd w:val="clear" w:color="FFFFFF" w:fill="FFFFFF"/>
          </w:tcPr>
          <w:p w14:paraId="64F45F87" w14:textId="77777777" w:rsidR="00BC1D4B" w:rsidRDefault="00ED1F84">
            <w:pPr>
              <w:spacing w:after="0"/>
              <w:contextualSpacing/>
              <w:jc w:val="both"/>
              <w:rPr>
                <w:rFonts w:ascii="Verdana" w:hAnsi="Verdana"/>
                <w:sz w:val="16"/>
                <w:szCs w:val="16"/>
                <w:lang w:val="fr-FR"/>
              </w:rPr>
            </w:pPr>
            <w:r>
              <w:rPr>
                <w:rFonts w:ascii="Verdana" w:hAnsi="Verdana"/>
                <w:sz w:val="16"/>
                <w:szCs w:val="16"/>
                <w:lang w:val="en-US"/>
              </w:rPr>
              <w:t>INACTIVE</w:t>
            </w:r>
          </w:p>
        </w:tc>
      </w:tr>
      <w:tr w:rsidR="00BC1D4B" w14:paraId="266231C8" w14:textId="77777777">
        <w:trPr>
          <w:trHeight w:val="142"/>
          <w:jc w:val="center"/>
        </w:trPr>
        <w:tc>
          <w:tcPr>
            <w:tcW w:w="666" w:type="pct"/>
            <w:vMerge/>
            <w:shd w:val="clear" w:color="FFFFFF" w:fill="FFFFFF"/>
          </w:tcPr>
          <w:p w14:paraId="73DB0955" w14:textId="77777777" w:rsidR="00BC1D4B" w:rsidRDefault="00BC1D4B">
            <w:pPr>
              <w:spacing w:after="0"/>
              <w:contextualSpacing/>
              <w:jc w:val="both"/>
              <w:rPr>
                <w:rFonts w:ascii="Verdana" w:hAnsi="Verdana"/>
                <w:sz w:val="16"/>
                <w:szCs w:val="16"/>
                <w:lang w:val="fr-FR"/>
              </w:rPr>
            </w:pPr>
          </w:p>
        </w:tc>
        <w:tc>
          <w:tcPr>
            <w:tcW w:w="782" w:type="pct"/>
            <w:vMerge/>
            <w:shd w:val="clear" w:color="auto" w:fill="FFFFFF"/>
          </w:tcPr>
          <w:p w14:paraId="3501F3FF" w14:textId="77777777" w:rsidR="00BC1D4B" w:rsidRDefault="00BC1D4B">
            <w:pPr>
              <w:spacing w:after="0"/>
              <w:contextualSpacing/>
              <w:jc w:val="both"/>
              <w:rPr>
                <w:rFonts w:ascii="Verdana" w:hAnsi="Verdana"/>
                <w:sz w:val="16"/>
                <w:szCs w:val="16"/>
                <w:lang w:val="fr-FR"/>
              </w:rPr>
            </w:pPr>
          </w:p>
        </w:tc>
        <w:tc>
          <w:tcPr>
            <w:tcW w:w="2562" w:type="pct"/>
            <w:shd w:val="clear" w:color="FFFFFF" w:fill="FFFFFF"/>
          </w:tcPr>
          <w:p w14:paraId="26FA49B1"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CEETOX_H295R_OHPREG_noMTC_up</w:t>
            </w:r>
          </w:p>
        </w:tc>
        <w:tc>
          <w:tcPr>
            <w:tcW w:w="990" w:type="pct"/>
            <w:shd w:val="clear" w:color="FFFFFF" w:fill="FFFFFF"/>
          </w:tcPr>
          <w:p w14:paraId="6AE9CCC9"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27D48DEF" w14:textId="77777777">
        <w:trPr>
          <w:trHeight w:val="142"/>
          <w:jc w:val="center"/>
        </w:trPr>
        <w:tc>
          <w:tcPr>
            <w:tcW w:w="666" w:type="pct"/>
            <w:vMerge/>
            <w:shd w:val="clear" w:color="FFFFFF" w:fill="FFFFFF"/>
          </w:tcPr>
          <w:p w14:paraId="201C9BC0" w14:textId="77777777" w:rsidR="00BC1D4B" w:rsidRDefault="00BC1D4B">
            <w:pPr>
              <w:spacing w:after="0"/>
              <w:contextualSpacing/>
              <w:jc w:val="both"/>
              <w:rPr>
                <w:rFonts w:ascii="Verdana" w:hAnsi="Verdana"/>
                <w:sz w:val="16"/>
                <w:szCs w:val="16"/>
                <w:lang w:val="en-US"/>
              </w:rPr>
            </w:pPr>
          </w:p>
        </w:tc>
        <w:tc>
          <w:tcPr>
            <w:tcW w:w="782" w:type="pct"/>
            <w:vMerge/>
            <w:shd w:val="clear" w:color="auto" w:fill="FFFFFF"/>
          </w:tcPr>
          <w:p w14:paraId="048FE347" w14:textId="77777777" w:rsidR="00BC1D4B" w:rsidRDefault="00BC1D4B">
            <w:pPr>
              <w:spacing w:after="0"/>
              <w:contextualSpacing/>
              <w:jc w:val="both"/>
              <w:rPr>
                <w:rFonts w:ascii="Verdana" w:hAnsi="Verdana"/>
                <w:sz w:val="16"/>
                <w:szCs w:val="16"/>
                <w:lang w:val="en-US"/>
              </w:rPr>
            </w:pPr>
          </w:p>
        </w:tc>
        <w:tc>
          <w:tcPr>
            <w:tcW w:w="2562" w:type="pct"/>
            <w:shd w:val="clear" w:color="FFFFFF" w:fill="FFFFFF"/>
          </w:tcPr>
          <w:p w14:paraId="1F0EDC0F"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CEETOX_H295R_OHPROG_noMTC_dn</w:t>
            </w:r>
          </w:p>
        </w:tc>
        <w:tc>
          <w:tcPr>
            <w:tcW w:w="990" w:type="pct"/>
            <w:shd w:val="clear" w:color="FFFFFF" w:fill="FFFFFF"/>
          </w:tcPr>
          <w:p w14:paraId="181CE6F2"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1A92ADEB" w14:textId="77777777">
        <w:trPr>
          <w:trHeight w:val="142"/>
          <w:jc w:val="center"/>
        </w:trPr>
        <w:tc>
          <w:tcPr>
            <w:tcW w:w="666" w:type="pct"/>
            <w:vMerge/>
            <w:shd w:val="clear" w:color="FFFFFF" w:fill="FFFFFF"/>
          </w:tcPr>
          <w:p w14:paraId="2055D042" w14:textId="77777777" w:rsidR="00BC1D4B" w:rsidRDefault="00BC1D4B">
            <w:pPr>
              <w:spacing w:after="0"/>
              <w:contextualSpacing/>
              <w:jc w:val="both"/>
              <w:rPr>
                <w:rFonts w:ascii="Verdana" w:hAnsi="Verdana"/>
                <w:sz w:val="16"/>
                <w:szCs w:val="16"/>
                <w:lang w:val="en-US"/>
              </w:rPr>
            </w:pPr>
          </w:p>
        </w:tc>
        <w:tc>
          <w:tcPr>
            <w:tcW w:w="782" w:type="pct"/>
            <w:vMerge/>
            <w:shd w:val="clear" w:color="auto" w:fill="FFFFFF"/>
          </w:tcPr>
          <w:p w14:paraId="172343EE" w14:textId="77777777" w:rsidR="00BC1D4B" w:rsidRDefault="00BC1D4B">
            <w:pPr>
              <w:spacing w:after="0"/>
              <w:contextualSpacing/>
              <w:jc w:val="both"/>
              <w:rPr>
                <w:rFonts w:ascii="Verdana" w:hAnsi="Verdana"/>
                <w:sz w:val="16"/>
                <w:szCs w:val="16"/>
                <w:lang w:val="en-US"/>
              </w:rPr>
            </w:pPr>
          </w:p>
        </w:tc>
        <w:tc>
          <w:tcPr>
            <w:tcW w:w="2562" w:type="pct"/>
            <w:shd w:val="clear" w:color="FFFFFF" w:fill="FFFFFF"/>
          </w:tcPr>
          <w:p w14:paraId="3EF1ADAB"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CEETOX_H295R_OHPROG_noMTC_up</w:t>
            </w:r>
          </w:p>
        </w:tc>
        <w:tc>
          <w:tcPr>
            <w:tcW w:w="990" w:type="pct"/>
            <w:shd w:val="clear" w:color="FFFFFF" w:fill="FFFFFF"/>
          </w:tcPr>
          <w:p w14:paraId="58A05967"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11A98F8E" w14:textId="77777777">
        <w:trPr>
          <w:trHeight w:val="142"/>
          <w:jc w:val="center"/>
        </w:trPr>
        <w:tc>
          <w:tcPr>
            <w:tcW w:w="666" w:type="pct"/>
            <w:vMerge/>
            <w:shd w:val="clear" w:color="FFFFFF" w:fill="FFFFFF"/>
          </w:tcPr>
          <w:p w14:paraId="0826E09F" w14:textId="77777777" w:rsidR="00BC1D4B" w:rsidRDefault="00BC1D4B">
            <w:pPr>
              <w:spacing w:after="0"/>
              <w:contextualSpacing/>
              <w:jc w:val="both"/>
              <w:rPr>
                <w:rFonts w:ascii="Verdana" w:hAnsi="Verdana"/>
                <w:sz w:val="16"/>
                <w:szCs w:val="16"/>
                <w:lang w:val="en-US"/>
              </w:rPr>
            </w:pPr>
          </w:p>
        </w:tc>
        <w:tc>
          <w:tcPr>
            <w:tcW w:w="782" w:type="pct"/>
            <w:vMerge/>
            <w:shd w:val="clear" w:color="auto" w:fill="FFFFFF"/>
          </w:tcPr>
          <w:p w14:paraId="5683FBD7" w14:textId="77777777" w:rsidR="00BC1D4B" w:rsidRDefault="00BC1D4B">
            <w:pPr>
              <w:spacing w:after="0"/>
              <w:contextualSpacing/>
              <w:jc w:val="both"/>
              <w:rPr>
                <w:rFonts w:ascii="Verdana" w:hAnsi="Verdana"/>
                <w:sz w:val="16"/>
                <w:szCs w:val="16"/>
                <w:lang w:val="en-US"/>
              </w:rPr>
            </w:pPr>
          </w:p>
        </w:tc>
        <w:tc>
          <w:tcPr>
            <w:tcW w:w="2562" w:type="pct"/>
            <w:shd w:val="clear" w:color="FFFFFF" w:fill="FFFFFF"/>
          </w:tcPr>
          <w:p w14:paraId="20615D45"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CEETOX_H295R_PROG_noMTC_dn</w:t>
            </w:r>
          </w:p>
        </w:tc>
        <w:tc>
          <w:tcPr>
            <w:tcW w:w="990" w:type="pct"/>
            <w:shd w:val="clear" w:color="FFFFFF" w:fill="FFFFFF"/>
          </w:tcPr>
          <w:p w14:paraId="5243E4B3"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151A8432" w14:textId="77777777">
        <w:trPr>
          <w:trHeight w:val="142"/>
          <w:jc w:val="center"/>
        </w:trPr>
        <w:tc>
          <w:tcPr>
            <w:tcW w:w="666" w:type="pct"/>
            <w:vMerge/>
            <w:shd w:val="clear" w:color="FFFFFF" w:fill="FFFFFF"/>
          </w:tcPr>
          <w:p w14:paraId="30F4FCF9" w14:textId="77777777" w:rsidR="00BC1D4B" w:rsidRDefault="00BC1D4B">
            <w:pPr>
              <w:spacing w:after="0"/>
              <w:contextualSpacing/>
              <w:jc w:val="both"/>
              <w:rPr>
                <w:rFonts w:ascii="Verdana" w:hAnsi="Verdana"/>
                <w:sz w:val="16"/>
                <w:szCs w:val="16"/>
                <w:lang w:val="en-US"/>
              </w:rPr>
            </w:pPr>
          </w:p>
        </w:tc>
        <w:tc>
          <w:tcPr>
            <w:tcW w:w="782" w:type="pct"/>
            <w:vMerge/>
            <w:shd w:val="clear" w:color="auto" w:fill="FFFFFF"/>
          </w:tcPr>
          <w:p w14:paraId="4199B3C0" w14:textId="77777777" w:rsidR="00BC1D4B" w:rsidRDefault="00BC1D4B">
            <w:pPr>
              <w:spacing w:after="0"/>
              <w:contextualSpacing/>
              <w:jc w:val="both"/>
              <w:rPr>
                <w:rFonts w:ascii="Verdana" w:hAnsi="Verdana"/>
                <w:sz w:val="16"/>
                <w:szCs w:val="16"/>
                <w:lang w:val="en-US"/>
              </w:rPr>
            </w:pPr>
          </w:p>
        </w:tc>
        <w:tc>
          <w:tcPr>
            <w:tcW w:w="2562" w:type="pct"/>
            <w:shd w:val="clear" w:color="FFFFFF" w:fill="FFFFFF"/>
          </w:tcPr>
          <w:p w14:paraId="409197AE"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CEETOX_H295R_PROG_noMTC_up</w:t>
            </w:r>
          </w:p>
        </w:tc>
        <w:tc>
          <w:tcPr>
            <w:tcW w:w="990" w:type="pct"/>
            <w:shd w:val="clear" w:color="FFFFFF" w:fill="FFFFFF"/>
          </w:tcPr>
          <w:p w14:paraId="2C74BA44"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399C0519" w14:textId="77777777">
        <w:trPr>
          <w:trHeight w:val="142"/>
          <w:jc w:val="center"/>
        </w:trPr>
        <w:tc>
          <w:tcPr>
            <w:tcW w:w="666" w:type="pct"/>
            <w:vMerge/>
            <w:shd w:val="clear" w:color="FFFFFF" w:fill="FFFFFF"/>
          </w:tcPr>
          <w:p w14:paraId="354E1C33" w14:textId="77777777" w:rsidR="00BC1D4B" w:rsidRDefault="00BC1D4B">
            <w:pPr>
              <w:spacing w:after="0"/>
              <w:contextualSpacing/>
              <w:jc w:val="both"/>
              <w:rPr>
                <w:rFonts w:ascii="Verdana" w:hAnsi="Verdana"/>
                <w:sz w:val="16"/>
                <w:szCs w:val="16"/>
                <w:lang w:val="en-US"/>
              </w:rPr>
            </w:pPr>
          </w:p>
        </w:tc>
        <w:tc>
          <w:tcPr>
            <w:tcW w:w="782" w:type="pct"/>
            <w:vMerge/>
            <w:shd w:val="clear" w:color="auto" w:fill="FFFFFF"/>
          </w:tcPr>
          <w:p w14:paraId="109CA68C" w14:textId="77777777" w:rsidR="00BC1D4B" w:rsidRDefault="00BC1D4B">
            <w:pPr>
              <w:spacing w:after="0"/>
              <w:contextualSpacing/>
              <w:jc w:val="both"/>
              <w:rPr>
                <w:rFonts w:ascii="Verdana" w:hAnsi="Verdana"/>
                <w:sz w:val="16"/>
                <w:szCs w:val="16"/>
                <w:lang w:val="en-US"/>
              </w:rPr>
            </w:pPr>
          </w:p>
        </w:tc>
        <w:tc>
          <w:tcPr>
            <w:tcW w:w="2562" w:type="pct"/>
            <w:shd w:val="clear" w:color="FFFFFF" w:fill="FFFFFF"/>
          </w:tcPr>
          <w:p w14:paraId="64AE106A"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CEETOX_H295R_TESTO_noMTC_dn</w:t>
            </w:r>
          </w:p>
        </w:tc>
        <w:tc>
          <w:tcPr>
            <w:tcW w:w="990" w:type="pct"/>
            <w:shd w:val="clear" w:color="FFFFFF" w:fill="FFFFFF"/>
          </w:tcPr>
          <w:p w14:paraId="04B89E42"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527D71ED" w14:textId="77777777">
        <w:trPr>
          <w:trHeight w:val="142"/>
          <w:jc w:val="center"/>
        </w:trPr>
        <w:tc>
          <w:tcPr>
            <w:tcW w:w="666" w:type="pct"/>
            <w:vMerge/>
            <w:shd w:val="clear" w:color="FFFFFF" w:fill="FFFFFF"/>
          </w:tcPr>
          <w:p w14:paraId="317C4F9F" w14:textId="77777777" w:rsidR="00BC1D4B" w:rsidRDefault="00BC1D4B">
            <w:pPr>
              <w:spacing w:after="0"/>
              <w:contextualSpacing/>
              <w:jc w:val="both"/>
              <w:rPr>
                <w:rFonts w:ascii="Verdana" w:hAnsi="Verdana"/>
                <w:sz w:val="16"/>
                <w:szCs w:val="16"/>
                <w:lang w:val="en-US"/>
              </w:rPr>
            </w:pPr>
          </w:p>
        </w:tc>
        <w:tc>
          <w:tcPr>
            <w:tcW w:w="782" w:type="pct"/>
            <w:vMerge/>
            <w:shd w:val="clear" w:color="auto" w:fill="FFFFFF"/>
          </w:tcPr>
          <w:p w14:paraId="090761CE" w14:textId="77777777" w:rsidR="00BC1D4B" w:rsidRDefault="00BC1D4B">
            <w:pPr>
              <w:spacing w:after="0"/>
              <w:contextualSpacing/>
              <w:jc w:val="both"/>
              <w:rPr>
                <w:rFonts w:ascii="Verdana" w:hAnsi="Verdana"/>
                <w:sz w:val="16"/>
                <w:szCs w:val="16"/>
                <w:lang w:val="en-US"/>
              </w:rPr>
            </w:pPr>
          </w:p>
        </w:tc>
        <w:tc>
          <w:tcPr>
            <w:tcW w:w="2562" w:type="pct"/>
            <w:shd w:val="clear" w:color="FFFFFF" w:fill="FFFFFF"/>
          </w:tcPr>
          <w:p w14:paraId="7B3FC38B"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CEETOX_H295R_TESTO_noMTC_up</w:t>
            </w:r>
          </w:p>
        </w:tc>
        <w:tc>
          <w:tcPr>
            <w:tcW w:w="990" w:type="pct"/>
            <w:shd w:val="clear" w:color="FFFFFF" w:fill="FFFFFF"/>
          </w:tcPr>
          <w:p w14:paraId="583DB60A"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5EEF14F2" w14:textId="77777777">
        <w:trPr>
          <w:trHeight w:val="142"/>
          <w:jc w:val="center"/>
        </w:trPr>
        <w:tc>
          <w:tcPr>
            <w:tcW w:w="666" w:type="pct"/>
            <w:vMerge/>
            <w:shd w:val="clear" w:color="FFFFFF" w:fill="FFFFFF"/>
          </w:tcPr>
          <w:p w14:paraId="31887833" w14:textId="77777777" w:rsidR="00BC1D4B" w:rsidRDefault="00BC1D4B">
            <w:pPr>
              <w:spacing w:after="0"/>
              <w:contextualSpacing/>
              <w:jc w:val="both"/>
              <w:rPr>
                <w:rFonts w:ascii="Verdana" w:hAnsi="Verdana"/>
                <w:sz w:val="16"/>
                <w:szCs w:val="16"/>
                <w:lang w:val="en-US"/>
              </w:rPr>
            </w:pPr>
          </w:p>
        </w:tc>
        <w:tc>
          <w:tcPr>
            <w:tcW w:w="782" w:type="pct"/>
            <w:vMerge/>
            <w:shd w:val="clear" w:color="auto" w:fill="FFFFFF"/>
          </w:tcPr>
          <w:p w14:paraId="5B7813F8" w14:textId="77777777" w:rsidR="00BC1D4B" w:rsidRDefault="00BC1D4B">
            <w:pPr>
              <w:spacing w:after="0"/>
              <w:contextualSpacing/>
              <w:jc w:val="both"/>
              <w:rPr>
                <w:rFonts w:ascii="Verdana" w:hAnsi="Verdana"/>
                <w:sz w:val="16"/>
                <w:szCs w:val="16"/>
                <w:lang w:val="en-US"/>
              </w:rPr>
            </w:pPr>
          </w:p>
        </w:tc>
        <w:tc>
          <w:tcPr>
            <w:tcW w:w="2562" w:type="pct"/>
            <w:shd w:val="clear" w:color="FFFFFF" w:fill="FFFFFF"/>
          </w:tcPr>
          <w:p w14:paraId="28A2E9F6"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CEETOX_H295R_MTT_cell_viability_dn</w:t>
            </w:r>
          </w:p>
        </w:tc>
        <w:tc>
          <w:tcPr>
            <w:tcW w:w="990" w:type="pct"/>
            <w:shd w:val="clear" w:color="FFFFFF" w:fill="FFFFFF"/>
          </w:tcPr>
          <w:p w14:paraId="0CF6462E"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r w:rsidR="00BC1D4B" w14:paraId="64816C02" w14:textId="77777777">
        <w:trPr>
          <w:trHeight w:val="142"/>
          <w:jc w:val="center"/>
        </w:trPr>
        <w:tc>
          <w:tcPr>
            <w:tcW w:w="666" w:type="pct"/>
            <w:vMerge/>
            <w:shd w:val="clear" w:color="FFFFFF" w:fill="FFFFFF"/>
          </w:tcPr>
          <w:p w14:paraId="150377A3" w14:textId="77777777" w:rsidR="00BC1D4B" w:rsidRDefault="00BC1D4B">
            <w:pPr>
              <w:spacing w:after="0"/>
              <w:contextualSpacing/>
              <w:jc w:val="both"/>
              <w:rPr>
                <w:rFonts w:ascii="Verdana" w:hAnsi="Verdana"/>
                <w:sz w:val="16"/>
                <w:szCs w:val="16"/>
                <w:lang w:val="en-US"/>
              </w:rPr>
            </w:pPr>
          </w:p>
        </w:tc>
        <w:tc>
          <w:tcPr>
            <w:tcW w:w="782" w:type="pct"/>
            <w:vMerge/>
            <w:shd w:val="clear" w:color="auto" w:fill="FFFFFF"/>
          </w:tcPr>
          <w:p w14:paraId="41115506" w14:textId="77777777" w:rsidR="00BC1D4B" w:rsidRDefault="00BC1D4B">
            <w:pPr>
              <w:spacing w:after="0"/>
              <w:contextualSpacing/>
              <w:jc w:val="both"/>
              <w:rPr>
                <w:rFonts w:ascii="Verdana" w:hAnsi="Verdana"/>
                <w:sz w:val="16"/>
                <w:szCs w:val="16"/>
                <w:lang w:val="en-US"/>
              </w:rPr>
            </w:pPr>
          </w:p>
        </w:tc>
        <w:tc>
          <w:tcPr>
            <w:tcW w:w="2562" w:type="pct"/>
            <w:shd w:val="clear" w:color="FFFFFF" w:fill="FFFFFF"/>
          </w:tcPr>
          <w:p w14:paraId="50F7927B"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CEETOX_H295R_MTT_cell_viability_up</w:t>
            </w:r>
          </w:p>
        </w:tc>
        <w:tc>
          <w:tcPr>
            <w:tcW w:w="990" w:type="pct"/>
            <w:shd w:val="clear" w:color="FFFFFF" w:fill="FFFFFF"/>
          </w:tcPr>
          <w:p w14:paraId="44BB6794" w14:textId="77777777" w:rsidR="00BC1D4B" w:rsidRDefault="00ED1F84">
            <w:pPr>
              <w:spacing w:after="0"/>
              <w:contextualSpacing/>
              <w:jc w:val="both"/>
              <w:rPr>
                <w:rFonts w:ascii="Verdana" w:hAnsi="Verdana"/>
                <w:sz w:val="16"/>
                <w:szCs w:val="16"/>
                <w:lang w:val="en-US"/>
              </w:rPr>
            </w:pPr>
            <w:r>
              <w:rPr>
                <w:rFonts w:ascii="Verdana" w:hAnsi="Verdana"/>
                <w:sz w:val="16"/>
                <w:szCs w:val="16"/>
                <w:lang w:val="en-US"/>
              </w:rPr>
              <w:t>INACTIVE</w:t>
            </w:r>
          </w:p>
        </w:tc>
      </w:tr>
    </w:tbl>
    <w:p w14:paraId="5419815C" w14:textId="77777777" w:rsidR="00BC1D4B" w:rsidRDefault="00BC1D4B">
      <w:pPr>
        <w:spacing w:after="200" w:line="276" w:lineRule="auto"/>
        <w:jc w:val="both"/>
        <w:rPr>
          <w:rFonts w:ascii="Verdana" w:eastAsia="Calibri" w:hAnsi="Verdana"/>
          <w:sz w:val="20"/>
          <w:szCs w:val="20"/>
          <w:lang w:val="en-US"/>
        </w:rPr>
      </w:pPr>
    </w:p>
    <w:p w14:paraId="71849131" w14:textId="77777777" w:rsidR="00BC1D4B" w:rsidRDefault="00ED1F84">
      <w:pPr>
        <w:spacing w:after="200" w:line="276" w:lineRule="auto"/>
        <w:jc w:val="both"/>
        <w:rPr>
          <w:rFonts w:ascii="Verdana" w:eastAsia="Calibri" w:hAnsi="Verdana"/>
          <w:sz w:val="20"/>
          <w:szCs w:val="20"/>
          <w:lang w:val="en-US"/>
        </w:rPr>
      </w:pPr>
      <w:r>
        <w:rPr>
          <w:rFonts w:ascii="Verdana" w:eastAsia="Calibri" w:hAnsi="Verdana"/>
          <w:sz w:val="20"/>
          <w:szCs w:val="20"/>
          <w:lang w:val="en-US"/>
        </w:rPr>
        <w:t>Based on ToxCast assays, the results from TOX21_TRHR_HEK293_Agonist (LogAC50 = 1.03), TOX21_TRHR_HEK293_Antagonist</w:t>
      </w:r>
      <w:r>
        <w:rPr>
          <w:rFonts w:ascii="Verdana" w:eastAsia="Calibri" w:hAnsi="Verdana"/>
          <w:sz w:val="20"/>
          <w:szCs w:val="20"/>
          <w:lang w:val="en-US"/>
        </w:rPr>
        <w:tab/>
        <w:t>(LogAC50 = 1.29)</w:t>
      </w:r>
      <w:r>
        <w:rPr>
          <w:rFonts w:ascii="Verdana" w:hAnsi="Verdana"/>
          <w:sz w:val="20"/>
          <w:szCs w:val="20"/>
        </w:rPr>
        <w:t xml:space="preserve"> and </w:t>
      </w:r>
      <w:r>
        <w:rPr>
          <w:rFonts w:ascii="Verdana" w:eastAsia="Calibri" w:hAnsi="Verdana"/>
          <w:sz w:val="20"/>
          <w:szCs w:val="20"/>
          <w:lang w:val="en-US"/>
        </w:rPr>
        <w:t>LTEA_HepaRG_THSRP_dn</w:t>
      </w:r>
      <w:r>
        <w:rPr>
          <w:rFonts w:ascii="Verdana" w:eastAsia="Calibri" w:hAnsi="Verdana"/>
          <w:sz w:val="20"/>
          <w:szCs w:val="20"/>
          <w:lang w:val="en-US"/>
        </w:rPr>
        <w:tab/>
        <w:t xml:space="preserve">(LogAC50 = 1.24) does not allow to report an evidence for a clear T activity. A potential for TPO inhibition was identified </w:t>
      </w:r>
      <w:r>
        <w:rPr>
          <w:rFonts w:ascii="Verdana" w:eastAsia="Calibri" w:hAnsi="Verdana"/>
          <w:i/>
          <w:sz w:val="20"/>
          <w:szCs w:val="20"/>
          <w:lang w:val="en-US"/>
        </w:rPr>
        <w:t>in vitro</w:t>
      </w:r>
      <w:r>
        <w:rPr>
          <w:rFonts w:ascii="Verdana" w:eastAsia="Calibri" w:hAnsi="Verdana"/>
          <w:sz w:val="20"/>
          <w:szCs w:val="20"/>
          <w:lang w:val="en-US"/>
        </w:rPr>
        <w:t xml:space="preserve"> by the Danish QSAR Database. As mentioned above, effects on T4 and TSH were observed in the EOGRTS study. A statistically significant increase of T4 concentrations (+38% versus the controls) was noticed at 25 mg/kg bw/d in P generation females. It was associated with a tendency to decrease in TSH concentrations (-10% not statistically significant). A statistically significant decrease of T4 concentrations was observed in males of F1 generation (cohort 1A) at 5 and 15 mg/kg bw/d. However, no histopathological change was observed in the thyroid gland.</w:t>
      </w:r>
    </w:p>
    <w:p w14:paraId="05C2FECA" w14:textId="77777777" w:rsidR="00BC1D4B" w:rsidRDefault="00BC1D4B">
      <w:pPr>
        <w:spacing w:after="200" w:line="276" w:lineRule="auto"/>
        <w:jc w:val="both"/>
        <w:rPr>
          <w:rFonts w:ascii="Verdana" w:eastAsia="Calibri" w:hAnsi="Verdana"/>
          <w:sz w:val="20"/>
          <w:szCs w:val="20"/>
          <w:lang w:val="en-US"/>
        </w:rPr>
      </w:pPr>
    </w:p>
    <w:p w14:paraId="24B533C5" w14:textId="77777777" w:rsidR="00BC1D4B" w:rsidRDefault="00ED1F84">
      <w:pPr>
        <w:spacing w:after="200" w:line="276" w:lineRule="auto"/>
        <w:jc w:val="both"/>
        <w:rPr>
          <w:rFonts w:ascii="Verdana" w:eastAsia="Calibri" w:hAnsi="Verdana"/>
          <w:b/>
          <w:sz w:val="20"/>
          <w:szCs w:val="20"/>
          <w:lang w:val="en-US"/>
        </w:rPr>
      </w:pPr>
      <w:r>
        <w:rPr>
          <w:rFonts w:ascii="Verdana" w:eastAsia="Calibri" w:hAnsi="Verdana"/>
          <w:b/>
          <w:sz w:val="20"/>
          <w:szCs w:val="20"/>
          <w:lang w:val="en-US"/>
        </w:rPr>
        <w:t>Table 19: Danish QSAR data on DPG (data extracted in December, 2022)</w:t>
      </w:r>
    </w:p>
    <w:tbl>
      <w:tblPr>
        <w:tblpPr w:leftFromText="141" w:rightFromText="14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1259"/>
        <w:gridCol w:w="1225"/>
        <w:gridCol w:w="1317"/>
        <w:gridCol w:w="1195"/>
      </w:tblGrid>
      <w:tr w:rsidR="00BC1D4B" w14:paraId="54E5D4DF" w14:textId="77777777">
        <w:trPr>
          <w:trHeight w:val="20"/>
          <w:tblHeader/>
        </w:trPr>
        <w:tc>
          <w:tcPr>
            <w:tcW w:w="1991" w:type="pct"/>
            <w:vAlign w:val="center"/>
          </w:tcPr>
          <w:p w14:paraId="568FE2BC"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da-DK"/>
              </w:rPr>
              <w:t>Models</w:t>
            </w:r>
          </w:p>
        </w:tc>
        <w:tc>
          <w:tcPr>
            <w:tcW w:w="758" w:type="pct"/>
            <w:vAlign w:val="center"/>
          </w:tcPr>
          <w:p w14:paraId="68FA1BCA"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Battery</w:t>
            </w:r>
          </w:p>
        </w:tc>
        <w:tc>
          <w:tcPr>
            <w:tcW w:w="738" w:type="pct"/>
            <w:vAlign w:val="center"/>
          </w:tcPr>
          <w:p w14:paraId="5E08F7E3"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CASE Ultra</w:t>
            </w:r>
          </w:p>
        </w:tc>
        <w:tc>
          <w:tcPr>
            <w:tcW w:w="793" w:type="pct"/>
            <w:vAlign w:val="center"/>
          </w:tcPr>
          <w:p w14:paraId="191AA1B3"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Leadscope</w:t>
            </w:r>
          </w:p>
        </w:tc>
        <w:tc>
          <w:tcPr>
            <w:tcW w:w="720" w:type="pct"/>
            <w:vAlign w:val="center"/>
          </w:tcPr>
          <w:p w14:paraId="2DBA0886"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SciQSAR</w:t>
            </w:r>
          </w:p>
        </w:tc>
      </w:tr>
      <w:tr w:rsidR="00BC1D4B" w14:paraId="0FE187D7" w14:textId="77777777">
        <w:trPr>
          <w:trHeight w:val="401"/>
        </w:trPr>
        <w:tc>
          <w:tcPr>
            <w:tcW w:w="1991" w:type="pct"/>
            <w:shd w:val="clear" w:color="auto" w:fill="E6EED5"/>
            <w:vAlign w:val="center"/>
          </w:tcPr>
          <w:p w14:paraId="102440D6"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 xml:space="preserve">Estrogen Receptor α Binding, Full training set (Human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shd w:val="clear" w:color="auto" w:fill="E6EED5"/>
            <w:vAlign w:val="center"/>
          </w:tcPr>
          <w:p w14:paraId="59D812B4"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c>
          <w:tcPr>
            <w:tcW w:w="738" w:type="pct"/>
            <w:shd w:val="clear" w:color="auto" w:fill="E6EED5"/>
            <w:vAlign w:val="center"/>
          </w:tcPr>
          <w:p w14:paraId="51526FBC"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c>
          <w:tcPr>
            <w:tcW w:w="793" w:type="pct"/>
            <w:shd w:val="clear" w:color="auto" w:fill="E6EED5"/>
            <w:vAlign w:val="center"/>
          </w:tcPr>
          <w:p w14:paraId="62957229"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c>
          <w:tcPr>
            <w:tcW w:w="720" w:type="pct"/>
            <w:shd w:val="clear" w:color="auto" w:fill="E6EED5"/>
            <w:vAlign w:val="center"/>
          </w:tcPr>
          <w:p w14:paraId="1A497A32"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r>
      <w:tr w:rsidR="00BC1D4B" w14:paraId="748C2C0F" w14:textId="77777777">
        <w:trPr>
          <w:trHeight w:val="20"/>
        </w:trPr>
        <w:tc>
          <w:tcPr>
            <w:tcW w:w="1991" w:type="pct"/>
            <w:vAlign w:val="center"/>
          </w:tcPr>
          <w:p w14:paraId="5A24F502"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 xml:space="preserve">Estrogen Receptor α Binding, Balanced Training Set (Human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vAlign w:val="center"/>
          </w:tcPr>
          <w:p w14:paraId="56D82684"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c>
          <w:tcPr>
            <w:tcW w:w="738" w:type="pct"/>
            <w:vAlign w:val="center"/>
          </w:tcPr>
          <w:p w14:paraId="3D4A7929"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c>
          <w:tcPr>
            <w:tcW w:w="793" w:type="pct"/>
            <w:vAlign w:val="center"/>
          </w:tcPr>
          <w:p w14:paraId="6D16E040"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NEG_OUT</w:t>
            </w:r>
          </w:p>
        </w:tc>
        <w:tc>
          <w:tcPr>
            <w:tcW w:w="720" w:type="pct"/>
            <w:vAlign w:val="center"/>
          </w:tcPr>
          <w:p w14:paraId="21A5E698"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r>
      <w:tr w:rsidR="00BC1D4B" w14:paraId="3000F192" w14:textId="77777777">
        <w:trPr>
          <w:trHeight w:val="20"/>
        </w:trPr>
        <w:tc>
          <w:tcPr>
            <w:tcW w:w="1991" w:type="pct"/>
            <w:shd w:val="clear" w:color="auto" w:fill="E6EED5"/>
            <w:vAlign w:val="center"/>
          </w:tcPr>
          <w:p w14:paraId="4083294B"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 xml:space="preserve">Estrogen Receptor α Activation (Human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shd w:val="clear" w:color="auto" w:fill="E6EED5"/>
            <w:vAlign w:val="center"/>
          </w:tcPr>
          <w:p w14:paraId="02D4072E"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NEG_OUT</w:t>
            </w:r>
          </w:p>
        </w:tc>
        <w:tc>
          <w:tcPr>
            <w:tcW w:w="738" w:type="pct"/>
            <w:shd w:val="clear" w:color="auto" w:fill="E6EED5"/>
            <w:vAlign w:val="center"/>
          </w:tcPr>
          <w:p w14:paraId="1B241687"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c>
          <w:tcPr>
            <w:tcW w:w="793" w:type="pct"/>
            <w:shd w:val="clear" w:color="auto" w:fill="E6EED5"/>
            <w:vAlign w:val="center"/>
          </w:tcPr>
          <w:p w14:paraId="5280EFF8"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NEG_OUT</w:t>
            </w:r>
          </w:p>
        </w:tc>
        <w:tc>
          <w:tcPr>
            <w:tcW w:w="720" w:type="pct"/>
            <w:shd w:val="clear" w:color="auto" w:fill="E6EED5"/>
            <w:vAlign w:val="center"/>
          </w:tcPr>
          <w:p w14:paraId="3782CD0B"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INC_OUT</w:t>
            </w:r>
          </w:p>
        </w:tc>
      </w:tr>
      <w:tr w:rsidR="00BC1D4B" w14:paraId="526A6629" w14:textId="77777777">
        <w:trPr>
          <w:trHeight w:val="20"/>
        </w:trPr>
        <w:tc>
          <w:tcPr>
            <w:tcW w:w="1991" w:type="pct"/>
            <w:vAlign w:val="center"/>
          </w:tcPr>
          <w:p w14:paraId="2F4027F6"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Estrogen Receptor Activation, CERAPP data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vAlign w:val="center"/>
          </w:tcPr>
          <w:p w14:paraId="4B49CB81"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vAlign w:val="center"/>
          </w:tcPr>
          <w:p w14:paraId="6910E41C"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vAlign w:val="center"/>
          </w:tcPr>
          <w:p w14:paraId="480BF49E"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NEG_IN</w:t>
            </w:r>
          </w:p>
        </w:tc>
        <w:tc>
          <w:tcPr>
            <w:tcW w:w="720" w:type="pct"/>
            <w:vAlign w:val="center"/>
          </w:tcPr>
          <w:p w14:paraId="0DB42133"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2C5B08B7" w14:textId="77777777">
        <w:trPr>
          <w:trHeight w:val="20"/>
        </w:trPr>
        <w:tc>
          <w:tcPr>
            <w:tcW w:w="1991" w:type="pct"/>
            <w:shd w:val="clear" w:color="auto" w:fill="EAF1DD"/>
            <w:vAlign w:val="center"/>
          </w:tcPr>
          <w:p w14:paraId="56DE1B6B"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 xml:space="preserve">Androgen Receptor Inhibition (Human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shd w:val="clear" w:color="auto" w:fill="EAF1DD"/>
            <w:vAlign w:val="center"/>
          </w:tcPr>
          <w:p w14:paraId="21CEC09F"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c>
          <w:tcPr>
            <w:tcW w:w="738" w:type="pct"/>
            <w:shd w:val="clear" w:color="auto" w:fill="EAF1DD"/>
            <w:vAlign w:val="center"/>
          </w:tcPr>
          <w:p w14:paraId="13C06B0E"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c>
          <w:tcPr>
            <w:tcW w:w="793" w:type="pct"/>
            <w:shd w:val="clear" w:color="auto" w:fill="EAF1DD"/>
            <w:vAlign w:val="center"/>
          </w:tcPr>
          <w:p w14:paraId="57D7C303"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NEG_OUT</w:t>
            </w:r>
          </w:p>
        </w:tc>
        <w:tc>
          <w:tcPr>
            <w:tcW w:w="720" w:type="pct"/>
            <w:shd w:val="clear" w:color="auto" w:fill="EAF1DD"/>
            <w:vAlign w:val="center"/>
          </w:tcPr>
          <w:p w14:paraId="0B613C82"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r>
      <w:tr w:rsidR="00BC1D4B" w14:paraId="725A8A98" w14:textId="77777777">
        <w:trPr>
          <w:trHeight w:val="20"/>
        </w:trPr>
        <w:tc>
          <w:tcPr>
            <w:tcW w:w="1991" w:type="pct"/>
            <w:vAlign w:val="center"/>
          </w:tcPr>
          <w:p w14:paraId="3B6A24E1"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Androgen Receptor Binding, CoMPARA data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vAlign w:val="center"/>
          </w:tcPr>
          <w:p w14:paraId="7215A1C1"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vAlign w:val="center"/>
          </w:tcPr>
          <w:p w14:paraId="42EB5709"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vAlign w:val="center"/>
          </w:tcPr>
          <w:p w14:paraId="5976B9BA"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NEG_IN</w:t>
            </w:r>
          </w:p>
        </w:tc>
        <w:tc>
          <w:tcPr>
            <w:tcW w:w="720" w:type="pct"/>
            <w:vAlign w:val="center"/>
          </w:tcPr>
          <w:p w14:paraId="3ABFFD05"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18B1DB07" w14:textId="77777777">
        <w:trPr>
          <w:trHeight w:val="20"/>
        </w:trPr>
        <w:tc>
          <w:tcPr>
            <w:tcW w:w="1991" w:type="pct"/>
            <w:shd w:val="clear" w:color="auto" w:fill="EAF1DD"/>
            <w:vAlign w:val="center"/>
          </w:tcPr>
          <w:p w14:paraId="1683EAFF"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Androgen Receptor Inhibition, CoMPARA data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shd w:val="clear" w:color="auto" w:fill="EAF1DD"/>
            <w:vAlign w:val="center"/>
          </w:tcPr>
          <w:p w14:paraId="5DDB0330"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shd w:val="clear" w:color="auto" w:fill="EAF1DD"/>
            <w:vAlign w:val="center"/>
          </w:tcPr>
          <w:p w14:paraId="36163E60"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shd w:val="clear" w:color="auto" w:fill="EAF1DD"/>
            <w:vAlign w:val="center"/>
          </w:tcPr>
          <w:p w14:paraId="0E63BEF9"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NEG_IN</w:t>
            </w:r>
          </w:p>
        </w:tc>
        <w:tc>
          <w:tcPr>
            <w:tcW w:w="720" w:type="pct"/>
            <w:shd w:val="clear" w:color="auto" w:fill="EAF1DD"/>
            <w:vAlign w:val="center"/>
          </w:tcPr>
          <w:p w14:paraId="23A1FE9F"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42D90FD3" w14:textId="77777777">
        <w:trPr>
          <w:trHeight w:val="20"/>
        </w:trPr>
        <w:tc>
          <w:tcPr>
            <w:tcW w:w="1991" w:type="pct"/>
            <w:vAlign w:val="center"/>
          </w:tcPr>
          <w:p w14:paraId="7A2C5708"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Androgen Receptor Activation, CoMPARA data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vAlign w:val="center"/>
          </w:tcPr>
          <w:p w14:paraId="1213D6A7"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vAlign w:val="center"/>
          </w:tcPr>
          <w:p w14:paraId="1E1E8B2E"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vAlign w:val="center"/>
          </w:tcPr>
          <w:p w14:paraId="14CE1444"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NEG_IN</w:t>
            </w:r>
          </w:p>
        </w:tc>
        <w:tc>
          <w:tcPr>
            <w:tcW w:w="720" w:type="pct"/>
            <w:vAlign w:val="center"/>
          </w:tcPr>
          <w:p w14:paraId="40EC4327"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10C0D780" w14:textId="77777777">
        <w:trPr>
          <w:trHeight w:val="20"/>
        </w:trPr>
        <w:tc>
          <w:tcPr>
            <w:tcW w:w="1991" w:type="pct"/>
            <w:shd w:val="clear" w:color="auto" w:fill="E6EED5"/>
            <w:vAlign w:val="center"/>
          </w:tcPr>
          <w:p w14:paraId="1C40F7A2" w14:textId="77777777" w:rsidR="00BC1D4B" w:rsidRDefault="00ED1F84">
            <w:pPr>
              <w:spacing w:after="0" w:line="276" w:lineRule="auto"/>
              <w:jc w:val="both"/>
              <w:rPr>
                <w:rFonts w:ascii="Verdana" w:eastAsia="Calibri" w:hAnsi="Verdana"/>
                <w:b/>
                <w:sz w:val="16"/>
                <w:szCs w:val="16"/>
                <w:lang w:val="en-US"/>
              </w:rPr>
            </w:pPr>
            <w:r>
              <w:rPr>
                <w:rFonts w:ascii="Verdana" w:eastAsia="Calibri" w:hAnsi="Verdana"/>
                <w:b/>
                <w:sz w:val="16"/>
                <w:szCs w:val="16"/>
                <w:lang w:val="en-US"/>
              </w:rPr>
              <w:t xml:space="preserve">Thyroperoxidase (TPO) inhibition QSAR1 (Rat </w:t>
            </w:r>
            <w:r>
              <w:rPr>
                <w:rFonts w:ascii="Verdana" w:eastAsia="Calibri" w:hAnsi="Verdana"/>
                <w:b/>
                <w:i/>
                <w:sz w:val="16"/>
                <w:szCs w:val="16"/>
                <w:lang w:val="en-US"/>
              </w:rPr>
              <w:t>in vitro</w:t>
            </w:r>
            <w:r>
              <w:rPr>
                <w:rFonts w:ascii="Verdana" w:eastAsia="Calibri" w:hAnsi="Verdana"/>
                <w:b/>
                <w:sz w:val="16"/>
                <w:szCs w:val="16"/>
                <w:lang w:val="en-US"/>
              </w:rPr>
              <w:t>)</w:t>
            </w:r>
          </w:p>
        </w:tc>
        <w:tc>
          <w:tcPr>
            <w:tcW w:w="758" w:type="pct"/>
            <w:shd w:val="clear" w:color="auto" w:fill="E6EED5"/>
            <w:vAlign w:val="center"/>
          </w:tcPr>
          <w:p w14:paraId="0368BD80"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shd w:val="clear" w:color="auto" w:fill="E6EED5"/>
            <w:vAlign w:val="center"/>
          </w:tcPr>
          <w:p w14:paraId="643A7B17"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shd w:val="clear" w:color="auto" w:fill="E6EED5"/>
            <w:vAlign w:val="center"/>
          </w:tcPr>
          <w:p w14:paraId="329105E9" w14:textId="77777777" w:rsidR="00BC1D4B" w:rsidRDefault="00ED1F84">
            <w:pPr>
              <w:spacing w:after="0" w:line="276" w:lineRule="auto"/>
              <w:jc w:val="both"/>
              <w:rPr>
                <w:rFonts w:ascii="Verdana" w:eastAsia="Calibri" w:hAnsi="Verdana"/>
                <w:b/>
                <w:sz w:val="16"/>
                <w:szCs w:val="16"/>
                <w:lang w:val="en-US"/>
              </w:rPr>
            </w:pPr>
            <w:r>
              <w:rPr>
                <w:rFonts w:ascii="Verdana" w:eastAsia="Calibri" w:hAnsi="Verdana"/>
                <w:b/>
                <w:sz w:val="16"/>
                <w:szCs w:val="16"/>
                <w:lang w:val="en-US"/>
              </w:rPr>
              <w:t>POS_IN</w:t>
            </w:r>
          </w:p>
        </w:tc>
        <w:tc>
          <w:tcPr>
            <w:tcW w:w="720" w:type="pct"/>
            <w:shd w:val="clear" w:color="auto" w:fill="E6EED5"/>
            <w:vAlign w:val="center"/>
          </w:tcPr>
          <w:p w14:paraId="009C8C59"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453C4700" w14:textId="77777777">
        <w:trPr>
          <w:trHeight w:val="20"/>
        </w:trPr>
        <w:tc>
          <w:tcPr>
            <w:tcW w:w="1991" w:type="pct"/>
            <w:vAlign w:val="center"/>
          </w:tcPr>
          <w:p w14:paraId="51180093" w14:textId="77777777" w:rsidR="00BC1D4B" w:rsidRDefault="00ED1F84">
            <w:pPr>
              <w:spacing w:after="0" w:line="276" w:lineRule="auto"/>
              <w:jc w:val="both"/>
              <w:rPr>
                <w:rFonts w:ascii="Verdana" w:eastAsia="Calibri" w:hAnsi="Verdana"/>
                <w:b/>
                <w:sz w:val="16"/>
                <w:szCs w:val="16"/>
                <w:lang w:val="en-US"/>
              </w:rPr>
            </w:pPr>
            <w:r>
              <w:rPr>
                <w:rFonts w:ascii="Verdana" w:eastAsia="Calibri" w:hAnsi="Verdana"/>
                <w:b/>
                <w:sz w:val="16"/>
                <w:szCs w:val="16"/>
                <w:lang w:val="en-US"/>
              </w:rPr>
              <w:t xml:space="preserve">Thyroperoxidase (TPO) inhibition QSAR2 (Rat </w:t>
            </w:r>
            <w:r>
              <w:rPr>
                <w:rFonts w:ascii="Verdana" w:eastAsia="Calibri" w:hAnsi="Verdana"/>
                <w:b/>
                <w:i/>
                <w:sz w:val="16"/>
                <w:szCs w:val="16"/>
                <w:lang w:val="en-US"/>
              </w:rPr>
              <w:t>in vitro</w:t>
            </w:r>
            <w:r>
              <w:rPr>
                <w:rFonts w:ascii="Verdana" w:eastAsia="Calibri" w:hAnsi="Verdana"/>
                <w:b/>
                <w:sz w:val="16"/>
                <w:szCs w:val="16"/>
                <w:lang w:val="en-US"/>
              </w:rPr>
              <w:t>)</w:t>
            </w:r>
          </w:p>
        </w:tc>
        <w:tc>
          <w:tcPr>
            <w:tcW w:w="758" w:type="pct"/>
            <w:vAlign w:val="center"/>
          </w:tcPr>
          <w:p w14:paraId="20DAD9CA"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vAlign w:val="center"/>
          </w:tcPr>
          <w:p w14:paraId="06E1D608"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vAlign w:val="center"/>
          </w:tcPr>
          <w:p w14:paraId="20DC9480" w14:textId="77777777" w:rsidR="00BC1D4B" w:rsidRDefault="00ED1F84">
            <w:pPr>
              <w:spacing w:after="0" w:line="276" w:lineRule="auto"/>
              <w:jc w:val="both"/>
              <w:rPr>
                <w:rFonts w:ascii="Verdana" w:eastAsia="Calibri" w:hAnsi="Verdana"/>
                <w:b/>
                <w:sz w:val="16"/>
                <w:szCs w:val="16"/>
                <w:lang w:val="en-US"/>
              </w:rPr>
            </w:pPr>
            <w:r>
              <w:rPr>
                <w:rFonts w:ascii="Verdana" w:eastAsia="Calibri" w:hAnsi="Verdana"/>
                <w:b/>
                <w:sz w:val="16"/>
                <w:szCs w:val="16"/>
                <w:lang w:val="en-US"/>
              </w:rPr>
              <w:t>POS_IN</w:t>
            </w:r>
          </w:p>
        </w:tc>
        <w:tc>
          <w:tcPr>
            <w:tcW w:w="720" w:type="pct"/>
            <w:vAlign w:val="center"/>
          </w:tcPr>
          <w:p w14:paraId="4939B0B1"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1AA768CA" w14:textId="77777777">
        <w:trPr>
          <w:trHeight w:val="20"/>
        </w:trPr>
        <w:tc>
          <w:tcPr>
            <w:tcW w:w="1991" w:type="pct"/>
            <w:shd w:val="clear" w:color="auto" w:fill="EAF1DD"/>
            <w:vAlign w:val="center"/>
          </w:tcPr>
          <w:p w14:paraId="347C9687"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Sodium/iodide symporter (NIS), higher sensitivity</w:t>
            </w:r>
          </w:p>
        </w:tc>
        <w:tc>
          <w:tcPr>
            <w:tcW w:w="758" w:type="pct"/>
            <w:shd w:val="clear" w:color="auto" w:fill="EAF1DD"/>
            <w:vAlign w:val="center"/>
          </w:tcPr>
          <w:p w14:paraId="2AA7967B"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shd w:val="clear" w:color="auto" w:fill="EAF1DD"/>
            <w:vAlign w:val="center"/>
          </w:tcPr>
          <w:p w14:paraId="7A44B390"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shd w:val="clear" w:color="auto" w:fill="EAF1DD"/>
            <w:vAlign w:val="center"/>
          </w:tcPr>
          <w:p w14:paraId="38A99512"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da-DK"/>
              </w:rPr>
              <w:t>INC_OUT</w:t>
            </w:r>
          </w:p>
        </w:tc>
        <w:tc>
          <w:tcPr>
            <w:tcW w:w="720" w:type="pct"/>
            <w:shd w:val="clear" w:color="auto" w:fill="EAF1DD"/>
            <w:vAlign w:val="center"/>
          </w:tcPr>
          <w:p w14:paraId="5CC8B3D2"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42F1D6A4" w14:textId="77777777">
        <w:trPr>
          <w:trHeight w:val="20"/>
        </w:trPr>
        <w:tc>
          <w:tcPr>
            <w:tcW w:w="1991" w:type="pct"/>
            <w:tcBorders>
              <w:bottom w:val="single" w:sz="4" w:space="0" w:color="auto"/>
            </w:tcBorders>
            <w:vAlign w:val="center"/>
          </w:tcPr>
          <w:p w14:paraId="236BDDA2"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lastRenderedPageBreak/>
              <w:t>Sodium/iodide symporter (NIS), higher specificity</w:t>
            </w:r>
          </w:p>
        </w:tc>
        <w:tc>
          <w:tcPr>
            <w:tcW w:w="758" w:type="pct"/>
            <w:tcBorders>
              <w:bottom w:val="single" w:sz="4" w:space="0" w:color="auto"/>
            </w:tcBorders>
            <w:vAlign w:val="center"/>
          </w:tcPr>
          <w:p w14:paraId="7C2257EE"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tcBorders>
              <w:bottom w:val="single" w:sz="4" w:space="0" w:color="auto"/>
            </w:tcBorders>
            <w:vAlign w:val="center"/>
          </w:tcPr>
          <w:p w14:paraId="4C943B9F"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tcBorders>
              <w:bottom w:val="single" w:sz="4" w:space="0" w:color="auto"/>
            </w:tcBorders>
            <w:vAlign w:val="center"/>
          </w:tcPr>
          <w:p w14:paraId="6DC02DD5"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da-DK"/>
              </w:rPr>
              <w:t>NEG_OUT</w:t>
            </w:r>
          </w:p>
        </w:tc>
        <w:tc>
          <w:tcPr>
            <w:tcW w:w="720" w:type="pct"/>
            <w:tcBorders>
              <w:bottom w:val="single" w:sz="4" w:space="0" w:color="auto"/>
            </w:tcBorders>
            <w:vAlign w:val="center"/>
          </w:tcPr>
          <w:p w14:paraId="00AB33E0"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7D1FDE3B" w14:textId="77777777">
        <w:trPr>
          <w:trHeight w:val="20"/>
        </w:trPr>
        <w:tc>
          <w:tcPr>
            <w:tcW w:w="1991" w:type="pct"/>
            <w:tcBorders>
              <w:top w:val="single" w:sz="4" w:space="0" w:color="auto"/>
              <w:left w:val="single" w:sz="4" w:space="0" w:color="auto"/>
              <w:bottom w:val="none" w:sz="4" w:space="0" w:color="000000"/>
              <w:right w:val="single" w:sz="4" w:space="0" w:color="auto"/>
            </w:tcBorders>
            <w:shd w:val="clear" w:color="auto" w:fill="E6EED5"/>
            <w:vAlign w:val="center"/>
          </w:tcPr>
          <w:p w14:paraId="52C4293F"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 xml:space="preserve">Thyroid Receptor α Binding (Human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tcBorders>
              <w:top w:val="single" w:sz="4" w:space="0" w:color="auto"/>
              <w:left w:val="single" w:sz="4" w:space="0" w:color="auto"/>
              <w:bottom w:val="none" w:sz="4" w:space="0" w:color="000000"/>
              <w:right w:val="single" w:sz="4" w:space="0" w:color="auto"/>
            </w:tcBorders>
            <w:shd w:val="clear" w:color="auto" w:fill="E6EED5"/>
            <w:vAlign w:val="center"/>
          </w:tcPr>
          <w:p w14:paraId="4A6F28C2" w14:textId="77777777" w:rsidR="00BC1D4B" w:rsidRDefault="00BC1D4B">
            <w:pPr>
              <w:spacing w:after="0"/>
              <w:jc w:val="both"/>
              <w:rPr>
                <w:rFonts w:ascii="Verdana" w:eastAsia="Calibri" w:hAnsi="Verdana"/>
                <w:sz w:val="16"/>
                <w:szCs w:val="16"/>
                <w:lang w:val="en-US"/>
              </w:rPr>
            </w:pPr>
          </w:p>
        </w:tc>
        <w:tc>
          <w:tcPr>
            <w:tcW w:w="738" w:type="pct"/>
            <w:tcBorders>
              <w:top w:val="single" w:sz="4" w:space="0" w:color="auto"/>
              <w:left w:val="single" w:sz="4" w:space="0" w:color="auto"/>
              <w:bottom w:val="none" w:sz="4" w:space="0" w:color="000000"/>
              <w:right w:val="single" w:sz="4" w:space="0" w:color="auto"/>
            </w:tcBorders>
            <w:shd w:val="clear" w:color="auto" w:fill="E6EED5"/>
            <w:vAlign w:val="center"/>
          </w:tcPr>
          <w:p w14:paraId="257B7045" w14:textId="77777777" w:rsidR="00BC1D4B" w:rsidRDefault="00BC1D4B">
            <w:pPr>
              <w:spacing w:after="0"/>
              <w:jc w:val="both"/>
              <w:rPr>
                <w:rFonts w:ascii="Verdana" w:eastAsia="Calibri" w:hAnsi="Verdana"/>
                <w:sz w:val="16"/>
                <w:szCs w:val="16"/>
                <w:lang w:val="en-US"/>
              </w:rPr>
            </w:pPr>
          </w:p>
        </w:tc>
        <w:tc>
          <w:tcPr>
            <w:tcW w:w="793" w:type="pct"/>
            <w:tcBorders>
              <w:top w:val="single" w:sz="4" w:space="0" w:color="auto"/>
              <w:left w:val="single" w:sz="4" w:space="0" w:color="auto"/>
              <w:bottom w:val="none" w:sz="4" w:space="0" w:color="000000"/>
              <w:right w:val="single" w:sz="4" w:space="0" w:color="auto"/>
            </w:tcBorders>
            <w:shd w:val="clear" w:color="auto" w:fill="E6EED5"/>
            <w:vAlign w:val="center"/>
          </w:tcPr>
          <w:p w14:paraId="0B8EE016" w14:textId="77777777" w:rsidR="00BC1D4B" w:rsidRDefault="00BC1D4B">
            <w:pPr>
              <w:spacing w:after="0"/>
              <w:jc w:val="both"/>
              <w:rPr>
                <w:rFonts w:ascii="Verdana" w:eastAsia="Calibri" w:hAnsi="Verdana"/>
                <w:sz w:val="16"/>
                <w:szCs w:val="16"/>
                <w:lang w:val="en-US"/>
              </w:rPr>
            </w:pPr>
          </w:p>
        </w:tc>
        <w:tc>
          <w:tcPr>
            <w:tcW w:w="720" w:type="pct"/>
            <w:tcBorders>
              <w:top w:val="single" w:sz="4" w:space="0" w:color="auto"/>
              <w:left w:val="single" w:sz="4" w:space="0" w:color="auto"/>
              <w:bottom w:val="none" w:sz="4" w:space="0" w:color="000000"/>
              <w:right w:val="single" w:sz="4" w:space="0" w:color="auto"/>
            </w:tcBorders>
            <w:shd w:val="clear" w:color="auto" w:fill="E6EED5"/>
            <w:vAlign w:val="center"/>
          </w:tcPr>
          <w:p w14:paraId="03375761" w14:textId="77777777" w:rsidR="00BC1D4B" w:rsidRDefault="00BC1D4B">
            <w:pPr>
              <w:spacing w:after="0"/>
              <w:jc w:val="both"/>
              <w:rPr>
                <w:rFonts w:ascii="Verdana" w:eastAsia="Calibri" w:hAnsi="Verdana"/>
                <w:sz w:val="16"/>
                <w:szCs w:val="16"/>
                <w:lang w:val="en-US"/>
              </w:rPr>
            </w:pPr>
          </w:p>
        </w:tc>
      </w:tr>
      <w:tr w:rsidR="00BC1D4B" w14:paraId="70365CD5" w14:textId="77777777">
        <w:trPr>
          <w:trHeight w:val="20"/>
        </w:trPr>
        <w:tc>
          <w:tcPr>
            <w:tcW w:w="1991" w:type="pct"/>
            <w:tcBorders>
              <w:top w:val="none" w:sz="4" w:space="0" w:color="000000"/>
              <w:left w:val="single" w:sz="4" w:space="0" w:color="auto"/>
              <w:bottom w:val="none" w:sz="4" w:space="0" w:color="000000"/>
              <w:right w:val="single" w:sz="4" w:space="0" w:color="auto"/>
            </w:tcBorders>
            <w:vAlign w:val="center"/>
          </w:tcPr>
          <w:p w14:paraId="4A9D6DE7" w14:textId="77777777" w:rsidR="00BC1D4B" w:rsidRDefault="00ED1F84" w:rsidP="0074729A">
            <w:pPr>
              <w:numPr>
                <w:ilvl w:val="0"/>
                <w:numId w:val="8"/>
              </w:numPr>
              <w:spacing w:after="0"/>
              <w:jc w:val="both"/>
              <w:rPr>
                <w:rFonts w:ascii="Verdana" w:eastAsia="Calibri" w:hAnsi="Verdana"/>
                <w:sz w:val="16"/>
                <w:szCs w:val="16"/>
                <w:lang w:val="en-US"/>
              </w:rPr>
            </w:pPr>
            <w:r>
              <w:rPr>
                <w:rFonts w:ascii="Verdana" w:eastAsia="Calibri" w:hAnsi="Verdana"/>
                <w:sz w:val="16"/>
                <w:szCs w:val="16"/>
                <w:lang w:val="en-US"/>
              </w:rPr>
              <w:t>mg/L</w:t>
            </w:r>
          </w:p>
        </w:tc>
        <w:tc>
          <w:tcPr>
            <w:tcW w:w="758" w:type="pct"/>
            <w:tcBorders>
              <w:top w:val="none" w:sz="4" w:space="0" w:color="000000"/>
              <w:left w:val="single" w:sz="4" w:space="0" w:color="auto"/>
              <w:bottom w:val="none" w:sz="4" w:space="0" w:color="000000"/>
              <w:right w:val="single" w:sz="4" w:space="0" w:color="auto"/>
            </w:tcBorders>
            <w:vAlign w:val="center"/>
          </w:tcPr>
          <w:p w14:paraId="148E1A0D" w14:textId="77777777" w:rsidR="00BC1D4B" w:rsidRDefault="00BC1D4B">
            <w:pPr>
              <w:spacing w:after="0"/>
              <w:jc w:val="both"/>
              <w:rPr>
                <w:rFonts w:ascii="Verdana" w:eastAsia="Calibri" w:hAnsi="Verdana"/>
                <w:sz w:val="16"/>
                <w:szCs w:val="16"/>
                <w:lang w:val="en-US"/>
              </w:rPr>
            </w:pPr>
          </w:p>
        </w:tc>
        <w:tc>
          <w:tcPr>
            <w:tcW w:w="738" w:type="pct"/>
            <w:tcBorders>
              <w:top w:val="none" w:sz="4" w:space="0" w:color="000000"/>
              <w:left w:val="single" w:sz="4" w:space="0" w:color="auto"/>
              <w:bottom w:val="none" w:sz="4" w:space="0" w:color="000000"/>
              <w:right w:val="single" w:sz="4" w:space="0" w:color="auto"/>
            </w:tcBorders>
            <w:vAlign w:val="center"/>
          </w:tcPr>
          <w:p w14:paraId="2A8A241D"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33793.86</w:t>
            </w:r>
          </w:p>
        </w:tc>
        <w:tc>
          <w:tcPr>
            <w:tcW w:w="793" w:type="pct"/>
            <w:tcBorders>
              <w:top w:val="none" w:sz="4" w:space="0" w:color="000000"/>
              <w:left w:val="single" w:sz="4" w:space="0" w:color="auto"/>
              <w:bottom w:val="none" w:sz="4" w:space="0" w:color="000000"/>
              <w:right w:val="single" w:sz="4" w:space="0" w:color="auto"/>
            </w:tcBorders>
            <w:vAlign w:val="center"/>
          </w:tcPr>
          <w:p w14:paraId="109839A4"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1741.678</w:t>
            </w:r>
          </w:p>
        </w:tc>
        <w:tc>
          <w:tcPr>
            <w:tcW w:w="720" w:type="pct"/>
            <w:tcBorders>
              <w:top w:val="none" w:sz="4" w:space="0" w:color="000000"/>
              <w:left w:val="single" w:sz="4" w:space="0" w:color="auto"/>
              <w:bottom w:val="none" w:sz="4" w:space="0" w:color="000000"/>
              <w:right w:val="single" w:sz="4" w:space="0" w:color="auto"/>
            </w:tcBorders>
            <w:vAlign w:val="center"/>
          </w:tcPr>
          <w:p w14:paraId="3AE7F888" w14:textId="77777777" w:rsidR="00BC1D4B" w:rsidRDefault="00ED1F84">
            <w:pPr>
              <w:spacing w:after="0"/>
              <w:jc w:val="both"/>
              <w:rPr>
                <w:rFonts w:ascii="Verdana" w:eastAsia="Calibri" w:hAnsi="Verdana"/>
                <w:sz w:val="16"/>
                <w:szCs w:val="16"/>
                <w:lang w:val="da-DK"/>
              </w:rPr>
            </w:pPr>
            <w:r>
              <w:rPr>
                <w:rFonts w:ascii="Verdana" w:eastAsia="Calibri" w:hAnsi="Verdana"/>
                <w:sz w:val="16"/>
                <w:szCs w:val="16"/>
                <w:lang w:val="en-US"/>
              </w:rPr>
              <w:t>16.22699</w:t>
            </w:r>
          </w:p>
        </w:tc>
      </w:tr>
      <w:tr w:rsidR="00BC1D4B" w14:paraId="536D6C1C" w14:textId="77777777">
        <w:trPr>
          <w:trHeight w:val="20"/>
        </w:trPr>
        <w:tc>
          <w:tcPr>
            <w:tcW w:w="1991" w:type="pct"/>
            <w:tcBorders>
              <w:top w:val="none" w:sz="4" w:space="0" w:color="000000"/>
              <w:left w:val="single" w:sz="4" w:space="0" w:color="auto"/>
              <w:bottom w:val="none" w:sz="4" w:space="0" w:color="000000"/>
              <w:right w:val="single" w:sz="4" w:space="0" w:color="auto"/>
            </w:tcBorders>
            <w:shd w:val="clear" w:color="auto" w:fill="E6EED5"/>
            <w:vAlign w:val="center"/>
          </w:tcPr>
          <w:p w14:paraId="70945901" w14:textId="77777777" w:rsidR="00BC1D4B" w:rsidRDefault="00ED1F84" w:rsidP="0074729A">
            <w:pPr>
              <w:numPr>
                <w:ilvl w:val="0"/>
                <w:numId w:val="8"/>
              </w:numPr>
              <w:spacing w:after="0"/>
              <w:jc w:val="both"/>
              <w:rPr>
                <w:rFonts w:ascii="Verdana" w:eastAsia="Calibri" w:hAnsi="Verdana"/>
                <w:sz w:val="16"/>
                <w:szCs w:val="16"/>
                <w:lang w:val="en-US"/>
              </w:rPr>
            </w:pPr>
            <w:r>
              <w:rPr>
                <w:rFonts w:ascii="Verdana" w:eastAsia="Calibri" w:hAnsi="Verdana"/>
                <w:sz w:val="16"/>
                <w:szCs w:val="16"/>
                <w:lang w:val="en-US"/>
              </w:rPr>
              <w:t>µM</w:t>
            </w:r>
          </w:p>
        </w:tc>
        <w:tc>
          <w:tcPr>
            <w:tcW w:w="758" w:type="pct"/>
            <w:tcBorders>
              <w:top w:val="none" w:sz="4" w:space="0" w:color="000000"/>
              <w:left w:val="single" w:sz="4" w:space="0" w:color="auto"/>
              <w:bottom w:val="none" w:sz="4" w:space="0" w:color="000000"/>
              <w:right w:val="single" w:sz="4" w:space="0" w:color="auto"/>
            </w:tcBorders>
            <w:shd w:val="clear" w:color="auto" w:fill="E6EED5"/>
            <w:vAlign w:val="center"/>
          </w:tcPr>
          <w:p w14:paraId="06275E7F" w14:textId="77777777" w:rsidR="00BC1D4B" w:rsidRDefault="00BC1D4B">
            <w:pPr>
              <w:spacing w:after="0"/>
              <w:jc w:val="both"/>
              <w:rPr>
                <w:rFonts w:ascii="Verdana" w:eastAsia="Calibri" w:hAnsi="Verdana"/>
                <w:sz w:val="16"/>
                <w:szCs w:val="16"/>
                <w:lang w:val="en-US"/>
              </w:rPr>
            </w:pPr>
          </w:p>
        </w:tc>
        <w:tc>
          <w:tcPr>
            <w:tcW w:w="738" w:type="pct"/>
            <w:tcBorders>
              <w:top w:val="none" w:sz="4" w:space="0" w:color="000000"/>
              <w:left w:val="single" w:sz="4" w:space="0" w:color="auto"/>
              <w:bottom w:val="none" w:sz="4" w:space="0" w:color="000000"/>
              <w:right w:val="single" w:sz="4" w:space="0" w:color="auto"/>
            </w:tcBorders>
            <w:shd w:val="clear" w:color="auto" w:fill="E6EED5"/>
            <w:vAlign w:val="center"/>
          </w:tcPr>
          <w:p w14:paraId="2F60ED9A"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159955.8</w:t>
            </w:r>
          </w:p>
        </w:tc>
        <w:tc>
          <w:tcPr>
            <w:tcW w:w="793" w:type="pct"/>
            <w:tcBorders>
              <w:top w:val="none" w:sz="4" w:space="0" w:color="000000"/>
              <w:left w:val="single" w:sz="4" w:space="0" w:color="auto"/>
              <w:bottom w:val="none" w:sz="4" w:space="0" w:color="000000"/>
              <w:right w:val="single" w:sz="4" w:space="0" w:color="auto"/>
            </w:tcBorders>
            <w:shd w:val="clear" w:color="auto" w:fill="E6EED5"/>
            <w:vAlign w:val="center"/>
          </w:tcPr>
          <w:p w14:paraId="34880104"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8243.85</w:t>
            </w:r>
          </w:p>
        </w:tc>
        <w:tc>
          <w:tcPr>
            <w:tcW w:w="720" w:type="pct"/>
            <w:tcBorders>
              <w:top w:val="none" w:sz="4" w:space="0" w:color="000000"/>
              <w:left w:val="single" w:sz="4" w:space="0" w:color="auto"/>
              <w:bottom w:val="none" w:sz="4" w:space="0" w:color="000000"/>
              <w:right w:val="single" w:sz="4" w:space="0" w:color="auto"/>
            </w:tcBorders>
            <w:shd w:val="clear" w:color="auto" w:fill="E6EED5"/>
            <w:vAlign w:val="center"/>
          </w:tcPr>
          <w:p w14:paraId="609BC8A6"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76.80687</w:t>
            </w:r>
          </w:p>
        </w:tc>
      </w:tr>
      <w:tr w:rsidR="00BC1D4B" w14:paraId="1C40827B" w14:textId="77777777">
        <w:trPr>
          <w:trHeight w:val="20"/>
        </w:trPr>
        <w:tc>
          <w:tcPr>
            <w:tcW w:w="1991" w:type="pct"/>
            <w:tcBorders>
              <w:top w:val="none" w:sz="4" w:space="0" w:color="000000"/>
              <w:left w:val="single" w:sz="4" w:space="0" w:color="auto"/>
              <w:bottom w:val="none" w:sz="4" w:space="0" w:color="000000"/>
              <w:right w:val="single" w:sz="4" w:space="0" w:color="auto"/>
            </w:tcBorders>
            <w:vAlign w:val="center"/>
          </w:tcPr>
          <w:p w14:paraId="27D945EA" w14:textId="77777777" w:rsidR="00BC1D4B" w:rsidRDefault="00ED1F84" w:rsidP="0074729A">
            <w:pPr>
              <w:numPr>
                <w:ilvl w:val="0"/>
                <w:numId w:val="8"/>
              </w:numPr>
              <w:spacing w:after="0"/>
              <w:jc w:val="both"/>
              <w:rPr>
                <w:rFonts w:ascii="Verdana" w:eastAsia="Calibri" w:hAnsi="Verdana"/>
                <w:sz w:val="16"/>
                <w:szCs w:val="16"/>
                <w:lang w:val="en-US"/>
              </w:rPr>
            </w:pPr>
            <w:r>
              <w:rPr>
                <w:rFonts w:ascii="Verdana" w:eastAsia="Calibri" w:hAnsi="Verdana"/>
                <w:sz w:val="16"/>
                <w:szCs w:val="16"/>
                <w:lang w:val="en-US"/>
              </w:rPr>
              <w:t xml:space="preserve">Positive for </w:t>
            </w:r>
            <w:r>
              <w:rPr>
                <w:rFonts w:ascii="Verdana" w:eastAsia="Calibri" w:hAnsi="Verdana"/>
                <w:sz w:val="16"/>
                <w:szCs w:val="16"/>
                <w:lang w:val="da-DK"/>
              </w:rPr>
              <w:t>IC</w:t>
            </w:r>
            <w:r>
              <w:rPr>
                <w:rFonts w:ascii="Verdana" w:eastAsia="Calibri" w:hAnsi="Verdana"/>
                <w:sz w:val="16"/>
                <w:szCs w:val="16"/>
                <w:vertAlign w:val="subscript"/>
                <w:lang w:val="da-DK"/>
              </w:rPr>
              <w:t>50</w:t>
            </w:r>
            <w:r>
              <w:rPr>
                <w:rFonts w:ascii="Verdana" w:eastAsia="Calibri" w:hAnsi="Verdana"/>
                <w:sz w:val="16"/>
                <w:szCs w:val="16"/>
                <w:lang w:val="da-DK"/>
              </w:rPr>
              <w:t xml:space="preserve"> ≤ 10 µM</w:t>
            </w:r>
          </w:p>
        </w:tc>
        <w:tc>
          <w:tcPr>
            <w:tcW w:w="758" w:type="pct"/>
            <w:tcBorders>
              <w:top w:val="none" w:sz="4" w:space="0" w:color="000000"/>
              <w:left w:val="single" w:sz="4" w:space="0" w:color="auto"/>
              <w:bottom w:val="none" w:sz="4" w:space="0" w:color="000000"/>
              <w:right w:val="single" w:sz="4" w:space="0" w:color="auto"/>
            </w:tcBorders>
            <w:vAlign w:val="center"/>
          </w:tcPr>
          <w:p w14:paraId="555BF062" w14:textId="77777777" w:rsidR="00BC1D4B" w:rsidRDefault="00BC1D4B">
            <w:pPr>
              <w:spacing w:after="0"/>
              <w:jc w:val="both"/>
              <w:rPr>
                <w:rFonts w:ascii="Verdana" w:eastAsia="Calibri" w:hAnsi="Verdana"/>
                <w:sz w:val="16"/>
                <w:szCs w:val="16"/>
                <w:lang w:val="en-US"/>
              </w:rPr>
            </w:pPr>
          </w:p>
        </w:tc>
        <w:tc>
          <w:tcPr>
            <w:tcW w:w="738" w:type="pct"/>
            <w:tcBorders>
              <w:top w:val="none" w:sz="4" w:space="0" w:color="000000"/>
              <w:left w:val="single" w:sz="4" w:space="0" w:color="auto"/>
              <w:bottom w:val="none" w:sz="4" w:space="0" w:color="000000"/>
              <w:right w:val="single" w:sz="4" w:space="0" w:color="auto"/>
            </w:tcBorders>
            <w:vAlign w:val="center"/>
          </w:tcPr>
          <w:p w14:paraId="4321B94A" w14:textId="77777777" w:rsidR="00BC1D4B" w:rsidRDefault="00BC1D4B">
            <w:pPr>
              <w:spacing w:after="0"/>
              <w:jc w:val="both"/>
              <w:rPr>
                <w:rFonts w:ascii="Verdana" w:eastAsia="Calibri" w:hAnsi="Verdana"/>
                <w:sz w:val="16"/>
                <w:szCs w:val="16"/>
                <w:lang w:val="en-US"/>
              </w:rPr>
            </w:pPr>
          </w:p>
        </w:tc>
        <w:tc>
          <w:tcPr>
            <w:tcW w:w="793" w:type="pct"/>
            <w:tcBorders>
              <w:top w:val="none" w:sz="4" w:space="0" w:color="000000"/>
              <w:left w:val="single" w:sz="4" w:space="0" w:color="auto"/>
              <w:bottom w:val="none" w:sz="4" w:space="0" w:color="000000"/>
              <w:right w:val="single" w:sz="4" w:space="0" w:color="auto"/>
            </w:tcBorders>
            <w:vAlign w:val="center"/>
          </w:tcPr>
          <w:p w14:paraId="7FCE35FA" w14:textId="77777777" w:rsidR="00BC1D4B" w:rsidRDefault="00BC1D4B">
            <w:pPr>
              <w:spacing w:after="0"/>
              <w:jc w:val="both"/>
              <w:rPr>
                <w:rFonts w:ascii="Verdana" w:eastAsia="Calibri" w:hAnsi="Verdana"/>
                <w:sz w:val="16"/>
                <w:szCs w:val="16"/>
                <w:lang w:val="en-US"/>
              </w:rPr>
            </w:pPr>
          </w:p>
        </w:tc>
        <w:tc>
          <w:tcPr>
            <w:tcW w:w="720" w:type="pct"/>
            <w:tcBorders>
              <w:top w:val="none" w:sz="4" w:space="0" w:color="000000"/>
              <w:left w:val="single" w:sz="4" w:space="0" w:color="auto"/>
              <w:bottom w:val="none" w:sz="4" w:space="0" w:color="000000"/>
              <w:right w:val="single" w:sz="4" w:space="0" w:color="auto"/>
            </w:tcBorders>
            <w:vAlign w:val="center"/>
          </w:tcPr>
          <w:p w14:paraId="24F9BFD1" w14:textId="77777777" w:rsidR="00BC1D4B" w:rsidRDefault="00BC1D4B">
            <w:pPr>
              <w:spacing w:after="0"/>
              <w:jc w:val="both"/>
              <w:rPr>
                <w:rFonts w:ascii="Verdana" w:eastAsia="Calibri" w:hAnsi="Verdana"/>
                <w:sz w:val="16"/>
                <w:szCs w:val="16"/>
                <w:lang w:val="en-US"/>
              </w:rPr>
            </w:pPr>
          </w:p>
        </w:tc>
      </w:tr>
      <w:tr w:rsidR="00BC1D4B" w14:paraId="67F57042" w14:textId="77777777">
        <w:trPr>
          <w:trHeight w:val="20"/>
        </w:trPr>
        <w:tc>
          <w:tcPr>
            <w:tcW w:w="1991" w:type="pct"/>
            <w:tcBorders>
              <w:top w:val="none" w:sz="4" w:space="0" w:color="000000"/>
              <w:left w:val="single" w:sz="4" w:space="0" w:color="auto"/>
              <w:bottom w:val="none" w:sz="4" w:space="0" w:color="000000"/>
              <w:right w:val="single" w:sz="4" w:space="0" w:color="auto"/>
            </w:tcBorders>
            <w:shd w:val="clear" w:color="auto" w:fill="E6EED5"/>
            <w:vAlign w:val="center"/>
          </w:tcPr>
          <w:p w14:paraId="71DA5C15" w14:textId="77777777" w:rsidR="00BC1D4B" w:rsidRDefault="00ED1F84" w:rsidP="0074729A">
            <w:pPr>
              <w:numPr>
                <w:ilvl w:val="0"/>
                <w:numId w:val="8"/>
              </w:numPr>
              <w:spacing w:after="0"/>
              <w:jc w:val="both"/>
              <w:rPr>
                <w:rFonts w:ascii="Verdana" w:eastAsia="Calibri" w:hAnsi="Verdana"/>
                <w:sz w:val="16"/>
                <w:szCs w:val="16"/>
                <w:lang w:val="en-US"/>
              </w:rPr>
            </w:pPr>
            <w:r>
              <w:rPr>
                <w:rFonts w:ascii="Verdana" w:eastAsia="Calibri" w:hAnsi="Verdana"/>
                <w:sz w:val="16"/>
                <w:szCs w:val="16"/>
                <w:lang w:val="en-US"/>
              </w:rPr>
              <w:t xml:space="preserve">Positive for </w:t>
            </w:r>
            <w:r>
              <w:rPr>
                <w:rFonts w:ascii="Verdana" w:eastAsia="Calibri" w:hAnsi="Verdana"/>
                <w:sz w:val="16"/>
                <w:szCs w:val="16"/>
                <w:lang w:val="da-DK"/>
              </w:rPr>
              <w:t>IC</w:t>
            </w:r>
            <w:r>
              <w:rPr>
                <w:rFonts w:ascii="Verdana" w:eastAsia="Calibri" w:hAnsi="Verdana"/>
                <w:sz w:val="16"/>
                <w:szCs w:val="16"/>
                <w:vertAlign w:val="subscript"/>
                <w:lang w:val="da-DK"/>
              </w:rPr>
              <w:t>50</w:t>
            </w:r>
            <w:r>
              <w:rPr>
                <w:rFonts w:ascii="Verdana" w:eastAsia="Calibri" w:hAnsi="Verdana"/>
                <w:sz w:val="16"/>
                <w:szCs w:val="16"/>
                <w:lang w:val="da-DK"/>
              </w:rPr>
              <w:t xml:space="preserve"> ≤ 100 µM</w:t>
            </w:r>
            <w:r>
              <w:rPr>
                <w:rFonts w:ascii="Verdana" w:eastAsia="Calibri" w:hAnsi="Verdana"/>
                <w:sz w:val="16"/>
                <w:szCs w:val="16"/>
                <w:lang w:val="en-US"/>
              </w:rPr>
              <w:t xml:space="preserve"> </w:t>
            </w:r>
          </w:p>
        </w:tc>
        <w:tc>
          <w:tcPr>
            <w:tcW w:w="758" w:type="pct"/>
            <w:tcBorders>
              <w:top w:val="none" w:sz="4" w:space="0" w:color="000000"/>
              <w:left w:val="single" w:sz="4" w:space="0" w:color="auto"/>
              <w:bottom w:val="none" w:sz="4" w:space="0" w:color="000000"/>
              <w:right w:val="single" w:sz="4" w:space="0" w:color="auto"/>
            </w:tcBorders>
            <w:shd w:val="clear" w:color="auto" w:fill="E6EED5"/>
            <w:vAlign w:val="center"/>
          </w:tcPr>
          <w:p w14:paraId="610B82B2" w14:textId="77777777" w:rsidR="00BC1D4B" w:rsidRDefault="00BC1D4B">
            <w:pPr>
              <w:spacing w:after="0"/>
              <w:jc w:val="both"/>
              <w:rPr>
                <w:rFonts w:ascii="Verdana" w:eastAsia="Calibri" w:hAnsi="Verdana"/>
                <w:sz w:val="16"/>
                <w:szCs w:val="16"/>
                <w:lang w:val="en-US"/>
              </w:rPr>
            </w:pPr>
          </w:p>
        </w:tc>
        <w:tc>
          <w:tcPr>
            <w:tcW w:w="738" w:type="pct"/>
            <w:tcBorders>
              <w:top w:val="none" w:sz="4" w:space="0" w:color="000000"/>
              <w:left w:val="single" w:sz="4" w:space="0" w:color="auto"/>
              <w:bottom w:val="none" w:sz="4" w:space="0" w:color="000000"/>
              <w:right w:val="single" w:sz="4" w:space="0" w:color="auto"/>
            </w:tcBorders>
            <w:shd w:val="clear" w:color="auto" w:fill="E6EED5"/>
            <w:vAlign w:val="center"/>
          </w:tcPr>
          <w:p w14:paraId="11A1C441" w14:textId="77777777" w:rsidR="00BC1D4B" w:rsidRDefault="00BC1D4B">
            <w:pPr>
              <w:spacing w:after="0"/>
              <w:jc w:val="both"/>
              <w:rPr>
                <w:rFonts w:ascii="Verdana" w:eastAsia="Calibri" w:hAnsi="Verdana"/>
                <w:sz w:val="16"/>
                <w:szCs w:val="16"/>
                <w:lang w:val="en-US"/>
              </w:rPr>
            </w:pPr>
          </w:p>
        </w:tc>
        <w:tc>
          <w:tcPr>
            <w:tcW w:w="793" w:type="pct"/>
            <w:tcBorders>
              <w:top w:val="none" w:sz="4" w:space="0" w:color="000000"/>
              <w:left w:val="single" w:sz="4" w:space="0" w:color="auto"/>
              <w:bottom w:val="none" w:sz="4" w:space="0" w:color="000000"/>
              <w:right w:val="single" w:sz="4" w:space="0" w:color="auto"/>
            </w:tcBorders>
            <w:shd w:val="clear" w:color="auto" w:fill="E6EED5"/>
            <w:vAlign w:val="center"/>
          </w:tcPr>
          <w:p w14:paraId="05F2A013" w14:textId="77777777" w:rsidR="00BC1D4B" w:rsidRDefault="00BC1D4B">
            <w:pPr>
              <w:spacing w:after="0"/>
              <w:jc w:val="both"/>
              <w:rPr>
                <w:rFonts w:ascii="Verdana" w:eastAsia="Calibri" w:hAnsi="Verdana"/>
                <w:sz w:val="16"/>
                <w:szCs w:val="16"/>
                <w:lang w:val="en-US"/>
              </w:rPr>
            </w:pPr>
          </w:p>
        </w:tc>
        <w:tc>
          <w:tcPr>
            <w:tcW w:w="720" w:type="pct"/>
            <w:tcBorders>
              <w:top w:val="none" w:sz="4" w:space="0" w:color="000000"/>
              <w:left w:val="single" w:sz="4" w:space="0" w:color="auto"/>
              <w:bottom w:val="none" w:sz="4" w:space="0" w:color="000000"/>
              <w:right w:val="single" w:sz="4" w:space="0" w:color="auto"/>
            </w:tcBorders>
            <w:shd w:val="clear" w:color="auto" w:fill="E6EED5"/>
            <w:vAlign w:val="center"/>
          </w:tcPr>
          <w:p w14:paraId="47F39DB1" w14:textId="77777777" w:rsidR="00BC1D4B" w:rsidRDefault="00BC1D4B">
            <w:pPr>
              <w:spacing w:after="0"/>
              <w:jc w:val="both"/>
              <w:rPr>
                <w:rFonts w:ascii="Verdana" w:eastAsia="Calibri" w:hAnsi="Verdana"/>
                <w:sz w:val="16"/>
                <w:szCs w:val="16"/>
                <w:lang w:val="en-US"/>
              </w:rPr>
            </w:pPr>
          </w:p>
        </w:tc>
      </w:tr>
      <w:tr w:rsidR="00BC1D4B" w14:paraId="349EDB70" w14:textId="77777777">
        <w:trPr>
          <w:trHeight w:val="20"/>
        </w:trPr>
        <w:tc>
          <w:tcPr>
            <w:tcW w:w="1991" w:type="pct"/>
            <w:tcBorders>
              <w:top w:val="none" w:sz="4" w:space="0" w:color="000000"/>
              <w:left w:val="single" w:sz="4" w:space="0" w:color="auto"/>
              <w:bottom w:val="single" w:sz="4" w:space="0" w:color="auto"/>
              <w:right w:val="single" w:sz="4" w:space="0" w:color="auto"/>
            </w:tcBorders>
            <w:vAlign w:val="center"/>
          </w:tcPr>
          <w:p w14:paraId="4DE06F77" w14:textId="77777777" w:rsidR="00BC1D4B" w:rsidRDefault="00ED1F84" w:rsidP="0074729A">
            <w:pPr>
              <w:numPr>
                <w:ilvl w:val="0"/>
                <w:numId w:val="8"/>
              </w:numPr>
              <w:spacing w:after="0"/>
              <w:jc w:val="both"/>
              <w:rPr>
                <w:rFonts w:ascii="Verdana" w:eastAsia="Calibri" w:hAnsi="Verdana"/>
                <w:sz w:val="16"/>
                <w:szCs w:val="16"/>
                <w:lang w:val="da-DK"/>
              </w:rPr>
            </w:pPr>
            <w:r>
              <w:rPr>
                <w:rFonts w:ascii="Verdana" w:eastAsia="Calibri" w:hAnsi="Verdana"/>
                <w:sz w:val="16"/>
                <w:szCs w:val="16"/>
                <w:lang w:val="en-US"/>
              </w:rPr>
              <w:t>Domain</w:t>
            </w:r>
          </w:p>
        </w:tc>
        <w:tc>
          <w:tcPr>
            <w:tcW w:w="758" w:type="pct"/>
            <w:tcBorders>
              <w:top w:val="none" w:sz="4" w:space="0" w:color="000000"/>
              <w:left w:val="single" w:sz="4" w:space="0" w:color="auto"/>
              <w:bottom w:val="single" w:sz="4" w:space="0" w:color="auto"/>
              <w:right w:val="single" w:sz="4" w:space="0" w:color="auto"/>
            </w:tcBorders>
            <w:vAlign w:val="center"/>
          </w:tcPr>
          <w:p w14:paraId="3620F9C1" w14:textId="77777777" w:rsidR="00BC1D4B" w:rsidRDefault="00ED1F84">
            <w:pPr>
              <w:spacing w:after="0"/>
              <w:jc w:val="both"/>
              <w:rPr>
                <w:rFonts w:ascii="Verdana" w:eastAsia="Calibri" w:hAnsi="Verdana"/>
                <w:sz w:val="16"/>
                <w:szCs w:val="16"/>
                <w:lang w:val="da-DK"/>
              </w:rPr>
            </w:pPr>
            <w:r>
              <w:rPr>
                <w:rFonts w:ascii="Verdana" w:eastAsia="Calibri" w:hAnsi="Verdana"/>
                <w:sz w:val="16"/>
                <w:szCs w:val="16"/>
                <w:lang w:val="en-US"/>
              </w:rPr>
              <w:t>OUT</w:t>
            </w:r>
          </w:p>
        </w:tc>
        <w:tc>
          <w:tcPr>
            <w:tcW w:w="738" w:type="pct"/>
            <w:tcBorders>
              <w:top w:val="none" w:sz="4" w:space="0" w:color="000000"/>
              <w:left w:val="single" w:sz="4" w:space="0" w:color="auto"/>
              <w:bottom w:val="single" w:sz="4" w:space="0" w:color="auto"/>
              <w:right w:val="single" w:sz="4" w:space="0" w:color="auto"/>
            </w:tcBorders>
            <w:vAlign w:val="center"/>
          </w:tcPr>
          <w:p w14:paraId="2A1A2C91" w14:textId="77777777" w:rsidR="00BC1D4B" w:rsidRDefault="00ED1F84">
            <w:pPr>
              <w:spacing w:after="0"/>
              <w:jc w:val="both"/>
              <w:rPr>
                <w:rFonts w:ascii="Verdana" w:eastAsia="Calibri" w:hAnsi="Verdana"/>
                <w:sz w:val="16"/>
                <w:szCs w:val="16"/>
                <w:lang w:val="da-DK"/>
              </w:rPr>
            </w:pPr>
            <w:r>
              <w:rPr>
                <w:rFonts w:ascii="Verdana" w:eastAsia="Calibri" w:hAnsi="Verdana"/>
                <w:sz w:val="16"/>
                <w:szCs w:val="16"/>
                <w:lang w:val="en-US"/>
              </w:rPr>
              <w:t>OUT</w:t>
            </w:r>
          </w:p>
        </w:tc>
        <w:tc>
          <w:tcPr>
            <w:tcW w:w="793" w:type="pct"/>
            <w:tcBorders>
              <w:top w:val="none" w:sz="4" w:space="0" w:color="000000"/>
              <w:left w:val="single" w:sz="4" w:space="0" w:color="auto"/>
              <w:bottom w:val="single" w:sz="4" w:space="0" w:color="auto"/>
              <w:right w:val="single" w:sz="4" w:space="0" w:color="auto"/>
            </w:tcBorders>
            <w:vAlign w:val="center"/>
          </w:tcPr>
          <w:p w14:paraId="492C8D25" w14:textId="77777777" w:rsidR="00BC1D4B" w:rsidRDefault="00ED1F84">
            <w:pPr>
              <w:spacing w:after="0"/>
              <w:jc w:val="both"/>
              <w:rPr>
                <w:rFonts w:ascii="Verdana" w:eastAsia="Calibri" w:hAnsi="Verdana"/>
                <w:sz w:val="16"/>
                <w:szCs w:val="16"/>
                <w:lang w:val="da-DK"/>
              </w:rPr>
            </w:pPr>
            <w:r>
              <w:rPr>
                <w:rFonts w:ascii="Verdana" w:eastAsia="Calibri" w:hAnsi="Verdana"/>
                <w:sz w:val="16"/>
                <w:szCs w:val="16"/>
                <w:lang w:val="en-US"/>
              </w:rPr>
              <w:t>OUT</w:t>
            </w:r>
          </w:p>
        </w:tc>
        <w:tc>
          <w:tcPr>
            <w:tcW w:w="720" w:type="pct"/>
            <w:tcBorders>
              <w:top w:val="none" w:sz="4" w:space="0" w:color="000000"/>
              <w:left w:val="single" w:sz="4" w:space="0" w:color="auto"/>
              <w:bottom w:val="single" w:sz="4" w:space="0" w:color="auto"/>
              <w:right w:val="single" w:sz="4" w:space="0" w:color="auto"/>
            </w:tcBorders>
            <w:vAlign w:val="center"/>
          </w:tcPr>
          <w:p w14:paraId="4D2F8F72" w14:textId="77777777" w:rsidR="00BC1D4B" w:rsidRDefault="00ED1F84">
            <w:pPr>
              <w:spacing w:after="0"/>
              <w:jc w:val="both"/>
              <w:rPr>
                <w:rFonts w:ascii="Verdana" w:eastAsia="Calibri" w:hAnsi="Verdana"/>
                <w:sz w:val="16"/>
                <w:szCs w:val="16"/>
                <w:lang w:val="da-DK"/>
              </w:rPr>
            </w:pPr>
            <w:r>
              <w:rPr>
                <w:rFonts w:ascii="Verdana" w:eastAsia="Calibri" w:hAnsi="Verdana"/>
                <w:sz w:val="16"/>
                <w:szCs w:val="16"/>
                <w:lang w:val="da-DK"/>
              </w:rPr>
              <w:t>OUT</w:t>
            </w:r>
          </w:p>
        </w:tc>
      </w:tr>
      <w:tr w:rsidR="00BC1D4B" w14:paraId="7E90A289" w14:textId="77777777">
        <w:trPr>
          <w:trHeight w:val="20"/>
        </w:trPr>
        <w:tc>
          <w:tcPr>
            <w:tcW w:w="1991" w:type="pct"/>
            <w:tcBorders>
              <w:top w:val="single" w:sz="4" w:space="0" w:color="auto"/>
              <w:left w:val="single" w:sz="4" w:space="0" w:color="auto"/>
              <w:bottom w:val="none" w:sz="4" w:space="0" w:color="000000"/>
              <w:right w:val="single" w:sz="4" w:space="0" w:color="auto"/>
            </w:tcBorders>
            <w:vAlign w:val="center"/>
          </w:tcPr>
          <w:p w14:paraId="4D55150E"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Thyroid Receptor β Binding (Human in vitro)</w:t>
            </w:r>
          </w:p>
        </w:tc>
        <w:tc>
          <w:tcPr>
            <w:tcW w:w="758" w:type="pct"/>
            <w:tcBorders>
              <w:top w:val="single" w:sz="4" w:space="0" w:color="auto"/>
              <w:left w:val="single" w:sz="4" w:space="0" w:color="auto"/>
              <w:bottom w:val="none" w:sz="4" w:space="0" w:color="000000"/>
              <w:right w:val="single" w:sz="4" w:space="0" w:color="auto"/>
            </w:tcBorders>
            <w:vAlign w:val="center"/>
          </w:tcPr>
          <w:p w14:paraId="54158ADC" w14:textId="77777777" w:rsidR="00BC1D4B" w:rsidRDefault="00BC1D4B">
            <w:pPr>
              <w:spacing w:after="0" w:line="276" w:lineRule="auto"/>
              <w:jc w:val="both"/>
              <w:rPr>
                <w:rFonts w:ascii="Verdana" w:eastAsia="Calibri" w:hAnsi="Verdana"/>
                <w:sz w:val="16"/>
                <w:szCs w:val="16"/>
                <w:lang w:val="en-US"/>
              </w:rPr>
            </w:pPr>
          </w:p>
        </w:tc>
        <w:tc>
          <w:tcPr>
            <w:tcW w:w="738" w:type="pct"/>
            <w:tcBorders>
              <w:top w:val="single" w:sz="4" w:space="0" w:color="auto"/>
              <w:left w:val="single" w:sz="4" w:space="0" w:color="auto"/>
              <w:bottom w:val="none" w:sz="4" w:space="0" w:color="000000"/>
              <w:right w:val="single" w:sz="4" w:space="0" w:color="auto"/>
            </w:tcBorders>
            <w:vAlign w:val="center"/>
          </w:tcPr>
          <w:p w14:paraId="597CEC6B" w14:textId="77777777" w:rsidR="00BC1D4B" w:rsidRDefault="00BC1D4B">
            <w:pPr>
              <w:spacing w:after="0" w:line="276" w:lineRule="auto"/>
              <w:jc w:val="both"/>
              <w:rPr>
                <w:rFonts w:ascii="Verdana" w:eastAsia="Calibri" w:hAnsi="Verdana"/>
                <w:sz w:val="16"/>
                <w:szCs w:val="16"/>
                <w:lang w:val="en-US"/>
              </w:rPr>
            </w:pPr>
          </w:p>
        </w:tc>
        <w:tc>
          <w:tcPr>
            <w:tcW w:w="793" w:type="pct"/>
            <w:tcBorders>
              <w:top w:val="single" w:sz="4" w:space="0" w:color="auto"/>
              <w:left w:val="single" w:sz="4" w:space="0" w:color="auto"/>
              <w:bottom w:val="none" w:sz="4" w:space="0" w:color="000000"/>
              <w:right w:val="single" w:sz="4" w:space="0" w:color="auto"/>
            </w:tcBorders>
            <w:vAlign w:val="center"/>
          </w:tcPr>
          <w:p w14:paraId="28869E30" w14:textId="77777777" w:rsidR="00BC1D4B" w:rsidRDefault="00BC1D4B">
            <w:pPr>
              <w:spacing w:after="0" w:line="276" w:lineRule="auto"/>
              <w:jc w:val="both"/>
              <w:rPr>
                <w:rFonts w:ascii="Verdana" w:eastAsia="Calibri" w:hAnsi="Verdana"/>
                <w:sz w:val="16"/>
                <w:szCs w:val="16"/>
                <w:lang w:val="en-US"/>
              </w:rPr>
            </w:pPr>
          </w:p>
        </w:tc>
        <w:tc>
          <w:tcPr>
            <w:tcW w:w="720" w:type="pct"/>
            <w:tcBorders>
              <w:top w:val="single" w:sz="4" w:space="0" w:color="auto"/>
              <w:left w:val="single" w:sz="4" w:space="0" w:color="auto"/>
              <w:bottom w:val="none" w:sz="4" w:space="0" w:color="000000"/>
              <w:right w:val="single" w:sz="4" w:space="0" w:color="auto"/>
            </w:tcBorders>
            <w:vAlign w:val="center"/>
          </w:tcPr>
          <w:p w14:paraId="4F6F5EB2" w14:textId="77777777" w:rsidR="00BC1D4B" w:rsidRDefault="00BC1D4B">
            <w:pPr>
              <w:spacing w:after="0" w:line="276" w:lineRule="auto"/>
              <w:jc w:val="both"/>
              <w:rPr>
                <w:rFonts w:ascii="Verdana" w:eastAsia="Calibri" w:hAnsi="Verdana"/>
                <w:sz w:val="16"/>
                <w:szCs w:val="16"/>
                <w:lang w:val="da-DK"/>
              </w:rPr>
            </w:pPr>
          </w:p>
        </w:tc>
      </w:tr>
      <w:tr w:rsidR="00BC1D4B" w14:paraId="13FAB3AC" w14:textId="77777777">
        <w:trPr>
          <w:trHeight w:val="20"/>
        </w:trPr>
        <w:tc>
          <w:tcPr>
            <w:tcW w:w="1991" w:type="pct"/>
            <w:tcBorders>
              <w:top w:val="none" w:sz="4" w:space="0" w:color="000000"/>
              <w:left w:val="single" w:sz="4" w:space="0" w:color="auto"/>
              <w:bottom w:val="none" w:sz="4" w:space="0" w:color="000000"/>
              <w:right w:val="single" w:sz="4" w:space="0" w:color="auto"/>
            </w:tcBorders>
            <w:vAlign w:val="center"/>
          </w:tcPr>
          <w:p w14:paraId="0DB853BD" w14:textId="77777777" w:rsidR="00BC1D4B" w:rsidRDefault="00ED1F84" w:rsidP="0074729A">
            <w:pPr>
              <w:numPr>
                <w:ilvl w:val="0"/>
                <w:numId w:val="8"/>
              </w:numPr>
              <w:spacing w:after="0" w:line="276" w:lineRule="auto"/>
              <w:jc w:val="both"/>
              <w:rPr>
                <w:rFonts w:ascii="Verdana" w:eastAsia="Calibri" w:hAnsi="Verdana"/>
                <w:sz w:val="16"/>
                <w:szCs w:val="16"/>
                <w:lang w:val="en-US"/>
              </w:rPr>
            </w:pPr>
            <w:r>
              <w:rPr>
                <w:rFonts w:ascii="Verdana" w:eastAsia="Calibri" w:hAnsi="Verdana"/>
                <w:sz w:val="16"/>
                <w:szCs w:val="16"/>
                <w:lang w:val="en-US"/>
              </w:rPr>
              <w:t>mg/L</w:t>
            </w:r>
          </w:p>
        </w:tc>
        <w:tc>
          <w:tcPr>
            <w:tcW w:w="758" w:type="pct"/>
            <w:tcBorders>
              <w:top w:val="none" w:sz="4" w:space="0" w:color="000000"/>
              <w:left w:val="single" w:sz="4" w:space="0" w:color="auto"/>
              <w:bottom w:val="none" w:sz="4" w:space="0" w:color="000000"/>
              <w:right w:val="single" w:sz="4" w:space="0" w:color="auto"/>
            </w:tcBorders>
            <w:vAlign w:val="center"/>
          </w:tcPr>
          <w:p w14:paraId="737137C6" w14:textId="77777777" w:rsidR="00BC1D4B" w:rsidRDefault="00BC1D4B">
            <w:pPr>
              <w:spacing w:after="0" w:line="276" w:lineRule="auto"/>
              <w:jc w:val="both"/>
              <w:rPr>
                <w:rFonts w:ascii="Verdana" w:eastAsia="Calibri" w:hAnsi="Verdana"/>
                <w:sz w:val="16"/>
                <w:szCs w:val="16"/>
                <w:lang w:val="en-US"/>
              </w:rPr>
            </w:pPr>
          </w:p>
        </w:tc>
        <w:tc>
          <w:tcPr>
            <w:tcW w:w="738" w:type="pct"/>
            <w:tcBorders>
              <w:top w:val="none" w:sz="4" w:space="0" w:color="000000"/>
              <w:left w:val="single" w:sz="4" w:space="0" w:color="auto"/>
              <w:bottom w:val="none" w:sz="4" w:space="0" w:color="000000"/>
              <w:right w:val="single" w:sz="4" w:space="0" w:color="auto"/>
            </w:tcBorders>
            <w:vAlign w:val="center"/>
          </w:tcPr>
          <w:p w14:paraId="59759705"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6836.567</w:t>
            </w:r>
          </w:p>
        </w:tc>
        <w:tc>
          <w:tcPr>
            <w:tcW w:w="793" w:type="pct"/>
            <w:tcBorders>
              <w:top w:val="none" w:sz="4" w:space="0" w:color="000000"/>
              <w:left w:val="single" w:sz="4" w:space="0" w:color="auto"/>
              <w:bottom w:val="none" w:sz="4" w:space="0" w:color="000000"/>
              <w:right w:val="single" w:sz="4" w:space="0" w:color="auto"/>
            </w:tcBorders>
            <w:vAlign w:val="center"/>
          </w:tcPr>
          <w:p w14:paraId="0F2F90D5"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16.25653</w:t>
            </w:r>
          </w:p>
        </w:tc>
        <w:tc>
          <w:tcPr>
            <w:tcW w:w="720" w:type="pct"/>
            <w:tcBorders>
              <w:top w:val="none" w:sz="4" w:space="0" w:color="000000"/>
              <w:left w:val="single" w:sz="4" w:space="0" w:color="auto"/>
              <w:bottom w:val="none" w:sz="4" w:space="0" w:color="000000"/>
              <w:right w:val="single" w:sz="4" w:space="0" w:color="auto"/>
            </w:tcBorders>
            <w:vAlign w:val="center"/>
          </w:tcPr>
          <w:p w14:paraId="2ED3F214"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57.66839</w:t>
            </w:r>
          </w:p>
        </w:tc>
      </w:tr>
      <w:tr w:rsidR="00BC1D4B" w14:paraId="379CDE70" w14:textId="77777777">
        <w:trPr>
          <w:trHeight w:val="20"/>
        </w:trPr>
        <w:tc>
          <w:tcPr>
            <w:tcW w:w="1991" w:type="pct"/>
            <w:tcBorders>
              <w:top w:val="none" w:sz="4" w:space="0" w:color="000000"/>
              <w:left w:val="single" w:sz="4" w:space="0" w:color="auto"/>
              <w:bottom w:val="none" w:sz="4" w:space="0" w:color="000000"/>
              <w:right w:val="single" w:sz="4" w:space="0" w:color="auto"/>
            </w:tcBorders>
            <w:shd w:val="clear" w:color="auto" w:fill="E6EED5"/>
            <w:vAlign w:val="center"/>
          </w:tcPr>
          <w:p w14:paraId="13CB8F20" w14:textId="77777777" w:rsidR="00BC1D4B" w:rsidRDefault="00ED1F84" w:rsidP="0074729A">
            <w:pPr>
              <w:numPr>
                <w:ilvl w:val="0"/>
                <w:numId w:val="8"/>
              </w:numPr>
              <w:spacing w:after="0" w:line="276" w:lineRule="auto"/>
              <w:jc w:val="both"/>
              <w:rPr>
                <w:rFonts w:ascii="Verdana" w:eastAsia="Calibri" w:hAnsi="Verdana"/>
                <w:sz w:val="16"/>
                <w:szCs w:val="16"/>
                <w:lang w:val="da-DK"/>
              </w:rPr>
            </w:pPr>
            <w:r>
              <w:rPr>
                <w:rFonts w:ascii="Verdana" w:eastAsia="Calibri" w:hAnsi="Verdana"/>
                <w:sz w:val="16"/>
                <w:szCs w:val="16"/>
                <w:lang w:val="en-US"/>
              </w:rPr>
              <w:t>µM</w:t>
            </w:r>
          </w:p>
        </w:tc>
        <w:tc>
          <w:tcPr>
            <w:tcW w:w="758" w:type="pct"/>
            <w:tcBorders>
              <w:top w:val="none" w:sz="4" w:space="0" w:color="000000"/>
              <w:left w:val="single" w:sz="4" w:space="0" w:color="auto"/>
              <w:bottom w:val="none" w:sz="4" w:space="0" w:color="000000"/>
              <w:right w:val="single" w:sz="4" w:space="0" w:color="auto"/>
            </w:tcBorders>
            <w:shd w:val="clear" w:color="auto" w:fill="E6EED5"/>
            <w:vAlign w:val="center"/>
          </w:tcPr>
          <w:p w14:paraId="033E769A" w14:textId="77777777" w:rsidR="00BC1D4B" w:rsidRDefault="00BC1D4B">
            <w:pPr>
              <w:spacing w:after="0" w:line="276" w:lineRule="auto"/>
              <w:jc w:val="both"/>
              <w:rPr>
                <w:rFonts w:ascii="Verdana" w:eastAsia="Calibri" w:hAnsi="Verdana"/>
                <w:sz w:val="16"/>
                <w:szCs w:val="16"/>
                <w:lang w:val="en-US"/>
              </w:rPr>
            </w:pPr>
          </w:p>
        </w:tc>
        <w:tc>
          <w:tcPr>
            <w:tcW w:w="738" w:type="pct"/>
            <w:tcBorders>
              <w:top w:val="none" w:sz="4" w:space="0" w:color="000000"/>
              <w:left w:val="single" w:sz="4" w:space="0" w:color="auto"/>
              <w:bottom w:val="none" w:sz="4" w:space="0" w:color="000000"/>
              <w:right w:val="single" w:sz="4" w:space="0" w:color="auto"/>
            </w:tcBorders>
            <w:shd w:val="clear" w:color="auto" w:fill="E6EED5"/>
            <w:vAlign w:val="center"/>
          </w:tcPr>
          <w:p w14:paraId="0E58995C"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32359.38</w:t>
            </w:r>
          </w:p>
        </w:tc>
        <w:tc>
          <w:tcPr>
            <w:tcW w:w="793" w:type="pct"/>
            <w:tcBorders>
              <w:top w:val="none" w:sz="4" w:space="0" w:color="000000"/>
              <w:left w:val="single" w:sz="4" w:space="0" w:color="auto"/>
              <w:bottom w:val="none" w:sz="4" w:space="0" w:color="000000"/>
              <w:right w:val="single" w:sz="4" w:space="0" w:color="auto"/>
            </w:tcBorders>
            <w:shd w:val="clear" w:color="auto" w:fill="E6EED5"/>
            <w:vAlign w:val="center"/>
          </w:tcPr>
          <w:p w14:paraId="780026BA"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76.94672</w:t>
            </w:r>
          </w:p>
        </w:tc>
        <w:tc>
          <w:tcPr>
            <w:tcW w:w="720" w:type="pct"/>
            <w:tcBorders>
              <w:top w:val="none" w:sz="4" w:space="0" w:color="000000"/>
              <w:left w:val="single" w:sz="4" w:space="0" w:color="auto"/>
              <w:bottom w:val="none" w:sz="4" w:space="0" w:color="000000"/>
              <w:right w:val="single" w:sz="4" w:space="0" w:color="auto"/>
            </w:tcBorders>
            <w:shd w:val="clear" w:color="auto" w:fill="E6EED5"/>
            <w:vAlign w:val="center"/>
          </w:tcPr>
          <w:p w14:paraId="38DAA947"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272.9606</w:t>
            </w:r>
          </w:p>
        </w:tc>
      </w:tr>
      <w:tr w:rsidR="00BC1D4B" w14:paraId="7BE8C16A" w14:textId="77777777">
        <w:trPr>
          <w:trHeight w:val="20"/>
        </w:trPr>
        <w:tc>
          <w:tcPr>
            <w:tcW w:w="1991" w:type="pct"/>
            <w:tcBorders>
              <w:top w:val="none" w:sz="4" w:space="0" w:color="000000"/>
              <w:left w:val="single" w:sz="4" w:space="0" w:color="auto"/>
              <w:bottom w:val="none" w:sz="4" w:space="0" w:color="000000"/>
              <w:right w:val="single" w:sz="4" w:space="0" w:color="auto"/>
            </w:tcBorders>
            <w:vAlign w:val="center"/>
          </w:tcPr>
          <w:p w14:paraId="180E39C5" w14:textId="77777777" w:rsidR="00BC1D4B" w:rsidRDefault="00ED1F84" w:rsidP="0074729A">
            <w:pPr>
              <w:numPr>
                <w:ilvl w:val="0"/>
                <w:numId w:val="8"/>
              </w:numPr>
              <w:spacing w:after="0" w:line="276" w:lineRule="auto"/>
              <w:jc w:val="both"/>
              <w:rPr>
                <w:rFonts w:ascii="Verdana" w:eastAsia="Calibri" w:hAnsi="Verdana"/>
                <w:sz w:val="16"/>
                <w:szCs w:val="16"/>
                <w:lang w:val="en-US"/>
              </w:rPr>
            </w:pPr>
            <w:r>
              <w:rPr>
                <w:rFonts w:ascii="Verdana" w:eastAsia="Calibri" w:hAnsi="Verdana"/>
                <w:sz w:val="16"/>
                <w:szCs w:val="16"/>
                <w:lang w:val="en-US"/>
              </w:rPr>
              <w:t>Positive for IC</w:t>
            </w:r>
            <w:r>
              <w:rPr>
                <w:rFonts w:ascii="Verdana" w:eastAsia="Calibri" w:hAnsi="Verdana"/>
                <w:sz w:val="16"/>
                <w:szCs w:val="16"/>
                <w:vertAlign w:val="subscript"/>
                <w:lang w:val="en-US"/>
              </w:rPr>
              <w:t>50</w:t>
            </w:r>
            <w:r>
              <w:rPr>
                <w:rFonts w:ascii="Verdana" w:eastAsia="Calibri" w:hAnsi="Verdana"/>
                <w:sz w:val="16"/>
                <w:szCs w:val="16"/>
                <w:lang w:val="en-US"/>
              </w:rPr>
              <w:t xml:space="preserve"> ≤ 10 µM</w:t>
            </w:r>
          </w:p>
        </w:tc>
        <w:tc>
          <w:tcPr>
            <w:tcW w:w="758" w:type="pct"/>
            <w:tcBorders>
              <w:top w:val="none" w:sz="4" w:space="0" w:color="000000"/>
              <w:left w:val="single" w:sz="4" w:space="0" w:color="auto"/>
              <w:bottom w:val="none" w:sz="4" w:space="0" w:color="000000"/>
              <w:right w:val="single" w:sz="4" w:space="0" w:color="auto"/>
            </w:tcBorders>
            <w:vAlign w:val="center"/>
          </w:tcPr>
          <w:p w14:paraId="74CAEE30" w14:textId="77777777" w:rsidR="00BC1D4B" w:rsidRDefault="00BC1D4B">
            <w:pPr>
              <w:spacing w:after="0" w:line="276" w:lineRule="auto"/>
              <w:jc w:val="both"/>
              <w:rPr>
                <w:rFonts w:ascii="Verdana" w:eastAsia="Calibri" w:hAnsi="Verdana"/>
                <w:sz w:val="16"/>
                <w:szCs w:val="16"/>
                <w:lang w:val="en-US"/>
              </w:rPr>
            </w:pPr>
          </w:p>
        </w:tc>
        <w:tc>
          <w:tcPr>
            <w:tcW w:w="738" w:type="pct"/>
            <w:tcBorders>
              <w:top w:val="none" w:sz="4" w:space="0" w:color="000000"/>
              <w:left w:val="single" w:sz="4" w:space="0" w:color="auto"/>
              <w:bottom w:val="none" w:sz="4" w:space="0" w:color="000000"/>
              <w:right w:val="single" w:sz="4" w:space="0" w:color="auto"/>
            </w:tcBorders>
            <w:vAlign w:val="center"/>
          </w:tcPr>
          <w:p w14:paraId="2820AD69" w14:textId="77777777" w:rsidR="00BC1D4B" w:rsidRDefault="00BC1D4B">
            <w:pPr>
              <w:spacing w:after="0" w:line="276" w:lineRule="auto"/>
              <w:jc w:val="both"/>
              <w:rPr>
                <w:rFonts w:ascii="Verdana" w:eastAsia="Calibri" w:hAnsi="Verdana"/>
                <w:sz w:val="16"/>
                <w:szCs w:val="16"/>
                <w:lang w:val="en-US"/>
              </w:rPr>
            </w:pPr>
          </w:p>
        </w:tc>
        <w:tc>
          <w:tcPr>
            <w:tcW w:w="793" w:type="pct"/>
            <w:tcBorders>
              <w:top w:val="none" w:sz="4" w:space="0" w:color="000000"/>
              <w:left w:val="single" w:sz="4" w:space="0" w:color="auto"/>
              <w:bottom w:val="none" w:sz="4" w:space="0" w:color="000000"/>
              <w:right w:val="single" w:sz="4" w:space="0" w:color="auto"/>
            </w:tcBorders>
            <w:vAlign w:val="center"/>
          </w:tcPr>
          <w:p w14:paraId="08A9664C" w14:textId="77777777" w:rsidR="00BC1D4B" w:rsidRDefault="00BC1D4B">
            <w:pPr>
              <w:spacing w:after="0" w:line="276" w:lineRule="auto"/>
              <w:jc w:val="both"/>
              <w:rPr>
                <w:rFonts w:ascii="Verdana" w:eastAsia="Calibri" w:hAnsi="Verdana"/>
                <w:sz w:val="16"/>
                <w:szCs w:val="16"/>
                <w:lang w:val="en-US"/>
              </w:rPr>
            </w:pPr>
          </w:p>
        </w:tc>
        <w:tc>
          <w:tcPr>
            <w:tcW w:w="720" w:type="pct"/>
            <w:tcBorders>
              <w:top w:val="none" w:sz="4" w:space="0" w:color="000000"/>
              <w:left w:val="single" w:sz="4" w:space="0" w:color="auto"/>
              <w:bottom w:val="none" w:sz="4" w:space="0" w:color="000000"/>
              <w:right w:val="single" w:sz="4" w:space="0" w:color="auto"/>
            </w:tcBorders>
            <w:vAlign w:val="center"/>
          </w:tcPr>
          <w:p w14:paraId="65C61A38" w14:textId="77777777" w:rsidR="00BC1D4B" w:rsidRDefault="00BC1D4B">
            <w:pPr>
              <w:spacing w:after="0" w:line="276" w:lineRule="auto"/>
              <w:jc w:val="both"/>
              <w:rPr>
                <w:rFonts w:ascii="Verdana" w:eastAsia="Calibri" w:hAnsi="Verdana"/>
                <w:sz w:val="16"/>
                <w:szCs w:val="16"/>
                <w:lang w:val="en-US"/>
              </w:rPr>
            </w:pPr>
          </w:p>
        </w:tc>
      </w:tr>
      <w:tr w:rsidR="00BC1D4B" w14:paraId="65C4F03B" w14:textId="77777777">
        <w:trPr>
          <w:trHeight w:val="20"/>
        </w:trPr>
        <w:tc>
          <w:tcPr>
            <w:tcW w:w="1991" w:type="pct"/>
            <w:tcBorders>
              <w:top w:val="none" w:sz="4" w:space="0" w:color="000000"/>
              <w:left w:val="single" w:sz="4" w:space="0" w:color="auto"/>
              <w:bottom w:val="none" w:sz="4" w:space="0" w:color="000000"/>
              <w:right w:val="single" w:sz="4" w:space="0" w:color="auto"/>
            </w:tcBorders>
            <w:shd w:val="clear" w:color="auto" w:fill="E6EED5"/>
            <w:vAlign w:val="center"/>
          </w:tcPr>
          <w:p w14:paraId="2B50EF01" w14:textId="77777777" w:rsidR="00BC1D4B" w:rsidRDefault="00ED1F84" w:rsidP="0074729A">
            <w:pPr>
              <w:numPr>
                <w:ilvl w:val="0"/>
                <w:numId w:val="8"/>
              </w:numPr>
              <w:spacing w:after="0" w:line="276" w:lineRule="auto"/>
              <w:jc w:val="both"/>
              <w:rPr>
                <w:rFonts w:ascii="Verdana" w:eastAsia="Calibri" w:hAnsi="Verdana"/>
                <w:sz w:val="16"/>
                <w:szCs w:val="16"/>
                <w:lang w:val="en-US"/>
              </w:rPr>
            </w:pPr>
            <w:r>
              <w:rPr>
                <w:rFonts w:ascii="Verdana" w:eastAsia="Calibri" w:hAnsi="Verdana"/>
                <w:sz w:val="16"/>
                <w:szCs w:val="16"/>
                <w:lang w:val="en-US"/>
              </w:rPr>
              <w:t>Positive for IC</w:t>
            </w:r>
            <w:r>
              <w:rPr>
                <w:rFonts w:ascii="Verdana" w:eastAsia="Calibri" w:hAnsi="Verdana"/>
                <w:sz w:val="16"/>
                <w:szCs w:val="16"/>
                <w:vertAlign w:val="subscript"/>
                <w:lang w:val="en-US"/>
              </w:rPr>
              <w:t>50</w:t>
            </w:r>
            <w:r>
              <w:rPr>
                <w:rFonts w:ascii="Verdana" w:eastAsia="Calibri" w:hAnsi="Verdana"/>
                <w:sz w:val="16"/>
                <w:szCs w:val="16"/>
                <w:lang w:val="en-US"/>
              </w:rPr>
              <w:t xml:space="preserve"> ≤ 100 µM</w:t>
            </w:r>
          </w:p>
        </w:tc>
        <w:tc>
          <w:tcPr>
            <w:tcW w:w="758" w:type="pct"/>
            <w:tcBorders>
              <w:top w:val="none" w:sz="4" w:space="0" w:color="000000"/>
              <w:left w:val="single" w:sz="4" w:space="0" w:color="auto"/>
              <w:bottom w:val="none" w:sz="4" w:space="0" w:color="000000"/>
              <w:right w:val="single" w:sz="4" w:space="0" w:color="auto"/>
            </w:tcBorders>
            <w:shd w:val="clear" w:color="auto" w:fill="E6EED5"/>
            <w:vAlign w:val="center"/>
          </w:tcPr>
          <w:p w14:paraId="5AEDB7A1" w14:textId="77777777" w:rsidR="00BC1D4B" w:rsidRDefault="00BC1D4B">
            <w:pPr>
              <w:spacing w:after="0" w:line="276" w:lineRule="auto"/>
              <w:jc w:val="both"/>
              <w:rPr>
                <w:rFonts w:ascii="Verdana" w:eastAsia="Calibri" w:hAnsi="Verdana"/>
                <w:sz w:val="16"/>
                <w:szCs w:val="16"/>
                <w:lang w:val="en-US"/>
              </w:rPr>
            </w:pPr>
          </w:p>
        </w:tc>
        <w:tc>
          <w:tcPr>
            <w:tcW w:w="738" w:type="pct"/>
            <w:tcBorders>
              <w:top w:val="none" w:sz="4" w:space="0" w:color="000000"/>
              <w:left w:val="single" w:sz="4" w:space="0" w:color="auto"/>
              <w:bottom w:val="none" w:sz="4" w:space="0" w:color="000000"/>
              <w:right w:val="single" w:sz="4" w:space="0" w:color="auto"/>
            </w:tcBorders>
            <w:shd w:val="clear" w:color="auto" w:fill="E6EED5"/>
            <w:vAlign w:val="center"/>
          </w:tcPr>
          <w:p w14:paraId="6CAA7327" w14:textId="77777777" w:rsidR="00BC1D4B" w:rsidRDefault="00BC1D4B">
            <w:pPr>
              <w:spacing w:after="0" w:line="276" w:lineRule="auto"/>
              <w:jc w:val="both"/>
              <w:rPr>
                <w:rFonts w:ascii="Verdana" w:eastAsia="Calibri" w:hAnsi="Verdana"/>
                <w:sz w:val="16"/>
                <w:szCs w:val="16"/>
                <w:lang w:val="en-US"/>
              </w:rPr>
            </w:pPr>
          </w:p>
        </w:tc>
        <w:tc>
          <w:tcPr>
            <w:tcW w:w="793" w:type="pct"/>
            <w:tcBorders>
              <w:top w:val="none" w:sz="4" w:space="0" w:color="000000"/>
              <w:left w:val="single" w:sz="4" w:space="0" w:color="auto"/>
              <w:bottom w:val="none" w:sz="4" w:space="0" w:color="000000"/>
              <w:right w:val="single" w:sz="4" w:space="0" w:color="auto"/>
            </w:tcBorders>
            <w:shd w:val="clear" w:color="auto" w:fill="E6EED5"/>
            <w:vAlign w:val="center"/>
          </w:tcPr>
          <w:p w14:paraId="62108CF0" w14:textId="77777777" w:rsidR="00BC1D4B" w:rsidRDefault="00BC1D4B">
            <w:pPr>
              <w:spacing w:after="0" w:line="276" w:lineRule="auto"/>
              <w:jc w:val="both"/>
              <w:rPr>
                <w:rFonts w:ascii="Verdana" w:eastAsia="Calibri" w:hAnsi="Verdana"/>
                <w:sz w:val="16"/>
                <w:szCs w:val="16"/>
                <w:lang w:val="en-US"/>
              </w:rPr>
            </w:pPr>
          </w:p>
        </w:tc>
        <w:tc>
          <w:tcPr>
            <w:tcW w:w="720" w:type="pct"/>
            <w:tcBorders>
              <w:top w:val="none" w:sz="4" w:space="0" w:color="000000"/>
              <w:left w:val="single" w:sz="4" w:space="0" w:color="auto"/>
              <w:bottom w:val="none" w:sz="4" w:space="0" w:color="000000"/>
              <w:right w:val="single" w:sz="4" w:space="0" w:color="auto"/>
            </w:tcBorders>
            <w:shd w:val="clear" w:color="auto" w:fill="E6EED5"/>
            <w:vAlign w:val="center"/>
          </w:tcPr>
          <w:p w14:paraId="2FFBB113" w14:textId="77777777" w:rsidR="00BC1D4B" w:rsidRDefault="00BC1D4B">
            <w:pPr>
              <w:spacing w:after="0" w:line="276" w:lineRule="auto"/>
              <w:jc w:val="both"/>
              <w:rPr>
                <w:rFonts w:ascii="Verdana" w:eastAsia="Calibri" w:hAnsi="Verdana"/>
                <w:sz w:val="16"/>
                <w:szCs w:val="16"/>
                <w:lang w:val="en-US"/>
              </w:rPr>
            </w:pPr>
          </w:p>
        </w:tc>
      </w:tr>
      <w:tr w:rsidR="00BC1D4B" w14:paraId="6BC901D3" w14:textId="77777777">
        <w:trPr>
          <w:trHeight w:val="20"/>
        </w:trPr>
        <w:tc>
          <w:tcPr>
            <w:tcW w:w="1991" w:type="pct"/>
            <w:tcBorders>
              <w:top w:val="none" w:sz="4" w:space="0" w:color="000000"/>
              <w:left w:val="single" w:sz="4" w:space="0" w:color="auto"/>
              <w:bottom w:val="single" w:sz="4" w:space="0" w:color="auto"/>
              <w:right w:val="single" w:sz="4" w:space="0" w:color="auto"/>
            </w:tcBorders>
            <w:vAlign w:val="center"/>
          </w:tcPr>
          <w:p w14:paraId="4F40E877" w14:textId="77777777" w:rsidR="00BC1D4B" w:rsidRDefault="00ED1F84" w:rsidP="0074729A">
            <w:pPr>
              <w:numPr>
                <w:ilvl w:val="0"/>
                <w:numId w:val="8"/>
              </w:numPr>
              <w:spacing w:after="0" w:line="276" w:lineRule="auto"/>
              <w:jc w:val="both"/>
              <w:rPr>
                <w:rFonts w:ascii="Verdana" w:eastAsia="Calibri" w:hAnsi="Verdana"/>
                <w:sz w:val="16"/>
                <w:szCs w:val="16"/>
                <w:lang w:val="da-DK"/>
              </w:rPr>
            </w:pPr>
            <w:r>
              <w:rPr>
                <w:rFonts w:ascii="Verdana" w:eastAsia="Calibri" w:hAnsi="Verdana"/>
                <w:sz w:val="16"/>
                <w:szCs w:val="16"/>
                <w:lang w:val="en-US"/>
              </w:rPr>
              <w:t>Domain</w:t>
            </w:r>
          </w:p>
        </w:tc>
        <w:tc>
          <w:tcPr>
            <w:tcW w:w="758" w:type="pct"/>
            <w:tcBorders>
              <w:top w:val="none" w:sz="4" w:space="0" w:color="000000"/>
              <w:left w:val="single" w:sz="4" w:space="0" w:color="auto"/>
              <w:bottom w:val="single" w:sz="4" w:space="0" w:color="auto"/>
              <w:right w:val="single" w:sz="4" w:space="0" w:color="auto"/>
            </w:tcBorders>
            <w:vAlign w:val="center"/>
          </w:tcPr>
          <w:p w14:paraId="0822FFB1"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OUT</w:t>
            </w:r>
          </w:p>
        </w:tc>
        <w:tc>
          <w:tcPr>
            <w:tcW w:w="738" w:type="pct"/>
            <w:tcBorders>
              <w:top w:val="none" w:sz="4" w:space="0" w:color="000000"/>
              <w:left w:val="single" w:sz="4" w:space="0" w:color="auto"/>
              <w:bottom w:val="single" w:sz="4" w:space="0" w:color="auto"/>
              <w:right w:val="single" w:sz="4" w:space="0" w:color="auto"/>
            </w:tcBorders>
            <w:vAlign w:val="center"/>
          </w:tcPr>
          <w:p w14:paraId="41B7D057"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OUT</w:t>
            </w:r>
          </w:p>
        </w:tc>
        <w:tc>
          <w:tcPr>
            <w:tcW w:w="793" w:type="pct"/>
            <w:tcBorders>
              <w:top w:val="none" w:sz="4" w:space="0" w:color="000000"/>
              <w:left w:val="single" w:sz="4" w:space="0" w:color="auto"/>
              <w:bottom w:val="single" w:sz="4" w:space="0" w:color="auto"/>
              <w:right w:val="single" w:sz="4" w:space="0" w:color="auto"/>
            </w:tcBorders>
            <w:vAlign w:val="center"/>
          </w:tcPr>
          <w:p w14:paraId="43C0656F"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OUT</w:t>
            </w:r>
          </w:p>
        </w:tc>
        <w:tc>
          <w:tcPr>
            <w:tcW w:w="720" w:type="pct"/>
            <w:tcBorders>
              <w:top w:val="none" w:sz="4" w:space="0" w:color="000000"/>
              <w:left w:val="single" w:sz="4" w:space="0" w:color="auto"/>
              <w:bottom w:val="single" w:sz="4" w:space="0" w:color="auto"/>
              <w:right w:val="single" w:sz="4" w:space="0" w:color="auto"/>
            </w:tcBorders>
            <w:vAlign w:val="center"/>
          </w:tcPr>
          <w:p w14:paraId="47002645"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da-DK"/>
              </w:rPr>
              <w:t>OUT</w:t>
            </w:r>
          </w:p>
        </w:tc>
      </w:tr>
      <w:tr w:rsidR="00BC1D4B" w14:paraId="16E56A3E" w14:textId="77777777">
        <w:trPr>
          <w:trHeight w:val="20"/>
        </w:trPr>
        <w:tc>
          <w:tcPr>
            <w:tcW w:w="1991" w:type="pct"/>
            <w:tcBorders>
              <w:top w:val="single" w:sz="4" w:space="0" w:color="auto"/>
            </w:tcBorders>
            <w:shd w:val="clear" w:color="auto" w:fill="E6EED5"/>
            <w:vAlign w:val="center"/>
          </w:tcPr>
          <w:p w14:paraId="1957F6E9"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 xml:space="preserve">Arylhydrocarbon (AhR) Activation – Rational final model (Human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tcBorders>
              <w:top w:val="single" w:sz="4" w:space="0" w:color="auto"/>
            </w:tcBorders>
            <w:shd w:val="clear" w:color="auto" w:fill="E6EED5"/>
            <w:vAlign w:val="center"/>
          </w:tcPr>
          <w:p w14:paraId="5EA81AD7"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tcBorders>
              <w:top w:val="single" w:sz="4" w:space="0" w:color="auto"/>
            </w:tcBorders>
            <w:shd w:val="clear" w:color="auto" w:fill="E6EED5"/>
            <w:vAlign w:val="center"/>
          </w:tcPr>
          <w:p w14:paraId="721A8DE8"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tcBorders>
              <w:top w:val="single" w:sz="4" w:space="0" w:color="auto"/>
            </w:tcBorders>
            <w:shd w:val="clear" w:color="auto" w:fill="E6EED5"/>
            <w:vAlign w:val="center"/>
          </w:tcPr>
          <w:p w14:paraId="7FC2FB62"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INC_OUT</w:t>
            </w:r>
          </w:p>
        </w:tc>
        <w:tc>
          <w:tcPr>
            <w:tcW w:w="720" w:type="pct"/>
            <w:tcBorders>
              <w:top w:val="single" w:sz="4" w:space="0" w:color="auto"/>
            </w:tcBorders>
            <w:shd w:val="clear" w:color="auto" w:fill="E6EED5"/>
            <w:vAlign w:val="center"/>
          </w:tcPr>
          <w:p w14:paraId="7632D369"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5CA2FD88" w14:textId="77777777">
        <w:trPr>
          <w:trHeight w:val="20"/>
        </w:trPr>
        <w:tc>
          <w:tcPr>
            <w:tcW w:w="1991" w:type="pct"/>
            <w:vAlign w:val="center"/>
          </w:tcPr>
          <w:p w14:paraId="7A29932D"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 xml:space="preserve">Arylhydrocarbon (AhR) Activation – Random final model (Human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vAlign w:val="center"/>
          </w:tcPr>
          <w:p w14:paraId="28003091"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c>
          <w:tcPr>
            <w:tcW w:w="738" w:type="pct"/>
            <w:vAlign w:val="center"/>
          </w:tcPr>
          <w:p w14:paraId="2A53F109"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c>
          <w:tcPr>
            <w:tcW w:w="793" w:type="pct"/>
            <w:vAlign w:val="center"/>
          </w:tcPr>
          <w:p w14:paraId="7152AF3F"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da-DK"/>
              </w:rPr>
              <w:t>POS_OUT</w:t>
            </w:r>
          </w:p>
        </w:tc>
        <w:tc>
          <w:tcPr>
            <w:tcW w:w="720" w:type="pct"/>
            <w:vAlign w:val="center"/>
          </w:tcPr>
          <w:p w14:paraId="0C1A00F2"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r>
      <w:tr w:rsidR="00BC1D4B" w14:paraId="47A44DF4" w14:textId="77777777">
        <w:trPr>
          <w:trHeight w:val="20"/>
        </w:trPr>
        <w:tc>
          <w:tcPr>
            <w:tcW w:w="1991" w:type="pct"/>
            <w:shd w:val="clear" w:color="auto" w:fill="E6EED5"/>
            <w:vAlign w:val="center"/>
          </w:tcPr>
          <w:p w14:paraId="73E53E64"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 xml:space="preserve">Pregnane X Receptor (PXR) Binding (Human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shd w:val="clear" w:color="auto" w:fill="E6EED5"/>
            <w:vAlign w:val="center"/>
          </w:tcPr>
          <w:p w14:paraId="3C97896D"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c>
          <w:tcPr>
            <w:tcW w:w="738" w:type="pct"/>
            <w:shd w:val="clear" w:color="auto" w:fill="E6EED5"/>
            <w:vAlign w:val="center"/>
          </w:tcPr>
          <w:p w14:paraId="1C7FE142"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c>
          <w:tcPr>
            <w:tcW w:w="793" w:type="pct"/>
            <w:shd w:val="clear" w:color="auto" w:fill="E6EED5"/>
            <w:vAlign w:val="center"/>
          </w:tcPr>
          <w:p w14:paraId="70F15F77"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c>
          <w:tcPr>
            <w:tcW w:w="720" w:type="pct"/>
            <w:shd w:val="clear" w:color="auto" w:fill="E6EED5"/>
            <w:vAlign w:val="center"/>
          </w:tcPr>
          <w:p w14:paraId="76E844CC"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NEG_IN</w:t>
            </w:r>
          </w:p>
        </w:tc>
      </w:tr>
      <w:tr w:rsidR="00BC1D4B" w14:paraId="3E39B8B8" w14:textId="77777777">
        <w:trPr>
          <w:trHeight w:val="20"/>
        </w:trPr>
        <w:tc>
          <w:tcPr>
            <w:tcW w:w="1991" w:type="pct"/>
            <w:vAlign w:val="center"/>
          </w:tcPr>
          <w:p w14:paraId="054F6F9F"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 xml:space="preserve">Pregnane X Receptor (PXR) Binding (Human </w:t>
            </w:r>
            <w:r>
              <w:rPr>
                <w:rFonts w:ascii="Verdana" w:eastAsia="Calibri" w:hAnsi="Verdana"/>
                <w:i/>
                <w:sz w:val="16"/>
                <w:szCs w:val="16"/>
                <w:lang w:val="en-US"/>
              </w:rPr>
              <w:t>in vitro</w:t>
            </w:r>
            <w:r>
              <w:rPr>
                <w:rFonts w:ascii="Verdana" w:eastAsia="Calibri" w:hAnsi="Verdana"/>
                <w:sz w:val="16"/>
                <w:szCs w:val="16"/>
                <w:lang w:val="en-US"/>
              </w:rPr>
              <w:t>) NEW</w:t>
            </w:r>
          </w:p>
        </w:tc>
        <w:tc>
          <w:tcPr>
            <w:tcW w:w="758" w:type="pct"/>
            <w:vAlign w:val="center"/>
          </w:tcPr>
          <w:p w14:paraId="5379E267"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c>
          <w:tcPr>
            <w:tcW w:w="738" w:type="pct"/>
            <w:vAlign w:val="center"/>
          </w:tcPr>
          <w:p w14:paraId="05EF79BD"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c>
          <w:tcPr>
            <w:tcW w:w="793" w:type="pct"/>
            <w:vAlign w:val="center"/>
          </w:tcPr>
          <w:p w14:paraId="4F1E05DA"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da-DK"/>
              </w:rPr>
              <w:t>NEG_IN</w:t>
            </w:r>
          </w:p>
        </w:tc>
        <w:tc>
          <w:tcPr>
            <w:tcW w:w="720" w:type="pct"/>
            <w:vAlign w:val="center"/>
          </w:tcPr>
          <w:p w14:paraId="4DD34CE4"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r>
      <w:tr w:rsidR="00BC1D4B" w14:paraId="23DA9A87" w14:textId="77777777">
        <w:trPr>
          <w:trHeight w:val="20"/>
        </w:trPr>
        <w:tc>
          <w:tcPr>
            <w:tcW w:w="1991" w:type="pct"/>
            <w:shd w:val="clear" w:color="auto" w:fill="E6EED5"/>
            <w:vAlign w:val="center"/>
          </w:tcPr>
          <w:p w14:paraId="47704847"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 xml:space="preserve">Pregnane X Receptor (PXR) Activation (Human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shd w:val="clear" w:color="auto" w:fill="E6EED5"/>
            <w:vAlign w:val="center"/>
          </w:tcPr>
          <w:p w14:paraId="3991B90A"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da-DK"/>
              </w:rPr>
              <w:t>N/A</w:t>
            </w:r>
          </w:p>
        </w:tc>
        <w:tc>
          <w:tcPr>
            <w:tcW w:w="738" w:type="pct"/>
            <w:shd w:val="clear" w:color="auto" w:fill="E6EED5"/>
            <w:vAlign w:val="center"/>
          </w:tcPr>
          <w:p w14:paraId="26748808"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c>
          <w:tcPr>
            <w:tcW w:w="793" w:type="pct"/>
            <w:shd w:val="clear" w:color="auto" w:fill="E6EED5"/>
            <w:vAlign w:val="center"/>
          </w:tcPr>
          <w:p w14:paraId="5F9354C0"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da-DK"/>
              </w:rPr>
              <w:t>NEG_IN</w:t>
            </w:r>
          </w:p>
        </w:tc>
        <w:tc>
          <w:tcPr>
            <w:tcW w:w="720" w:type="pct"/>
            <w:shd w:val="clear" w:color="auto" w:fill="E6EED5"/>
            <w:vAlign w:val="center"/>
          </w:tcPr>
          <w:p w14:paraId="32272C48"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r>
      <w:tr w:rsidR="00BC1D4B" w14:paraId="08BC0CE0" w14:textId="77777777">
        <w:trPr>
          <w:trHeight w:val="20"/>
        </w:trPr>
        <w:tc>
          <w:tcPr>
            <w:tcW w:w="1991" w:type="pct"/>
            <w:vAlign w:val="center"/>
          </w:tcPr>
          <w:p w14:paraId="1466F4C1"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 xml:space="preserve">Pregnane X Receptor (PXR) Activation (Rat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vAlign w:val="center"/>
          </w:tcPr>
          <w:p w14:paraId="4CC83D12"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c>
          <w:tcPr>
            <w:tcW w:w="738" w:type="pct"/>
            <w:vAlign w:val="center"/>
          </w:tcPr>
          <w:p w14:paraId="38DBB4C8"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c>
          <w:tcPr>
            <w:tcW w:w="793" w:type="pct"/>
            <w:vAlign w:val="center"/>
          </w:tcPr>
          <w:p w14:paraId="5FB31CF1"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da-DK"/>
              </w:rPr>
              <w:t>NEG_IN</w:t>
            </w:r>
          </w:p>
        </w:tc>
        <w:tc>
          <w:tcPr>
            <w:tcW w:w="720" w:type="pct"/>
            <w:vAlign w:val="center"/>
          </w:tcPr>
          <w:p w14:paraId="756A43E8"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r>
      <w:tr w:rsidR="00BC1D4B" w14:paraId="216D6300" w14:textId="77777777">
        <w:trPr>
          <w:trHeight w:val="20"/>
        </w:trPr>
        <w:tc>
          <w:tcPr>
            <w:tcW w:w="1991" w:type="pct"/>
            <w:shd w:val="clear" w:color="auto" w:fill="E6EED5"/>
          </w:tcPr>
          <w:p w14:paraId="3146AEF0"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 xml:space="preserve">CYP3A4 Induction (Human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shd w:val="clear" w:color="auto" w:fill="E6EED5"/>
          </w:tcPr>
          <w:p w14:paraId="7FB2048D"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da-DK"/>
              </w:rPr>
              <w:t>N/A</w:t>
            </w:r>
          </w:p>
        </w:tc>
        <w:tc>
          <w:tcPr>
            <w:tcW w:w="738" w:type="pct"/>
            <w:shd w:val="clear" w:color="auto" w:fill="E6EED5"/>
          </w:tcPr>
          <w:p w14:paraId="6B658D7B"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c>
          <w:tcPr>
            <w:tcW w:w="793" w:type="pct"/>
            <w:shd w:val="clear" w:color="auto" w:fill="E6EED5"/>
          </w:tcPr>
          <w:p w14:paraId="31F1960E"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da-DK"/>
              </w:rPr>
              <w:t>NEG_IN</w:t>
            </w:r>
          </w:p>
        </w:tc>
        <w:tc>
          <w:tcPr>
            <w:tcW w:w="720" w:type="pct"/>
            <w:shd w:val="clear" w:color="auto" w:fill="E6EED5"/>
          </w:tcPr>
          <w:p w14:paraId="1C165FFE" w14:textId="77777777" w:rsidR="00BC1D4B" w:rsidRDefault="00ED1F84">
            <w:pPr>
              <w:spacing w:after="0" w:line="276" w:lineRule="auto"/>
              <w:jc w:val="both"/>
              <w:rPr>
                <w:rFonts w:ascii="Verdana" w:eastAsia="Calibri" w:hAnsi="Verdana"/>
                <w:sz w:val="16"/>
                <w:szCs w:val="16"/>
                <w:lang w:val="da-DK"/>
              </w:rPr>
            </w:pPr>
            <w:r>
              <w:rPr>
                <w:rFonts w:ascii="Verdana" w:eastAsia="Calibri" w:hAnsi="Verdana"/>
                <w:sz w:val="16"/>
                <w:szCs w:val="16"/>
                <w:lang w:val="en-US"/>
              </w:rPr>
              <w:t>N/A</w:t>
            </w:r>
          </w:p>
        </w:tc>
      </w:tr>
      <w:tr w:rsidR="00BC1D4B" w14:paraId="42E28BA2" w14:textId="77777777">
        <w:trPr>
          <w:trHeight w:val="20"/>
        </w:trPr>
        <w:tc>
          <w:tcPr>
            <w:tcW w:w="1991" w:type="pct"/>
            <w:vAlign w:val="center"/>
          </w:tcPr>
          <w:p w14:paraId="7C7BB4AA"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Constitutive Androstane Receptor (CAR) Activation at max. 20 µM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vAlign w:val="center"/>
          </w:tcPr>
          <w:p w14:paraId="30CECA68"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vAlign w:val="center"/>
          </w:tcPr>
          <w:p w14:paraId="0837B9F2"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vAlign w:val="center"/>
          </w:tcPr>
          <w:p w14:paraId="5CE53B4D"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NEG_IN</w:t>
            </w:r>
          </w:p>
        </w:tc>
        <w:tc>
          <w:tcPr>
            <w:tcW w:w="720" w:type="pct"/>
            <w:vAlign w:val="center"/>
          </w:tcPr>
          <w:p w14:paraId="6120D043"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20E12671" w14:textId="77777777">
        <w:trPr>
          <w:trHeight w:val="20"/>
        </w:trPr>
        <w:tc>
          <w:tcPr>
            <w:tcW w:w="1991" w:type="pct"/>
            <w:shd w:val="clear" w:color="auto" w:fill="E6EED5"/>
            <w:vAlign w:val="center"/>
          </w:tcPr>
          <w:p w14:paraId="081391E8"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Constitutive Androstane Receptor (CAR) Activation at max. 50 µM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shd w:val="clear" w:color="auto" w:fill="E6EED5"/>
            <w:vAlign w:val="center"/>
          </w:tcPr>
          <w:p w14:paraId="71D132C4"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shd w:val="clear" w:color="auto" w:fill="E6EED5"/>
            <w:vAlign w:val="center"/>
          </w:tcPr>
          <w:p w14:paraId="01957FF8"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shd w:val="clear" w:color="auto" w:fill="E6EED5"/>
            <w:vAlign w:val="center"/>
          </w:tcPr>
          <w:p w14:paraId="5F5AFCD2"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NEG_IN</w:t>
            </w:r>
          </w:p>
        </w:tc>
        <w:tc>
          <w:tcPr>
            <w:tcW w:w="720" w:type="pct"/>
            <w:shd w:val="clear" w:color="auto" w:fill="E6EED5"/>
            <w:vAlign w:val="center"/>
          </w:tcPr>
          <w:p w14:paraId="40A1F92E"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635DE677" w14:textId="77777777">
        <w:trPr>
          <w:trHeight w:val="20"/>
        </w:trPr>
        <w:tc>
          <w:tcPr>
            <w:tcW w:w="1991" w:type="pct"/>
            <w:vAlign w:val="center"/>
          </w:tcPr>
          <w:p w14:paraId="788C7086"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Constitutive Androstane Receptor (CAR) Inhibition at max. 20 µM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vAlign w:val="center"/>
          </w:tcPr>
          <w:p w14:paraId="3EC5BCB7"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vAlign w:val="center"/>
          </w:tcPr>
          <w:p w14:paraId="42E59205"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vAlign w:val="center"/>
          </w:tcPr>
          <w:p w14:paraId="7C1FA5FA"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INC_OUT</w:t>
            </w:r>
          </w:p>
        </w:tc>
        <w:tc>
          <w:tcPr>
            <w:tcW w:w="720" w:type="pct"/>
            <w:vAlign w:val="center"/>
          </w:tcPr>
          <w:p w14:paraId="652F51B1"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384FD8C0" w14:textId="77777777">
        <w:trPr>
          <w:trHeight w:val="20"/>
        </w:trPr>
        <w:tc>
          <w:tcPr>
            <w:tcW w:w="1991" w:type="pct"/>
            <w:shd w:val="clear" w:color="auto" w:fill="E6EED5"/>
            <w:vAlign w:val="center"/>
          </w:tcPr>
          <w:p w14:paraId="245F440A"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Constitutive Androstane Receptor (CAR) Inhibition at max. 50 µM (</w:t>
            </w:r>
            <w:r>
              <w:rPr>
                <w:rFonts w:ascii="Verdana" w:eastAsia="Calibri" w:hAnsi="Verdana"/>
                <w:i/>
                <w:sz w:val="16"/>
                <w:szCs w:val="16"/>
                <w:lang w:val="en-US"/>
              </w:rPr>
              <w:t>in vitro</w:t>
            </w:r>
            <w:r>
              <w:rPr>
                <w:rFonts w:ascii="Verdana" w:eastAsia="Calibri" w:hAnsi="Verdana"/>
                <w:sz w:val="16"/>
                <w:szCs w:val="16"/>
                <w:lang w:val="en-US"/>
              </w:rPr>
              <w:t>)</w:t>
            </w:r>
          </w:p>
        </w:tc>
        <w:tc>
          <w:tcPr>
            <w:tcW w:w="758" w:type="pct"/>
            <w:shd w:val="clear" w:color="auto" w:fill="E6EED5"/>
            <w:vAlign w:val="center"/>
          </w:tcPr>
          <w:p w14:paraId="75C2012E"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38" w:type="pct"/>
            <w:shd w:val="clear" w:color="auto" w:fill="E6EED5"/>
            <w:vAlign w:val="center"/>
          </w:tcPr>
          <w:p w14:paraId="2EB441D7"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c>
          <w:tcPr>
            <w:tcW w:w="793" w:type="pct"/>
            <w:shd w:val="clear" w:color="auto" w:fill="E6EED5"/>
            <w:vAlign w:val="center"/>
          </w:tcPr>
          <w:p w14:paraId="544E9FF5"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NEG_OUT</w:t>
            </w:r>
          </w:p>
        </w:tc>
        <w:tc>
          <w:tcPr>
            <w:tcW w:w="720" w:type="pct"/>
            <w:shd w:val="clear" w:color="auto" w:fill="E6EED5"/>
            <w:vAlign w:val="center"/>
          </w:tcPr>
          <w:p w14:paraId="675B6573" w14:textId="77777777" w:rsidR="00BC1D4B" w:rsidRDefault="00ED1F84">
            <w:pPr>
              <w:spacing w:after="0" w:line="276" w:lineRule="auto"/>
              <w:jc w:val="both"/>
              <w:rPr>
                <w:rFonts w:ascii="Verdana" w:eastAsia="Calibri" w:hAnsi="Verdana"/>
                <w:sz w:val="16"/>
                <w:szCs w:val="16"/>
                <w:lang w:val="en-US"/>
              </w:rPr>
            </w:pPr>
            <w:r>
              <w:rPr>
                <w:rFonts w:ascii="Verdana" w:eastAsia="Calibri" w:hAnsi="Verdana"/>
                <w:sz w:val="16"/>
                <w:szCs w:val="16"/>
                <w:lang w:val="en-US"/>
              </w:rPr>
              <w:t>N/A</w:t>
            </w:r>
          </w:p>
        </w:tc>
      </w:tr>
      <w:tr w:rsidR="00BC1D4B" w14:paraId="1D76BC0E" w14:textId="77777777">
        <w:trPr>
          <w:trHeight w:val="20"/>
        </w:trPr>
        <w:tc>
          <w:tcPr>
            <w:tcW w:w="5000" w:type="pct"/>
            <w:gridSpan w:val="5"/>
            <w:shd w:val="clear" w:color="auto" w:fill="E6EED5"/>
            <w:vAlign w:val="center"/>
          </w:tcPr>
          <w:p w14:paraId="6A3B0DC5"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INC: inconclusive. A definite call within the defined applicability domain could not be made.</w:t>
            </w:r>
          </w:p>
          <w:p w14:paraId="768C3E77"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NEG: negative</w:t>
            </w:r>
          </w:p>
          <w:p w14:paraId="7D455DC1"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POS: positive</w:t>
            </w:r>
          </w:p>
          <w:p w14:paraId="692A9F22"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 xml:space="preserve">IN: inside applicability domain </w:t>
            </w:r>
          </w:p>
          <w:p w14:paraId="2327DC75"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 xml:space="preserve">OUT: outside applicability domain </w:t>
            </w:r>
          </w:p>
          <w:p w14:paraId="4B4126B5" w14:textId="77777777" w:rsidR="00BC1D4B" w:rsidRDefault="00ED1F84">
            <w:pPr>
              <w:spacing w:after="0"/>
              <w:jc w:val="both"/>
              <w:rPr>
                <w:rFonts w:ascii="Verdana" w:eastAsia="Calibri" w:hAnsi="Verdana"/>
                <w:sz w:val="16"/>
                <w:szCs w:val="16"/>
                <w:lang w:val="en-US"/>
              </w:rPr>
            </w:pPr>
            <w:r>
              <w:rPr>
                <w:rFonts w:ascii="Verdana" w:eastAsia="Calibri" w:hAnsi="Verdana"/>
                <w:sz w:val="16"/>
                <w:szCs w:val="16"/>
                <w:lang w:val="en-US"/>
              </w:rPr>
              <w:t>N/A: Not applicable</w:t>
            </w:r>
          </w:p>
        </w:tc>
      </w:tr>
    </w:tbl>
    <w:p w14:paraId="6F1937CE" w14:textId="77777777" w:rsidR="00BC1D4B" w:rsidRDefault="00BC1D4B">
      <w:pPr>
        <w:spacing w:after="200" w:line="276" w:lineRule="auto"/>
        <w:rPr>
          <w:rFonts w:asciiTheme="minorHAnsi" w:hAnsiTheme="minorHAnsi" w:cstheme="minorBidi"/>
          <w:sz w:val="22"/>
          <w:szCs w:val="22"/>
        </w:rPr>
      </w:pPr>
    </w:p>
    <w:p w14:paraId="357EC80E" w14:textId="77777777" w:rsidR="00BC1D4B" w:rsidRDefault="00ED1F84">
      <w:pPr>
        <w:spacing w:after="200" w:line="276" w:lineRule="auto"/>
        <w:jc w:val="both"/>
        <w:rPr>
          <w:rFonts w:ascii="Verdana" w:eastAsia="Calibri" w:hAnsi="Verdana"/>
          <w:sz w:val="20"/>
          <w:szCs w:val="20"/>
          <w:lang w:val="en-US"/>
        </w:rPr>
      </w:pPr>
      <w:r>
        <w:rPr>
          <w:rFonts w:ascii="Verdana" w:eastAsia="Calibri" w:hAnsi="Verdana"/>
          <w:sz w:val="20"/>
          <w:szCs w:val="20"/>
          <w:lang w:val="en-US"/>
        </w:rPr>
        <w:t xml:space="preserve">In conclusion, additional OECD level 1 and 2 data as summarized in the tables above did not bring other relevant information pointing toward an endocrine activity. Although reprotoxic adverse effects were noted for the substance DPG, it is not possible on the basis of the available data to establish an endocrine mode of action corresponding to the adverse effects. </w:t>
      </w:r>
    </w:p>
    <w:p w14:paraId="5BCDA26B" w14:textId="77777777" w:rsidR="00BC1D4B" w:rsidRDefault="00ED1F84">
      <w:pPr>
        <w:spacing w:after="200" w:line="276" w:lineRule="auto"/>
        <w:jc w:val="both"/>
        <w:rPr>
          <w:rFonts w:ascii="Verdana" w:eastAsia="Calibri" w:hAnsi="Verdana"/>
          <w:sz w:val="20"/>
          <w:szCs w:val="20"/>
          <w:lang w:val="en-US"/>
        </w:rPr>
      </w:pPr>
      <w:r>
        <w:rPr>
          <w:rFonts w:ascii="Verdana" w:eastAsia="Calibri" w:hAnsi="Verdana"/>
          <w:sz w:val="20"/>
          <w:szCs w:val="20"/>
          <w:lang w:val="en-US"/>
        </w:rPr>
        <w:t>Thus, there are no sufficient indications to consider that the substance has ED properties and the ED assessment of DPG will not be further investigated for the moment by the aMSCA.</w:t>
      </w:r>
    </w:p>
    <w:p w14:paraId="7ADCBAD5" w14:textId="77777777" w:rsidR="00BC1D4B" w:rsidRDefault="00ED1F84">
      <w:pPr>
        <w:pStyle w:val="Titre3"/>
        <w:rPr>
          <w:lang w:val="nl-BE"/>
        </w:rPr>
      </w:pPr>
      <w:bookmarkStart w:id="48" w:name="_Toc137044492"/>
      <w:r>
        <w:rPr>
          <w:lang w:val="nl-BE"/>
        </w:rPr>
        <w:lastRenderedPageBreak/>
        <w:t>Reprotoxicity EOGRTS OECD TG 443 study: summary</w:t>
      </w:r>
      <w:bookmarkEnd w:id="48"/>
    </w:p>
    <w:p w14:paraId="00F88707" w14:textId="77777777" w:rsidR="00BC1D4B" w:rsidRDefault="00ED1F84">
      <w:pPr>
        <w:pStyle w:val="Corpsdetexte"/>
        <w:rPr>
          <w:rFonts w:ascii="Verdana" w:hAnsi="Verdana"/>
          <w:b/>
          <w:sz w:val="20"/>
          <w:szCs w:val="20"/>
        </w:rPr>
      </w:pPr>
      <w:r>
        <w:rPr>
          <w:rFonts w:ascii="Verdana" w:hAnsi="Verdana"/>
          <w:b/>
          <w:sz w:val="20"/>
          <w:szCs w:val="20"/>
        </w:rPr>
        <w:t>Table 20:</w:t>
      </w:r>
      <w:r>
        <w:rPr>
          <w:rFonts w:ascii="Verdana" w:hAnsi="Verdana"/>
          <w:b/>
          <w:sz w:val="20"/>
          <w:szCs w:val="20"/>
          <w:lang w:val="nl-BE"/>
        </w:rPr>
        <w:t xml:space="preserve"> Summary table of EOGRTS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40"/>
        <w:gridCol w:w="2900"/>
        <w:gridCol w:w="2729"/>
        <w:gridCol w:w="1227"/>
      </w:tblGrid>
      <w:tr w:rsidR="00BC1D4B" w14:paraId="79C2212F" w14:textId="77777777">
        <w:trPr>
          <w:tblHeader/>
        </w:trPr>
        <w:tc>
          <w:tcPr>
            <w:tcW w:w="0" w:type="auto"/>
            <w:shd w:val="clear" w:color="auto" w:fill="FFFF99"/>
          </w:tcPr>
          <w:p w14:paraId="5960BE94" w14:textId="77777777" w:rsidR="00BC1D4B" w:rsidRDefault="00ED1F84">
            <w:pPr>
              <w:widowControl w:val="0"/>
              <w:tabs>
                <w:tab w:val="center" w:pos="4536"/>
                <w:tab w:val="right" w:pos="9072"/>
              </w:tabs>
              <w:spacing w:after="0"/>
              <w:jc w:val="both"/>
              <w:rPr>
                <w:rFonts w:eastAsia="Calibri"/>
                <w:bCs/>
                <w:color w:val="000000"/>
                <w:sz w:val="20"/>
                <w:szCs w:val="20"/>
                <w:lang w:eastAsia="en-GB"/>
              </w:rPr>
            </w:pPr>
            <w:r>
              <w:rPr>
                <w:rFonts w:eastAsia="Calibri"/>
                <w:b/>
                <w:bCs/>
                <w:color w:val="000000"/>
                <w:sz w:val="20"/>
                <w:szCs w:val="20"/>
                <w:lang w:eastAsia="en-GB"/>
              </w:rPr>
              <w:t>Method, guideline, deviations if any, species, strain, sex, no/group</w:t>
            </w:r>
          </w:p>
          <w:p w14:paraId="6F7C25F4" w14:textId="77777777" w:rsidR="00BC1D4B" w:rsidRDefault="00BC1D4B">
            <w:pPr>
              <w:widowControl w:val="0"/>
              <w:tabs>
                <w:tab w:val="center" w:pos="4536"/>
                <w:tab w:val="right" w:pos="9072"/>
              </w:tabs>
              <w:spacing w:after="120"/>
              <w:jc w:val="both"/>
              <w:rPr>
                <w:rFonts w:eastAsia="Calibri"/>
                <w:b/>
                <w:bCs/>
                <w:color w:val="000000"/>
                <w:sz w:val="20"/>
                <w:szCs w:val="20"/>
                <w:lang w:eastAsia="en-GB"/>
              </w:rPr>
            </w:pPr>
          </w:p>
        </w:tc>
        <w:tc>
          <w:tcPr>
            <w:tcW w:w="0" w:type="auto"/>
            <w:shd w:val="clear" w:color="auto" w:fill="FFFF99"/>
          </w:tcPr>
          <w:p w14:paraId="08C9066B" w14:textId="77777777" w:rsidR="00BC1D4B" w:rsidRDefault="00ED1F84">
            <w:pPr>
              <w:widowControl w:val="0"/>
              <w:tabs>
                <w:tab w:val="center" w:pos="4536"/>
                <w:tab w:val="right" w:pos="9072"/>
              </w:tabs>
              <w:spacing w:after="120"/>
              <w:jc w:val="both"/>
              <w:rPr>
                <w:rFonts w:eastAsia="Calibri"/>
                <w:b/>
                <w:bCs/>
                <w:color w:val="000000"/>
                <w:sz w:val="20"/>
                <w:szCs w:val="20"/>
                <w:lang w:eastAsia="en-GB"/>
              </w:rPr>
            </w:pPr>
            <w:r>
              <w:rPr>
                <w:rFonts w:eastAsia="Calibri"/>
                <w:b/>
                <w:bCs/>
                <w:color w:val="000000"/>
                <w:sz w:val="20"/>
                <w:szCs w:val="20"/>
                <w:lang w:eastAsia="en-GB"/>
              </w:rPr>
              <w:t xml:space="preserve">Test substance, dose levels duration of exposure </w:t>
            </w:r>
          </w:p>
        </w:tc>
        <w:tc>
          <w:tcPr>
            <w:tcW w:w="0" w:type="auto"/>
            <w:shd w:val="clear" w:color="auto" w:fill="FFFF99"/>
          </w:tcPr>
          <w:p w14:paraId="2307E541" w14:textId="77777777" w:rsidR="00BC1D4B" w:rsidRDefault="00ED1F84">
            <w:pPr>
              <w:widowControl w:val="0"/>
              <w:tabs>
                <w:tab w:val="center" w:pos="4536"/>
                <w:tab w:val="right" w:pos="9072"/>
              </w:tabs>
              <w:spacing w:after="120"/>
              <w:jc w:val="center"/>
              <w:rPr>
                <w:rFonts w:eastAsia="Calibri"/>
                <w:b/>
                <w:bCs/>
                <w:color w:val="000000"/>
                <w:sz w:val="20"/>
                <w:szCs w:val="20"/>
                <w:lang w:eastAsia="en-GB"/>
              </w:rPr>
            </w:pPr>
            <w:r>
              <w:rPr>
                <w:rFonts w:eastAsia="Calibri"/>
                <w:b/>
                <w:bCs/>
                <w:color w:val="000000"/>
                <w:sz w:val="20"/>
                <w:szCs w:val="20"/>
                <w:lang w:eastAsia="en-GB"/>
              </w:rPr>
              <w:t>Results</w:t>
            </w:r>
          </w:p>
        </w:tc>
        <w:tc>
          <w:tcPr>
            <w:tcW w:w="0" w:type="auto"/>
            <w:shd w:val="clear" w:color="auto" w:fill="FFFF99"/>
          </w:tcPr>
          <w:p w14:paraId="00F2B2CD" w14:textId="77777777" w:rsidR="00BC1D4B" w:rsidRDefault="00ED1F84">
            <w:pPr>
              <w:widowControl w:val="0"/>
              <w:tabs>
                <w:tab w:val="center" w:pos="4536"/>
                <w:tab w:val="right" w:pos="9072"/>
              </w:tabs>
              <w:spacing w:after="120"/>
              <w:jc w:val="center"/>
              <w:rPr>
                <w:rFonts w:eastAsia="Calibri"/>
                <w:b/>
                <w:bCs/>
                <w:color w:val="000000"/>
                <w:sz w:val="20"/>
                <w:szCs w:val="20"/>
                <w:lang w:eastAsia="en-GB"/>
              </w:rPr>
            </w:pPr>
            <w:r>
              <w:rPr>
                <w:rFonts w:eastAsia="Calibri"/>
                <w:b/>
                <w:bCs/>
                <w:color w:val="000000"/>
                <w:sz w:val="20"/>
                <w:szCs w:val="20"/>
                <w:lang w:eastAsia="en-GB"/>
              </w:rPr>
              <w:t>Reference</w:t>
            </w:r>
          </w:p>
        </w:tc>
      </w:tr>
      <w:tr w:rsidR="00BC1D4B" w14:paraId="3F65C62D" w14:textId="77777777">
        <w:tc>
          <w:tcPr>
            <w:tcW w:w="0" w:type="auto"/>
            <w:shd w:val="clear" w:color="auto" w:fill="auto"/>
          </w:tcPr>
          <w:p w14:paraId="2780098E"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Gavage</w:t>
            </w:r>
          </w:p>
          <w:p w14:paraId="75FB46CD"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OECD TG 443</w:t>
            </w:r>
          </w:p>
          <w:p w14:paraId="43D82BD8" w14:textId="77777777" w:rsidR="00BC1D4B" w:rsidRDefault="00ED1F84">
            <w:pPr>
              <w:widowControl w:val="0"/>
              <w:tabs>
                <w:tab w:val="center" w:pos="4536"/>
                <w:tab w:val="right" w:pos="9072"/>
              </w:tabs>
              <w:spacing w:after="120"/>
              <w:jc w:val="both"/>
              <w:rPr>
                <w:rFonts w:eastAsia="Calibri"/>
                <w:sz w:val="20"/>
                <w:szCs w:val="20"/>
                <w:shd w:val="clear" w:color="auto" w:fill="FFFFFF"/>
              </w:rPr>
            </w:pPr>
            <w:r>
              <w:rPr>
                <w:rFonts w:eastAsia="Calibri"/>
                <w:sz w:val="20"/>
                <w:szCs w:val="20"/>
                <w:shd w:val="clear" w:color="auto" w:fill="FFFFFF"/>
              </w:rPr>
              <w:t>Extended one-generation reproductive toxicity (Cohorts 1A, and 1B with extension to cohort F2)  </w:t>
            </w:r>
          </w:p>
          <w:p w14:paraId="5716E398"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GLP</w:t>
            </w:r>
          </w:p>
          <w:p w14:paraId="24262E2A"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Rats, Sprague-Dawley</w:t>
            </w:r>
          </w:p>
          <w:p w14:paraId="67C5C2F8"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Males and  females</w:t>
            </w:r>
          </w:p>
          <w:p w14:paraId="28D58966" w14:textId="77777777" w:rsidR="00BC1D4B" w:rsidRDefault="00ED1F84">
            <w:pPr>
              <w:widowControl w:val="0"/>
              <w:tabs>
                <w:tab w:val="center" w:pos="4536"/>
                <w:tab w:val="right" w:pos="9072"/>
              </w:tabs>
              <w:spacing w:after="0"/>
              <w:jc w:val="both"/>
              <w:rPr>
                <w:rFonts w:eastAsia="Calibri"/>
                <w:sz w:val="20"/>
                <w:szCs w:val="20"/>
                <w:shd w:val="clear" w:color="auto" w:fill="FFFFFF"/>
                <w:lang w:val="en-US"/>
              </w:rPr>
            </w:pPr>
            <w:r>
              <w:rPr>
                <w:rFonts w:eastAsia="Calibri"/>
                <w:sz w:val="20"/>
                <w:szCs w:val="20"/>
                <w:shd w:val="clear" w:color="auto" w:fill="FFFFFF"/>
                <w:lang w:val="en-US"/>
              </w:rPr>
              <w:t xml:space="preserve">Number of animals per sex per dose: </w:t>
            </w:r>
          </w:p>
          <w:p w14:paraId="2304D7B6" w14:textId="77777777" w:rsidR="00BC1D4B" w:rsidRDefault="00ED1F84">
            <w:pPr>
              <w:widowControl w:val="0"/>
              <w:tabs>
                <w:tab w:val="center" w:pos="4536"/>
                <w:tab w:val="right" w:pos="9072"/>
              </w:tabs>
              <w:spacing w:after="0"/>
              <w:jc w:val="both"/>
              <w:rPr>
                <w:rFonts w:eastAsia="Calibri"/>
                <w:sz w:val="20"/>
                <w:szCs w:val="20"/>
                <w:shd w:val="clear" w:color="auto" w:fill="FFFFFF"/>
                <w:lang w:val="en-US"/>
              </w:rPr>
            </w:pPr>
            <w:r>
              <w:rPr>
                <w:rFonts w:eastAsia="Calibri"/>
                <w:sz w:val="20"/>
                <w:szCs w:val="20"/>
                <w:shd w:val="clear" w:color="auto" w:fill="FFFFFF"/>
                <w:lang w:val="en-US"/>
              </w:rPr>
              <w:t>-Parental generation : 24 per sex per dose</w:t>
            </w:r>
          </w:p>
          <w:p w14:paraId="0BD429CD" w14:textId="77777777" w:rsidR="00BC1D4B" w:rsidRDefault="00ED1F84">
            <w:pPr>
              <w:widowControl w:val="0"/>
              <w:tabs>
                <w:tab w:val="center" w:pos="4536"/>
                <w:tab w:val="right" w:pos="9072"/>
              </w:tabs>
              <w:spacing w:after="0"/>
              <w:jc w:val="both"/>
              <w:rPr>
                <w:rFonts w:eastAsia="Calibri"/>
                <w:sz w:val="20"/>
                <w:szCs w:val="20"/>
                <w:shd w:val="clear" w:color="auto" w:fill="FFFFFF"/>
                <w:lang w:val="en-US"/>
              </w:rPr>
            </w:pPr>
            <w:r>
              <w:rPr>
                <w:rFonts w:eastAsia="Calibri"/>
                <w:sz w:val="20"/>
                <w:szCs w:val="20"/>
                <w:shd w:val="clear" w:color="auto" w:fill="FFFFFF"/>
                <w:lang w:val="en-US"/>
              </w:rPr>
              <w:t xml:space="preserve"> - F1: 20 per sex per dose (Cohorts 1A and 1B)</w:t>
            </w:r>
          </w:p>
          <w:p w14:paraId="6554584A" w14:textId="77777777" w:rsidR="00BC1D4B" w:rsidRDefault="00BC1D4B">
            <w:pPr>
              <w:widowControl w:val="0"/>
              <w:tabs>
                <w:tab w:val="center" w:pos="4536"/>
                <w:tab w:val="right" w:pos="9072"/>
              </w:tabs>
              <w:spacing w:after="120"/>
              <w:jc w:val="both"/>
              <w:rPr>
                <w:rFonts w:eastAsia="Calibri"/>
                <w:sz w:val="20"/>
                <w:szCs w:val="20"/>
                <w:shd w:val="clear" w:color="auto" w:fill="FFFFFF"/>
                <w:lang w:val="en-US"/>
              </w:rPr>
            </w:pPr>
          </w:p>
          <w:p w14:paraId="6FCBFF46" w14:textId="77777777" w:rsidR="00BC1D4B" w:rsidRDefault="00ED1F84">
            <w:pPr>
              <w:widowControl w:val="0"/>
              <w:tabs>
                <w:tab w:val="center" w:pos="4536"/>
                <w:tab w:val="right" w:pos="9072"/>
              </w:tabs>
              <w:spacing w:after="120"/>
              <w:jc w:val="both"/>
              <w:rPr>
                <w:rFonts w:eastAsia="Calibri"/>
                <w:sz w:val="20"/>
                <w:szCs w:val="20"/>
                <w:shd w:val="clear" w:color="auto" w:fill="FFFFFF"/>
              </w:rPr>
            </w:pPr>
            <w:r>
              <w:rPr>
                <w:rFonts w:eastAsia="Calibri"/>
                <w:sz w:val="20"/>
                <w:szCs w:val="20"/>
                <w:shd w:val="clear" w:color="auto" w:fill="FFFFFF"/>
              </w:rPr>
              <w:t>Reliability 1</w:t>
            </w:r>
          </w:p>
          <w:p w14:paraId="000D0BF5" w14:textId="77777777" w:rsidR="00BC1D4B" w:rsidRDefault="00BC1D4B">
            <w:pPr>
              <w:widowControl w:val="0"/>
              <w:tabs>
                <w:tab w:val="center" w:pos="4536"/>
                <w:tab w:val="right" w:pos="9072"/>
              </w:tabs>
              <w:spacing w:after="120"/>
              <w:jc w:val="both"/>
              <w:rPr>
                <w:rFonts w:eastAsia="Calibri"/>
                <w:sz w:val="20"/>
                <w:szCs w:val="20"/>
                <w:shd w:val="clear" w:color="auto" w:fill="FFFFFF"/>
              </w:rPr>
            </w:pPr>
          </w:p>
          <w:p w14:paraId="0F905C4C" w14:textId="77777777" w:rsidR="00BC1D4B" w:rsidRDefault="00ED1F84">
            <w:pPr>
              <w:widowControl w:val="0"/>
              <w:tabs>
                <w:tab w:val="center" w:pos="4536"/>
                <w:tab w:val="right" w:pos="9072"/>
              </w:tabs>
              <w:spacing w:after="120"/>
              <w:jc w:val="both"/>
              <w:rPr>
                <w:rFonts w:eastAsia="Calibri"/>
                <w:sz w:val="20"/>
                <w:szCs w:val="20"/>
                <w:lang w:eastAsia="en-GB"/>
              </w:rPr>
            </w:pPr>
            <w:r>
              <w:rPr>
                <w:rFonts w:eastAsia="Calibri"/>
                <w:sz w:val="20"/>
                <w:szCs w:val="20"/>
                <w:shd w:val="clear" w:color="auto" w:fill="FFFFFF"/>
              </w:rPr>
              <w:t xml:space="preserve">Key study </w:t>
            </w:r>
          </w:p>
        </w:tc>
        <w:tc>
          <w:tcPr>
            <w:tcW w:w="0" w:type="auto"/>
            <w:shd w:val="clear" w:color="auto" w:fill="auto"/>
          </w:tcPr>
          <w:p w14:paraId="30317C1F"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 xml:space="preserve">1,3-diphenylguanidine </w:t>
            </w:r>
          </w:p>
          <w:p w14:paraId="75736E58"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Purity: 98.7%</w:t>
            </w:r>
          </w:p>
          <w:p w14:paraId="685D1FBA" w14:textId="77777777" w:rsidR="00BC1D4B" w:rsidRDefault="00BC1D4B">
            <w:pPr>
              <w:widowControl w:val="0"/>
              <w:tabs>
                <w:tab w:val="center" w:pos="4536"/>
                <w:tab w:val="right" w:pos="9072"/>
              </w:tabs>
              <w:spacing w:after="120"/>
              <w:jc w:val="both"/>
              <w:rPr>
                <w:rFonts w:eastAsia="Calibri"/>
                <w:color w:val="000000"/>
                <w:sz w:val="20"/>
                <w:szCs w:val="20"/>
                <w:lang w:eastAsia="en-GB"/>
              </w:rPr>
            </w:pPr>
          </w:p>
          <w:p w14:paraId="579702DA" w14:textId="77777777" w:rsidR="00BC1D4B" w:rsidRDefault="00ED1F84">
            <w:pPr>
              <w:widowControl w:val="0"/>
              <w:tabs>
                <w:tab w:val="center" w:pos="4536"/>
                <w:tab w:val="right" w:pos="9072"/>
              </w:tabs>
              <w:spacing w:after="120"/>
              <w:jc w:val="both"/>
              <w:rPr>
                <w:rFonts w:eastAsia="Calibri"/>
                <w:sz w:val="20"/>
                <w:szCs w:val="20"/>
                <w:shd w:val="clear" w:color="auto" w:fill="FFFFFF"/>
              </w:rPr>
            </w:pPr>
            <w:r>
              <w:rPr>
                <w:rFonts w:eastAsia="Calibri"/>
                <w:color w:val="000000"/>
                <w:sz w:val="20"/>
                <w:szCs w:val="20"/>
                <w:lang w:eastAsia="en-GB"/>
              </w:rPr>
              <w:t>Vehicle:</w:t>
            </w:r>
            <w:r>
              <w:rPr>
                <w:rFonts w:eastAsia="Calibri"/>
                <w:color w:val="777777"/>
                <w:sz w:val="20"/>
                <w:szCs w:val="20"/>
                <w:shd w:val="clear" w:color="auto" w:fill="FFFFFF"/>
              </w:rPr>
              <w:t xml:space="preserve"> </w:t>
            </w:r>
            <w:r>
              <w:rPr>
                <w:rFonts w:eastAsia="Calibri"/>
                <w:sz w:val="20"/>
                <w:szCs w:val="20"/>
                <w:shd w:val="clear" w:color="auto" w:fill="FFFFFF"/>
              </w:rPr>
              <w:t>0.5% methylcellulose in drinking water treated by reverse osmosis</w:t>
            </w:r>
          </w:p>
          <w:p w14:paraId="57554EB1" w14:textId="77777777" w:rsidR="00BC1D4B" w:rsidRDefault="00BC1D4B">
            <w:pPr>
              <w:widowControl w:val="0"/>
              <w:tabs>
                <w:tab w:val="center" w:pos="4536"/>
                <w:tab w:val="right" w:pos="9072"/>
              </w:tabs>
              <w:spacing w:after="120"/>
              <w:jc w:val="both"/>
              <w:rPr>
                <w:rFonts w:eastAsia="Calibri"/>
                <w:color w:val="000000"/>
                <w:sz w:val="20"/>
                <w:szCs w:val="20"/>
                <w:lang w:val="en-US" w:eastAsia="en-GB"/>
              </w:rPr>
            </w:pPr>
          </w:p>
          <w:p w14:paraId="7EB8D2E9"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val="en-US" w:eastAsia="en-GB"/>
              </w:rPr>
              <w:t xml:space="preserve">Dose levels: </w:t>
            </w:r>
            <w:r>
              <w:rPr>
                <w:rFonts w:eastAsia="Calibri"/>
                <w:color w:val="000000"/>
                <w:sz w:val="20"/>
                <w:szCs w:val="20"/>
                <w:lang w:eastAsia="en-GB"/>
              </w:rPr>
              <w:t>5, 15, 25 mg/kg bw/d</w:t>
            </w:r>
          </w:p>
          <w:p w14:paraId="13802318" w14:textId="77777777" w:rsidR="00BC1D4B" w:rsidRDefault="00ED1F84">
            <w:pPr>
              <w:widowControl w:val="0"/>
              <w:tabs>
                <w:tab w:val="center" w:pos="4536"/>
                <w:tab w:val="right" w:pos="9072"/>
              </w:tabs>
              <w:spacing w:after="120"/>
              <w:jc w:val="both"/>
              <w:rPr>
                <w:rFonts w:eastAsia="Calibri"/>
                <w:color w:val="000000"/>
                <w:sz w:val="20"/>
                <w:szCs w:val="20"/>
                <w:lang w:val="en-US" w:eastAsia="en-GB"/>
              </w:rPr>
            </w:pPr>
            <w:r>
              <w:rPr>
                <w:rFonts w:eastAsia="Calibri"/>
                <w:color w:val="000000"/>
                <w:sz w:val="20"/>
                <w:szCs w:val="20"/>
                <w:lang w:val="en-US" w:eastAsia="en-GB"/>
              </w:rPr>
              <w:t xml:space="preserve">Administration: once daily </w:t>
            </w:r>
          </w:p>
          <w:p w14:paraId="35CEF94E"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 xml:space="preserve">Duration of exposure: </w:t>
            </w:r>
          </w:p>
          <w:p w14:paraId="603EF7E8"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-P males: at least 10 weeks of treatment</w:t>
            </w:r>
          </w:p>
          <w:p w14:paraId="6AB95F90"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-P females: at least 8 to 10 weeks of treatment</w:t>
            </w:r>
          </w:p>
          <w:p w14:paraId="649400CF"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-Cohort 1A: both males and females: from weaning (PND 22) until euthanasia (from PND 90 to PND 93 maximum).</w:t>
            </w:r>
          </w:p>
          <w:p w14:paraId="1CEFFBD0" w14:textId="77777777" w:rsidR="00BC1D4B" w:rsidRDefault="00ED1F84">
            <w:pPr>
              <w:widowControl w:val="0"/>
              <w:tabs>
                <w:tab w:val="center" w:pos="4536"/>
                <w:tab w:val="right" w:pos="9072"/>
              </w:tabs>
              <w:spacing w:after="120"/>
              <w:jc w:val="both"/>
              <w:rPr>
                <w:rFonts w:eastAsia="Calibri"/>
                <w:color w:val="000000"/>
                <w:sz w:val="20"/>
                <w:szCs w:val="20"/>
                <w:lang w:eastAsia="en-GB"/>
              </w:rPr>
            </w:pPr>
            <w:r>
              <w:rPr>
                <w:rFonts w:eastAsia="Calibri"/>
                <w:color w:val="000000"/>
                <w:sz w:val="20"/>
                <w:szCs w:val="20"/>
                <w:lang w:eastAsia="en-GB"/>
              </w:rPr>
              <w:t>-Cohort 1B: In males: from weaning (PND 22.) for at least 10 weeks before mating, during the mating period (up to 2 weeks), and after euthanasia of F2 pups (on PND 4). In females: from weaning (PND 22.) for at least 10 weeks before mating, during the mating period (up to 2 weeks), during gestation, during lactation until PND 4 inclusive until euthanasia for females with no delivery (26 days after the last day of the mating period).</w:t>
            </w:r>
          </w:p>
          <w:p w14:paraId="3D9C22A5" w14:textId="77777777" w:rsidR="00BC1D4B" w:rsidRDefault="00BC1D4B">
            <w:pPr>
              <w:widowControl w:val="0"/>
              <w:tabs>
                <w:tab w:val="center" w:pos="4536"/>
                <w:tab w:val="right" w:pos="9072"/>
              </w:tabs>
              <w:spacing w:after="120"/>
              <w:jc w:val="both"/>
              <w:rPr>
                <w:rFonts w:eastAsia="Calibri"/>
                <w:color w:val="000000"/>
                <w:sz w:val="20"/>
                <w:szCs w:val="20"/>
                <w:lang w:eastAsia="en-GB"/>
              </w:rPr>
            </w:pPr>
          </w:p>
          <w:p w14:paraId="29E9E3BE" w14:textId="77777777" w:rsidR="00BC1D4B" w:rsidRDefault="00BC1D4B">
            <w:pPr>
              <w:widowControl w:val="0"/>
              <w:tabs>
                <w:tab w:val="center" w:pos="4536"/>
                <w:tab w:val="right" w:pos="9072"/>
              </w:tabs>
              <w:spacing w:after="120"/>
              <w:jc w:val="both"/>
              <w:rPr>
                <w:rFonts w:eastAsia="Calibri"/>
                <w:color w:val="000000"/>
                <w:sz w:val="20"/>
                <w:szCs w:val="20"/>
                <w:lang w:eastAsia="en-GB"/>
              </w:rPr>
            </w:pPr>
          </w:p>
          <w:p w14:paraId="0CD2B4A9" w14:textId="77777777" w:rsidR="00BC1D4B" w:rsidRDefault="00BC1D4B">
            <w:pPr>
              <w:widowControl w:val="0"/>
              <w:tabs>
                <w:tab w:val="center" w:pos="4536"/>
                <w:tab w:val="right" w:pos="9072"/>
              </w:tabs>
              <w:spacing w:after="120"/>
              <w:jc w:val="both"/>
              <w:rPr>
                <w:rFonts w:eastAsia="Calibri"/>
                <w:color w:val="000000"/>
                <w:sz w:val="20"/>
                <w:szCs w:val="20"/>
                <w:lang w:eastAsia="en-GB"/>
              </w:rPr>
            </w:pPr>
          </w:p>
          <w:p w14:paraId="0A69798F" w14:textId="77777777" w:rsidR="00BC1D4B" w:rsidRDefault="00ED1F84">
            <w:pPr>
              <w:widowControl w:val="0"/>
              <w:tabs>
                <w:tab w:val="center" w:pos="4536"/>
                <w:tab w:val="right" w:pos="9072"/>
              </w:tabs>
              <w:spacing w:after="120"/>
              <w:jc w:val="both"/>
              <w:rPr>
                <w:rFonts w:eastAsia="Calibri"/>
                <w:sz w:val="20"/>
                <w:szCs w:val="20"/>
                <w:lang w:eastAsia="en-GB"/>
              </w:rPr>
            </w:pPr>
            <w:r>
              <w:rPr>
                <w:rFonts w:eastAsia="Calibri"/>
                <w:sz w:val="20"/>
                <w:szCs w:val="20"/>
                <w:lang w:eastAsia="en-GB"/>
              </w:rPr>
              <w:t xml:space="preserve">Historical control data indicated in the study report were considered as </w:t>
            </w:r>
            <w:r>
              <w:rPr>
                <w:sz w:val="20"/>
                <w:szCs w:val="20"/>
                <w:lang w:val="en-US" w:eastAsia="fr-FR"/>
              </w:rPr>
              <w:t xml:space="preserve">concomitant studies as they are based on only two studies for </w:t>
            </w:r>
            <w:r>
              <w:rPr>
                <w:rFonts w:eastAsia="Calibri"/>
                <w:sz w:val="20"/>
                <w:szCs w:val="20"/>
                <w:lang w:eastAsia="en-GB"/>
              </w:rPr>
              <w:t xml:space="preserve">P generation and F1 pups and on </w:t>
            </w:r>
            <w:r>
              <w:rPr>
                <w:rFonts w:eastAsia="Calibri"/>
                <w:sz w:val="20"/>
                <w:szCs w:val="20"/>
                <w:lang w:eastAsia="en-GB"/>
              </w:rPr>
              <w:lastRenderedPageBreak/>
              <w:t>only one study for an extension to a F2 generation.</w:t>
            </w:r>
          </w:p>
          <w:p w14:paraId="0B692557" w14:textId="77777777" w:rsidR="00BC1D4B" w:rsidRDefault="00BC1D4B">
            <w:pPr>
              <w:widowControl w:val="0"/>
              <w:tabs>
                <w:tab w:val="center" w:pos="4536"/>
                <w:tab w:val="right" w:pos="9072"/>
              </w:tabs>
              <w:spacing w:after="120"/>
              <w:jc w:val="both"/>
              <w:rPr>
                <w:rFonts w:eastAsia="Calibri"/>
                <w:color w:val="000000"/>
                <w:sz w:val="20"/>
                <w:szCs w:val="20"/>
                <w:lang w:eastAsia="en-GB"/>
              </w:rPr>
            </w:pPr>
          </w:p>
        </w:tc>
        <w:tc>
          <w:tcPr>
            <w:tcW w:w="0" w:type="auto"/>
            <w:shd w:val="clear" w:color="auto" w:fill="auto"/>
          </w:tcPr>
          <w:p w14:paraId="5BCA2B88" w14:textId="77777777" w:rsidR="00BC1D4B" w:rsidRDefault="00ED1F84">
            <w:pPr>
              <w:spacing w:after="120"/>
              <w:jc w:val="both"/>
              <w:rPr>
                <w:rFonts w:eastAsia="Calibri"/>
                <w:b/>
                <w:sz w:val="20"/>
                <w:szCs w:val="20"/>
                <w:u w:val="single"/>
                <w:lang w:eastAsia="en-GB"/>
              </w:rPr>
            </w:pPr>
            <w:r>
              <w:rPr>
                <w:rFonts w:eastAsia="Calibri"/>
                <w:b/>
                <w:sz w:val="20"/>
                <w:szCs w:val="20"/>
                <w:u w:val="single"/>
                <w:lang w:eastAsia="en-GB"/>
              </w:rPr>
              <w:lastRenderedPageBreak/>
              <w:t xml:space="preserve">General toxicity : </w:t>
            </w:r>
          </w:p>
          <w:p w14:paraId="75F4F1B2" w14:textId="77777777" w:rsidR="00BC1D4B" w:rsidRDefault="00ED1F84">
            <w:pPr>
              <w:spacing w:after="120"/>
              <w:jc w:val="both"/>
              <w:rPr>
                <w:rFonts w:eastAsia="Calibri"/>
                <w:b/>
                <w:sz w:val="20"/>
                <w:szCs w:val="20"/>
                <w:lang w:eastAsia="en-GB"/>
              </w:rPr>
            </w:pPr>
            <w:r>
              <w:rPr>
                <w:rFonts w:eastAsia="Calibri"/>
                <w:b/>
                <w:sz w:val="20"/>
                <w:szCs w:val="20"/>
                <w:lang w:eastAsia="en-GB"/>
              </w:rPr>
              <w:t xml:space="preserve">Body weight and body weight gain : </w:t>
            </w:r>
          </w:p>
          <w:p w14:paraId="50E92C14" w14:textId="77777777" w:rsidR="00BC1D4B" w:rsidRDefault="00ED1F84">
            <w:pPr>
              <w:spacing w:after="120"/>
              <w:jc w:val="both"/>
              <w:rPr>
                <w:rFonts w:eastAsia="Calibri"/>
                <w:bCs/>
                <w:sz w:val="20"/>
                <w:szCs w:val="20"/>
                <w:lang w:val="en-US" w:eastAsia="en-GB"/>
              </w:rPr>
            </w:pPr>
            <w:r>
              <w:rPr>
                <w:rFonts w:eastAsia="Calibri"/>
                <w:sz w:val="20"/>
                <w:szCs w:val="20"/>
                <w:lang w:eastAsia="en-GB"/>
              </w:rPr>
              <w:t xml:space="preserve">P generation: no adverse effect </w:t>
            </w:r>
            <w:r>
              <w:rPr>
                <w:rFonts w:eastAsia="Calibri"/>
                <w:bCs/>
                <w:sz w:val="20"/>
                <w:szCs w:val="20"/>
                <w:lang w:val="en-US" w:eastAsia="en-GB"/>
              </w:rPr>
              <w:t>during the premating, mating, gestation or lactation periods.</w:t>
            </w:r>
          </w:p>
          <w:p w14:paraId="1C4CE332" w14:textId="77777777" w:rsidR="00BC1D4B" w:rsidRDefault="00ED1F84">
            <w:pPr>
              <w:spacing w:after="120"/>
              <w:jc w:val="both"/>
              <w:rPr>
                <w:rFonts w:eastAsia="Calibri"/>
                <w:bCs/>
                <w:sz w:val="20"/>
                <w:szCs w:val="20"/>
                <w:lang w:val="en-US" w:eastAsia="en-GB"/>
              </w:rPr>
            </w:pPr>
            <w:r>
              <w:rPr>
                <w:rFonts w:eastAsia="Calibri"/>
                <w:bCs/>
                <w:sz w:val="20"/>
                <w:szCs w:val="20"/>
                <w:lang w:val="en-US" w:eastAsia="en-GB"/>
              </w:rPr>
              <w:t xml:space="preserve">Lactating F1 pups: in </w:t>
            </w:r>
            <w:r>
              <w:rPr>
                <w:rFonts w:eastAsia="Calibri"/>
                <w:sz w:val="20"/>
                <w:szCs w:val="20"/>
                <w:lang w:eastAsia="en-GB"/>
              </w:rPr>
              <w:t>males and females</w:t>
            </w:r>
            <w:r>
              <w:rPr>
                <w:rFonts w:eastAsia="Calibri"/>
                <w:bCs/>
                <w:sz w:val="20"/>
                <w:szCs w:val="20"/>
                <w:lang w:val="en-US" w:eastAsia="en-GB"/>
              </w:rPr>
              <w:t>,</w:t>
            </w:r>
            <w:r>
              <w:rPr>
                <w:rFonts w:eastAsia="Calibri"/>
                <w:sz w:val="20"/>
                <w:szCs w:val="20"/>
                <w:lang w:val="en-US" w:eastAsia="en-GB"/>
              </w:rPr>
              <w:t xml:space="preserve"> at 25 mg/kg bw/d,</w:t>
            </w:r>
            <w:r>
              <w:rPr>
                <w:rFonts w:eastAsia="Calibri"/>
                <w:sz w:val="20"/>
                <w:szCs w:val="20"/>
                <w:lang w:eastAsia="en-GB"/>
              </w:rPr>
              <w:t xml:space="preserve"> body weight lower at PND1 (Males: </w:t>
            </w:r>
            <w:r>
              <w:rPr>
                <w:rFonts w:eastAsia="Calibri"/>
                <w:sz w:val="20"/>
                <w:szCs w:val="20"/>
              </w:rPr>
              <w:t>7.7g vs 8.4g for controls and females: 7.3g vs 7.8g for controls)</w:t>
            </w:r>
            <w:r>
              <w:rPr>
                <w:rFonts w:eastAsia="Calibri"/>
                <w:sz w:val="20"/>
                <w:szCs w:val="20"/>
                <w:lang w:eastAsia="en-GB"/>
              </w:rPr>
              <w:t>. Statistically significant in males. Body weights return to control values thereafter.</w:t>
            </w:r>
          </w:p>
          <w:p w14:paraId="4CB4A62B" w14:textId="77777777" w:rsidR="00BC1D4B" w:rsidRDefault="00ED1F84">
            <w:pPr>
              <w:spacing w:after="120"/>
              <w:jc w:val="both"/>
              <w:rPr>
                <w:rFonts w:eastAsia="Calibri"/>
                <w:bCs/>
                <w:sz w:val="20"/>
                <w:szCs w:val="20"/>
                <w:lang w:val="en-US" w:eastAsia="en-GB"/>
              </w:rPr>
            </w:pPr>
            <w:r>
              <w:rPr>
                <w:rFonts w:eastAsia="Calibri"/>
                <w:bCs/>
                <w:sz w:val="20"/>
                <w:szCs w:val="20"/>
                <w:lang w:val="en-US" w:eastAsia="en-GB"/>
              </w:rPr>
              <w:t xml:space="preserve">Cohort 1A: no adverse effect on body weight and body weight change. </w:t>
            </w:r>
          </w:p>
          <w:p w14:paraId="49579184" w14:textId="77777777" w:rsidR="00BC1D4B" w:rsidRDefault="00ED1F84">
            <w:pPr>
              <w:spacing w:after="120"/>
              <w:jc w:val="both"/>
              <w:rPr>
                <w:rFonts w:eastAsia="Calibri"/>
                <w:bCs/>
                <w:sz w:val="20"/>
                <w:szCs w:val="20"/>
                <w:lang w:val="en-US" w:eastAsia="en-GB"/>
              </w:rPr>
            </w:pPr>
            <w:r>
              <w:rPr>
                <w:rFonts w:eastAsia="Calibri"/>
                <w:bCs/>
                <w:sz w:val="20"/>
                <w:szCs w:val="20"/>
                <w:lang w:val="en-US" w:eastAsia="en-GB"/>
              </w:rPr>
              <w:t xml:space="preserve">Cohort 1B: no adverse effect on body weight and body weight change during premating, post-mating and pregnancy period and lactation period. </w:t>
            </w:r>
          </w:p>
          <w:p w14:paraId="3F76633F" w14:textId="77777777" w:rsidR="00BC1D4B" w:rsidRDefault="00ED1F84">
            <w:pPr>
              <w:spacing w:after="120"/>
              <w:jc w:val="both"/>
              <w:rPr>
                <w:rFonts w:eastAsia="Calibri"/>
                <w:sz w:val="20"/>
                <w:szCs w:val="20"/>
                <w:lang w:eastAsia="en-GB"/>
              </w:rPr>
            </w:pPr>
            <w:r>
              <w:rPr>
                <w:rFonts w:eastAsia="Calibri"/>
                <w:sz w:val="20"/>
                <w:szCs w:val="20"/>
                <w:lang w:val="en-US" w:eastAsia="en-GB"/>
              </w:rPr>
              <w:t xml:space="preserve">Lactating F2 pups: </w:t>
            </w:r>
            <w:r>
              <w:rPr>
                <w:rFonts w:eastAsia="Calibri"/>
                <w:sz w:val="20"/>
                <w:szCs w:val="20"/>
                <w:lang w:eastAsia="en-GB"/>
              </w:rPr>
              <w:t xml:space="preserve">in both sexes, body weight lower at PND1 (Males: </w:t>
            </w:r>
            <w:r>
              <w:rPr>
                <w:rFonts w:eastAsia="Calibri"/>
                <w:sz w:val="20"/>
                <w:szCs w:val="20"/>
              </w:rPr>
              <w:t>7.3g vs 8.1g for controls and females: 7.2g vs 7.7g in controls)</w:t>
            </w:r>
            <w:r>
              <w:rPr>
                <w:rFonts w:eastAsia="Calibri"/>
                <w:sz w:val="20"/>
                <w:szCs w:val="20"/>
                <w:lang w:eastAsia="en-GB"/>
              </w:rPr>
              <w:t xml:space="preserve">. Statistically significant in males. At PND4, there is a tendency toward a return to control values and differences were not statistically significant. </w:t>
            </w:r>
          </w:p>
          <w:p w14:paraId="3BCA501D" w14:textId="77777777" w:rsidR="00BC1D4B" w:rsidRDefault="00BC1D4B">
            <w:pPr>
              <w:spacing w:after="120"/>
              <w:jc w:val="both"/>
              <w:rPr>
                <w:rFonts w:eastAsia="Calibri"/>
                <w:sz w:val="20"/>
                <w:szCs w:val="20"/>
                <w:lang w:eastAsia="en-GB"/>
              </w:rPr>
            </w:pPr>
          </w:p>
          <w:p w14:paraId="5B703569" w14:textId="77777777" w:rsidR="00BC1D4B" w:rsidRDefault="00ED1F84">
            <w:pPr>
              <w:spacing w:after="120"/>
              <w:jc w:val="both"/>
              <w:rPr>
                <w:rFonts w:eastAsia="Calibri"/>
                <w:b/>
                <w:sz w:val="20"/>
                <w:szCs w:val="20"/>
                <w:lang w:eastAsia="en-GB"/>
              </w:rPr>
            </w:pPr>
            <w:r>
              <w:rPr>
                <w:rFonts w:eastAsia="Calibri"/>
                <w:b/>
                <w:sz w:val="20"/>
                <w:szCs w:val="20"/>
                <w:lang w:eastAsia="en-GB"/>
              </w:rPr>
              <w:t>Food consumption :</w:t>
            </w:r>
          </w:p>
          <w:p w14:paraId="7ABDE4EB" w14:textId="77777777" w:rsidR="00BC1D4B" w:rsidRDefault="00ED1F84">
            <w:pPr>
              <w:spacing w:after="120"/>
              <w:jc w:val="both"/>
              <w:rPr>
                <w:rFonts w:eastAsia="Calibri"/>
                <w:sz w:val="20"/>
                <w:szCs w:val="20"/>
                <w:lang w:eastAsia="en-GB"/>
              </w:rPr>
            </w:pPr>
            <w:r>
              <w:rPr>
                <w:rFonts w:eastAsia="Calibri"/>
                <w:sz w:val="20"/>
                <w:szCs w:val="20"/>
                <w:lang w:eastAsia="en-GB"/>
              </w:rPr>
              <w:t xml:space="preserve"> No adverse effect seen in P Generation, cohort 1A and cohort 1B during the study. </w:t>
            </w:r>
          </w:p>
          <w:p w14:paraId="6203FB2A" w14:textId="77777777" w:rsidR="00BC1D4B" w:rsidRDefault="00BC1D4B">
            <w:pPr>
              <w:spacing w:after="120"/>
              <w:jc w:val="both"/>
              <w:rPr>
                <w:rFonts w:eastAsia="Calibri"/>
                <w:sz w:val="20"/>
                <w:szCs w:val="20"/>
                <w:lang w:eastAsia="en-GB"/>
              </w:rPr>
            </w:pPr>
          </w:p>
          <w:p w14:paraId="4DC75465" w14:textId="77777777" w:rsidR="00BC1D4B" w:rsidRDefault="00ED1F84">
            <w:pPr>
              <w:spacing w:after="120"/>
              <w:jc w:val="both"/>
              <w:rPr>
                <w:rFonts w:eastAsia="Calibri"/>
                <w:b/>
                <w:sz w:val="20"/>
                <w:szCs w:val="20"/>
                <w:lang w:eastAsia="en-GB"/>
              </w:rPr>
            </w:pPr>
            <w:r>
              <w:rPr>
                <w:rFonts w:eastAsia="Calibri"/>
                <w:b/>
                <w:sz w:val="20"/>
                <w:szCs w:val="20"/>
                <w:lang w:eastAsia="en-GB"/>
              </w:rPr>
              <w:t xml:space="preserve">Neurotoxicity : </w:t>
            </w:r>
          </w:p>
          <w:p w14:paraId="72FD943C" w14:textId="77777777" w:rsidR="00BC1D4B" w:rsidRDefault="00ED1F84">
            <w:pPr>
              <w:spacing w:after="120"/>
              <w:jc w:val="both"/>
              <w:rPr>
                <w:rFonts w:eastAsia="Calibri"/>
                <w:sz w:val="20"/>
                <w:szCs w:val="20"/>
                <w:lang w:eastAsia="en-GB"/>
              </w:rPr>
            </w:pPr>
            <w:r>
              <w:rPr>
                <w:sz w:val="20"/>
                <w:szCs w:val="20"/>
              </w:rPr>
              <w:t xml:space="preserve">In P Generation, at </w:t>
            </w:r>
            <w:r>
              <w:rPr>
                <w:rFonts w:eastAsia="Calibri"/>
                <w:sz w:val="20"/>
                <w:szCs w:val="20"/>
                <w:lang w:eastAsia="en-GB"/>
              </w:rPr>
              <w:t xml:space="preserve">25 mg/kg bw/d, at the end of the </w:t>
            </w:r>
            <w:r>
              <w:rPr>
                <w:rFonts w:eastAsia="Calibri"/>
                <w:sz w:val="20"/>
                <w:szCs w:val="20"/>
                <w:lang w:eastAsia="en-GB"/>
              </w:rPr>
              <w:lastRenderedPageBreak/>
              <w:t xml:space="preserve">pregnancy period (from Study Day 42), series of clinical signs suggestive of neurologic disorders seen in 8 out of 18 surviving females (e.g. clonic convulsion, locomotor difficulties, loss of balance, staggering gait and/or tonic seizures). Disorders transient and observed after dosing only. </w:t>
            </w:r>
          </w:p>
          <w:p w14:paraId="052CB112" w14:textId="77777777" w:rsidR="00BC1D4B" w:rsidRDefault="00BC1D4B">
            <w:pPr>
              <w:spacing w:after="120"/>
              <w:jc w:val="both"/>
              <w:rPr>
                <w:rFonts w:eastAsia="Calibri"/>
                <w:sz w:val="20"/>
                <w:szCs w:val="20"/>
                <w:lang w:eastAsia="en-GB"/>
              </w:rPr>
            </w:pPr>
          </w:p>
          <w:p w14:paraId="1E91A8FA" w14:textId="77777777" w:rsidR="00BC1D4B" w:rsidRDefault="00ED1F84">
            <w:pPr>
              <w:spacing w:after="120"/>
              <w:jc w:val="both"/>
              <w:rPr>
                <w:rFonts w:eastAsia="Calibri"/>
                <w:sz w:val="20"/>
                <w:szCs w:val="20"/>
                <w:lang w:eastAsia="en-GB"/>
              </w:rPr>
            </w:pPr>
            <w:r>
              <w:rPr>
                <w:rFonts w:eastAsia="Calibri"/>
                <w:sz w:val="20"/>
                <w:szCs w:val="20"/>
                <w:lang w:eastAsia="en-GB"/>
              </w:rPr>
              <w:t xml:space="preserve">In cohort 1B, at 25 mg/kg bw/d, in both sexes, series of clinical signs suggestive of neurologic disorders also observed (e.g. clonic/tonic convulsion, loss of balance and/or staggering gait) mainly from Study Day 94 after dosing for 1 to 3 days. </w:t>
            </w:r>
          </w:p>
          <w:p w14:paraId="550C4374" w14:textId="77777777" w:rsidR="00BC1D4B" w:rsidRDefault="00ED1F84">
            <w:pPr>
              <w:spacing w:after="120"/>
              <w:jc w:val="both"/>
              <w:rPr>
                <w:rFonts w:eastAsia="Calibri"/>
                <w:b/>
                <w:sz w:val="20"/>
                <w:szCs w:val="20"/>
                <w:lang w:eastAsia="en-GB"/>
              </w:rPr>
            </w:pPr>
            <w:r>
              <w:rPr>
                <w:rFonts w:eastAsia="Calibri"/>
                <w:b/>
                <w:sz w:val="20"/>
                <w:szCs w:val="20"/>
                <w:lang w:eastAsia="en-GB"/>
              </w:rPr>
              <w:t xml:space="preserve">Immunology findings : </w:t>
            </w:r>
          </w:p>
          <w:p w14:paraId="5284A1AA" w14:textId="77777777" w:rsidR="00BC1D4B" w:rsidRDefault="00ED1F84">
            <w:pPr>
              <w:spacing w:after="120"/>
              <w:jc w:val="both"/>
              <w:rPr>
                <w:rFonts w:eastAsia="Calibri"/>
                <w:sz w:val="20"/>
                <w:szCs w:val="20"/>
              </w:rPr>
            </w:pPr>
            <w:r>
              <w:rPr>
                <w:rFonts w:eastAsia="Calibri"/>
                <w:sz w:val="20"/>
                <w:szCs w:val="20"/>
                <w:lang w:eastAsia="en-GB"/>
              </w:rPr>
              <w:t>Cohort 1A : in males at 15 mg/kg/d, when compared with controls, statistically significant increase of NK cells both in terms of relative (4.8 vs. 3.4%) and absolute cells counts (11397 cells/mg of spleen compared to 7001 cells/mg of spleen) and  a decrease of T cells in terms of relative counts (</w:t>
            </w:r>
            <w:r>
              <w:rPr>
                <w:rFonts w:eastAsia="Calibri"/>
                <w:sz w:val="20"/>
                <w:szCs w:val="20"/>
              </w:rPr>
              <w:t xml:space="preserve">36.6 vs. 42.5%). No significant difference was observed at 25 mg/kg bw/d. </w:t>
            </w:r>
          </w:p>
          <w:p w14:paraId="453ADF82" w14:textId="77777777" w:rsidR="00BC1D4B" w:rsidRDefault="00ED1F84">
            <w:pPr>
              <w:spacing w:after="120"/>
              <w:jc w:val="both"/>
              <w:rPr>
                <w:rFonts w:eastAsia="Calibri"/>
                <w:sz w:val="20"/>
                <w:szCs w:val="20"/>
                <w:lang w:eastAsia="en-GB"/>
              </w:rPr>
            </w:pPr>
            <w:r>
              <w:rPr>
                <w:rFonts w:eastAsia="Calibri"/>
                <w:sz w:val="20"/>
                <w:szCs w:val="20"/>
              </w:rPr>
              <w:t>In females, at 25 mg/kg bw/d, when compared with controls, statistically significant decrease of NK cells, both in terms of relative (2.6 vs. 3.8% of splenocytes) and absolute counts (5879 vs. 10713 cells/mg of spleen).</w:t>
            </w:r>
          </w:p>
          <w:p w14:paraId="7E9D5584" w14:textId="77777777" w:rsidR="00BC1D4B" w:rsidRDefault="00BC1D4B">
            <w:pPr>
              <w:spacing w:after="120"/>
              <w:jc w:val="both"/>
              <w:rPr>
                <w:rFonts w:eastAsia="Calibri"/>
                <w:sz w:val="20"/>
                <w:szCs w:val="20"/>
                <w:lang w:eastAsia="en-GB"/>
              </w:rPr>
            </w:pPr>
          </w:p>
          <w:p w14:paraId="74E69A3E" w14:textId="77777777" w:rsidR="00BC1D4B" w:rsidRDefault="00ED1F84">
            <w:pPr>
              <w:spacing w:after="120"/>
              <w:jc w:val="both"/>
              <w:rPr>
                <w:rFonts w:eastAsia="Calibri"/>
                <w:b/>
                <w:sz w:val="20"/>
                <w:szCs w:val="20"/>
                <w:lang w:eastAsia="en-GB"/>
              </w:rPr>
            </w:pPr>
            <w:r>
              <w:rPr>
                <w:rFonts w:eastAsia="Calibri"/>
                <w:b/>
                <w:sz w:val="20"/>
                <w:szCs w:val="20"/>
                <w:lang w:eastAsia="en-GB"/>
              </w:rPr>
              <w:t xml:space="preserve">Organs observations : </w:t>
            </w:r>
          </w:p>
          <w:p w14:paraId="4DB82EF0" w14:textId="77777777" w:rsidR="00BC1D4B" w:rsidRDefault="00ED1F84">
            <w:pPr>
              <w:spacing w:after="120"/>
              <w:jc w:val="both"/>
              <w:rPr>
                <w:rFonts w:eastAsia="Calibri"/>
                <w:sz w:val="20"/>
                <w:szCs w:val="20"/>
                <w:lang w:eastAsia="en-GB"/>
              </w:rPr>
            </w:pPr>
            <w:r>
              <w:rPr>
                <w:rFonts w:eastAsia="Calibri"/>
                <w:sz w:val="20"/>
                <w:szCs w:val="20"/>
                <w:lang w:eastAsia="en-GB"/>
              </w:rPr>
              <w:t xml:space="preserve">P generation : </w:t>
            </w:r>
          </w:p>
          <w:p w14:paraId="2DED951D" w14:textId="77777777" w:rsidR="00BC1D4B" w:rsidRDefault="00ED1F84">
            <w:pPr>
              <w:spacing w:after="120"/>
              <w:jc w:val="both"/>
              <w:rPr>
                <w:rFonts w:eastAsia="Calibri"/>
                <w:sz w:val="20"/>
                <w:szCs w:val="20"/>
                <w:lang w:eastAsia="en-GB"/>
              </w:rPr>
            </w:pPr>
            <w:r>
              <w:rPr>
                <w:rFonts w:eastAsia="Calibri"/>
                <w:sz w:val="20"/>
                <w:szCs w:val="20"/>
                <w:lang w:eastAsia="en-GB"/>
              </w:rPr>
              <w:t xml:space="preserve">From 15 mg/kg bw/d: </w:t>
            </w:r>
          </w:p>
          <w:p w14:paraId="0E7E50E8" w14:textId="77777777" w:rsidR="00BC1D4B" w:rsidRDefault="00ED1F84">
            <w:pPr>
              <w:spacing w:after="120"/>
              <w:jc w:val="both"/>
              <w:rPr>
                <w:rFonts w:eastAsia="Calibri"/>
                <w:sz w:val="20"/>
                <w:szCs w:val="20"/>
                <w:lang w:eastAsia="en-GB"/>
              </w:rPr>
            </w:pPr>
            <w:r>
              <w:rPr>
                <w:rFonts w:eastAsia="Calibri"/>
                <w:sz w:val="20"/>
                <w:szCs w:val="20"/>
                <w:lang w:eastAsia="en-GB"/>
              </w:rPr>
              <w:t>Statistically significant increase in liver weights in males</w:t>
            </w:r>
            <w:r>
              <w:rPr>
                <w:rFonts w:eastAsia="Calibri"/>
                <w:sz w:val="20"/>
                <w:szCs w:val="20"/>
              </w:rPr>
              <w:t xml:space="preserve">, </w:t>
            </w:r>
            <w:r>
              <w:rPr>
                <w:rFonts w:eastAsia="Calibri"/>
                <w:sz w:val="20"/>
                <w:szCs w:val="20"/>
                <w:lang w:eastAsia="en-GB"/>
              </w:rPr>
              <w:t xml:space="preserve">correlated with the microscopic </w:t>
            </w:r>
            <w:r>
              <w:rPr>
                <w:rFonts w:eastAsia="Calibri"/>
                <w:sz w:val="20"/>
                <w:szCs w:val="20"/>
                <w:lang w:eastAsia="en-GB"/>
              </w:rPr>
              <w:lastRenderedPageBreak/>
              <w:t xml:space="preserve">hepatocellular hypertrophy. Same trend with lower amplitude seen in females without significance. </w:t>
            </w:r>
          </w:p>
          <w:p w14:paraId="1EF27FD1" w14:textId="77777777" w:rsidR="00BC1D4B" w:rsidRDefault="00ED1F84">
            <w:pPr>
              <w:spacing w:after="120"/>
              <w:jc w:val="both"/>
              <w:rPr>
                <w:rFonts w:eastAsia="Calibri"/>
                <w:b/>
                <w:sz w:val="20"/>
                <w:szCs w:val="20"/>
                <w:lang w:eastAsia="en-GB"/>
              </w:rPr>
            </w:pPr>
            <w:r>
              <w:rPr>
                <w:sz w:val="20"/>
                <w:szCs w:val="20"/>
              </w:rPr>
              <w:t xml:space="preserve">Statistically significant </w:t>
            </w:r>
            <w:r>
              <w:rPr>
                <w:rFonts w:eastAsia="Calibri"/>
                <w:sz w:val="20"/>
                <w:szCs w:val="20"/>
                <w:lang w:eastAsia="en-GB"/>
              </w:rPr>
              <w:t>increased absolute and relative-to-body adrenal gland weights in females (up to +23%).</w:t>
            </w:r>
            <w:r>
              <w:rPr>
                <w:color w:val="000000"/>
                <w:sz w:val="20"/>
                <w:szCs w:val="20"/>
                <w:lang w:val="en-US" w:eastAsia="fr-FR"/>
              </w:rPr>
              <w:t xml:space="preserve"> </w:t>
            </w:r>
            <w:r>
              <w:rPr>
                <w:rFonts w:eastAsia="Calibri"/>
                <w:sz w:val="20"/>
                <w:szCs w:val="20"/>
                <w:lang w:val="en-US" w:eastAsia="en-GB"/>
              </w:rPr>
              <w:t>No microscopic correlates.</w:t>
            </w:r>
          </w:p>
          <w:p w14:paraId="581E3CDB" w14:textId="77777777" w:rsidR="00BC1D4B" w:rsidRDefault="00BC1D4B">
            <w:pPr>
              <w:spacing w:after="120"/>
              <w:jc w:val="both"/>
              <w:rPr>
                <w:rFonts w:eastAsia="Calibri"/>
                <w:sz w:val="20"/>
                <w:szCs w:val="20"/>
                <w:lang w:eastAsia="en-GB"/>
              </w:rPr>
            </w:pPr>
          </w:p>
          <w:p w14:paraId="1B1185C9" w14:textId="77777777" w:rsidR="00BC1D4B" w:rsidRDefault="00ED1F84">
            <w:pPr>
              <w:spacing w:after="120"/>
              <w:jc w:val="both"/>
              <w:rPr>
                <w:rFonts w:eastAsia="Calibri"/>
                <w:sz w:val="20"/>
                <w:szCs w:val="20"/>
                <w:lang w:val="en-US" w:eastAsia="en-GB"/>
              </w:rPr>
            </w:pPr>
            <w:r>
              <w:rPr>
                <w:rFonts w:eastAsia="Calibri"/>
                <w:sz w:val="20"/>
                <w:szCs w:val="20"/>
                <w:lang w:val="en-US" w:eastAsia="en-GB"/>
              </w:rPr>
              <w:t xml:space="preserve">Cohort 1A: </w:t>
            </w:r>
            <w:r>
              <w:rPr>
                <w:rFonts w:eastAsia="Calibri"/>
                <w:sz w:val="20"/>
                <w:szCs w:val="20"/>
                <w:lang w:eastAsia="en-GB"/>
              </w:rPr>
              <w:t>statistically significant increased absolute and relative-to-body liver weights in females treated at ≥ 5 mg/kg/d and in relative-to-body weights in males treated at 25 mg/kg bw/d, correlated with hepatocellular hypertrophy at microscopic examination</w:t>
            </w:r>
          </w:p>
          <w:p w14:paraId="0A463CE6" w14:textId="77777777" w:rsidR="00BC1D4B" w:rsidRDefault="00BC1D4B">
            <w:pPr>
              <w:spacing w:after="120"/>
              <w:jc w:val="both"/>
              <w:rPr>
                <w:rFonts w:eastAsia="Calibri"/>
                <w:sz w:val="20"/>
                <w:szCs w:val="20"/>
                <w:lang w:val="en-US" w:eastAsia="en-GB"/>
              </w:rPr>
            </w:pPr>
          </w:p>
          <w:p w14:paraId="439B04F8" w14:textId="77777777" w:rsidR="00BC1D4B" w:rsidRDefault="00ED1F84">
            <w:pPr>
              <w:spacing w:after="120"/>
              <w:jc w:val="both"/>
              <w:rPr>
                <w:rFonts w:eastAsia="Calibri"/>
                <w:sz w:val="20"/>
                <w:szCs w:val="20"/>
                <w:lang w:val="en-US" w:eastAsia="en-GB"/>
              </w:rPr>
            </w:pPr>
            <w:r>
              <w:rPr>
                <w:rFonts w:eastAsia="Calibri"/>
                <w:sz w:val="20"/>
                <w:szCs w:val="20"/>
                <w:lang w:val="en-US" w:eastAsia="en-GB"/>
              </w:rPr>
              <w:t xml:space="preserve">Cohort 1B: increased absolute (statistically significant at 15mg/kg bw/d) and/or relative-to-body liver weights (statistically significant from 15mg/kg bw/d in males) recorded in males and females treated at ≥ 15 mg/kg/d. </w:t>
            </w:r>
          </w:p>
          <w:p w14:paraId="2D1A6786" w14:textId="77777777" w:rsidR="00BC1D4B" w:rsidRDefault="00BC1D4B">
            <w:pPr>
              <w:spacing w:after="120"/>
              <w:jc w:val="both"/>
              <w:rPr>
                <w:rFonts w:eastAsia="Calibri"/>
                <w:sz w:val="20"/>
                <w:szCs w:val="20"/>
                <w:lang w:eastAsia="en-GB"/>
              </w:rPr>
            </w:pPr>
          </w:p>
          <w:p w14:paraId="690259D1" w14:textId="77777777" w:rsidR="00BC1D4B" w:rsidRDefault="00ED1F84">
            <w:pPr>
              <w:spacing w:after="120"/>
              <w:jc w:val="both"/>
              <w:rPr>
                <w:rFonts w:eastAsia="Calibri"/>
                <w:sz w:val="20"/>
                <w:szCs w:val="20"/>
                <w:lang w:eastAsia="en-GB"/>
              </w:rPr>
            </w:pPr>
            <w:r>
              <w:rPr>
                <w:rFonts w:eastAsia="Calibri"/>
                <w:sz w:val="20"/>
                <w:szCs w:val="20"/>
                <w:lang w:eastAsia="en-GB"/>
              </w:rPr>
              <w:t xml:space="preserve">Other findings : </w:t>
            </w:r>
          </w:p>
          <w:p w14:paraId="1A3C9479" w14:textId="77777777" w:rsidR="00BC1D4B" w:rsidRDefault="00ED1F84">
            <w:pPr>
              <w:spacing w:after="120"/>
              <w:jc w:val="both"/>
              <w:rPr>
                <w:rFonts w:eastAsia="Calibri"/>
                <w:sz w:val="20"/>
                <w:szCs w:val="20"/>
                <w:lang w:eastAsia="en-GB"/>
              </w:rPr>
            </w:pPr>
            <w:r>
              <w:rPr>
                <w:rFonts w:eastAsia="Calibri"/>
                <w:sz w:val="20"/>
                <w:szCs w:val="20"/>
                <w:u w:val="single"/>
                <w:lang w:eastAsia="en-GB"/>
              </w:rPr>
              <w:t xml:space="preserve">At 5 mg/kg bw/d, </w:t>
            </w:r>
            <w:r>
              <w:rPr>
                <w:rFonts w:eastAsia="Calibri"/>
                <w:sz w:val="20"/>
                <w:szCs w:val="20"/>
                <w:lang w:eastAsia="en-GB"/>
              </w:rPr>
              <w:t xml:space="preserve">in </w:t>
            </w:r>
            <w:r>
              <w:rPr>
                <w:rFonts w:eastAsia="Calibri"/>
                <w:sz w:val="20"/>
                <w:szCs w:val="20"/>
                <w:u w:val="single"/>
                <w:lang w:eastAsia="en-GB"/>
              </w:rPr>
              <w:t xml:space="preserve">P generation, </w:t>
            </w:r>
            <w:r>
              <w:rPr>
                <w:rFonts w:eastAsia="Calibri"/>
                <w:sz w:val="20"/>
                <w:szCs w:val="20"/>
                <w:lang w:eastAsia="en-GB"/>
              </w:rPr>
              <w:t>one female with an adenocarcinoma in mammary gland.</w:t>
            </w:r>
          </w:p>
          <w:p w14:paraId="2118AEDD" w14:textId="77777777" w:rsidR="00BC1D4B" w:rsidRDefault="00BC1D4B">
            <w:pPr>
              <w:spacing w:after="120"/>
              <w:jc w:val="both"/>
              <w:rPr>
                <w:rFonts w:eastAsia="Calibri"/>
                <w:sz w:val="20"/>
                <w:szCs w:val="20"/>
                <w:lang w:eastAsia="en-GB"/>
              </w:rPr>
            </w:pPr>
          </w:p>
          <w:p w14:paraId="4AF92402" w14:textId="77777777" w:rsidR="00BC1D4B" w:rsidRDefault="00ED1F84">
            <w:pPr>
              <w:spacing w:after="120"/>
              <w:jc w:val="both"/>
              <w:rPr>
                <w:rFonts w:eastAsia="Calibri"/>
                <w:sz w:val="20"/>
                <w:szCs w:val="20"/>
                <w:lang w:eastAsia="en-GB"/>
              </w:rPr>
            </w:pPr>
            <w:r>
              <w:rPr>
                <w:rFonts w:eastAsia="Calibri"/>
                <w:sz w:val="20"/>
                <w:szCs w:val="20"/>
                <w:lang w:eastAsia="en-GB"/>
              </w:rPr>
              <w:t>At 25 mg/kg bw/d, in cohort 1B generation, one female with an adenocarcinoma in mammary gland.</w:t>
            </w:r>
          </w:p>
          <w:p w14:paraId="52E744C1" w14:textId="77777777" w:rsidR="00BC1D4B" w:rsidRDefault="00ED1F84">
            <w:pPr>
              <w:spacing w:after="120"/>
              <w:jc w:val="both"/>
              <w:rPr>
                <w:rFonts w:eastAsia="Calibri"/>
                <w:b/>
                <w:sz w:val="20"/>
                <w:szCs w:val="20"/>
                <w:u w:val="single"/>
                <w:lang w:eastAsia="en-GB"/>
              </w:rPr>
            </w:pPr>
            <w:r>
              <w:rPr>
                <w:rFonts w:eastAsia="Calibri"/>
                <w:b/>
                <w:sz w:val="20"/>
                <w:szCs w:val="20"/>
                <w:u w:val="single"/>
                <w:lang w:eastAsia="en-GB"/>
              </w:rPr>
              <w:t>Effects on fertility and sexual function :</w:t>
            </w:r>
          </w:p>
          <w:p w14:paraId="0D458CC3" w14:textId="77777777" w:rsidR="00BC1D4B" w:rsidRDefault="00ED1F84">
            <w:pPr>
              <w:spacing w:after="120"/>
              <w:jc w:val="both"/>
              <w:rPr>
                <w:rFonts w:eastAsia="Calibri"/>
                <w:sz w:val="20"/>
                <w:szCs w:val="20"/>
                <w:lang w:eastAsia="en-GB"/>
              </w:rPr>
            </w:pPr>
            <w:r>
              <w:rPr>
                <w:rFonts w:eastAsia="Calibri"/>
                <w:b/>
                <w:sz w:val="20"/>
                <w:szCs w:val="20"/>
                <w:lang w:eastAsia="en-GB"/>
              </w:rPr>
              <w:t>Estrous cycle:</w:t>
            </w:r>
            <w:r>
              <w:rPr>
                <w:rFonts w:eastAsia="Calibri"/>
                <w:sz w:val="20"/>
                <w:szCs w:val="20"/>
                <w:lang w:eastAsia="en-GB"/>
              </w:rPr>
              <w:t xml:space="preserve"> </w:t>
            </w:r>
          </w:p>
          <w:p w14:paraId="4035D6DA" w14:textId="77777777" w:rsidR="00BC1D4B" w:rsidRDefault="00ED1F84">
            <w:pPr>
              <w:spacing w:after="120"/>
              <w:jc w:val="both"/>
              <w:rPr>
                <w:rFonts w:eastAsia="Calibri"/>
                <w:sz w:val="20"/>
                <w:szCs w:val="20"/>
                <w:lang w:val="en-US" w:eastAsia="en-GB"/>
              </w:rPr>
            </w:pPr>
            <w:r>
              <w:rPr>
                <w:rFonts w:eastAsia="Calibri"/>
                <w:sz w:val="20"/>
                <w:szCs w:val="20"/>
                <w:lang w:eastAsia="en-GB"/>
              </w:rPr>
              <w:t xml:space="preserve">In P generation, tendency toward a lower mean number of day of metestrus from 5mg/kg </w:t>
            </w:r>
            <w:r>
              <w:rPr>
                <w:rFonts w:eastAsia="Calibri"/>
                <w:sz w:val="20"/>
                <w:szCs w:val="20"/>
                <w:lang w:eastAsia="en-GB"/>
              </w:rPr>
              <w:lastRenderedPageBreak/>
              <w:t>bw/d (</w:t>
            </w:r>
            <w:r>
              <w:rPr>
                <w:rFonts w:eastAsia="Calibri"/>
                <w:sz w:val="20"/>
                <w:szCs w:val="20"/>
              </w:rPr>
              <w:t xml:space="preserve">4.9 for controls, 4.0 at 5 mg/kg/day, 3.7 at 15 mg/kg/day and 3.3 at 25 mg/kg bw/d). </w:t>
            </w:r>
            <w:r>
              <w:rPr>
                <w:rFonts w:eastAsia="Calibri"/>
                <w:sz w:val="20"/>
                <w:szCs w:val="20"/>
                <w:lang w:eastAsia="en-GB"/>
              </w:rPr>
              <w:t xml:space="preserve">Statistical significance achieved at 15 and 25 mg/kg bw/d </w:t>
            </w:r>
          </w:p>
          <w:p w14:paraId="6C804402" w14:textId="77777777" w:rsidR="00BC1D4B" w:rsidRDefault="00ED1F84">
            <w:pPr>
              <w:spacing w:after="120"/>
              <w:jc w:val="both"/>
              <w:rPr>
                <w:rFonts w:eastAsia="Calibri"/>
                <w:sz w:val="20"/>
                <w:szCs w:val="20"/>
                <w:lang w:val="en-US" w:eastAsia="en-GB"/>
              </w:rPr>
            </w:pPr>
            <w:r>
              <w:rPr>
                <w:rFonts w:eastAsia="Calibri"/>
                <w:sz w:val="20"/>
                <w:szCs w:val="20"/>
                <w:lang w:eastAsia="en-GB"/>
              </w:rPr>
              <w:t>Tendency toward an increase in the mean number of estrus (</w:t>
            </w:r>
            <w:r>
              <w:rPr>
                <w:rFonts w:eastAsia="Calibri"/>
                <w:sz w:val="20"/>
                <w:szCs w:val="20"/>
              </w:rPr>
              <w:t>3.5 for controls, 3.8 at 5 mg/kg bw/d, 3.4 at 15 mg/kg bw/d and 4.3 at 25 mg/kg bw/d)</w:t>
            </w:r>
            <w:r>
              <w:rPr>
                <w:rFonts w:eastAsia="Calibri"/>
                <w:sz w:val="20"/>
                <w:szCs w:val="20"/>
                <w:lang w:eastAsia="en-GB"/>
              </w:rPr>
              <w:t xml:space="preserve">. Statistical significance at 25 mg/kg bw/d. </w:t>
            </w:r>
          </w:p>
          <w:p w14:paraId="0FBDE043" w14:textId="77777777" w:rsidR="00BC1D4B" w:rsidRDefault="00ED1F84">
            <w:pPr>
              <w:spacing w:after="120"/>
              <w:jc w:val="both"/>
              <w:rPr>
                <w:rFonts w:eastAsia="Calibri"/>
                <w:sz w:val="20"/>
                <w:szCs w:val="20"/>
                <w:lang w:val="en-US" w:eastAsia="en-GB"/>
              </w:rPr>
            </w:pPr>
            <w:r>
              <w:rPr>
                <w:rFonts w:eastAsia="Calibri"/>
                <w:sz w:val="20"/>
                <w:szCs w:val="20"/>
                <w:lang w:eastAsia="en-GB"/>
              </w:rPr>
              <w:t xml:space="preserve">Same trends observed in cohort 1A at 25 mg/kg/d without statistical significance (metestrus: </w:t>
            </w:r>
            <w:r>
              <w:rPr>
                <w:rFonts w:eastAsia="Calibri"/>
                <w:b/>
                <w:bCs/>
                <w:sz w:val="20"/>
                <w:szCs w:val="20"/>
                <w:lang w:eastAsia="en-GB"/>
              </w:rPr>
              <w:t xml:space="preserve">3.8 vs </w:t>
            </w:r>
            <w:r>
              <w:rPr>
                <w:rFonts w:eastAsia="Calibri"/>
                <w:sz w:val="20"/>
                <w:szCs w:val="20"/>
                <w:lang w:val="en-US" w:eastAsia="en-GB"/>
              </w:rPr>
              <w:t xml:space="preserve">4.6 in controls and </w:t>
            </w:r>
            <w:r>
              <w:rPr>
                <w:rFonts w:eastAsia="Calibri"/>
                <w:iCs/>
                <w:sz w:val="20"/>
                <w:szCs w:val="20"/>
                <w:lang w:eastAsia="en-GB"/>
              </w:rPr>
              <w:t>3.0-3.5 in concomitant studies</w:t>
            </w:r>
            <w:r>
              <w:rPr>
                <w:rFonts w:eastAsia="Calibri"/>
                <w:sz w:val="20"/>
                <w:szCs w:val="20"/>
                <w:lang w:val="en-US" w:eastAsia="en-GB"/>
              </w:rPr>
              <w:t xml:space="preserve"> estrus: </w:t>
            </w:r>
            <w:r>
              <w:rPr>
                <w:rFonts w:eastAsia="Calibri"/>
                <w:sz w:val="20"/>
                <w:szCs w:val="20"/>
                <w:lang w:eastAsia="en-GB"/>
              </w:rPr>
              <w:t xml:space="preserve">4.3 vs 4.0 in controls and </w:t>
            </w:r>
            <w:r>
              <w:rPr>
                <w:rFonts w:eastAsia="Calibri"/>
                <w:iCs/>
                <w:sz w:val="20"/>
                <w:szCs w:val="20"/>
                <w:lang w:val="en-US" w:eastAsia="en-GB"/>
              </w:rPr>
              <w:t xml:space="preserve">3.7-3.8 in concomitant studies). </w:t>
            </w:r>
          </w:p>
          <w:p w14:paraId="02513499" w14:textId="77777777" w:rsidR="00BC1D4B" w:rsidRDefault="00ED1F84">
            <w:pPr>
              <w:spacing w:after="120"/>
              <w:jc w:val="both"/>
              <w:rPr>
                <w:rFonts w:eastAsia="Calibri"/>
                <w:b/>
                <w:sz w:val="20"/>
                <w:szCs w:val="20"/>
                <w:lang w:eastAsia="en-GB"/>
              </w:rPr>
            </w:pPr>
            <w:r>
              <w:rPr>
                <w:rFonts w:eastAsia="Calibri"/>
                <w:b/>
                <w:sz w:val="20"/>
                <w:szCs w:val="20"/>
                <w:lang w:eastAsia="en-GB"/>
              </w:rPr>
              <w:t xml:space="preserve">Duration of gestation : </w:t>
            </w:r>
          </w:p>
          <w:p w14:paraId="005B8549" w14:textId="77777777" w:rsidR="00BC1D4B" w:rsidRDefault="00ED1F84">
            <w:pPr>
              <w:spacing w:after="120"/>
              <w:jc w:val="both"/>
              <w:rPr>
                <w:rFonts w:eastAsia="Calibri"/>
                <w:sz w:val="20"/>
                <w:szCs w:val="20"/>
                <w:lang w:eastAsia="en-GB"/>
              </w:rPr>
            </w:pPr>
            <w:r>
              <w:rPr>
                <w:rFonts w:eastAsia="Calibri"/>
                <w:sz w:val="20"/>
                <w:szCs w:val="20"/>
                <w:lang w:eastAsia="en-GB"/>
              </w:rPr>
              <w:t xml:space="preserve">In P generation, trend toward increased period of gestation on an individual basis. At 5 mg/kg bw/d, </w:t>
            </w:r>
            <w:r>
              <w:rPr>
                <w:rFonts w:eastAsia="Calibri"/>
                <w:sz w:val="20"/>
                <w:szCs w:val="20"/>
                <w:lang w:val="en-US" w:eastAsia="en-GB"/>
              </w:rPr>
              <w:t xml:space="preserve">2/22 females with a gestation period of 24 days associated with </w:t>
            </w:r>
            <w:r>
              <w:rPr>
                <w:rFonts w:eastAsia="Calibri"/>
                <w:sz w:val="20"/>
                <w:szCs w:val="20"/>
                <w:lang w:eastAsia="en-GB"/>
              </w:rPr>
              <w:t>a high pup mortality rate</w:t>
            </w:r>
            <w:r>
              <w:rPr>
                <w:rFonts w:eastAsia="Calibri"/>
                <w:sz w:val="20"/>
                <w:szCs w:val="20"/>
                <w:lang w:val="en-US" w:eastAsia="en-GB"/>
              </w:rPr>
              <w:t xml:space="preserve">. </w:t>
            </w:r>
            <w:r>
              <w:rPr>
                <w:rFonts w:eastAsia="Calibri"/>
                <w:b/>
                <w:sz w:val="20"/>
                <w:szCs w:val="20"/>
                <w:lang w:eastAsia="en-GB"/>
              </w:rPr>
              <w:t>At 25 mg/kg bw/d, increased number of females with 23-day gestation periods</w:t>
            </w:r>
            <w:r>
              <w:rPr>
                <w:rFonts w:eastAsia="Calibri"/>
                <w:sz w:val="20"/>
                <w:szCs w:val="20"/>
                <w:lang w:eastAsia="en-GB"/>
              </w:rPr>
              <w:t xml:space="preserve"> (7/24) (not statistically significant) when compared to the control group associated to a high post-implantation loss.</w:t>
            </w:r>
            <w:r>
              <w:rPr>
                <w:rFonts w:eastAsia="Calibri"/>
                <w:sz w:val="20"/>
                <w:szCs w:val="20"/>
                <w:lang w:val="en-US" w:eastAsia="en-GB"/>
              </w:rPr>
              <w:t xml:space="preserve"> No </w:t>
            </w:r>
            <w:r>
              <w:rPr>
                <w:rFonts w:eastAsia="Calibri"/>
                <w:sz w:val="20"/>
                <w:szCs w:val="20"/>
                <w:lang w:eastAsia="en-GB"/>
              </w:rPr>
              <w:t xml:space="preserve">difference in mean duration of gestation. </w:t>
            </w:r>
          </w:p>
          <w:p w14:paraId="521501BC" w14:textId="77777777" w:rsidR="00BC1D4B" w:rsidRDefault="00BC1D4B">
            <w:pPr>
              <w:spacing w:after="120"/>
              <w:jc w:val="both"/>
              <w:rPr>
                <w:rFonts w:eastAsia="Calibri"/>
                <w:sz w:val="20"/>
                <w:szCs w:val="20"/>
                <w:lang w:eastAsia="en-GB"/>
              </w:rPr>
            </w:pPr>
          </w:p>
          <w:p w14:paraId="0AF06D53" w14:textId="77777777" w:rsidR="00BC1D4B" w:rsidRDefault="00ED1F84">
            <w:pPr>
              <w:spacing w:after="120"/>
              <w:jc w:val="both"/>
              <w:rPr>
                <w:rFonts w:eastAsia="Calibri"/>
                <w:sz w:val="20"/>
                <w:szCs w:val="20"/>
                <w:lang w:eastAsia="en-GB"/>
              </w:rPr>
            </w:pPr>
            <w:r>
              <w:rPr>
                <w:rFonts w:eastAsia="Calibri"/>
                <w:sz w:val="20"/>
                <w:szCs w:val="20"/>
                <w:lang w:eastAsia="en-GB"/>
              </w:rPr>
              <w:t xml:space="preserve">In the Cohort 1B, same trend observed. At 15 mg/kg bw/d 1/18 female </w:t>
            </w:r>
            <w:r>
              <w:rPr>
                <w:rFonts w:eastAsia="Calibri"/>
                <w:sz w:val="20"/>
                <w:szCs w:val="20"/>
              </w:rPr>
              <w:t>at 25 mg/kg bw/d 7/19 females had</w:t>
            </w:r>
            <w:r>
              <w:rPr>
                <w:rFonts w:eastAsia="Calibri"/>
                <w:sz w:val="20"/>
                <w:szCs w:val="20"/>
                <w:lang w:eastAsia="en-GB"/>
              </w:rPr>
              <w:t xml:space="preserve"> </w:t>
            </w:r>
            <w:r>
              <w:rPr>
                <w:rFonts w:eastAsia="Calibri"/>
                <w:sz w:val="20"/>
                <w:szCs w:val="20"/>
              </w:rPr>
              <w:t xml:space="preserve">23 days of gestation. </w:t>
            </w:r>
            <w:r>
              <w:rPr>
                <w:rFonts w:eastAsia="Calibri"/>
                <w:sz w:val="20"/>
                <w:szCs w:val="20"/>
                <w:lang w:eastAsia="en-GB"/>
              </w:rPr>
              <w:t>Statistically significant increase of the mean duration of gestation at 25 mg/kg bw/d (</w:t>
            </w:r>
            <w:r>
              <w:rPr>
                <w:rFonts w:eastAsia="Calibri"/>
                <w:sz w:val="20"/>
                <w:szCs w:val="20"/>
              </w:rPr>
              <w:t xml:space="preserve">22.3 vs 21.9 in controls). </w:t>
            </w:r>
          </w:p>
          <w:p w14:paraId="449EBF2D" w14:textId="77777777" w:rsidR="00BC1D4B" w:rsidRDefault="00BC1D4B">
            <w:pPr>
              <w:spacing w:after="120"/>
              <w:jc w:val="both"/>
              <w:rPr>
                <w:rFonts w:eastAsia="Calibri"/>
                <w:b/>
                <w:sz w:val="20"/>
                <w:szCs w:val="20"/>
                <w:lang w:eastAsia="en-GB"/>
              </w:rPr>
            </w:pPr>
          </w:p>
          <w:p w14:paraId="1918F9C4" w14:textId="77777777" w:rsidR="00BC1D4B" w:rsidRDefault="00ED1F84">
            <w:pPr>
              <w:spacing w:after="120"/>
              <w:jc w:val="both"/>
              <w:rPr>
                <w:rFonts w:eastAsia="Calibri"/>
                <w:b/>
                <w:sz w:val="20"/>
                <w:szCs w:val="20"/>
                <w:lang w:eastAsia="en-GB"/>
              </w:rPr>
            </w:pPr>
            <w:r>
              <w:rPr>
                <w:rFonts w:eastAsia="Calibri"/>
                <w:b/>
                <w:sz w:val="20"/>
                <w:szCs w:val="20"/>
                <w:lang w:eastAsia="en-GB"/>
              </w:rPr>
              <w:lastRenderedPageBreak/>
              <w:t xml:space="preserve">Reproduction difficulties: </w:t>
            </w:r>
          </w:p>
          <w:p w14:paraId="6E329490" w14:textId="77777777" w:rsidR="00BC1D4B" w:rsidRDefault="00ED1F84">
            <w:pPr>
              <w:spacing w:after="120"/>
              <w:jc w:val="both"/>
              <w:rPr>
                <w:rFonts w:eastAsia="Calibri"/>
                <w:sz w:val="20"/>
                <w:szCs w:val="20"/>
                <w:lang w:eastAsia="en-GB"/>
              </w:rPr>
            </w:pPr>
            <w:r>
              <w:rPr>
                <w:rFonts w:eastAsia="Calibri"/>
                <w:sz w:val="20"/>
                <w:szCs w:val="20"/>
                <w:lang w:eastAsia="en-GB"/>
              </w:rPr>
              <w:t xml:space="preserve">In P generation, from 5 mg/kg bw/d, presence of females presenting </w:t>
            </w:r>
            <w:r>
              <w:rPr>
                <w:rFonts w:eastAsia="Calibri"/>
                <w:b/>
                <w:sz w:val="20"/>
                <w:szCs w:val="20"/>
                <w:lang w:eastAsia="en-GB"/>
              </w:rPr>
              <w:t>reproduction difficulties:</w:t>
            </w:r>
            <w:r>
              <w:rPr>
                <w:rFonts w:eastAsia="Calibri"/>
                <w:sz w:val="20"/>
                <w:szCs w:val="20"/>
                <w:lang w:eastAsia="en-GB"/>
              </w:rPr>
              <w:t xml:space="preserve"> red vaginal discharge and difficulty to deliver and dystocia.  </w:t>
            </w:r>
          </w:p>
          <w:p w14:paraId="257A59A4" w14:textId="77777777" w:rsidR="00BC1D4B" w:rsidRDefault="00ED1F84">
            <w:pPr>
              <w:spacing w:after="120"/>
              <w:jc w:val="both"/>
              <w:rPr>
                <w:rFonts w:eastAsia="Calibri"/>
                <w:sz w:val="20"/>
                <w:szCs w:val="20"/>
                <w:lang w:eastAsia="en-GB"/>
              </w:rPr>
            </w:pPr>
            <w:r>
              <w:rPr>
                <w:rFonts w:eastAsia="Calibri"/>
                <w:sz w:val="20"/>
                <w:szCs w:val="20"/>
                <w:lang w:eastAsia="en-GB"/>
              </w:rPr>
              <w:t xml:space="preserve">At 5 mg/kg bw/d: one female presented reddish vaginal discharge and dead litter. At 15 mg/kg bw/d, one female presented dead litter and one female had dystocia with </w:t>
            </w:r>
            <w:r>
              <w:rPr>
                <w:rFonts w:eastAsia="Calibri"/>
                <w:sz w:val="20"/>
                <w:szCs w:val="20"/>
              </w:rPr>
              <w:t xml:space="preserve">abdomen increased in size. At 25 mg/kg bw/d, 3 females presented dead litters and one female presented difficulty to deliver. </w:t>
            </w:r>
          </w:p>
          <w:p w14:paraId="61CDAFD5" w14:textId="77777777" w:rsidR="00BC1D4B" w:rsidRDefault="00ED1F84">
            <w:pPr>
              <w:spacing w:after="120"/>
              <w:jc w:val="both"/>
              <w:rPr>
                <w:rFonts w:eastAsia="Calibri"/>
                <w:sz w:val="20"/>
                <w:szCs w:val="20"/>
                <w:lang w:eastAsia="en-GB"/>
              </w:rPr>
            </w:pPr>
            <w:r>
              <w:rPr>
                <w:rFonts w:eastAsia="Calibri"/>
                <w:sz w:val="20"/>
                <w:szCs w:val="20"/>
                <w:lang w:eastAsia="en-GB"/>
              </w:rPr>
              <w:t xml:space="preserve">In </w:t>
            </w:r>
            <w:r>
              <w:rPr>
                <w:rFonts w:eastAsia="Calibri"/>
                <w:sz w:val="20"/>
                <w:szCs w:val="20"/>
                <w:lang w:val="en-US" w:eastAsia="en-GB"/>
              </w:rPr>
              <w:t>cohort 1B, from 15 mg/kg/d,</w:t>
            </w:r>
            <w:r>
              <w:rPr>
                <w:rFonts w:eastAsia="Calibri"/>
                <w:sz w:val="20"/>
                <w:szCs w:val="20"/>
                <w:u w:val="single"/>
                <w:lang w:val="en-US" w:eastAsia="en-GB"/>
              </w:rPr>
              <w:t xml:space="preserve"> </w:t>
            </w:r>
            <w:r>
              <w:rPr>
                <w:rFonts w:eastAsia="Calibri"/>
                <w:sz w:val="20"/>
                <w:szCs w:val="20"/>
                <w:lang w:val="en-US" w:eastAsia="en-GB"/>
              </w:rPr>
              <w:t>presence of females presenting reproduction difficulties: t</w:t>
            </w:r>
            <w:r>
              <w:rPr>
                <w:rFonts w:eastAsia="Calibri"/>
                <w:sz w:val="20"/>
                <w:szCs w:val="20"/>
                <w:lang w:eastAsia="en-GB"/>
              </w:rPr>
              <w:t xml:space="preserve">wo females treated at 15 mg/kg bw/d had dead litter and at 25 mg/kg bw/d two females had dead litters and one female presented dystocia.  </w:t>
            </w:r>
          </w:p>
          <w:p w14:paraId="2ADF749E" w14:textId="77777777" w:rsidR="00BC1D4B" w:rsidRDefault="00BC1D4B">
            <w:pPr>
              <w:spacing w:after="120"/>
              <w:jc w:val="both"/>
              <w:rPr>
                <w:rFonts w:eastAsia="Calibri"/>
                <w:sz w:val="20"/>
                <w:szCs w:val="20"/>
                <w:lang w:eastAsia="en-GB"/>
              </w:rPr>
            </w:pPr>
          </w:p>
          <w:p w14:paraId="59899D00" w14:textId="77777777" w:rsidR="00BC1D4B" w:rsidRDefault="00ED1F84">
            <w:pPr>
              <w:spacing w:after="120"/>
              <w:jc w:val="both"/>
              <w:rPr>
                <w:rFonts w:eastAsia="Calibri"/>
                <w:sz w:val="20"/>
                <w:szCs w:val="20"/>
                <w:lang w:eastAsia="en-GB"/>
              </w:rPr>
            </w:pPr>
            <w:r>
              <w:rPr>
                <w:rFonts w:eastAsia="Calibri"/>
                <w:sz w:val="20"/>
                <w:szCs w:val="20"/>
                <w:lang w:eastAsia="en-GB"/>
              </w:rPr>
              <w:t xml:space="preserve">Follicles count: </w:t>
            </w:r>
          </w:p>
          <w:p w14:paraId="0F58ED68" w14:textId="77777777" w:rsidR="00BC1D4B" w:rsidRDefault="00ED1F84">
            <w:pPr>
              <w:spacing w:after="120"/>
              <w:jc w:val="both"/>
              <w:rPr>
                <w:sz w:val="20"/>
                <w:szCs w:val="20"/>
                <w:lang w:val="en-US"/>
              </w:rPr>
            </w:pPr>
            <w:r>
              <w:rPr>
                <w:sz w:val="20"/>
                <w:szCs w:val="20"/>
              </w:rPr>
              <w:t>Cohort 1A : Tendency toward a d</w:t>
            </w:r>
            <w:r>
              <w:rPr>
                <w:sz w:val="20"/>
                <w:szCs w:val="20"/>
                <w:lang w:val="en-US"/>
              </w:rPr>
              <w:t>ose-related decrease of the mean number of primordial follicles (8.68 at 5 mg/kg bw/d, 6.65 at 15 mg/kg bw/d, 5.75 at 25 mg/kg bw/d vs 9.31 mg/kg/d in controls) (no statistical significance achieved).</w:t>
            </w:r>
          </w:p>
          <w:p w14:paraId="6198718A" w14:textId="77777777" w:rsidR="00BC1D4B" w:rsidRDefault="00BC1D4B">
            <w:pPr>
              <w:spacing w:after="120"/>
              <w:jc w:val="both"/>
              <w:rPr>
                <w:rFonts w:eastAsia="Calibri"/>
                <w:sz w:val="20"/>
                <w:szCs w:val="20"/>
                <w:lang w:val="en-US" w:eastAsia="en-GB"/>
              </w:rPr>
            </w:pPr>
          </w:p>
          <w:p w14:paraId="3048B544" w14:textId="77777777" w:rsidR="00BC1D4B" w:rsidRDefault="00ED1F84">
            <w:pPr>
              <w:spacing w:after="120"/>
              <w:jc w:val="both"/>
              <w:rPr>
                <w:rFonts w:eastAsia="Calibri"/>
                <w:b/>
                <w:sz w:val="20"/>
                <w:szCs w:val="20"/>
                <w:u w:val="single"/>
                <w:lang w:eastAsia="en-GB"/>
              </w:rPr>
            </w:pPr>
            <w:r>
              <w:rPr>
                <w:rFonts w:eastAsia="Calibri"/>
                <w:b/>
                <w:sz w:val="20"/>
                <w:szCs w:val="20"/>
                <w:u w:val="single"/>
                <w:lang w:eastAsia="en-GB"/>
              </w:rPr>
              <w:t xml:space="preserve">Effects on development: </w:t>
            </w:r>
          </w:p>
          <w:p w14:paraId="705ECE63" w14:textId="77777777" w:rsidR="00BC1D4B" w:rsidRDefault="00ED1F84">
            <w:pPr>
              <w:spacing w:after="120"/>
              <w:jc w:val="both"/>
              <w:rPr>
                <w:rFonts w:eastAsia="Calibri"/>
                <w:b/>
                <w:sz w:val="20"/>
                <w:szCs w:val="20"/>
                <w:u w:val="single"/>
                <w:lang w:eastAsia="en-GB"/>
              </w:rPr>
            </w:pPr>
            <w:r>
              <w:rPr>
                <w:rFonts w:eastAsia="Calibri"/>
                <w:b/>
                <w:sz w:val="20"/>
                <w:szCs w:val="20"/>
                <w:u w:val="single"/>
                <w:lang w:eastAsia="en-GB"/>
              </w:rPr>
              <w:t>Post-implantations loss:</w:t>
            </w:r>
          </w:p>
          <w:p w14:paraId="0020A042" w14:textId="77777777" w:rsidR="00BC1D4B" w:rsidRDefault="00ED1F84">
            <w:pPr>
              <w:spacing w:after="120"/>
              <w:jc w:val="both"/>
              <w:rPr>
                <w:rFonts w:eastAsia="Calibri"/>
                <w:sz w:val="20"/>
                <w:szCs w:val="20"/>
                <w:lang w:eastAsia="en-GB"/>
              </w:rPr>
            </w:pPr>
            <w:r>
              <w:rPr>
                <w:rFonts w:eastAsia="Calibri"/>
                <w:sz w:val="20"/>
                <w:szCs w:val="20"/>
                <w:lang w:eastAsia="en-GB"/>
              </w:rPr>
              <w:t xml:space="preserve">In P generation, at 25 mg/kg bw/d, statistically significant increase of the mean percent of post-implantation loss (27.1% vs 15.6% in controls). </w:t>
            </w:r>
          </w:p>
          <w:p w14:paraId="7EB0B3DA" w14:textId="77777777" w:rsidR="00BC1D4B" w:rsidRDefault="00ED1F84">
            <w:pPr>
              <w:spacing w:after="120"/>
              <w:jc w:val="both"/>
              <w:rPr>
                <w:rFonts w:eastAsia="Calibri"/>
                <w:sz w:val="20"/>
                <w:szCs w:val="20"/>
                <w:lang w:eastAsia="en-GB"/>
              </w:rPr>
            </w:pPr>
            <w:r>
              <w:rPr>
                <w:rFonts w:eastAsia="Calibri"/>
                <w:sz w:val="20"/>
                <w:szCs w:val="20"/>
                <w:lang w:eastAsia="en-GB"/>
              </w:rPr>
              <w:t xml:space="preserve">In cohort 1B, non-statistically significant dose-related increase </w:t>
            </w:r>
            <w:r>
              <w:rPr>
                <w:rFonts w:eastAsia="Calibri"/>
                <w:sz w:val="20"/>
                <w:szCs w:val="20"/>
                <w:lang w:eastAsia="en-GB"/>
              </w:rPr>
              <w:lastRenderedPageBreak/>
              <w:t>of the mean percent of post-implantation loss (18.6% at 5mg/kg bw/d, 22.1% at 15mg/kg bw/d, 24.6% at 25 mg/kg bw/d vs 13.6% in controls).</w:t>
            </w:r>
          </w:p>
          <w:p w14:paraId="5BF0B505" w14:textId="77777777" w:rsidR="00BC1D4B" w:rsidRDefault="00BC1D4B">
            <w:pPr>
              <w:spacing w:after="120"/>
              <w:jc w:val="both"/>
              <w:rPr>
                <w:rFonts w:eastAsia="Calibri"/>
                <w:b/>
                <w:sz w:val="20"/>
                <w:szCs w:val="20"/>
                <w:u w:val="single"/>
                <w:lang w:eastAsia="en-GB"/>
              </w:rPr>
            </w:pPr>
          </w:p>
          <w:p w14:paraId="3C5D6E96" w14:textId="77777777" w:rsidR="00BC1D4B" w:rsidRDefault="00ED1F84">
            <w:pPr>
              <w:spacing w:after="120"/>
              <w:jc w:val="both"/>
              <w:rPr>
                <w:rFonts w:eastAsia="Calibri"/>
                <w:b/>
                <w:sz w:val="20"/>
                <w:szCs w:val="20"/>
                <w:u w:val="single"/>
                <w:lang w:val="en-US" w:eastAsia="en-GB"/>
              </w:rPr>
            </w:pPr>
            <w:r>
              <w:rPr>
                <w:rFonts w:eastAsia="Calibri"/>
                <w:b/>
                <w:sz w:val="20"/>
                <w:szCs w:val="20"/>
                <w:u w:val="single"/>
                <w:lang w:val="en-US" w:eastAsia="en-GB"/>
              </w:rPr>
              <w:t xml:space="preserve">Pups survival: </w:t>
            </w:r>
          </w:p>
          <w:p w14:paraId="67684E4D" w14:textId="77777777" w:rsidR="00BC1D4B" w:rsidRDefault="00ED1F84">
            <w:pPr>
              <w:spacing w:after="120"/>
              <w:jc w:val="both"/>
              <w:rPr>
                <w:rFonts w:eastAsia="Calibri"/>
                <w:sz w:val="20"/>
                <w:szCs w:val="20"/>
                <w:lang w:val="en-US" w:eastAsia="en-GB"/>
              </w:rPr>
            </w:pPr>
            <w:r>
              <w:rPr>
                <w:rFonts w:eastAsia="Calibri"/>
                <w:sz w:val="20"/>
                <w:szCs w:val="20"/>
                <w:lang w:val="en-US" w:eastAsia="en-GB"/>
              </w:rPr>
              <w:t xml:space="preserve">F1 pups: </w:t>
            </w:r>
          </w:p>
          <w:p w14:paraId="2790C9B3" w14:textId="77777777" w:rsidR="00BC1D4B" w:rsidRDefault="00ED1F84">
            <w:pPr>
              <w:spacing w:after="120"/>
              <w:jc w:val="both"/>
              <w:rPr>
                <w:rFonts w:eastAsia="Calibri"/>
                <w:sz w:val="20"/>
                <w:szCs w:val="20"/>
                <w:lang w:eastAsia="en-GB"/>
              </w:rPr>
            </w:pPr>
            <w:r>
              <w:rPr>
                <w:rFonts w:eastAsia="Calibri"/>
                <w:sz w:val="20"/>
                <w:szCs w:val="20"/>
                <w:lang w:val="en-US" w:eastAsia="en-GB"/>
              </w:rPr>
              <w:t xml:space="preserve">At PND 1, from 5 mg/kg bw/d, </w:t>
            </w:r>
            <w:r>
              <w:rPr>
                <w:rFonts w:eastAsia="Calibri"/>
                <w:sz w:val="20"/>
                <w:szCs w:val="20"/>
                <w:lang w:eastAsia="en-GB"/>
              </w:rPr>
              <w:t xml:space="preserve">dose-related tendency towards lower number of viable F1 pups (down to 9.3 vs. 12.0 live pups at 25 mg/kg bw/d) and live birth index (down to 72.8 vs. 95.1% at 25 mg/kg bw/d) when compared with controls (not statistically significant). </w:t>
            </w:r>
            <w:r>
              <w:rPr>
                <w:rFonts w:eastAsia="Calibri"/>
                <w:sz w:val="20"/>
                <w:szCs w:val="20"/>
                <w:lang w:val="en-US" w:eastAsia="en-GB"/>
              </w:rPr>
              <w:t>From 5 mg/kg bw/d, d</w:t>
            </w:r>
            <w:r>
              <w:rPr>
                <w:rFonts w:eastAsia="Calibri"/>
                <w:sz w:val="20"/>
                <w:szCs w:val="20"/>
                <w:lang w:eastAsia="en-GB"/>
              </w:rPr>
              <w:t xml:space="preserve">uring lactation, dose-related statistically significant increase of the mortality of F1 pups between PND 1 to 4 (14 pups (4.9%) for controls, 35 pups (12.5%) at 5 mg/kg bw/d, 47 pups (16.2%) at 15 mg/kg bw/d, 82 (32.3%) at 25 mg/kg bw/d. </w:t>
            </w:r>
          </w:p>
          <w:p w14:paraId="789696D0" w14:textId="77777777" w:rsidR="00BC1D4B" w:rsidRDefault="00ED1F84">
            <w:pPr>
              <w:spacing w:after="120"/>
              <w:jc w:val="both"/>
              <w:rPr>
                <w:rFonts w:eastAsia="Calibri"/>
                <w:sz w:val="20"/>
                <w:szCs w:val="20"/>
                <w:lang w:eastAsia="en-GB"/>
              </w:rPr>
            </w:pPr>
            <w:r>
              <w:rPr>
                <w:rFonts w:eastAsia="Calibri"/>
                <w:sz w:val="20"/>
                <w:szCs w:val="20"/>
                <w:lang w:eastAsia="en-GB"/>
              </w:rPr>
              <w:t xml:space="preserve">Number of litter affected statistically significant at 25 mg/kg bw/d. </w:t>
            </w:r>
          </w:p>
          <w:p w14:paraId="4424B202" w14:textId="77777777" w:rsidR="00BC1D4B" w:rsidRDefault="00ED1F84">
            <w:pPr>
              <w:spacing w:after="120"/>
              <w:jc w:val="both"/>
              <w:rPr>
                <w:rFonts w:eastAsia="Calibri"/>
                <w:sz w:val="20"/>
                <w:szCs w:val="20"/>
                <w:lang w:eastAsia="en-GB"/>
              </w:rPr>
            </w:pPr>
            <w:r>
              <w:rPr>
                <w:rFonts w:eastAsia="Calibri"/>
                <w:sz w:val="20"/>
                <w:szCs w:val="20"/>
                <w:lang w:eastAsia="en-GB"/>
              </w:rPr>
              <w:t>Trend toward a decreased F1 pups viability index before culling, on PND 4 (not statistically significant) (</w:t>
            </w:r>
            <w:r>
              <w:rPr>
                <w:rFonts w:eastAsia="Calibri"/>
                <w:sz w:val="20"/>
                <w:szCs w:val="20"/>
              </w:rPr>
              <w:t>94.8% for controls, 90.1% at 5 mg/kg bw/d, 85.0% at 15 mg/kg bw/d, 74.4% at 25 mg/kg bw/d and 98.0% for concomitant studies)</w:t>
            </w:r>
          </w:p>
          <w:p w14:paraId="4ECDC7B9" w14:textId="77777777" w:rsidR="00BC1D4B" w:rsidRDefault="00ED1F84">
            <w:pPr>
              <w:spacing w:after="120"/>
              <w:jc w:val="both"/>
              <w:rPr>
                <w:rFonts w:eastAsia="Calibri"/>
                <w:bCs/>
                <w:sz w:val="20"/>
                <w:szCs w:val="20"/>
                <w:lang w:val="en-US" w:eastAsia="en-GB"/>
              </w:rPr>
            </w:pPr>
            <w:r>
              <w:rPr>
                <w:rFonts w:eastAsia="Calibri"/>
                <w:sz w:val="20"/>
                <w:szCs w:val="20"/>
                <w:lang w:val="en-US" w:eastAsia="en-GB"/>
              </w:rPr>
              <w:t xml:space="preserve">From 5 mg/kg bw/d, presence of clinical signs in F1 found dead pups (cold to the touch, absence of milk in the stomach, dehydration, emaciated appearance, pallor) </w:t>
            </w:r>
            <w:r>
              <w:rPr>
                <w:rFonts w:eastAsia="Calibri"/>
                <w:bCs/>
                <w:sz w:val="20"/>
                <w:szCs w:val="20"/>
                <w:lang w:eastAsia="en-GB"/>
              </w:rPr>
              <w:t>(no statistical significance).</w:t>
            </w:r>
          </w:p>
          <w:p w14:paraId="4773EB9C" w14:textId="77777777" w:rsidR="00BC1D4B" w:rsidRDefault="00BC1D4B">
            <w:pPr>
              <w:spacing w:after="120"/>
              <w:jc w:val="both"/>
              <w:rPr>
                <w:rFonts w:eastAsia="Calibri"/>
                <w:sz w:val="20"/>
                <w:szCs w:val="20"/>
                <w:lang w:val="en-US" w:eastAsia="en-GB"/>
              </w:rPr>
            </w:pPr>
          </w:p>
          <w:p w14:paraId="45228CA0" w14:textId="77777777" w:rsidR="00BC1D4B" w:rsidRDefault="00ED1F84">
            <w:pPr>
              <w:spacing w:after="120"/>
              <w:jc w:val="both"/>
              <w:rPr>
                <w:rFonts w:eastAsia="Calibri"/>
                <w:sz w:val="20"/>
                <w:szCs w:val="20"/>
                <w:lang w:val="en-US" w:eastAsia="en-GB"/>
              </w:rPr>
            </w:pPr>
            <w:r>
              <w:rPr>
                <w:rFonts w:eastAsia="Calibri"/>
                <w:sz w:val="20"/>
                <w:szCs w:val="20"/>
                <w:lang w:val="en-US" w:eastAsia="en-GB"/>
              </w:rPr>
              <w:t xml:space="preserve">F2 pups : </w:t>
            </w:r>
          </w:p>
          <w:p w14:paraId="59799E81" w14:textId="77777777" w:rsidR="00BC1D4B" w:rsidRDefault="00ED1F84">
            <w:pPr>
              <w:spacing w:after="120"/>
              <w:jc w:val="both"/>
              <w:rPr>
                <w:rFonts w:eastAsia="Calibri"/>
                <w:sz w:val="20"/>
                <w:szCs w:val="20"/>
                <w:lang w:eastAsia="en-GB"/>
              </w:rPr>
            </w:pPr>
            <w:r>
              <w:rPr>
                <w:rFonts w:eastAsia="Calibri"/>
                <w:sz w:val="20"/>
                <w:szCs w:val="20"/>
                <w:lang w:val="en-US" w:eastAsia="en-GB"/>
              </w:rPr>
              <w:lastRenderedPageBreak/>
              <w:t xml:space="preserve">At 25 mg/kg bw/d, </w:t>
            </w:r>
            <w:r>
              <w:rPr>
                <w:rFonts w:eastAsia="Calibri"/>
                <w:sz w:val="20"/>
                <w:szCs w:val="20"/>
                <w:lang w:eastAsia="en-GB"/>
              </w:rPr>
              <w:t>statistically significant decrease in the mean number of live F2 pups at PND 1 compared to controls and in a concomitant study (7.8 vs 11.4 in controls) and decrease of the live birth index from 15 mg/kg bw/d (not statistically significant) compared to controls (</w:t>
            </w:r>
            <w:r>
              <w:rPr>
                <w:rFonts w:eastAsia="Calibri"/>
                <w:sz w:val="20"/>
                <w:szCs w:val="20"/>
              </w:rPr>
              <w:t xml:space="preserve">84.1% at 15 mg/kg bw/d, </w:t>
            </w:r>
            <w:r>
              <w:rPr>
                <w:rFonts w:eastAsia="Calibri"/>
                <w:sz w:val="20"/>
                <w:szCs w:val="20"/>
                <w:lang w:eastAsia="en-GB"/>
              </w:rPr>
              <w:t xml:space="preserve">67.5% at 25 mg/kg bw/d vs 100%). </w:t>
            </w:r>
          </w:p>
          <w:p w14:paraId="29C2A689" w14:textId="77777777" w:rsidR="00BC1D4B" w:rsidRDefault="00BC1D4B">
            <w:pPr>
              <w:spacing w:after="120"/>
              <w:jc w:val="both"/>
              <w:rPr>
                <w:rFonts w:eastAsia="Calibri"/>
                <w:b/>
                <w:sz w:val="20"/>
                <w:szCs w:val="20"/>
                <w:u w:val="single"/>
                <w:lang w:eastAsia="en-GB"/>
              </w:rPr>
            </w:pPr>
          </w:p>
          <w:p w14:paraId="2B7BB049" w14:textId="77777777" w:rsidR="00BC1D4B" w:rsidRDefault="00ED1F84">
            <w:pPr>
              <w:spacing w:after="120"/>
              <w:jc w:val="both"/>
              <w:rPr>
                <w:rFonts w:eastAsia="Calibri"/>
                <w:sz w:val="20"/>
                <w:szCs w:val="20"/>
                <w:lang w:eastAsia="en-GB"/>
              </w:rPr>
            </w:pPr>
            <w:r>
              <w:rPr>
                <w:rFonts w:eastAsia="Calibri"/>
                <w:sz w:val="20"/>
                <w:szCs w:val="20"/>
                <w:lang w:val="en-US" w:eastAsia="en-GB"/>
              </w:rPr>
              <w:t xml:space="preserve">From 15 mg/kg bw/d, </w:t>
            </w:r>
            <w:r>
              <w:rPr>
                <w:rFonts w:eastAsia="Calibri"/>
                <w:sz w:val="20"/>
                <w:szCs w:val="20"/>
                <w:lang w:eastAsia="en-GB"/>
              </w:rPr>
              <w:t>dose-related statistically significant increase of mortality of  F2 pups between PDN 1 and 4(2 pups (1.0%) for controls, 56 pups (</w:t>
            </w:r>
            <w:r>
              <w:rPr>
                <w:rFonts w:eastAsia="Calibri"/>
                <w:sz w:val="20"/>
                <w:szCs w:val="20"/>
              </w:rPr>
              <w:t>24.2</w:t>
            </w:r>
            <w:r>
              <w:rPr>
                <w:rFonts w:eastAsia="Calibri"/>
                <w:sz w:val="20"/>
                <w:szCs w:val="20"/>
                <w:lang w:eastAsia="en-GB"/>
              </w:rPr>
              <w:t xml:space="preserve">%) at 15 mg/kg bw/d, 73 (37.4%) at 25 mg/kg bw/d. Tendency toward a decreased viability index F2 pups on PND4 (not statistically significant) (99.0% for controls, </w:t>
            </w:r>
            <w:r>
              <w:rPr>
                <w:rFonts w:eastAsia="Calibri"/>
                <w:sz w:val="20"/>
                <w:szCs w:val="20"/>
              </w:rPr>
              <w:t xml:space="preserve">97.4% at 5 mg/kg bw/d, 80.6% at 15 mg/kg bw/d, 56.6% at 25 mg/kg bw/d). </w:t>
            </w:r>
          </w:p>
          <w:p w14:paraId="4326A42E" w14:textId="77777777" w:rsidR="00BC1D4B" w:rsidRDefault="00BC1D4B">
            <w:pPr>
              <w:spacing w:after="120"/>
              <w:jc w:val="both"/>
              <w:rPr>
                <w:rFonts w:eastAsia="Calibri"/>
                <w:b/>
                <w:sz w:val="20"/>
                <w:szCs w:val="20"/>
                <w:u w:val="single"/>
                <w:lang w:eastAsia="en-GB"/>
              </w:rPr>
            </w:pPr>
          </w:p>
          <w:p w14:paraId="3C755360" w14:textId="77777777" w:rsidR="00BC1D4B" w:rsidRDefault="00ED1F84">
            <w:pPr>
              <w:spacing w:after="120"/>
              <w:jc w:val="both"/>
              <w:rPr>
                <w:rFonts w:eastAsia="Calibri"/>
                <w:bCs/>
                <w:sz w:val="20"/>
                <w:szCs w:val="20"/>
                <w:lang w:val="en-US" w:eastAsia="en-GB"/>
              </w:rPr>
            </w:pPr>
            <w:r>
              <w:rPr>
                <w:rFonts w:eastAsia="Calibri"/>
                <w:bCs/>
                <w:sz w:val="20"/>
                <w:szCs w:val="20"/>
                <w:lang w:val="en-US" w:eastAsia="en-GB"/>
              </w:rPr>
              <w:t xml:space="preserve">From 15 mg/kg bw/d, dose-related increase of F2 pups with findings on PND1: </w:t>
            </w:r>
            <w:r>
              <w:rPr>
                <w:rFonts w:eastAsia="Calibri"/>
                <w:bCs/>
                <w:sz w:val="20"/>
                <w:szCs w:val="20"/>
                <w:lang w:eastAsia="en-GB"/>
              </w:rPr>
              <w:t>cold to the touch from 15 mg/kg bw/d and/or with emaciated appearance and hypoactivity at 25 mg/kg bw/d (no statistical significance).</w:t>
            </w:r>
          </w:p>
          <w:p w14:paraId="7C0C5B78" w14:textId="77777777" w:rsidR="00BC1D4B" w:rsidRDefault="00ED1F84">
            <w:pPr>
              <w:spacing w:after="120"/>
              <w:jc w:val="both"/>
              <w:rPr>
                <w:rFonts w:eastAsia="Calibri"/>
                <w:bCs/>
                <w:sz w:val="20"/>
                <w:szCs w:val="20"/>
                <w:lang w:val="en-US" w:eastAsia="en-GB"/>
              </w:rPr>
            </w:pPr>
            <w:r>
              <w:rPr>
                <w:rFonts w:eastAsia="Calibri"/>
                <w:bCs/>
                <w:sz w:val="20"/>
                <w:szCs w:val="20"/>
                <w:lang w:eastAsia="en-GB"/>
              </w:rPr>
              <w:t>From 5 mg/kg bw/d, dose-related increased number of pups found dead due to autolysis (7 pups, one litter at 5mg/kg bw/d. 27 pups, 10 litters at 15 mg/kg bw/d, 22 pups, 11 litters at 25 mg/kg bw/d) (no statistical significance).</w:t>
            </w:r>
          </w:p>
          <w:p w14:paraId="011E0362" w14:textId="77777777" w:rsidR="00BC1D4B" w:rsidRDefault="00BC1D4B">
            <w:pPr>
              <w:spacing w:after="120"/>
              <w:jc w:val="both"/>
              <w:rPr>
                <w:rFonts w:eastAsia="Calibri"/>
                <w:bCs/>
                <w:sz w:val="20"/>
                <w:szCs w:val="20"/>
                <w:lang w:eastAsia="en-GB"/>
              </w:rPr>
            </w:pPr>
          </w:p>
          <w:p w14:paraId="77747295" w14:textId="77777777" w:rsidR="00BC1D4B" w:rsidRDefault="00ED1F84">
            <w:pPr>
              <w:spacing w:after="120"/>
              <w:jc w:val="both"/>
              <w:rPr>
                <w:rFonts w:eastAsia="Calibri"/>
                <w:bCs/>
                <w:sz w:val="20"/>
                <w:szCs w:val="20"/>
                <w:lang w:val="en-US" w:eastAsia="en-GB"/>
              </w:rPr>
            </w:pPr>
            <w:r>
              <w:rPr>
                <w:rFonts w:eastAsia="Calibri"/>
                <w:bCs/>
                <w:sz w:val="20"/>
                <w:szCs w:val="20"/>
                <w:lang w:eastAsia="en-GB"/>
              </w:rPr>
              <w:t xml:space="preserve">From 15 mg/kg bw/d, increase of pups with an absence of milk in the stomach (8 pups, 4 litters at 15 mg/kg bw/d, 23 pups, 8 </w:t>
            </w:r>
            <w:r>
              <w:rPr>
                <w:rFonts w:eastAsia="Calibri"/>
                <w:bCs/>
                <w:sz w:val="20"/>
                <w:szCs w:val="20"/>
                <w:lang w:eastAsia="en-GB"/>
              </w:rPr>
              <w:lastRenderedPageBreak/>
              <w:t>litters at 25 mg/kg bw/d) (no statistical significance).</w:t>
            </w:r>
          </w:p>
          <w:p w14:paraId="495CAFDF" w14:textId="77777777" w:rsidR="00BC1D4B" w:rsidRDefault="00BC1D4B">
            <w:pPr>
              <w:spacing w:after="120"/>
              <w:jc w:val="both"/>
              <w:rPr>
                <w:rFonts w:eastAsia="Calibri"/>
                <w:sz w:val="20"/>
                <w:szCs w:val="20"/>
                <w:lang w:eastAsia="en-GB"/>
              </w:rPr>
            </w:pPr>
          </w:p>
          <w:p w14:paraId="03D3D90E" w14:textId="77777777" w:rsidR="00BC1D4B" w:rsidRDefault="00BC1D4B">
            <w:pPr>
              <w:spacing w:after="120"/>
              <w:jc w:val="both"/>
              <w:rPr>
                <w:rFonts w:eastAsia="Calibri"/>
                <w:sz w:val="20"/>
                <w:szCs w:val="20"/>
                <w:lang w:eastAsia="en-GB"/>
              </w:rPr>
            </w:pPr>
          </w:p>
          <w:p w14:paraId="713A95CC" w14:textId="77777777" w:rsidR="00BC1D4B" w:rsidRDefault="00BC1D4B">
            <w:pPr>
              <w:spacing w:after="120"/>
              <w:jc w:val="both"/>
              <w:rPr>
                <w:rFonts w:eastAsia="Calibri"/>
                <w:sz w:val="20"/>
                <w:szCs w:val="20"/>
              </w:rPr>
            </w:pPr>
          </w:p>
        </w:tc>
        <w:tc>
          <w:tcPr>
            <w:tcW w:w="0" w:type="auto"/>
            <w:shd w:val="clear" w:color="auto" w:fill="auto"/>
          </w:tcPr>
          <w:p w14:paraId="6F919749" w14:textId="77777777" w:rsidR="00BC1D4B" w:rsidRDefault="00ED1F84">
            <w:pPr>
              <w:widowControl w:val="0"/>
              <w:tabs>
                <w:tab w:val="center" w:pos="4536"/>
                <w:tab w:val="right" w:pos="9072"/>
              </w:tabs>
              <w:spacing w:after="120"/>
              <w:jc w:val="center"/>
              <w:rPr>
                <w:rFonts w:eastAsia="Calibri"/>
                <w:color w:val="000000"/>
                <w:sz w:val="20"/>
                <w:szCs w:val="20"/>
                <w:lang w:eastAsia="en-GB"/>
              </w:rPr>
            </w:pPr>
            <w:r>
              <w:rPr>
                <w:rFonts w:eastAsia="Calibri"/>
                <w:color w:val="000000"/>
                <w:sz w:val="20"/>
                <w:szCs w:val="20"/>
                <w:lang w:eastAsia="en-GB"/>
              </w:rPr>
              <w:lastRenderedPageBreak/>
              <w:t>Unpublished study report, 2021</w:t>
            </w:r>
          </w:p>
        </w:tc>
      </w:tr>
    </w:tbl>
    <w:p w14:paraId="3E709386" w14:textId="77777777" w:rsidR="00BC1D4B" w:rsidRDefault="00BC1D4B"/>
    <w:p w14:paraId="7FD85A16" w14:textId="77777777" w:rsidR="00BC1D4B" w:rsidRDefault="00ED1F84">
      <w:pPr>
        <w:spacing w:after="200" w:line="276" w:lineRule="auto"/>
        <w:rPr>
          <w:rFonts w:ascii="Verdana" w:hAnsi="Verdana"/>
          <w:b/>
          <w:color w:val="0046AD"/>
          <w:sz w:val="28"/>
        </w:rPr>
      </w:pPr>
      <w:r>
        <w:br w:type="page" w:clear="all"/>
      </w:r>
      <w:bookmarkStart w:id="49" w:name="_Hlk72856004"/>
      <w:bookmarkStart w:id="50" w:name="_Toc285710608"/>
      <w:bookmarkStart w:id="51" w:name="_Toc308015320"/>
      <w:bookmarkStart w:id="52" w:name="_Toc387770109"/>
      <w:bookmarkStart w:id="53" w:name="_Toc285710605"/>
      <w:bookmarkStart w:id="54" w:name="_Toc308015317"/>
    </w:p>
    <w:p w14:paraId="2A04F91A" w14:textId="77777777" w:rsidR="00BC1D4B" w:rsidRDefault="00ED1F84">
      <w:pPr>
        <w:pStyle w:val="Titre1"/>
      </w:pPr>
      <w:bookmarkStart w:id="55" w:name="_Toc137044493"/>
      <w:r>
        <w:lastRenderedPageBreak/>
        <w:t>Exposure assessment</w:t>
      </w:r>
      <w:bookmarkEnd w:id="55"/>
    </w:p>
    <w:p w14:paraId="5A07CB70" w14:textId="77777777" w:rsidR="00BC1D4B" w:rsidRDefault="00ED1F84">
      <w:pPr>
        <w:pStyle w:val="Corpsdetexte"/>
        <w:jc w:val="both"/>
        <w:rPr>
          <w:rFonts w:ascii="Verdana" w:hAnsi="Verdana"/>
          <w:sz w:val="20"/>
          <w:szCs w:val="20"/>
        </w:rPr>
      </w:pPr>
      <w:r>
        <w:rPr>
          <w:rFonts w:ascii="Verdana" w:hAnsi="Verdana"/>
          <w:sz w:val="20"/>
          <w:szCs w:val="20"/>
        </w:rPr>
        <w:t>The exposure assessment was realised in the registration dossiers for industrial and professional workers, for consumers and for the environment. The exposure scenarios covers different lifestage of the substance 1,3-diphenylguanidine (DPG): manufacturing of DPG, formulation and re-packaging, manufacturing of articles (tyres and general rubber goods), use of tyres by consumers and garage owners, storage of used tyres before recycling, tyres recycling (End of Life Tyres, ELT), re-use of ELT and use of General Rubber Goods (GRG) articles.</w:t>
      </w:r>
    </w:p>
    <w:p w14:paraId="40810EA1" w14:textId="6BB145D9" w:rsidR="00BC1D4B" w:rsidRDefault="00ED1F84">
      <w:pPr>
        <w:pStyle w:val="Corpsdetexte"/>
        <w:jc w:val="both"/>
        <w:rPr>
          <w:rFonts w:ascii="Verdana" w:hAnsi="Verdana"/>
          <w:sz w:val="20"/>
          <w:szCs w:val="20"/>
        </w:rPr>
      </w:pPr>
      <w:r>
        <w:rPr>
          <w:rFonts w:ascii="Verdana" w:hAnsi="Verdana"/>
          <w:sz w:val="20"/>
          <w:szCs w:val="20"/>
          <w:lang w:val="en-US"/>
        </w:rPr>
        <w:t xml:space="preserve">The tonnage values </w:t>
      </w:r>
      <w:r w:rsidR="006E6890">
        <w:rPr>
          <w:rFonts w:ascii="Verdana" w:hAnsi="Verdana"/>
          <w:sz w:val="20"/>
          <w:szCs w:val="20"/>
          <w:lang w:val="en-US"/>
        </w:rPr>
        <w:t>used in the exposure assessment</w:t>
      </w:r>
      <w:r>
        <w:rPr>
          <w:rFonts w:ascii="Verdana" w:hAnsi="Verdana"/>
          <w:sz w:val="20"/>
          <w:szCs w:val="20"/>
          <w:lang w:val="en-US"/>
        </w:rPr>
        <w:t xml:space="preserve"> were obtained following a survey done in 2015 (tonnage average on 2012, 2013 and 2014). Only 2 registrants (and manufacturers) of DPG are in EU. </w:t>
      </w:r>
    </w:p>
    <w:p w14:paraId="321B1307" w14:textId="77777777" w:rsidR="00BC1D4B" w:rsidRDefault="00ED1F84">
      <w:pPr>
        <w:pStyle w:val="Titre2"/>
      </w:pPr>
      <w:bookmarkStart w:id="56" w:name="_Toc137044494"/>
      <w:r>
        <w:t>Human health</w:t>
      </w:r>
      <w:bookmarkEnd w:id="56"/>
    </w:p>
    <w:p w14:paraId="53B5B388" w14:textId="77777777" w:rsidR="00BC1D4B" w:rsidRDefault="00ED1F84">
      <w:pPr>
        <w:pStyle w:val="Titre3"/>
        <w:ind w:left="0" w:firstLine="0"/>
      </w:pPr>
      <w:bookmarkStart w:id="57" w:name="_Toc137044495"/>
      <w:r>
        <w:t>Exposure scenario for workers and consumers covered in the registration dossiers</w:t>
      </w:r>
      <w:bookmarkEnd w:id="57"/>
    </w:p>
    <w:p w14:paraId="7CB546E3" w14:textId="369C34FD" w:rsidR="00BC1D4B" w:rsidRDefault="00ED1F84">
      <w:pPr>
        <w:pStyle w:val="Corpsdetexte"/>
        <w:jc w:val="both"/>
        <w:rPr>
          <w:rFonts w:ascii="Verdana" w:hAnsi="Verdana"/>
          <w:sz w:val="20"/>
          <w:szCs w:val="20"/>
        </w:rPr>
      </w:pPr>
      <w:r>
        <w:rPr>
          <w:rFonts w:ascii="Verdana" w:hAnsi="Verdana"/>
          <w:sz w:val="20"/>
          <w:szCs w:val="20"/>
        </w:rPr>
        <w:t xml:space="preserve">In the context of this RMOA, only the latest version of the CSR that have been revised further to the recent EOGRTS (2021) study were analysed. </w:t>
      </w:r>
    </w:p>
    <w:p w14:paraId="1BEF0321" w14:textId="1C54B3F6" w:rsidR="00BC1D4B" w:rsidRDefault="00255748" w:rsidP="00392E28">
      <w:pPr>
        <w:pStyle w:val="Corpsdetexte"/>
        <w:jc w:val="both"/>
      </w:pPr>
      <w:r>
        <w:rPr>
          <w:rFonts w:ascii="Verdana" w:hAnsi="Verdana"/>
          <w:sz w:val="20"/>
          <w:szCs w:val="20"/>
        </w:rPr>
        <w:t>The exposure scenarios are detailed in the confidential annex.</w:t>
      </w:r>
    </w:p>
    <w:p w14:paraId="3B57D9C3" w14:textId="77777777" w:rsidR="00BC1D4B" w:rsidRDefault="00ED1F84">
      <w:pPr>
        <w:pStyle w:val="Titre3"/>
        <w:rPr>
          <w:lang w:val="en-US"/>
        </w:rPr>
      </w:pPr>
      <w:bookmarkStart w:id="58" w:name="_Toc137044496"/>
      <w:r>
        <w:rPr>
          <w:lang w:val="en-US"/>
        </w:rPr>
        <w:t>Exposure to DPG reported in literature</w:t>
      </w:r>
      <w:bookmarkEnd w:id="58"/>
    </w:p>
    <w:p w14:paraId="3449E056" w14:textId="77777777" w:rsidR="00BC1D4B" w:rsidRDefault="00ED1F84">
      <w:pPr>
        <w:spacing w:after="240"/>
        <w:jc w:val="both"/>
        <w:rPr>
          <w:rFonts w:ascii="Verdana" w:hAnsi="Verdana"/>
          <w:b/>
          <w:sz w:val="20"/>
          <w:szCs w:val="20"/>
          <w:lang w:val="en-US"/>
        </w:rPr>
      </w:pPr>
      <w:r>
        <w:rPr>
          <w:rFonts w:ascii="Verdana" w:hAnsi="Verdana"/>
          <w:b/>
          <w:sz w:val="20"/>
          <w:szCs w:val="20"/>
          <w:lang w:val="en-US"/>
        </w:rPr>
        <w:t xml:space="preserve">Presence of DPG in gloves and shoes </w:t>
      </w:r>
    </w:p>
    <w:p w14:paraId="11301C8F" w14:textId="4525CB50" w:rsidR="00BC1D4B" w:rsidRDefault="00ED1F84">
      <w:pPr>
        <w:spacing w:after="240"/>
        <w:jc w:val="both"/>
        <w:rPr>
          <w:rFonts w:ascii="Verdana" w:hAnsi="Verdana"/>
          <w:sz w:val="20"/>
          <w:szCs w:val="20"/>
          <w:lang w:val="en-US"/>
        </w:rPr>
      </w:pPr>
      <w:r>
        <w:rPr>
          <w:rFonts w:ascii="Verdana" w:hAnsi="Verdana"/>
          <w:sz w:val="20"/>
          <w:szCs w:val="20"/>
          <w:lang w:val="en-US"/>
        </w:rPr>
        <w:t xml:space="preserve">Contact allergy to DPG is largely reported in the literature (Hansen </w:t>
      </w:r>
      <w:r>
        <w:rPr>
          <w:rFonts w:ascii="Verdana" w:hAnsi="Verdana"/>
          <w:i/>
          <w:sz w:val="20"/>
          <w:szCs w:val="20"/>
          <w:lang w:val="en-US"/>
        </w:rPr>
        <w:t>et al</w:t>
      </w:r>
      <w:r>
        <w:rPr>
          <w:rFonts w:ascii="Verdana" w:hAnsi="Verdana"/>
          <w:sz w:val="20"/>
          <w:szCs w:val="20"/>
          <w:lang w:val="en-US"/>
        </w:rPr>
        <w:t xml:space="preserve">. 2021). The main type of reactions and population identified are sensitization reactions to rubber gloves in healthcare workers.  Indeed, the presence of DPG is reported in rubber gloves (Dejonckheere </w:t>
      </w:r>
      <w:r>
        <w:rPr>
          <w:rFonts w:ascii="Verdana" w:hAnsi="Verdana"/>
          <w:i/>
          <w:sz w:val="20"/>
          <w:szCs w:val="20"/>
          <w:lang w:val="en-US"/>
        </w:rPr>
        <w:t>et al</w:t>
      </w:r>
      <w:r>
        <w:rPr>
          <w:rFonts w:ascii="Verdana" w:hAnsi="Verdana"/>
          <w:sz w:val="20"/>
          <w:szCs w:val="20"/>
          <w:lang w:val="en-US"/>
        </w:rPr>
        <w:t xml:space="preserve">. 2019, Hamnerius </w:t>
      </w:r>
      <w:r>
        <w:rPr>
          <w:rFonts w:ascii="Verdana" w:hAnsi="Verdana"/>
          <w:i/>
          <w:sz w:val="20"/>
          <w:szCs w:val="20"/>
          <w:lang w:val="en-US"/>
        </w:rPr>
        <w:t>et al</w:t>
      </w:r>
      <w:r>
        <w:rPr>
          <w:rFonts w:ascii="Verdana" w:hAnsi="Verdana"/>
          <w:sz w:val="20"/>
          <w:szCs w:val="20"/>
          <w:lang w:val="en-US"/>
        </w:rPr>
        <w:t>. 2014, Cr</w:t>
      </w:r>
      <w:r w:rsidR="00392E28">
        <w:rPr>
          <w:rFonts w:ascii="Verdana" w:hAnsi="Verdana"/>
          <w:sz w:val="20"/>
          <w:szCs w:val="20"/>
          <w:lang w:val="en-US"/>
        </w:rPr>
        <w:t>e</w:t>
      </w:r>
      <w:r>
        <w:rPr>
          <w:rFonts w:ascii="Verdana" w:hAnsi="Verdana"/>
          <w:sz w:val="20"/>
          <w:szCs w:val="20"/>
          <w:lang w:val="en-US"/>
        </w:rPr>
        <w:t xml:space="preserve">py 2016). These studies were conducted in different countries worldwide. Several other studies report foot dermatitis due to the presence of DPG in shoes (Traidl </w:t>
      </w:r>
      <w:r>
        <w:rPr>
          <w:rFonts w:ascii="Verdana" w:hAnsi="Verdana"/>
          <w:i/>
          <w:sz w:val="20"/>
          <w:szCs w:val="20"/>
          <w:lang w:val="en-US"/>
        </w:rPr>
        <w:t>et al</w:t>
      </w:r>
      <w:r>
        <w:rPr>
          <w:rFonts w:ascii="Verdana" w:hAnsi="Verdana"/>
          <w:sz w:val="20"/>
          <w:szCs w:val="20"/>
          <w:lang w:val="en-US"/>
        </w:rPr>
        <w:t xml:space="preserve">. 2021, Suhail </w:t>
      </w:r>
      <w:r>
        <w:rPr>
          <w:rFonts w:ascii="Verdana" w:hAnsi="Verdana"/>
          <w:i/>
          <w:sz w:val="20"/>
          <w:szCs w:val="20"/>
          <w:lang w:val="en-US"/>
        </w:rPr>
        <w:t>et al</w:t>
      </w:r>
      <w:r>
        <w:rPr>
          <w:rFonts w:ascii="Verdana" w:hAnsi="Verdana"/>
          <w:sz w:val="20"/>
          <w:szCs w:val="20"/>
          <w:lang w:val="en-US"/>
        </w:rPr>
        <w:t xml:space="preserve">. 2009, Saha </w:t>
      </w:r>
      <w:r>
        <w:rPr>
          <w:rFonts w:ascii="Verdana" w:hAnsi="Verdana"/>
          <w:i/>
          <w:sz w:val="20"/>
          <w:szCs w:val="20"/>
          <w:lang w:val="en-US"/>
        </w:rPr>
        <w:t>et al</w:t>
      </w:r>
      <w:r>
        <w:rPr>
          <w:rFonts w:ascii="Verdana" w:hAnsi="Verdana"/>
          <w:sz w:val="20"/>
          <w:szCs w:val="20"/>
          <w:lang w:val="en-US"/>
        </w:rPr>
        <w:t xml:space="preserve">. 1993, Ross 1969). </w:t>
      </w:r>
    </w:p>
    <w:p w14:paraId="7DC46134"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Corazza </w:t>
      </w:r>
      <w:r>
        <w:rPr>
          <w:rFonts w:ascii="Verdana" w:hAnsi="Verdana"/>
          <w:i/>
          <w:sz w:val="20"/>
          <w:szCs w:val="20"/>
          <w:lang w:val="en-US"/>
        </w:rPr>
        <w:t>et al</w:t>
      </w:r>
      <w:r>
        <w:rPr>
          <w:rFonts w:ascii="Verdana" w:hAnsi="Verdana"/>
          <w:sz w:val="20"/>
          <w:szCs w:val="20"/>
          <w:lang w:val="en-US"/>
        </w:rPr>
        <w:t>. (2021) also reported the presence of DPG in boxing gloves.</w:t>
      </w:r>
    </w:p>
    <w:p w14:paraId="71D1FE20"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A harmonized classification as Skin Sens. 1A, H317 is proposed by aMSCA. </w:t>
      </w:r>
    </w:p>
    <w:p w14:paraId="200F03BE" w14:textId="77777777" w:rsidR="00BC1D4B" w:rsidRDefault="00ED1F84">
      <w:pPr>
        <w:spacing w:after="240"/>
        <w:jc w:val="both"/>
        <w:rPr>
          <w:rFonts w:ascii="Verdana" w:hAnsi="Verdana"/>
          <w:b/>
          <w:sz w:val="20"/>
          <w:szCs w:val="20"/>
          <w:lang w:val="en-US"/>
        </w:rPr>
      </w:pPr>
      <w:r>
        <w:rPr>
          <w:rFonts w:ascii="Verdana" w:hAnsi="Verdana"/>
          <w:b/>
          <w:sz w:val="20"/>
          <w:szCs w:val="20"/>
          <w:lang w:val="en-US"/>
        </w:rPr>
        <w:t>Presence of DPG in drinking water</w:t>
      </w:r>
    </w:p>
    <w:p w14:paraId="7B0F5C13" w14:textId="77777777" w:rsidR="00BC1D4B" w:rsidRDefault="00ED1F84">
      <w:pPr>
        <w:spacing w:after="240"/>
        <w:jc w:val="both"/>
        <w:rPr>
          <w:rFonts w:ascii="Verdana" w:hAnsi="Verdana"/>
          <w:sz w:val="20"/>
          <w:szCs w:val="20"/>
          <w:lang w:val="en-US"/>
        </w:rPr>
      </w:pPr>
      <w:r>
        <w:rPr>
          <w:rFonts w:ascii="Verdana" w:hAnsi="Verdana"/>
          <w:sz w:val="20"/>
          <w:szCs w:val="20"/>
          <w:lang w:val="en-US"/>
        </w:rPr>
        <w:t>Several recent publications indicate the presence of DPG in drinking water sources, drinking water treatment plants and</w:t>
      </w:r>
      <w:r>
        <w:rPr>
          <w:rStyle w:val="Marquedecommentaire"/>
        </w:rPr>
        <w:t xml:space="preserve"> </w:t>
      </w:r>
      <w:r>
        <w:rPr>
          <w:rFonts w:ascii="Verdana" w:hAnsi="Verdana"/>
          <w:sz w:val="20"/>
          <w:szCs w:val="20"/>
          <w:lang w:val="en-US"/>
        </w:rPr>
        <w:t>drinking water.</w:t>
      </w:r>
    </w:p>
    <w:p w14:paraId="174C2CC1"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Zhang </w:t>
      </w:r>
      <w:r>
        <w:rPr>
          <w:rFonts w:ascii="Verdana" w:hAnsi="Verdana"/>
          <w:i/>
          <w:sz w:val="20"/>
          <w:szCs w:val="20"/>
          <w:lang w:val="en-US"/>
        </w:rPr>
        <w:t>et al</w:t>
      </w:r>
      <w:r>
        <w:rPr>
          <w:rFonts w:ascii="Verdana" w:hAnsi="Verdana"/>
          <w:sz w:val="20"/>
          <w:szCs w:val="20"/>
          <w:lang w:val="en-US"/>
        </w:rPr>
        <w:t>. (2023) studied the presence of tire additives in drinking water treatment plant. The presence of DPG and 1,3-diphenylurea, a transformation product of DPG, were reported. In the source samples of drinking water, the authors indicated that the concentration of detected accelerators (which included DPG and 1,3-diphenylurea) ranged from 35.5 ng/L to 183 ng/L. In the DWTP samples, concentrations of detected compounds (which included DPG and 1,3-diphenylurea) ranged from tens to hundreds of nanograms per liter.</w:t>
      </w:r>
    </w:p>
    <w:p w14:paraId="605DB8A9" w14:textId="77777777" w:rsidR="00BC1D4B" w:rsidRDefault="00ED1F84">
      <w:pPr>
        <w:spacing w:after="240"/>
        <w:jc w:val="both"/>
        <w:rPr>
          <w:rFonts w:ascii="Verdana" w:hAnsi="Verdana"/>
          <w:sz w:val="20"/>
          <w:szCs w:val="20"/>
          <w:lang w:val="en-US"/>
        </w:rPr>
      </w:pPr>
      <w:r>
        <w:rPr>
          <w:rFonts w:ascii="Verdana" w:hAnsi="Verdana"/>
          <w:sz w:val="20"/>
          <w:szCs w:val="20"/>
          <w:lang w:val="en-US"/>
        </w:rPr>
        <w:lastRenderedPageBreak/>
        <w:t xml:space="preserve">Ichihara </w:t>
      </w:r>
      <w:r>
        <w:rPr>
          <w:rFonts w:ascii="Verdana" w:hAnsi="Verdana"/>
          <w:i/>
          <w:sz w:val="20"/>
          <w:szCs w:val="20"/>
          <w:lang w:val="en-US"/>
        </w:rPr>
        <w:t>et al</w:t>
      </w:r>
      <w:r>
        <w:rPr>
          <w:rFonts w:ascii="Verdana" w:hAnsi="Verdana"/>
          <w:sz w:val="20"/>
          <w:szCs w:val="20"/>
          <w:lang w:val="en-US"/>
        </w:rPr>
        <w:t xml:space="preserve">. (2023) analyzed the presence of guanidine derivatives in different type of water in Japan. DPG was detected in tap water with frequency of detection of 100% from 2 samples (concentration not specified). </w:t>
      </w:r>
    </w:p>
    <w:p w14:paraId="06820F5A"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Gollong </w:t>
      </w:r>
      <w:r>
        <w:rPr>
          <w:rFonts w:ascii="Verdana" w:hAnsi="Verdana"/>
          <w:i/>
          <w:sz w:val="20"/>
          <w:szCs w:val="20"/>
          <w:lang w:val="en-US"/>
        </w:rPr>
        <w:t>et al</w:t>
      </w:r>
      <w:r>
        <w:rPr>
          <w:rFonts w:ascii="Verdana" w:hAnsi="Verdana"/>
          <w:sz w:val="20"/>
          <w:szCs w:val="20"/>
          <w:lang w:val="en-US"/>
        </w:rPr>
        <w:t xml:space="preserve">. (2022), analyzed the presence of chemicals in </w:t>
      </w:r>
      <w:r>
        <w:rPr>
          <w:rFonts w:ascii="Verdana" w:hAnsi="Verdana"/>
          <w:sz w:val="20"/>
          <w:szCs w:val="20"/>
        </w:rPr>
        <w:t xml:space="preserve">a drinking water production and wastewater treatment plant in Germany. </w:t>
      </w:r>
      <w:r>
        <w:rPr>
          <w:rFonts w:ascii="Verdana" w:hAnsi="Verdana"/>
          <w:sz w:val="20"/>
          <w:szCs w:val="20"/>
          <w:lang w:val="en-US"/>
        </w:rPr>
        <w:t>DPG was detected at a median concentration of 4 ng/L (probably a median of the concentration of DPG in all types of water tested in the study, not only drinking water).</w:t>
      </w:r>
    </w:p>
    <w:p w14:paraId="4693AF02" w14:textId="77777777" w:rsidR="00BC1D4B" w:rsidRDefault="00ED1F84">
      <w:pPr>
        <w:jc w:val="both"/>
        <w:rPr>
          <w:rFonts w:ascii="Verdana" w:hAnsi="Verdana"/>
          <w:sz w:val="20"/>
          <w:szCs w:val="20"/>
        </w:rPr>
      </w:pPr>
      <w:r>
        <w:rPr>
          <w:rFonts w:ascii="Verdana" w:hAnsi="Verdana"/>
          <w:sz w:val="20"/>
          <w:szCs w:val="20"/>
          <w:lang w:val="en-US"/>
        </w:rPr>
        <w:t xml:space="preserve">One of the possible source of DPG emission may be the migration from water pipe designed to transport treated drinking water. Tang </w:t>
      </w:r>
      <w:r>
        <w:rPr>
          <w:rFonts w:ascii="Verdana" w:hAnsi="Verdana"/>
          <w:i/>
          <w:sz w:val="20"/>
          <w:szCs w:val="20"/>
          <w:lang w:val="en-US"/>
        </w:rPr>
        <w:t>et al</w:t>
      </w:r>
      <w:r>
        <w:rPr>
          <w:rFonts w:ascii="Verdana" w:hAnsi="Verdana"/>
          <w:sz w:val="20"/>
          <w:szCs w:val="20"/>
          <w:lang w:val="en-US"/>
        </w:rPr>
        <w:t xml:space="preserve">. (2015) investigated the presence and distribution of selected </w:t>
      </w:r>
      <w:r>
        <w:rPr>
          <w:rFonts w:ascii="Verdana" w:hAnsi="Verdana"/>
          <w:sz w:val="20"/>
          <w:szCs w:val="20"/>
        </w:rPr>
        <w:t>semi-volatile organic compounds</w:t>
      </w:r>
      <w:r>
        <w:rPr>
          <w:rFonts w:ascii="Verdana" w:hAnsi="Verdana"/>
          <w:sz w:val="20"/>
          <w:szCs w:val="20"/>
          <w:lang w:val="en-US"/>
        </w:rPr>
        <w:t xml:space="preserve"> from source water to tap water in Changsha, China. The potential migration of specific compounds from pipe material into water at different periods of pipeline life was studied. DPG was found to be migrating from high density polyethylene (HDPE) pipe material. DPG was found in drinking water </w:t>
      </w:r>
      <w:r>
        <w:rPr>
          <w:rFonts w:ascii="Verdana" w:hAnsi="Verdana"/>
          <w:sz w:val="20"/>
          <w:szCs w:val="20"/>
        </w:rPr>
        <w:t xml:space="preserve">at different sampling sites at concentrations up to 0.56 mg/L (0.23-0.47 mg/L in the residential district). </w:t>
      </w:r>
    </w:p>
    <w:p w14:paraId="2AADCC39" w14:textId="6084DC45" w:rsidR="00BC1D4B" w:rsidRDefault="00ED1F84">
      <w:pPr>
        <w:jc w:val="both"/>
        <w:rPr>
          <w:rFonts w:ascii="Verdana" w:hAnsi="Verdana"/>
          <w:sz w:val="20"/>
          <w:szCs w:val="20"/>
        </w:rPr>
      </w:pPr>
      <w:r>
        <w:rPr>
          <w:rFonts w:ascii="Verdana" w:hAnsi="Verdana"/>
          <w:sz w:val="20"/>
          <w:szCs w:val="20"/>
        </w:rPr>
        <w:t xml:space="preserve">Diera </w:t>
      </w:r>
      <w:r>
        <w:rPr>
          <w:rFonts w:ascii="Verdana" w:hAnsi="Verdana"/>
          <w:i/>
          <w:sz w:val="20"/>
          <w:szCs w:val="20"/>
        </w:rPr>
        <w:t>et al</w:t>
      </w:r>
      <w:r>
        <w:rPr>
          <w:rFonts w:ascii="Verdana" w:hAnsi="Verdana"/>
          <w:sz w:val="20"/>
          <w:szCs w:val="20"/>
        </w:rPr>
        <w:t>. (2023) studied the migration of compounds from high-density polyethylene pipes in a drinking water distribution system in Denmark. Among them DPG was detected in the water. The proposed origin was polyethylene (PE) and rubber seals. Five rubber seals from different valves commonly used in the water distribution system, consisting of EPDM (Ethylene Propylene Diene Monomer Rubber) and NBR (Nitrile Butadiene Rubber) rubber were investigated. DPG was found in EPDM rubber gasket plate, which is used to make custom gaskets in waterworks.</w:t>
      </w:r>
      <w:r w:rsidR="00502515" w:rsidRPr="00502515">
        <w:t xml:space="preserve"> </w:t>
      </w:r>
      <w:r w:rsidR="00502515" w:rsidRPr="00502515">
        <w:rPr>
          <w:rFonts w:ascii="Verdana" w:hAnsi="Verdana"/>
          <w:sz w:val="20"/>
          <w:szCs w:val="20"/>
        </w:rPr>
        <w:t>DPG is included in the positive list (Combined List – lists of substances under review) of the 4MSI Common Approach on Organic Materials</w:t>
      </w:r>
      <w:r w:rsidR="00502515">
        <w:rPr>
          <w:rFonts w:ascii="Verdana" w:hAnsi="Verdana"/>
          <w:sz w:val="20"/>
          <w:szCs w:val="20"/>
        </w:rPr>
        <w:t xml:space="preserve"> in Contact with Drinking Water</w:t>
      </w:r>
      <w:r w:rsidR="00502515">
        <w:rPr>
          <w:rStyle w:val="Appelnotedebasdep"/>
          <w:szCs w:val="20"/>
        </w:rPr>
        <w:footnoteReference w:id="21"/>
      </w:r>
      <w:r w:rsidR="00502515" w:rsidRPr="00502515">
        <w:rPr>
          <w:rFonts w:ascii="Verdana" w:hAnsi="Verdana"/>
          <w:sz w:val="20"/>
          <w:szCs w:val="20"/>
        </w:rPr>
        <w:t>. The NL authority member state indicate a Maximum Tolerable Concentration (MTC) of 0.0025 mg/L for the use of this substance as rubber in contact with drinking water.</w:t>
      </w:r>
    </w:p>
    <w:p w14:paraId="68808125" w14:textId="77777777" w:rsidR="00BC1D4B" w:rsidRDefault="00ED1F84">
      <w:pPr>
        <w:jc w:val="both"/>
        <w:rPr>
          <w:rFonts w:ascii="Verdana" w:hAnsi="Verdana"/>
          <w:sz w:val="20"/>
          <w:szCs w:val="20"/>
        </w:rPr>
      </w:pPr>
      <w:r>
        <w:rPr>
          <w:rFonts w:ascii="Verdana" w:hAnsi="Verdana"/>
          <w:sz w:val="20"/>
          <w:szCs w:val="20"/>
        </w:rPr>
        <w:t xml:space="preserve">DPG was also detected in drinking water sources in Germany (Neuwald </w:t>
      </w:r>
      <w:r>
        <w:rPr>
          <w:rFonts w:ascii="Verdana" w:hAnsi="Verdana"/>
          <w:i/>
          <w:sz w:val="20"/>
          <w:szCs w:val="20"/>
        </w:rPr>
        <w:t>et al</w:t>
      </w:r>
      <w:r>
        <w:rPr>
          <w:rFonts w:ascii="Verdana" w:hAnsi="Verdana"/>
          <w:sz w:val="20"/>
          <w:szCs w:val="20"/>
        </w:rPr>
        <w:t xml:space="preserve">. 2022) at a median concentration of 0.17 </w:t>
      </w:r>
      <w:r>
        <w:rPr>
          <w:rFonts w:ascii="Verdana" w:hAnsi="Verdana" w:cs="Calibri"/>
          <w:sz w:val="20"/>
          <w:szCs w:val="20"/>
        </w:rPr>
        <w:t>n</w:t>
      </w:r>
      <w:r>
        <w:rPr>
          <w:rFonts w:ascii="Verdana" w:hAnsi="Verdana"/>
          <w:sz w:val="20"/>
          <w:szCs w:val="20"/>
        </w:rPr>
        <w:t>g/L with a frequency of detection of 17%. The authors also studied the emission pattern of 34 substances by using a correlation analysis to investigate patterns of co-occurrence. DPG did not correlate well with the other compounds tested and the authors concluded that DPG emission into drinking water sources is likely related to leachate from road run-off during rain events and that consequently DPG concentrations may be more dependent on the sampling time than on the sampling location.</w:t>
      </w:r>
    </w:p>
    <w:p w14:paraId="24E74B80" w14:textId="77777777" w:rsidR="00BC1D4B" w:rsidRDefault="00ED1F84">
      <w:pPr>
        <w:jc w:val="both"/>
        <w:rPr>
          <w:rFonts w:ascii="Verdana" w:hAnsi="Verdana"/>
          <w:b/>
          <w:sz w:val="20"/>
          <w:szCs w:val="20"/>
          <w:lang w:val="en-US"/>
        </w:rPr>
      </w:pPr>
      <w:r>
        <w:rPr>
          <w:rFonts w:ascii="Verdana" w:hAnsi="Verdana"/>
          <w:b/>
          <w:sz w:val="20"/>
          <w:szCs w:val="20"/>
          <w:lang w:val="en-US"/>
        </w:rPr>
        <w:t>Presence of DPG in indoor dust</w:t>
      </w:r>
    </w:p>
    <w:p w14:paraId="584825EB"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The presence of DPG was reported in indoor dust. </w:t>
      </w:r>
    </w:p>
    <w:p w14:paraId="62E39FF4"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Tan </w:t>
      </w:r>
      <w:r>
        <w:rPr>
          <w:rFonts w:ascii="Verdana" w:hAnsi="Verdana"/>
          <w:i/>
          <w:sz w:val="20"/>
          <w:szCs w:val="20"/>
          <w:lang w:val="en-US"/>
        </w:rPr>
        <w:t>et al</w:t>
      </w:r>
      <w:r>
        <w:rPr>
          <w:rFonts w:ascii="Verdana" w:hAnsi="Verdana"/>
          <w:sz w:val="20"/>
          <w:szCs w:val="20"/>
          <w:lang w:val="en-US"/>
        </w:rPr>
        <w:t>. (2021) studied the presence of synthetic antioxidants in house dust from different locations in the Asia-Pacific Region and the United States. Among them, DPG was detected with a median concentration of 5030−11 400 ng/g in house dust from the studied regions except for Hanoi (305 ng/g).</w:t>
      </w:r>
    </w:p>
    <w:p w14:paraId="517C4FF2" w14:textId="77777777" w:rsidR="00BC1D4B" w:rsidRDefault="00ED1F84">
      <w:pPr>
        <w:spacing w:after="240"/>
        <w:jc w:val="both"/>
        <w:rPr>
          <w:rFonts w:ascii="Verdana" w:hAnsi="Verdana"/>
          <w:sz w:val="20"/>
          <w:szCs w:val="20"/>
          <w:lang w:val="en-US"/>
        </w:rPr>
      </w:pPr>
      <w:r>
        <w:rPr>
          <w:rFonts w:ascii="Verdana" w:hAnsi="Verdana"/>
          <w:sz w:val="20"/>
          <w:szCs w:val="20"/>
          <w:lang w:val="en-US"/>
        </w:rPr>
        <w:t>Li &amp; Kannan (2023) studied the occurrence of DPG in indoor dust from 11 countries.</w:t>
      </w:r>
      <w:r>
        <w:rPr>
          <w:rFonts w:ascii="Verdana" w:hAnsi="Verdana"/>
          <w:sz w:val="20"/>
          <w:szCs w:val="20"/>
        </w:rPr>
        <w:t xml:space="preserve"> </w:t>
      </w:r>
      <w:r>
        <w:rPr>
          <w:rFonts w:ascii="Verdana" w:hAnsi="Verdana"/>
          <w:sz w:val="20"/>
          <w:szCs w:val="20"/>
          <w:lang w:val="en-US"/>
        </w:rPr>
        <w:t>DPG was found in 100% of the house dust samples, at median concentrations of 140 ng/g (range: 2.1 – 11 000 ng/g).</w:t>
      </w:r>
      <w:r>
        <w:rPr>
          <w:rFonts w:ascii="Verdana" w:hAnsi="Verdana"/>
          <w:sz w:val="20"/>
          <w:szCs w:val="20"/>
        </w:rPr>
        <w:t xml:space="preserve"> </w:t>
      </w:r>
      <w:r>
        <w:rPr>
          <w:rFonts w:ascii="Verdana" w:hAnsi="Verdana"/>
          <w:sz w:val="20"/>
          <w:szCs w:val="20"/>
          <w:lang w:val="en-US"/>
        </w:rPr>
        <w:t xml:space="preserve">Elevated concentrations of DPG were found in dust from certain microenvironments (e.g., offices and cars). The authors assessed human exposure to DPG through dust ingestion and the following ranges </w:t>
      </w:r>
      <w:r>
        <w:rPr>
          <w:rFonts w:ascii="Verdana" w:hAnsi="Verdana"/>
          <w:sz w:val="20"/>
          <w:szCs w:val="20"/>
          <w:lang w:val="en-US"/>
        </w:rPr>
        <w:lastRenderedPageBreak/>
        <w:t>were 0.07−4.40, 0.09−5.20, 0.03−1.70, 0.02−1.04, and 0.01−0.87 ng/kg bw/day for infants, toddlers, children, teenagers, and adults, respectively.</w:t>
      </w:r>
    </w:p>
    <w:p w14:paraId="2913DDDE" w14:textId="77FC1E31" w:rsidR="00BC1D4B" w:rsidRDefault="00ED1F84">
      <w:pPr>
        <w:spacing w:after="240"/>
        <w:jc w:val="both"/>
      </w:pPr>
      <w:r>
        <w:rPr>
          <w:rFonts w:ascii="Verdana" w:hAnsi="Verdana"/>
          <w:sz w:val="20"/>
          <w:szCs w:val="20"/>
          <w:lang w:val="en-US"/>
        </w:rPr>
        <w:t xml:space="preserve">Shin </w:t>
      </w:r>
      <w:r>
        <w:rPr>
          <w:rFonts w:ascii="Verdana" w:hAnsi="Verdana"/>
          <w:i/>
          <w:sz w:val="20"/>
          <w:szCs w:val="20"/>
          <w:lang w:val="en-US"/>
        </w:rPr>
        <w:t>et al</w:t>
      </w:r>
      <w:r>
        <w:rPr>
          <w:rFonts w:ascii="Verdana" w:hAnsi="Verdana"/>
          <w:sz w:val="20"/>
          <w:szCs w:val="20"/>
          <w:lang w:val="en-US"/>
        </w:rPr>
        <w:t xml:space="preserve">. (2020) measured the concentrations of consumer product chemicals in California house dust. The </w:t>
      </w:r>
      <w:r>
        <w:rPr>
          <w:rFonts w:ascii="Verdana" w:hAnsi="Verdana"/>
          <w:sz w:val="20"/>
          <w:szCs w:val="20"/>
        </w:rPr>
        <w:t>median concentration of DPG was 3218 ng/g of dust and was detected in all dust samples.</w:t>
      </w:r>
      <w:r>
        <w:t xml:space="preserve"> </w:t>
      </w:r>
    </w:p>
    <w:p w14:paraId="7A335726" w14:textId="77777777" w:rsidR="00BC1D4B" w:rsidRDefault="00ED1F84">
      <w:pPr>
        <w:spacing w:after="240"/>
        <w:jc w:val="both"/>
        <w:rPr>
          <w:rFonts w:ascii="Verdana" w:hAnsi="Verdana"/>
          <w:b/>
          <w:sz w:val="20"/>
          <w:szCs w:val="20"/>
          <w:lang w:val="en-US"/>
        </w:rPr>
      </w:pPr>
      <w:r>
        <w:rPr>
          <w:rFonts w:ascii="Verdana" w:hAnsi="Verdana"/>
          <w:b/>
          <w:sz w:val="20"/>
          <w:szCs w:val="20"/>
          <w:lang w:val="en-US"/>
        </w:rPr>
        <w:t xml:space="preserve">Presence of DPG in air </w:t>
      </w:r>
    </w:p>
    <w:p w14:paraId="1EA35447"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Johannessen </w:t>
      </w:r>
      <w:r>
        <w:rPr>
          <w:rFonts w:ascii="Verdana" w:hAnsi="Verdana"/>
          <w:i/>
          <w:sz w:val="20"/>
          <w:szCs w:val="20"/>
          <w:lang w:val="en-US"/>
        </w:rPr>
        <w:t>et al</w:t>
      </w:r>
      <w:r>
        <w:rPr>
          <w:rFonts w:ascii="Verdana" w:hAnsi="Verdana"/>
          <w:sz w:val="20"/>
          <w:szCs w:val="20"/>
          <w:lang w:val="en-US"/>
        </w:rPr>
        <w:t>. (2022) studied the airborne concentrations of chemicals associated with tire-wear in megacities using passive samplers. DPG was detected in every studied megacity above limits of quantification at estimated concentrations between 45.0 to 199 pg/m</w:t>
      </w:r>
      <w:r>
        <w:rPr>
          <w:rFonts w:ascii="Verdana" w:hAnsi="Verdana"/>
          <w:sz w:val="20"/>
          <w:szCs w:val="20"/>
          <w:vertAlign w:val="superscript"/>
          <w:lang w:val="en-US"/>
        </w:rPr>
        <w:t>3</w:t>
      </w:r>
      <w:r>
        <w:rPr>
          <w:rFonts w:ascii="Verdana" w:hAnsi="Verdana"/>
          <w:sz w:val="20"/>
          <w:szCs w:val="20"/>
          <w:lang w:val="en-US"/>
        </w:rPr>
        <w:t xml:space="preserve"> (mean = 93.9 pg/m</w:t>
      </w:r>
      <w:r>
        <w:rPr>
          <w:rFonts w:ascii="Verdana" w:hAnsi="Verdana"/>
          <w:sz w:val="20"/>
          <w:szCs w:val="20"/>
          <w:vertAlign w:val="superscript"/>
          <w:lang w:val="en-US"/>
        </w:rPr>
        <w:t>3</w:t>
      </w:r>
      <w:r>
        <w:rPr>
          <w:rFonts w:ascii="Verdana" w:hAnsi="Verdana"/>
          <w:sz w:val="20"/>
          <w:szCs w:val="20"/>
          <w:lang w:val="en-US"/>
        </w:rPr>
        <w:t xml:space="preserve">). DPG was detected in the highest estimated concentration out of any analyte included in this study. </w:t>
      </w:r>
    </w:p>
    <w:p w14:paraId="7AE4EADA" w14:textId="77777777" w:rsidR="00BC1D4B" w:rsidRDefault="00ED1F84">
      <w:pPr>
        <w:jc w:val="both"/>
        <w:rPr>
          <w:rFonts w:ascii="Verdana" w:hAnsi="Verdana"/>
          <w:b/>
          <w:sz w:val="20"/>
          <w:szCs w:val="20"/>
          <w:lang w:val="en-US"/>
        </w:rPr>
      </w:pPr>
      <w:r>
        <w:rPr>
          <w:rFonts w:ascii="Verdana" w:hAnsi="Verdana"/>
          <w:b/>
          <w:sz w:val="20"/>
          <w:szCs w:val="20"/>
          <w:lang w:val="en-US"/>
        </w:rPr>
        <w:t>Other contamination with DPG</w:t>
      </w:r>
    </w:p>
    <w:p w14:paraId="3B129CD7" w14:textId="77777777" w:rsidR="00BC1D4B" w:rsidRDefault="00ED1F84">
      <w:pPr>
        <w:jc w:val="both"/>
        <w:rPr>
          <w:rFonts w:ascii="Verdana" w:hAnsi="Verdana"/>
          <w:sz w:val="20"/>
          <w:szCs w:val="20"/>
          <w:lang w:val="en-US"/>
        </w:rPr>
      </w:pPr>
      <w:r>
        <w:rPr>
          <w:rFonts w:ascii="Verdana" w:hAnsi="Verdana"/>
          <w:sz w:val="20"/>
          <w:szCs w:val="20"/>
          <w:lang w:val="en-US"/>
        </w:rPr>
        <w:t xml:space="preserve">Lin </w:t>
      </w:r>
      <w:r>
        <w:rPr>
          <w:rFonts w:ascii="Verdana" w:hAnsi="Verdana"/>
          <w:i/>
          <w:sz w:val="20"/>
          <w:szCs w:val="20"/>
          <w:lang w:val="en-US"/>
        </w:rPr>
        <w:t>et al</w:t>
      </w:r>
      <w:r>
        <w:rPr>
          <w:rFonts w:ascii="Verdana" w:hAnsi="Verdana"/>
          <w:sz w:val="20"/>
          <w:szCs w:val="20"/>
          <w:lang w:val="en-US"/>
        </w:rPr>
        <w:t xml:space="preserve">. (2007) detected a contaminant during the content uniformity test of a drug product (tablet formulation) and concluded that it was </w:t>
      </w:r>
      <w:r>
        <w:rPr>
          <w:rFonts w:ascii="Verdana" w:hAnsi="Verdana"/>
          <w:sz w:val="20"/>
          <w:szCs w:val="20"/>
        </w:rPr>
        <w:t>most likely DPG</w:t>
      </w:r>
      <w:r>
        <w:rPr>
          <w:rFonts w:ascii="Verdana" w:hAnsi="Verdana"/>
          <w:sz w:val="20"/>
          <w:szCs w:val="20"/>
          <w:lang w:val="en-US"/>
        </w:rPr>
        <w:t>.</w:t>
      </w:r>
      <w:r>
        <w:rPr>
          <w:rFonts w:ascii="Verdana" w:hAnsi="Verdana"/>
          <w:sz w:val="20"/>
          <w:szCs w:val="20"/>
        </w:rPr>
        <w:t xml:space="preserve"> </w:t>
      </w:r>
      <w:r>
        <w:rPr>
          <w:rFonts w:ascii="Verdana" w:hAnsi="Verdana"/>
          <w:sz w:val="20"/>
          <w:szCs w:val="20"/>
          <w:lang w:val="en-US"/>
        </w:rPr>
        <w:t>They proposed as the potential source of DPG as coming from the safety filler of the pipette bulb used to prepare the sample solutions during the drug analysis.</w:t>
      </w:r>
    </w:p>
    <w:p w14:paraId="5417B075" w14:textId="77777777" w:rsidR="00BC1D4B" w:rsidRDefault="00ED1F84">
      <w:pPr>
        <w:spacing w:after="240"/>
        <w:jc w:val="both"/>
        <w:rPr>
          <w:rFonts w:ascii="Verdana" w:hAnsi="Verdana"/>
          <w:sz w:val="20"/>
          <w:szCs w:val="20"/>
          <w:lang w:val="en-US"/>
        </w:rPr>
      </w:pPr>
      <w:r>
        <w:rPr>
          <w:rFonts w:ascii="Verdana" w:hAnsi="Verdana"/>
          <w:sz w:val="20"/>
          <w:szCs w:val="20"/>
          <w:lang w:val="en-US"/>
        </w:rPr>
        <w:t xml:space="preserve">Zidan </w:t>
      </w:r>
      <w:r>
        <w:rPr>
          <w:rFonts w:ascii="Verdana" w:hAnsi="Verdana"/>
          <w:i/>
          <w:sz w:val="20"/>
          <w:szCs w:val="20"/>
          <w:lang w:val="en-US"/>
        </w:rPr>
        <w:t>et al</w:t>
      </w:r>
      <w:r>
        <w:rPr>
          <w:rFonts w:ascii="Verdana" w:hAnsi="Verdana"/>
          <w:sz w:val="20"/>
          <w:szCs w:val="20"/>
          <w:lang w:val="en-US"/>
        </w:rPr>
        <w:t xml:space="preserve">. (2017) also detected the presence of DPG in a pharmaceutical product (oxytocin). DPG was coming from rubber closures used in pre-filled syringes. DPG was able to interact with oxytocin. </w:t>
      </w:r>
    </w:p>
    <w:p w14:paraId="20D7FE45" w14:textId="77777777" w:rsidR="00BC1D4B" w:rsidRDefault="00ED1F84">
      <w:pPr>
        <w:jc w:val="both"/>
        <w:rPr>
          <w:rFonts w:ascii="Verdana" w:hAnsi="Verdana"/>
          <w:b/>
          <w:sz w:val="20"/>
          <w:szCs w:val="20"/>
          <w:lang w:val="en-US"/>
        </w:rPr>
      </w:pPr>
      <w:r>
        <w:rPr>
          <w:rFonts w:ascii="Verdana" w:hAnsi="Verdana"/>
          <w:b/>
          <w:sz w:val="20"/>
          <w:szCs w:val="20"/>
          <w:lang w:val="en-US"/>
        </w:rPr>
        <w:t>Conclusion on human health exposure:</w:t>
      </w:r>
    </w:p>
    <w:p w14:paraId="194253FE" w14:textId="77777777" w:rsidR="00BC1D4B" w:rsidRDefault="00ED1F84">
      <w:pPr>
        <w:jc w:val="both"/>
        <w:rPr>
          <w:rFonts w:ascii="Verdana" w:hAnsi="Verdana"/>
          <w:sz w:val="20"/>
          <w:szCs w:val="20"/>
          <w:lang w:val="en-US"/>
        </w:rPr>
      </w:pPr>
      <w:r>
        <w:rPr>
          <w:rFonts w:ascii="Verdana" w:hAnsi="Verdana"/>
          <w:sz w:val="20"/>
          <w:szCs w:val="20"/>
          <w:lang w:val="en-US"/>
        </w:rPr>
        <w:t xml:space="preserve">Overall, data from the registration dossiers and literature indicate human exposure of DPG is coming from multiple sources and seems to be continued. </w:t>
      </w:r>
    </w:p>
    <w:p w14:paraId="209CF039" w14:textId="1C672461" w:rsidR="00BC1D4B" w:rsidRDefault="00ED1F84">
      <w:pPr>
        <w:jc w:val="both"/>
        <w:rPr>
          <w:rFonts w:ascii="Verdana" w:hAnsi="Verdana"/>
          <w:sz w:val="20"/>
          <w:szCs w:val="20"/>
          <w:lang w:val="en-US"/>
        </w:rPr>
      </w:pPr>
      <w:r>
        <w:rPr>
          <w:rFonts w:ascii="Verdana" w:hAnsi="Verdana"/>
          <w:sz w:val="20"/>
          <w:szCs w:val="20"/>
          <w:lang w:val="en-US"/>
        </w:rPr>
        <w:t xml:space="preserve">In the literature, more </w:t>
      </w:r>
      <w:r w:rsidR="006E6890">
        <w:rPr>
          <w:rFonts w:ascii="Verdana" w:hAnsi="Verdana"/>
          <w:sz w:val="20"/>
          <w:szCs w:val="20"/>
          <w:lang w:val="en-US"/>
        </w:rPr>
        <w:t>consumer’s</w:t>
      </w:r>
      <w:r>
        <w:rPr>
          <w:rFonts w:ascii="Verdana" w:hAnsi="Verdana"/>
          <w:sz w:val="20"/>
          <w:szCs w:val="20"/>
          <w:lang w:val="en-US"/>
        </w:rPr>
        <w:t xml:space="preserve"> uses are reported: shoes, rubber gloves, socks. Exposure can also come from drinking water or dusts ingestion or inhalation of DPG present in the air. Two publications exposed the contamination of drugs due to migration of DPG from the equipment used to handle the drug.</w:t>
      </w:r>
    </w:p>
    <w:p w14:paraId="3FB86FFB" w14:textId="77777777" w:rsidR="00BC1D4B" w:rsidRDefault="00ED1F84">
      <w:pPr>
        <w:jc w:val="both"/>
        <w:rPr>
          <w:rFonts w:ascii="Verdana" w:hAnsi="Verdana"/>
          <w:sz w:val="20"/>
          <w:szCs w:val="20"/>
          <w:lang w:val="en-US"/>
        </w:rPr>
      </w:pPr>
      <w:r>
        <w:rPr>
          <w:rFonts w:ascii="Verdana" w:hAnsi="Verdana"/>
          <w:sz w:val="20"/>
          <w:szCs w:val="20"/>
          <w:lang w:val="en-US"/>
        </w:rPr>
        <w:t>This leads to uncertainties about the representativeness of the human health exposure scenarios presented in the registration dossiers for consumers. There are also uncertainties on the residual amount of DPG present in the articles. No data was found in the literature.</w:t>
      </w:r>
    </w:p>
    <w:p w14:paraId="21ACCFA5" w14:textId="77777777" w:rsidR="00BC1D4B" w:rsidRDefault="00ED1F84">
      <w:pPr>
        <w:spacing w:after="200" w:line="276" w:lineRule="auto"/>
        <w:rPr>
          <w:rFonts w:ascii="Verdana" w:hAnsi="Verdana" w:cs="Arial"/>
          <w:b/>
          <w:color w:val="0046AD"/>
          <w:szCs w:val="22"/>
        </w:rPr>
      </w:pPr>
      <w:r>
        <w:br w:type="page" w:clear="all"/>
      </w:r>
    </w:p>
    <w:p w14:paraId="7DA6B026" w14:textId="77777777" w:rsidR="00BC1D4B" w:rsidRDefault="00ED1F84">
      <w:pPr>
        <w:pStyle w:val="Titre2"/>
      </w:pPr>
      <w:bookmarkStart w:id="59" w:name="_Toc137044497"/>
      <w:r>
        <w:lastRenderedPageBreak/>
        <w:t>Environment</w:t>
      </w:r>
      <w:bookmarkEnd w:id="59"/>
    </w:p>
    <w:p w14:paraId="7EC09F62" w14:textId="77777777" w:rsidR="00BC1D4B" w:rsidRDefault="00ED1F84">
      <w:pPr>
        <w:pStyle w:val="Titre3"/>
      </w:pPr>
      <w:bookmarkStart w:id="60" w:name="_Toc137044498"/>
      <w:r>
        <w:rPr>
          <w:lang w:val="en-US"/>
        </w:rPr>
        <w:t xml:space="preserve">Introduction to the assessment </w:t>
      </w:r>
      <w:r>
        <w:t>for</w:t>
      </w:r>
      <w:r>
        <w:rPr>
          <w:lang w:val="en-US"/>
        </w:rPr>
        <w:t xml:space="preserve"> the environment</w:t>
      </w:r>
      <w:bookmarkEnd w:id="60"/>
    </w:p>
    <w:p w14:paraId="6298D257" w14:textId="7001DACE" w:rsidR="00255748" w:rsidRPr="00392E28" w:rsidRDefault="00255748">
      <w:pPr>
        <w:pStyle w:val="Corpsdetexte"/>
        <w:jc w:val="both"/>
        <w:rPr>
          <w:rFonts w:ascii="Verdana" w:hAnsi="Verdana"/>
          <w:sz w:val="20"/>
          <w:szCs w:val="20"/>
          <w:lang w:val="en-US"/>
        </w:rPr>
      </w:pPr>
      <w:r w:rsidRPr="00392E28">
        <w:rPr>
          <w:rFonts w:ascii="Verdana" w:hAnsi="Verdana"/>
          <w:sz w:val="20"/>
          <w:szCs w:val="20"/>
          <w:lang w:val="en-US"/>
        </w:rPr>
        <w:t>The exposure scenarios are detailed in the confidential annex.</w:t>
      </w:r>
    </w:p>
    <w:p w14:paraId="454BB193" w14:textId="77777777" w:rsidR="00BC1D4B" w:rsidRDefault="00BC1D4B">
      <w:pPr>
        <w:pStyle w:val="Corpsdetexte"/>
        <w:jc w:val="both"/>
        <w:rPr>
          <w:rFonts w:ascii="Verdana" w:hAnsi="Verdana"/>
          <w:sz w:val="20"/>
          <w:szCs w:val="20"/>
        </w:rPr>
      </w:pPr>
    </w:p>
    <w:p w14:paraId="03E84147" w14:textId="77777777" w:rsidR="00BC1D4B" w:rsidRDefault="00ED1F84">
      <w:pPr>
        <w:pStyle w:val="Titre3"/>
      </w:pPr>
      <w:bookmarkStart w:id="61" w:name="N137EE"/>
      <w:bookmarkStart w:id="62" w:name="N137FB"/>
      <w:bookmarkStart w:id="63" w:name="N1383A"/>
      <w:bookmarkStart w:id="64" w:name="_Toc137044499"/>
      <w:bookmarkEnd w:id="61"/>
      <w:bookmarkEnd w:id="62"/>
      <w:bookmarkEnd w:id="63"/>
      <w:r>
        <w:t>PNEC derivation</w:t>
      </w:r>
      <w:bookmarkEnd w:id="64"/>
    </w:p>
    <w:p w14:paraId="001CF15A" w14:textId="77777777" w:rsidR="00BC1D4B" w:rsidRDefault="00ED1F84">
      <w:pPr>
        <w:pStyle w:val="Corpsdetexte"/>
      </w:pPr>
      <w:r>
        <w:rPr>
          <w:rFonts w:ascii="Verdana" w:hAnsi="Verdana"/>
          <w:b/>
          <w:sz w:val="20"/>
          <w:szCs w:val="20"/>
          <w:lang w:val="en-US"/>
        </w:rPr>
        <w:t>Table 23: PNEC derivation</w:t>
      </w:r>
      <w:r>
        <w:t xml:space="preserve"> </w:t>
      </w:r>
      <w:r>
        <w:rPr>
          <w:rFonts w:ascii="Verdana" w:hAnsi="Verdana"/>
          <w:b/>
          <w:sz w:val="20"/>
          <w:szCs w:val="20"/>
          <w:lang w:val="en-US"/>
        </w:rPr>
        <w:t>used in the environmental risk assessment</w:t>
      </w:r>
    </w:p>
    <w:tbl>
      <w:tblPr>
        <w:tblW w:w="5000" w:type="pct"/>
        <w:tblCellMar>
          <w:left w:w="0" w:type="dxa"/>
          <w:right w:w="0" w:type="dxa"/>
        </w:tblCellMar>
        <w:tblLook w:val="0000" w:firstRow="0" w:lastRow="0" w:firstColumn="0" w:lastColumn="0" w:noHBand="0" w:noVBand="0"/>
      </w:tblPr>
      <w:tblGrid>
        <w:gridCol w:w="2768"/>
        <w:gridCol w:w="2768"/>
        <w:gridCol w:w="2766"/>
      </w:tblGrid>
      <w:tr w:rsidR="00BC1D4B" w14:paraId="18A82651" w14:textId="77777777">
        <w:trPr>
          <w:trHeight w:val="454"/>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40" w:type="dxa"/>
              <w:left w:w="40" w:type="dxa"/>
              <w:bottom w:w="40" w:type="dxa"/>
              <w:right w:w="40" w:type="dxa"/>
            </w:tcMar>
            <w:vAlign w:val="center"/>
          </w:tcPr>
          <w:p w14:paraId="7163B1C7" w14:textId="77777777" w:rsidR="00BC1D4B" w:rsidRDefault="00ED1F84">
            <w:pPr>
              <w:pStyle w:val="Corpsdetexte"/>
              <w:spacing w:after="0"/>
              <w:rPr>
                <w:rFonts w:ascii="Verdana" w:hAnsi="Verdana"/>
                <w:b/>
                <w:bCs/>
                <w:sz w:val="18"/>
                <w:szCs w:val="18"/>
              </w:rPr>
            </w:pPr>
            <w:r>
              <w:rPr>
                <w:rFonts w:ascii="Verdana" w:hAnsi="Verdana"/>
                <w:b/>
                <w:bCs/>
                <w:sz w:val="18"/>
                <w:szCs w:val="18"/>
              </w:rPr>
              <w:t>PNECs derivation used in the environmental risk assessment</w:t>
            </w:r>
          </w:p>
        </w:tc>
      </w:tr>
      <w:tr w:rsidR="00BC1D4B" w14:paraId="520AD3E4" w14:textId="77777777">
        <w:trPr>
          <w:trHeight w:val="454"/>
          <w:tblHeader/>
        </w:trPr>
        <w:tc>
          <w:tcPr>
            <w:tcW w:w="1667"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5D2BF6E" w14:textId="77777777" w:rsidR="00BC1D4B" w:rsidRDefault="00ED1F84">
            <w:pPr>
              <w:pStyle w:val="Corpsdetexte"/>
              <w:spacing w:after="0"/>
              <w:rPr>
                <w:rFonts w:ascii="Verdana" w:hAnsi="Verdana"/>
                <w:bCs/>
                <w:sz w:val="18"/>
                <w:szCs w:val="18"/>
                <w:lang w:val="fr-FR"/>
              </w:rPr>
            </w:pPr>
            <w:bookmarkStart w:id="65" w:name="N13840"/>
            <w:bookmarkEnd w:id="65"/>
            <w:r>
              <w:rPr>
                <w:rFonts w:ascii="Verdana" w:hAnsi="Verdana"/>
                <w:bCs/>
                <w:sz w:val="18"/>
                <w:szCs w:val="18"/>
                <w:lang w:val="fr-FR"/>
              </w:rPr>
              <w:t>Environmental compartment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10695D0" w14:textId="77777777" w:rsidR="00BC1D4B" w:rsidRDefault="00ED1F84">
            <w:pPr>
              <w:pStyle w:val="Corpsdetexte"/>
              <w:spacing w:after="0"/>
              <w:rPr>
                <w:rFonts w:ascii="Verdana" w:hAnsi="Verdana"/>
                <w:bCs/>
                <w:sz w:val="18"/>
                <w:szCs w:val="18"/>
                <w:lang w:val="fr-FR"/>
              </w:rPr>
            </w:pPr>
            <w:r>
              <w:rPr>
                <w:rFonts w:ascii="Verdana" w:hAnsi="Verdana"/>
                <w:bCs/>
                <w:sz w:val="18"/>
                <w:szCs w:val="18"/>
                <w:lang w:val="fr-FR"/>
              </w:rPr>
              <w:t>Hazard conclusion</w:t>
            </w:r>
          </w:p>
        </w:tc>
        <w:tc>
          <w:tcPr>
            <w:tcW w:w="1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DFE89" w14:textId="77777777" w:rsidR="00BC1D4B" w:rsidRDefault="00ED1F84">
            <w:pPr>
              <w:pStyle w:val="Corpsdetexte"/>
              <w:spacing w:after="0"/>
              <w:rPr>
                <w:rFonts w:ascii="Verdana" w:hAnsi="Verdana"/>
                <w:bCs/>
                <w:sz w:val="18"/>
                <w:szCs w:val="18"/>
                <w:lang w:val="fr-FR"/>
              </w:rPr>
            </w:pPr>
            <w:r>
              <w:rPr>
                <w:rFonts w:ascii="Verdana" w:hAnsi="Verdana"/>
                <w:bCs/>
                <w:sz w:val="18"/>
                <w:szCs w:val="18"/>
                <w:lang w:val="fr-FR"/>
              </w:rPr>
              <w:t>Remarks/Justification</w:t>
            </w:r>
          </w:p>
        </w:tc>
      </w:tr>
      <w:tr w:rsidR="00BC1D4B" w14:paraId="0F305B5D" w14:textId="77777777">
        <w:trPr>
          <w:trHeight w:val="454"/>
        </w:trPr>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46FBC74" w14:textId="77777777" w:rsidR="00BC1D4B" w:rsidRDefault="00ED1F84">
            <w:pPr>
              <w:pStyle w:val="Corpsdetexte"/>
              <w:spacing w:after="0"/>
              <w:rPr>
                <w:rFonts w:ascii="Verdana" w:hAnsi="Verdana"/>
                <w:sz w:val="18"/>
                <w:szCs w:val="18"/>
                <w:lang w:val="fr-FR"/>
              </w:rPr>
            </w:pPr>
            <w:r>
              <w:rPr>
                <w:rFonts w:ascii="Verdana" w:hAnsi="Verdana"/>
                <w:sz w:val="18"/>
                <w:szCs w:val="18"/>
                <w:lang w:val="fr-FR"/>
              </w:rPr>
              <w:t>Freshwater</w:t>
            </w:r>
          </w:p>
        </w:tc>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D9D73D3" w14:textId="77777777" w:rsidR="00BC1D4B" w:rsidRDefault="00ED1F84">
            <w:pPr>
              <w:pStyle w:val="Corpsdetexte"/>
              <w:spacing w:after="0"/>
              <w:rPr>
                <w:rFonts w:ascii="Verdana" w:hAnsi="Verdana"/>
                <w:sz w:val="18"/>
                <w:szCs w:val="18"/>
                <w:lang w:val="fr-FR"/>
              </w:rPr>
            </w:pPr>
            <w:r>
              <w:rPr>
                <w:rFonts w:ascii="Verdana" w:hAnsi="Verdana"/>
                <w:sz w:val="18"/>
                <w:szCs w:val="18"/>
                <w:lang w:val="fr-FR"/>
              </w:rPr>
              <w:t xml:space="preserve">PNEC aqua (freshwater) = </w:t>
            </w:r>
            <w:r>
              <w:rPr>
                <w:rFonts w:ascii="Verdana" w:hAnsi="Verdana"/>
                <w:sz w:val="18"/>
                <w:szCs w:val="18"/>
                <w:lang w:val="en-US"/>
              </w:rPr>
              <w:t>30</w:t>
            </w:r>
            <w:r>
              <w:rPr>
                <w:rFonts w:ascii="Verdana" w:hAnsi="Verdana"/>
                <w:sz w:val="18"/>
                <w:szCs w:val="18"/>
                <w:lang w:val="fr-FR"/>
              </w:rPr>
              <w:t xml:space="preserve"> µg/L</w:t>
            </w:r>
          </w:p>
        </w:tc>
        <w:tc>
          <w:tcPr>
            <w:tcW w:w="1666" w:type="pct"/>
            <w:vMerge w:val="restart"/>
            <w:tcBorders>
              <w:top w:val="single" w:sz="4" w:space="0" w:color="000000"/>
              <w:left w:val="single" w:sz="4" w:space="0" w:color="000000"/>
              <w:right w:val="single" w:sz="4" w:space="0" w:color="000000"/>
            </w:tcBorders>
            <w:vAlign w:val="center"/>
          </w:tcPr>
          <w:p w14:paraId="2C713CA5"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Data from substance evaluation conclusion document (ANSES, 2020). No new data were provided and the data are in line with the Registrants</w:t>
            </w:r>
            <w:r>
              <w:rPr>
                <w:rFonts w:ascii="Verdana" w:hAnsi="Verdana"/>
                <w:sz w:val="18"/>
                <w:szCs w:val="18"/>
              </w:rPr>
              <w:t xml:space="preserve"> dossier</w:t>
            </w:r>
            <w:r>
              <w:rPr>
                <w:rFonts w:ascii="Verdana" w:hAnsi="Verdana"/>
                <w:sz w:val="18"/>
                <w:szCs w:val="18"/>
                <w:lang w:val="en-US"/>
              </w:rPr>
              <w:t>.</w:t>
            </w:r>
          </w:p>
        </w:tc>
      </w:tr>
      <w:tr w:rsidR="00BC1D4B" w14:paraId="134A5649" w14:textId="77777777">
        <w:trPr>
          <w:trHeight w:val="454"/>
        </w:trPr>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D2DB4F5" w14:textId="77777777" w:rsidR="00BC1D4B" w:rsidRDefault="00ED1F84">
            <w:pPr>
              <w:pStyle w:val="Corpsdetexte"/>
              <w:spacing w:after="0"/>
              <w:rPr>
                <w:rFonts w:ascii="Verdana" w:hAnsi="Verdana"/>
                <w:sz w:val="18"/>
                <w:szCs w:val="18"/>
                <w:lang w:val="fr-FR"/>
              </w:rPr>
            </w:pPr>
            <w:r>
              <w:rPr>
                <w:rFonts w:ascii="Verdana" w:hAnsi="Verdana"/>
                <w:sz w:val="18"/>
                <w:szCs w:val="18"/>
                <w:lang w:val="fr-FR"/>
              </w:rPr>
              <w:t xml:space="preserve">Marine water </w:t>
            </w:r>
          </w:p>
        </w:tc>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D84015A"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PNEC aqua (marine water) = 3 µg/L</w:t>
            </w:r>
          </w:p>
        </w:tc>
        <w:tc>
          <w:tcPr>
            <w:tcW w:w="1666" w:type="pct"/>
            <w:vMerge/>
            <w:tcBorders>
              <w:left w:val="single" w:sz="4" w:space="0" w:color="000000"/>
              <w:right w:val="single" w:sz="4" w:space="0" w:color="000000"/>
            </w:tcBorders>
            <w:vAlign w:val="center"/>
          </w:tcPr>
          <w:p w14:paraId="7C34DE8A" w14:textId="77777777" w:rsidR="00BC1D4B" w:rsidRDefault="00BC1D4B">
            <w:pPr>
              <w:pStyle w:val="Corpsdetexte"/>
              <w:spacing w:after="0"/>
              <w:rPr>
                <w:rFonts w:ascii="Verdana" w:hAnsi="Verdana"/>
                <w:sz w:val="18"/>
                <w:szCs w:val="18"/>
                <w:lang w:val="en-US"/>
              </w:rPr>
            </w:pPr>
          </w:p>
        </w:tc>
      </w:tr>
      <w:tr w:rsidR="00BC1D4B" w14:paraId="3D53F2B5" w14:textId="77777777">
        <w:trPr>
          <w:trHeight w:val="454"/>
        </w:trPr>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5DCF5A1"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Intermittent releases to water</w:t>
            </w:r>
          </w:p>
        </w:tc>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8C7E36D"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PNEC aqua (intermittent releases) = 14 µg/L</w:t>
            </w:r>
          </w:p>
        </w:tc>
        <w:tc>
          <w:tcPr>
            <w:tcW w:w="1666" w:type="pct"/>
            <w:vMerge/>
            <w:tcBorders>
              <w:left w:val="single" w:sz="4" w:space="0" w:color="000000"/>
              <w:right w:val="single" w:sz="4" w:space="0" w:color="000000"/>
            </w:tcBorders>
            <w:vAlign w:val="center"/>
          </w:tcPr>
          <w:p w14:paraId="176CA072" w14:textId="77777777" w:rsidR="00BC1D4B" w:rsidRDefault="00BC1D4B">
            <w:pPr>
              <w:pStyle w:val="Corpsdetexte"/>
              <w:spacing w:after="0"/>
              <w:rPr>
                <w:rFonts w:ascii="Verdana" w:hAnsi="Verdana"/>
                <w:sz w:val="18"/>
                <w:szCs w:val="18"/>
                <w:lang w:val="en-US"/>
              </w:rPr>
            </w:pPr>
          </w:p>
        </w:tc>
      </w:tr>
      <w:tr w:rsidR="00BC1D4B" w14:paraId="4757622D" w14:textId="77777777">
        <w:trPr>
          <w:trHeight w:val="454"/>
        </w:trPr>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892D38F" w14:textId="77777777" w:rsidR="00BC1D4B" w:rsidRDefault="00ED1F84">
            <w:pPr>
              <w:pStyle w:val="Corpsdetexte"/>
              <w:spacing w:after="0"/>
              <w:rPr>
                <w:rFonts w:ascii="Verdana" w:hAnsi="Verdana"/>
                <w:sz w:val="18"/>
                <w:szCs w:val="18"/>
                <w:lang w:val="fr-FR"/>
              </w:rPr>
            </w:pPr>
            <w:r>
              <w:rPr>
                <w:rFonts w:ascii="Verdana" w:hAnsi="Verdana"/>
                <w:sz w:val="18"/>
                <w:szCs w:val="18"/>
                <w:lang w:val="fr-FR"/>
              </w:rPr>
              <w:t>Sediment (freshwater)</w:t>
            </w:r>
          </w:p>
        </w:tc>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3CAEB92"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PNEC sediment (freshwater) = 2.51 mg/kg sediment dw</w:t>
            </w:r>
          </w:p>
        </w:tc>
        <w:tc>
          <w:tcPr>
            <w:tcW w:w="1666" w:type="pct"/>
            <w:vMerge/>
            <w:tcBorders>
              <w:left w:val="single" w:sz="4" w:space="0" w:color="000000"/>
              <w:right w:val="single" w:sz="4" w:space="0" w:color="000000"/>
            </w:tcBorders>
            <w:vAlign w:val="center"/>
          </w:tcPr>
          <w:p w14:paraId="6ABBF29D" w14:textId="77777777" w:rsidR="00BC1D4B" w:rsidRDefault="00BC1D4B">
            <w:pPr>
              <w:pStyle w:val="Corpsdetexte"/>
              <w:spacing w:after="0"/>
              <w:rPr>
                <w:rFonts w:ascii="Verdana" w:hAnsi="Verdana"/>
                <w:sz w:val="18"/>
                <w:szCs w:val="18"/>
                <w:lang w:val="en-US"/>
              </w:rPr>
            </w:pPr>
          </w:p>
        </w:tc>
      </w:tr>
      <w:tr w:rsidR="00BC1D4B" w14:paraId="571E3355" w14:textId="77777777">
        <w:trPr>
          <w:trHeight w:val="454"/>
        </w:trPr>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E5E3CD3" w14:textId="77777777" w:rsidR="00BC1D4B" w:rsidRDefault="00ED1F84">
            <w:pPr>
              <w:pStyle w:val="Corpsdetexte"/>
              <w:spacing w:after="0"/>
              <w:rPr>
                <w:rFonts w:ascii="Verdana" w:hAnsi="Verdana"/>
                <w:sz w:val="18"/>
                <w:szCs w:val="18"/>
                <w:lang w:val="fr-FR"/>
              </w:rPr>
            </w:pPr>
            <w:r>
              <w:rPr>
                <w:rFonts w:ascii="Verdana" w:hAnsi="Verdana"/>
                <w:sz w:val="18"/>
                <w:szCs w:val="18"/>
                <w:lang w:val="fr-FR"/>
              </w:rPr>
              <w:t>Sediment (marine water)</w:t>
            </w:r>
          </w:p>
        </w:tc>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0505AC0"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PNEC sediment (marine water) = 0.251 mg/kg sediment dw</w:t>
            </w:r>
          </w:p>
        </w:tc>
        <w:tc>
          <w:tcPr>
            <w:tcW w:w="1666" w:type="pct"/>
            <w:vMerge/>
            <w:tcBorders>
              <w:left w:val="single" w:sz="4" w:space="0" w:color="000000"/>
              <w:right w:val="single" w:sz="4" w:space="0" w:color="000000"/>
            </w:tcBorders>
            <w:vAlign w:val="center"/>
          </w:tcPr>
          <w:p w14:paraId="25B6210A" w14:textId="77777777" w:rsidR="00BC1D4B" w:rsidRDefault="00BC1D4B">
            <w:pPr>
              <w:pStyle w:val="Corpsdetexte"/>
              <w:spacing w:after="0"/>
              <w:rPr>
                <w:rFonts w:ascii="Verdana" w:hAnsi="Verdana"/>
                <w:sz w:val="18"/>
                <w:szCs w:val="18"/>
                <w:lang w:val="en-US"/>
              </w:rPr>
            </w:pPr>
          </w:p>
        </w:tc>
      </w:tr>
      <w:tr w:rsidR="00BC1D4B" w14:paraId="2D152D6E" w14:textId="77777777">
        <w:trPr>
          <w:trHeight w:val="454"/>
        </w:trPr>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CA41CAB" w14:textId="77777777" w:rsidR="00BC1D4B" w:rsidRDefault="00ED1F84">
            <w:pPr>
              <w:pStyle w:val="Corpsdetexte"/>
              <w:spacing w:after="0"/>
              <w:rPr>
                <w:rFonts w:ascii="Verdana" w:hAnsi="Verdana"/>
                <w:sz w:val="18"/>
                <w:szCs w:val="18"/>
                <w:lang w:val="fr-FR"/>
              </w:rPr>
            </w:pPr>
            <w:r>
              <w:rPr>
                <w:rFonts w:ascii="Verdana" w:hAnsi="Verdana"/>
                <w:sz w:val="18"/>
                <w:szCs w:val="18"/>
                <w:lang w:val="fr-FR"/>
              </w:rPr>
              <w:t>Sewage Treatment Plant</w:t>
            </w:r>
          </w:p>
        </w:tc>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EECAF53"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PNEC STP = 1.47 mg/L</w:t>
            </w:r>
          </w:p>
        </w:tc>
        <w:tc>
          <w:tcPr>
            <w:tcW w:w="1666" w:type="pct"/>
            <w:vMerge/>
            <w:tcBorders>
              <w:left w:val="single" w:sz="4" w:space="0" w:color="000000"/>
              <w:right w:val="single" w:sz="4" w:space="0" w:color="000000"/>
            </w:tcBorders>
            <w:vAlign w:val="center"/>
          </w:tcPr>
          <w:p w14:paraId="590EEFDF" w14:textId="77777777" w:rsidR="00BC1D4B" w:rsidRDefault="00BC1D4B">
            <w:pPr>
              <w:pStyle w:val="Corpsdetexte"/>
              <w:spacing w:after="0"/>
              <w:rPr>
                <w:rFonts w:ascii="Verdana" w:hAnsi="Verdana"/>
                <w:sz w:val="18"/>
                <w:szCs w:val="18"/>
                <w:lang w:val="en-US"/>
              </w:rPr>
            </w:pPr>
          </w:p>
        </w:tc>
      </w:tr>
      <w:tr w:rsidR="00BC1D4B" w14:paraId="3857C7F2" w14:textId="77777777">
        <w:trPr>
          <w:trHeight w:val="454"/>
        </w:trPr>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07CB2A0"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Soil</w:t>
            </w:r>
          </w:p>
        </w:tc>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ADD598C"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 xml:space="preserve">PNEC soil = 0.404 mg/kg </w:t>
            </w:r>
            <w:r>
              <w:rPr>
                <w:rFonts w:ascii="Verdana" w:hAnsi="Verdana"/>
                <w:sz w:val="18"/>
                <w:szCs w:val="18"/>
                <w:vertAlign w:val="subscript"/>
                <w:lang w:val="en-US"/>
              </w:rPr>
              <w:t>soil dw</w:t>
            </w:r>
            <w:r>
              <w:rPr>
                <w:rFonts w:ascii="Verdana" w:hAnsi="Verdana"/>
                <w:sz w:val="18"/>
                <w:szCs w:val="18"/>
                <w:vertAlign w:val="superscript"/>
                <w:lang w:val="en-US"/>
              </w:rPr>
              <w:t>-1</w:t>
            </w:r>
          </w:p>
        </w:tc>
        <w:tc>
          <w:tcPr>
            <w:tcW w:w="1666" w:type="pct"/>
            <w:vMerge/>
            <w:tcBorders>
              <w:left w:val="single" w:sz="4" w:space="0" w:color="000000"/>
              <w:right w:val="single" w:sz="4" w:space="0" w:color="000000"/>
            </w:tcBorders>
            <w:vAlign w:val="center"/>
          </w:tcPr>
          <w:p w14:paraId="48C13D41" w14:textId="77777777" w:rsidR="00BC1D4B" w:rsidRDefault="00BC1D4B">
            <w:pPr>
              <w:pStyle w:val="Corpsdetexte"/>
              <w:spacing w:after="0"/>
              <w:rPr>
                <w:rFonts w:ascii="Verdana" w:hAnsi="Verdana"/>
                <w:sz w:val="18"/>
                <w:szCs w:val="18"/>
                <w:lang w:val="en-US"/>
              </w:rPr>
            </w:pPr>
          </w:p>
        </w:tc>
      </w:tr>
      <w:tr w:rsidR="00BC1D4B" w14:paraId="2DBB3A4D" w14:textId="77777777">
        <w:trPr>
          <w:trHeight w:val="454"/>
        </w:trPr>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A9E66E2"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Air</w:t>
            </w:r>
          </w:p>
        </w:tc>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9DDA905"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No hazard identified</w:t>
            </w:r>
          </w:p>
        </w:tc>
        <w:tc>
          <w:tcPr>
            <w:tcW w:w="1666" w:type="pct"/>
            <w:vMerge/>
            <w:tcBorders>
              <w:left w:val="single" w:sz="4" w:space="0" w:color="000000"/>
              <w:right w:val="single" w:sz="4" w:space="0" w:color="000000"/>
            </w:tcBorders>
            <w:vAlign w:val="center"/>
          </w:tcPr>
          <w:p w14:paraId="57A9F224" w14:textId="77777777" w:rsidR="00BC1D4B" w:rsidRDefault="00BC1D4B">
            <w:pPr>
              <w:pStyle w:val="Corpsdetexte"/>
              <w:spacing w:after="0"/>
              <w:rPr>
                <w:rFonts w:ascii="Verdana" w:hAnsi="Verdana"/>
                <w:sz w:val="18"/>
                <w:szCs w:val="18"/>
                <w:lang w:val="en-US"/>
              </w:rPr>
            </w:pPr>
          </w:p>
        </w:tc>
      </w:tr>
      <w:tr w:rsidR="00BC1D4B" w14:paraId="603A883D" w14:textId="77777777">
        <w:trPr>
          <w:trHeight w:val="454"/>
        </w:trPr>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B8730B"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Secondary poisoning</w:t>
            </w:r>
          </w:p>
        </w:tc>
        <w:tc>
          <w:tcPr>
            <w:tcW w:w="1667"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9222304"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No potential for bioaccumulation</w:t>
            </w:r>
          </w:p>
        </w:tc>
        <w:tc>
          <w:tcPr>
            <w:tcW w:w="1666" w:type="pct"/>
            <w:vMerge/>
            <w:tcBorders>
              <w:left w:val="single" w:sz="4" w:space="0" w:color="000000"/>
              <w:bottom w:val="single" w:sz="4" w:space="0" w:color="000000"/>
              <w:right w:val="single" w:sz="4" w:space="0" w:color="000000"/>
            </w:tcBorders>
            <w:vAlign w:val="center"/>
          </w:tcPr>
          <w:p w14:paraId="2DA64F3C" w14:textId="77777777" w:rsidR="00BC1D4B" w:rsidRDefault="00BC1D4B">
            <w:pPr>
              <w:pStyle w:val="Corpsdetexte"/>
              <w:spacing w:after="0"/>
              <w:rPr>
                <w:rFonts w:ascii="Verdana" w:hAnsi="Verdana"/>
                <w:sz w:val="18"/>
                <w:szCs w:val="18"/>
                <w:lang w:val="en-US"/>
              </w:rPr>
            </w:pPr>
          </w:p>
        </w:tc>
      </w:tr>
    </w:tbl>
    <w:p w14:paraId="40896507" w14:textId="77777777" w:rsidR="00BC1D4B" w:rsidRDefault="00BC1D4B">
      <w:pPr>
        <w:spacing w:after="0"/>
        <w:jc w:val="both"/>
        <w:rPr>
          <w:rFonts w:ascii="Verdana" w:hAnsi="Verdana"/>
          <w:bCs/>
          <w:sz w:val="18"/>
          <w:szCs w:val="18"/>
          <w:lang w:val="en-US"/>
        </w:rPr>
      </w:pPr>
      <w:bookmarkStart w:id="66" w:name="N138D0"/>
      <w:bookmarkEnd w:id="66"/>
    </w:p>
    <w:p w14:paraId="71F5815A" w14:textId="77777777" w:rsidR="00BC1D4B" w:rsidRDefault="00ED1F84">
      <w:pPr>
        <w:pStyle w:val="Titre3"/>
      </w:pPr>
      <w:bookmarkStart w:id="67" w:name="_Toc137044500"/>
      <w:r>
        <w:rPr>
          <w:lang w:val="en-US"/>
        </w:rPr>
        <w:t xml:space="preserve">Fate </w:t>
      </w:r>
      <w:r>
        <w:t>and</w:t>
      </w:r>
      <w:r>
        <w:rPr>
          <w:lang w:val="en-US"/>
        </w:rPr>
        <w:t xml:space="preserve"> </w:t>
      </w:r>
      <w:r>
        <w:t>distribution</w:t>
      </w:r>
      <w:r>
        <w:rPr>
          <w:lang w:val="en-US"/>
        </w:rPr>
        <w:t xml:space="preserve"> parameters</w:t>
      </w:r>
      <w:bookmarkEnd w:id="67"/>
    </w:p>
    <w:p w14:paraId="7270424B" w14:textId="77777777" w:rsidR="00BC1D4B" w:rsidRDefault="00ED1F84">
      <w:pPr>
        <w:pStyle w:val="Corpsdetexte"/>
        <w:jc w:val="both"/>
        <w:rPr>
          <w:rFonts w:ascii="Verdana" w:hAnsi="Verdana"/>
          <w:sz w:val="20"/>
          <w:szCs w:val="20"/>
          <w:lang w:val="en-US"/>
        </w:rPr>
      </w:pPr>
      <w:r>
        <w:rPr>
          <w:rFonts w:ascii="Verdana" w:hAnsi="Verdana"/>
          <w:sz w:val="20"/>
          <w:szCs w:val="20"/>
          <w:lang w:val="en-US"/>
        </w:rPr>
        <w:t xml:space="preserve">The following substance properties are used in the fate estimation as recommended by the Guidance on information requirements and chemical safety assessment, chapter R.16 and as concluded in ANSES (2020). </w:t>
      </w:r>
    </w:p>
    <w:p w14:paraId="57AC26F7" w14:textId="77777777" w:rsidR="00BC1D4B" w:rsidRDefault="00ED1F84">
      <w:pPr>
        <w:pStyle w:val="Corpsdetexte"/>
        <w:jc w:val="both"/>
        <w:rPr>
          <w:rFonts w:ascii="Verdana" w:hAnsi="Verdana"/>
          <w:sz w:val="20"/>
          <w:szCs w:val="20"/>
          <w:lang w:val="en-US"/>
        </w:rPr>
      </w:pPr>
      <w:r>
        <w:rPr>
          <w:rFonts w:ascii="Verdana" w:hAnsi="Verdana"/>
          <w:b/>
          <w:bCs/>
          <w:sz w:val="20"/>
          <w:szCs w:val="20"/>
        </w:rPr>
        <w:t xml:space="preserve">Table 24: </w:t>
      </w:r>
      <w:r>
        <w:rPr>
          <w:rFonts w:ascii="Verdana" w:hAnsi="Verdana"/>
          <w:b/>
          <w:sz w:val="20"/>
          <w:szCs w:val="20"/>
        </w:rPr>
        <w:t>Physical-chemical, environmental fate data used in the environmental risk assessment</w:t>
      </w:r>
    </w:p>
    <w:tbl>
      <w:tblPr>
        <w:tblW w:w="9047" w:type="dxa"/>
        <w:tblInd w:w="40" w:type="dxa"/>
        <w:tblLayout w:type="fixed"/>
        <w:tblCellMar>
          <w:left w:w="0" w:type="dxa"/>
          <w:right w:w="0" w:type="dxa"/>
        </w:tblCellMar>
        <w:tblLook w:val="0000" w:firstRow="0" w:lastRow="0" w:firstColumn="0" w:lastColumn="0" w:noHBand="0" w:noVBand="0"/>
      </w:tblPr>
      <w:tblGrid>
        <w:gridCol w:w="3921"/>
        <w:gridCol w:w="2409"/>
        <w:gridCol w:w="2692"/>
        <w:gridCol w:w="25"/>
      </w:tblGrid>
      <w:tr w:rsidR="00BC1D4B" w14:paraId="2A48DD18" w14:textId="77777777">
        <w:trPr>
          <w:gridAfter w:val="1"/>
          <w:wAfter w:w="25" w:type="dxa"/>
          <w:trHeight w:val="624"/>
          <w:tblHeader/>
        </w:trPr>
        <w:tc>
          <w:tcPr>
            <w:tcW w:w="9027" w:type="dxa"/>
            <w:gridSpan w:val="3"/>
            <w:tcBorders>
              <w:top w:val="single" w:sz="4" w:space="0" w:color="000000"/>
              <w:left w:val="single" w:sz="4" w:space="0" w:color="000000"/>
              <w:right w:val="single" w:sz="4" w:space="0" w:color="000000"/>
            </w:tcBorders>
            <w:shd w:val="clear" w:color="auto" w:fill="FFFFFF" w:themeFill="background1"/>
            <w:tcMar>
              <w:top w:w="40" w:type="dxa"/>
              <w:left w:w="40" w:type="dxa"/>
              <w:bottom w:w="40" w:type="dxa"/>
              <w:right w:w="40" w:type="dxa"/>
            </w:tcMar>
            <w:vAlign w:val="center"/>
          </w:tcPr>
          <w:p w14:paraId="025FA4FB" w14:textId="77777777" w:rsidR="00BC1D4B" w:rsidRDefault="00ED1F84">
            <w:pPr>
              <w:pStyle w:val="Corpsdetexte"/>
              <w:spacing w:after="0"/>
              <w:jc w:val="both"/>
              <w:rPr>
                <w:rFonts w:ascii="Verdana" w:hAnsi="Verdana"/>
                <w:b/>
                <w:bCs/>
                <w:sz w:val="18"/>
                <w:szCs w:val="18"/>
              </w:rPr>
            </w:pPr>
            <w:r>
              <w:rPr>
                <w:rFonts w:ascii="Verdana" w:hAnsi="Verdana"/>
                <w:b/>
                <w:sz w:val="18"/>
                <w:szCs w:val="18"/>
              </w:rPr>
              <w:lastRenderedPageBreak/>
              <w:t>Physical-chemical, environmental fate data used in the environmental risk assessment</w:t>
            </w:r>
          </w:p>
        </w:tc>
      </w:tr>
      <w:tr w:rsidR="00BC1D4B" w14:paraId="5C72FFD6" w14:textId="77777777">
        <w:trPr>
          <w:gridAfter w:val="1"/>
          <w:wAfter w:w="25" w:type="dxa"/>
          <w:trHeight w:val="454"/>
          <w:tblHeader/>
        </w:trPr>
        <w:tc>
          <w:tcPr>
            <w:tcW w:w="3923" w:type="dxa"/>
            <w:tcBorders>
              <w:top w:val="single" w:sz="4" w:space="0" w:color="000000"/>
              <w:left w:val="single" w:sz="4" w:space="0" w:color="000000"/>
              <w:right w:val="single" w:sz="4" w:space="0" w:color="000000"/>
            </w:tcBorders>
            <w:shd w:val="clear" w:color="auto" w:fill="DDD9C3" w:themeFill="background2" w:themeFillShade="E6"/>
            <w:tcMar>
              <w:top w:w="40" w:type="dxa"/>
              <w:left w:w="40" w:type="dxa"/>
              <w:bottom w:w="40" w:type="dxa"/>
              <w:right w:w="40" w:type="dxa"/>
            </w:tcMar>
            <w:vAlign w:val="center"/>
          </w:tcPr>
          <w:p w14:paraId="4856A621" w14:textId="77777777" w:rsidR="00BC1D4B" w:rsidRDefault="00ED1F84">
            <w:pPr>
              <w:pStyle w:val="Corpsdetexte"/>
              <w:spacing w:after="0"/>
              <w:rPr>
                <w:rFonts w:ascii="Verdana" w:hAnsi="Verdana"/>
                <w:b/>
                <w:bCs/>
                <w:sz w:val="18"/>
                <w:szCs w:val="18"/>
                <w:lang w:val="fr-FR"/>
              </w:rPr>
            </w:pPr>
            <w:bookmarkStart w:id="68" w:name="N138DA"/>
            <w:bookmarkEnd w:id="68"/>
            <w:r>
              <w:rPr>
                <w:rFonts w:ascii="Verdana" w:hAnsi="Verdana"/>
                <w:b/>
                <w:bCs/>
                <w:sz w:val="18"/>
                <w:szCs w:val="18"/>
                <w:lang w:val="fr-FR"/>
              </w:rPr>
              <w:t>Input</w:t>
            </w:r>
          </w:p>
        </w:tc>
        <w:tc>
          <w:tcPr>
            <w:tcW w:w="2410" w:type="dxa"/>
            <w:tcBorders>
              <w:top w:val="single" w:sz="4" w:space="0" w:color="000000"/>
              <w:left w:val="single" w:sz="4" w:space="0" w:color="000000"/>
              <w:right w:val="single" w:sz="4" w:space="0" w:color="000000"/>
            </w:tcBorders>
            <w:shd w:val="clear" w:color="auto" w:fill="DDD9C3" w:themeFill="background2" w:themeFillShade="E6"/>
            <w:tcMar>
              <w:top w:w="40" w:type="dxa"/>
              <w:left w:w="40" w:type="dxa"/>
              <w:bottom w:w="40" w:type="dxa"/>
              <w:right w:w="40" w:type="dxa"/>
            </w:tcMar>
            <w:vAlign w:val="center"/>
          </w:tcPr>
          <w:p w14:paraId="3F302A9D" w14:textId="77777777" w:rsidR="00BC1D4B" w:rsidRDefault="00ED1F84">
            <w:pPr>
              <w:pStyle w:val="Corpsdetexte"/>
              <w:spacing w:after="0"/>
              <w:jc w:val="center"/>
              <w:rPr>
                <w:rFonts w:ascii="Verdana" w:hAnsi="Verdana"/>
                <w:b/>
                <w:bCs/>
                <w:sz w:val="18"/>
                <w:szCs w:val="18"/>
                <w:lang w:val="fr-FR"/>
              </w:rPr>
            </w:pPr>
            <w:r>
              <w:rPr>
                <w:rFonts w:ascii="Verdana" w:hAnsi="Verdana"/>
                <w:b/>
                <w:bCs/>
                <w:sz w:val="18"/>
                <w:szCs w:val="18"/>
                <w:lang w:val="fr-FR"/>
              </w:rPr>
              <w:t>Value</w:t>
            </w:r>
          </w:p>
        </w:tc>
        <w:tc>
          <w:tcPr>
            <w:tcW w:w="2694" w:type="dxa"/>
            <w:tcBorders>
              <w:top w:val="single" w:sz="4" w:space="0" w:color="000000"/>
              <w:left w:val="single" w:sz="4" w:space="0" w:color="000000"/>
              <w:right w:val="single" w:sz="4" w:space="0" w:color="000000"/>
            </w:tcBorders>
            <w:shd w:val="clear" w:color="auto" w:fill="DDD9C3" w:themeFill="background2" w:themeFillShade="E6"/>
            <w:vAlign w:val="center"/>
          </w:tcPr>
          <w:p w14:paraId="35DF8EB8" w14:textId="77777777" w:rsidR="00BC1D4B" w:rsidRDefault="00ED1F84">
            <w:pPr>
              <w:pStyle w:val="Corpsdetexte"/>
              <w:spacing w:after="0"/>
              <w:jc w:val="center"/>
              <w:rPr>
                <w:rFonts w:ascii="Verdana" w:hAnsi="Verdana"/>
                <w:b/>
                <w:bCs/>
                <w:sz w:val="18"/>
                <w:szCs w:val="18"/>
                <w:lang w:val="fr-FR"/>
              </w:rPr>
            </w:pPr>
            <w:r>
              <w:rPr>
                <w:rFonts w:ascii="Verdana" w:hAnsi="Verdana"/>
                <w:b/>
                <w:bCs/>
                <w:sz w:val="18"/>
                <w:szCs w:val="18"/>
                <w:lang w:val="fr-FR"/>
              </w:rPr>
              <w:t>Unit</w:t>
            </w:r>
          </w:p>
        </w:tc>
      </w:tr>
      <w:tr w:rsidR="00BC1D4B" w14:paraId="79CDF08B" w14:textId="77777777">
        <w:trPr>
          <w:gridAfter w:val="1"/>
          <w:wAfter w:w="25" w:type="dxa"/>
          <w:trHeight w:val="454"/>
        </w:trPr>
        <w:tc>
          <w:tcPr>
            <w:tcW w:w="39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2CD8A29" w14:textId="77777777" w:rsidR="00BC1D4B" w:rsidRDefault="00ED1F84">
            <w:pPr>
              <w:pStyle w:val="Corpsdetexte"/>
              <w:spacing w:after="0"/>
              <w:rPr>
                <w:rFonts w:ascii="Verdana" w:hAnsi="Verdana"/>
                <w:sz w:val="18"/>
                <w:szCs w:val="18"/>
                <w:lang w:val="fr-FR"/>
              </w:rPr>
            </w:pPr>
            <w:r>
              <w:rPr>
                <w:rFonts w:ascii="Verdana" w:hAnsi="Verdana"/>
                <w:sz w:val="18"/>
                <w:szCs w:val="18"/>
                <w:lang w:val="fr-FR"/>
              </w:rPr>
              <w:t>Molecular weight</w:t>
            </w:r>
          </w:p>
        </w:tc>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23A236E" w14:textId="77777777" w:rsidR="00BC1D4B" w:rsidRDefault="00ED1F84">
            <w:pPr>
              <w:pStyle w:val="Corpsdetexte"/>
              <w:spacing w:after="0"/>
              <w:jc w:val="center"/>
              <w:rPr>
                <w:rFonts w:ascii="Verdana" w:hAnsi="Verdana"/>
                <w:sz w:val="18"/>
                <w:szCs w:val="18"/>
                <w:lang w:val="fr-FR"/>
              </w:rPr>
            </w:pPr>
            <w:r>
              <w:rPr>
                <w:rFonts w:ascii="Verdana" w:hAnsi="Verdana"/>
                <w:sz w:val="18"/>
                <w:szCs w:val="18"/>
                <w:lang w:val="fr-FR"/>
              </w:rPr>
              <w:t>211</w:t>
            </w:r>
          </w:p>
        </w:tc>
        <w:tc>
          <w:tcPr>
            <w:tcW w:w="2694" w:type="dxa"/>
            <w:tcBorders>
              <w:top w:val="single" w:sz="4" w:space="0" w:color="000000"/>
              <w:left w:val="single" w:sz="4" w:space="0" w:color="000000"/>
              <w:bottom w:val="single" w:sz="4" w:space="0" w:color="000000"/>
              <w:right w:val="single" w:sz="4" w:space="0" w:color="000000"/>
            </w:tcBorders>
            <w:vAlign w:val="center"/>
          </w:tcPr>
          <w:p w14:paraId="6B6E1950" w14:textId="77777777" w:rsidR="00BC1D4B" w:rsidRDefault="00ED1F84">
            <w:pPr>
              <w:pStyle w:val="Corpsdetexte"/>
              <w:spacing w:after="0"/>
              <w:jc w:val="center"/>
              <w:rPr>
                <w:rFonts w:ascii="Verdana" w:hAnsi="Verdana"/>
                <w:sz w:val="18"/>
                <w:szCs w:val="18"/>
                <w:lang w:val="fr-FR"/>
              </w:rPr>
            </w:pPr>
            <w:r>
              <w:rPr>
                <w:rFonts w:ascii="Verdana" w:hAnsi="Verdana"/>
                <w:sz w:val="18"/>
                <w:szCs w:val="18"/>
              </w:rPr>
              <w:t>g.mol</w:t>
            </w:r>
            <w:r>
              <w:rPr>
                <w:rFonts w:ascii="Verdana" w:hAnsi="Verdana"/>
                <w:sz w:val="18"/>
                <w:szCs w:val="18"/>
                <w:vertAlign w:val="superscript"/>
              </w:rPr>
              <w:t>-1</w:t>
            </w:r>
            <w:r>
              <w:rPr>
                <w:rFonts w:ascii="Verdana" w:hAnsi="Verdana"/>
                <w:sz w:val="18"/>
                <w:szCs w:val="18"/>
              </w:rPr>
              <w:t xml:space="preserve"> </w:t>
            </w:r>
          </w:p>
        </w:tc>
      </w:tr>
      <w:tr w:rsidR="00BC1D4B" w14:paraId="10459A22" w14:textId="77777777">
        <w:trPr>
          <w:gridAfter w:val="1"/>
          <w:wAfter w:w="25" w:type="dxa"/>
          <w:trHeight w:val="454"/>
        </w:trPr>
        <w:tc>
          <w:tcPr>
            <w:tcW w:w="39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C9206A5" w14:textId="77777777" w:rsidR="00BC1D4B" w:rsidRDefault="00ED1F84">
            <w:pPr>
              <w:pStyle w:val="Corpsdetexte"/>
              <w:spacing w:after="0"/>
              <w:rPr>
                <w:rFonts w:ascii="Verdana" w:hAnsi="Verdana"/>
                <w:sz w:val="18"/>
                <w:szCs w:val="18"/>
                <w:lang w:val="fr-FR"/>
              </w:rPr>
            </w:pPr>
            <w:r>
              <w:rPr>
                <w:rFonts w:ascii="Verdana" w:hAnsi="Verdana"/>
                <w:sz w:val="18"/>
                <w:szCs w:val="18"/>
                <w:lang w:val="fr-FR"/>
              </w:rPr>
              <w:t>Water solubility</w:t>
            </w:r>
          </w:p>
        </w:tc>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915D56A" w14:textId="77777777" w:rsidR="00BC1D4B" w:rsidRDefault="00ED1F84">
            <w:pPr>
              <w:pStyle w:val="Corpsdetexte"/>
              <w:spacing w:after="0"/>
              <w:jc w:val="center"/>
              <w:rPr>
                <w:rFonts w:ascii="Verdana" w:hAnsi="Verdana"/>
                <w:sz w:val="18"/>
                <w:szCs w:val="18"/>
                <w:lang w:val="en-US"/>
              </w:rPr>
            </w:pPr>
            <w:r>
              <w:rPr>
                <w:rFonts w:ascii="Verdana" w:hAnsi="Verdana"/>
                <w:sz w:val="18"/>
                <w:szCs w:val="18"/>
                <w:lang w:val="en-US"/>
              </w:rPr>
              <w:t>325mg/L at pH 10.32</w:t>
            </w:r>
          </w:p>
        </w:tc>
        <w:tc>
          <w:tcPr>
            <w:tcW w:w="2694" w:type="dxa"/>
            <w:tcBorders>
              <w:top w:val="single" w:sz="4" w:space="0" w:color="000000"/>
              <w:left w:val="single" w:sz="4" w:space="0" w:color="000000"/>
              <w:bottom w:val="single" w:sz="4" w:space="0" w:color="000000"/>
              <w:right w:val="single" w:sz="4" w:space="0" w:color="000000"/>
            </w:tcBorders>
            <w:vAlign w:val="center"/>
          </w:tcPr>
          <w:p w14:paraId="15A90586" w14:textId="77777777" w:rsidR="00BC1D4B" w:rsidRDefault="00ED1F84">
            <w:pPr>
              <w:pStyle w:val="Corpsdetexte"/>
              <w:spacing w:after="0"/>
              <w:jc w:val="center"/>
              <w:rPr>
                <w:rFonts w:ascii="Verdana" w:hAnsi="Verdana"/>
                <w:sz w:val="18"/>
                <w:szCs w:val="18"/>
              </w:rPr>
            </w:pPr>
            <w:r>
              <w:rPr>
                <w:rFonts w:ascii="Verdana" w:hAnsi="Verdana"/>
                <w:sz w:val="18"/>
                <w:szCs w:val="18"/>
              </w:rPr>
              <w:t>mg.l</w:t>
            </w:r>
            <w:r>
              <w:rPr>
                <w:rFonts w:ascii="Verdana" w:hAnsi="Verdana"/>
                <w:sz w:val="18"/>
                <w:szCs w:val="18"/>
                <w:vertAlign w:val="superscript"/>
              </w:rPr>
              <w:t>-1</w:t>
            </w:r>
            <w:r>
              <w:rPr>
                <w:rFonts w:ascii="Verdana" w:hAnsi="Verdana"/>
                <w:sz w:val="18"/>
                <w:szCs w:val="18"/>
              </w:rPr>
              <w:t xml:space="preserve"> [</w:t>
            </w:r>
            <w:r>
              <w:rPr>
                <w:rFonts w:ascii="Verdana" w:hAnsi="Verdana"/>
                <w:sz w:val="18"/>
                <w:szCs w:val="18"/>
                <w:lang w:val="fr-FR"/>
              </w:rPr>
              <w:t>20</w:t>
            </w:r>
            <w:r>
              <w:rPr>
                <w:rFonts w:ascii="Verdana" w:hAnsi="Verdana"/>
                <w:sz w:val="18"/>
                <w:szCs w:val="18"/>
              </w:rPr>
              <w:t xml:space="preserve"> °C]</w:t>
            </w:r>
          </w:p>
        </w:tc>
      </w:tr>
      <w:tr w:rsidR="00BC1D4B" w14:paraId="38F06027" w14:textId="77777777">
        <w:trPr>
          <w:gridAfter w:val="1"/>
          <w:wAfter w:w="25" w:type="dxa"/>
          <w:trHeight w:val="454"/>
        </w:trPr>
        <w:tc>
          <w:tcPr>
            <w:tcW w:w="39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936C385" w14:textId="77777777" w:rsidR="00BC1D4B" w:rsidRDefault="00ED1F84">
            <w:pPr>
              <w:pStyle w:val="Corpsdetexte"/>
              <w:spacing w:after="0"/>
              <w:rPr>
                <w:rFonts w:ascii="Verdana" w:hAnsi="Verdana"/>
                <w:sz w:val="18"/>
                <w:szCs w:val="18"/>
                <w:lang w:val="fr-FR"/>
              </w:rPr>
            </w:pPr>
            <w:r>
              <w:rPr>
                <w:rFonts w:ascii="Verdana" w:hAnsi="Verdana"/>
                <w:sz w:val="18"/>
                <w:szCs w:val="18"/>
                <w:lang w:val="fr-FR"/>
              </w:rPr>
              <w:t>Vapour pressure</w:t>
            </w:r>
          </w:p>
        </w:tc>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4F7B5DC" w14:textId="77777777" w:rsidR="00BC1D4B" w:rsidRDefault="00ED1F84">
            <w:pPr>
              <w:pStyle w:val="Corpsdetexte"/>
              <w:spacing w:after="0"/>
              <w:jc w:val="center"/>
              <w:rPr>
                <w:rFonts w:ascii="Verdana" w:hAnsi="Verdana"/>
                <w:sz w:val="18"/>
                <w:szCs w:val="18"/>
                <w:lang w:val="fr-FR"/>
              </w:rPr>
            </w:pPr>
            <w:r>
              <w:rPr>
                <w:rFonts w:ascii="Verdana" w:hAnsi="Verdana"/>
                <w:sz w:val="18"/>
                <w:szCs w:val="18"/>
                <w:lang w:val="fr-FR"/>
              </w:rPr>
              <w:t>3.7E-10</w:t>
            </w:r>
          </w:p>
        </w:tc>
        <w:tc>
          <w:tcPr>
            <w:tcW w:w="2694" w:type="dxa"/>
            <w:tcBorders>
              <w:top w:val="single" w:sz="4" w:space="0" w:color="000000"/>
              <w:left w:val="single" w:sz="4" w:space="0" w:color="000000"/>
              <w:bottom w:val="single" w:sz="4" w:space="0" w:color="000000"/>
              <w:right w:val="single" w:sz="4" w:space="0" w:color="000000"/>
            </w:tcBorders>
            <w:vAlign w:val="center"/>
          </w:tcPr>
          <w:p w14:paraId="4E088C04" w14:textId="77777777" w:rsidR="00BC1D4B" w:rsidRDefault="00ED1F84">
            <w:pPr>
              <w:pStyle w:val="Corpsdetexte"/>
              <w:spacing w:after="0"/>
              <w:jc w:val="center"/>
              <w:rPr>
                <w:rFonts w:ascii="Verdana" w:hAnsi="Verdana"/>
                <w:sz w:val="18"/>
                <w:szCs w:val="18"/>
                <w:lang w:val="fr-FR"/>
              </w:rPr>
            </w:pPr>
            <w:r>
              <w:rPr>
                <w:rFonts w:ascii="Verdana" w:hAnsi="Verdana"/>
                <w:sz w:val="18"/>
                <w:szCs w:val="18"/>
              </w:rPr>
              <w:t>Pa [25°C]</w:t>
            </w:r>
          </w:p>
        </w:tc>
      </w:tr>
      <w:tr w:rsidR="00BC1D4B" w14:paraId="36AF41B2" w14:textId="77777777">
        <w:trPr>
          <w:gridAfter w:val="1"/>
          <w:wAfter w:w="25" w:type="dxa"/>
          <w:trHeight w:val="454"/>
        </w:trPr>
        <w:tc>
          <w:tcPr>
            <w:tcW w:w="39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8A584D1" w14:textId="77777777" w:rsidR="00BC1D4B" w:rsidRDefault="00ED1F84">
            <w:pPr>
              <w:pStyle w:val="Corpsdetexte"/>
              <w:spacing w:after="0"/>
              <w:rPr>
                <w:rFonts w:ascii="Verdana" w:hAnsi="Verdana"/>
                <w:sz w:val="18"/>
                <w:szCs w:val="18"/>
                <w:lang w:val="fr-FR"/>
              </w:rPr>
            </w:pPr>
            <w:r>
              <w:rPr>
                <w:rFonts w:ascii="Verdana" w:hAnsi="Verdana"/>
                <w:sz w:val="18"/>
                <w:szCs w:val="18"/>
                <w:lang w:val="fr-FR"/>
              </w:rPr>
              <w:t xml:space="preserve">Henry constant </w:t>
            </w:r>
          </w:p>
        </w:tc>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0E53F2A" w14:textId="77777777" w:rsidR="00BC1D4B" w:rsidRDefault="00ED1F84">
            <w:pPr>
              <w:pStyle w:val="Corpsdetexte"/>
              <w:spacing w:after="0"/>
              <w:jc w:val="center"/>
              <w:rPr>
                <w:rFonts w:ascii="Verdana" w:hAnsi="Verdana"/>
                <w:sz w:val="18"/>
                <w:szCs w:val="18"/>
                <w:lang w:val="fr-FR"/>
              </w:rPr>
            </w:pPr>
            <w:r>
              <w:rPr>
                <w:rFonts w:ascii="Verdana" w:hAnsi="Verdana"/>
                <w:sz w:val="18"/>
                <w:szCs w:val="18"/>
                <w:lang w:val="fr-FR"/>
              </w:rPr>
              <w:t>1.07E-10</w:t>
            </w:r>
          </w:p>
        </w:tc>
        <w:tc>
          <w:tcPr>
            <w:tcW w:w="2694" w:type="dxa"/>
            <w:tcBorders>
              <w:top w:val="single" w:sz="4" w:space="0" w:color="000000"/>
              <w:left w:val="single" w:sz="4" w:space="0" w:color="000000"/>
              <w:bottom w:val="single" w:sz="4" w:space="0" w:color="000000"/>
              <w:right w:val="single" w:sz="4" w:space="0" w:color="000000"/>
            </w:tcBorders>
            <w:vAlign w:val="center"/>
          </w:tcPr>
          <w:p w14:paraId="75B4DDD6" w14:textId="77777777" w:rsidR="00BC1D4B" w:rsidRDefault="00ED1F84">
            <w:pPr>
              <w:pStyle w:val="Corpsdetexte"/>
              <w:spacing w:after="0"/>
              <w:jc w:val="center"/>
              <w:rPr>
                <w:rFonts w:ascii="Verdana" w:hAnsi="Verdana"/>
                <w:sz w:val="18"/>
                <w:szCs w:val="18"/>
              </w:rPr>
            </w:pPr>
            <w:r>
              <w:rPr>
                <w:rFonts w:ascii="Verdana" w:hAnsi="Verdana"/>
                <w:sz w:val="18"/>
                <w:szCs w:val="18"/>
              </w:rPr>
              <w:t>Pa.m-3.mol-1[12°C]</w:t>
            </w:r>
          </w:p>
        </w:tc>
      </w:tr>
      <w:tr w:rsidR="00BC1D4B" w14:paraId="1C8767E3" w14:textId="77777777">
        <w:trPr>
          <w:gridAfter w:val="1"/>
          <w:wAfter w:w="25" w:type="dxa"/>
          <w:trHeight w:val="454"/>
        </w:trPr>
        <w:tc>
          <w:tcPr>
            <w:tcW w:w="39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C781EB4" w14:textId="77777777" w:rsidR="00BC1D4B" w:rsidRDefault="00ED1F84">
            <w:pPr>
              <w:pStyle w:val="Corpsdetexte"/>
              <w:spacing w:after="0"/>
              <w:rPr>
                <w:rFonts w:ascii="Verdana" w:hAnsi="Verdana"/>
                <w:sz w:val="18"/>
                <w:szCs w:val="18"/>
                <w:lang w:val="fr-FR"/>
              </w:rPr>
            </w:pPr>
            <w:r>
              <w:rPr>
                <w:rFonts w:ascii="Verdana" w:hAnsi="Verdana"/>
                <w:sz w:val="18"/>
                <w:szCs w:val="18"/>
              </w:rPr>
              <w:t>Octanol-water partition coefficient</w:t>
            </w:r>
          </w:p>
        </w:tc>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73EE5D0" w14:textId="77777777" w:rsidR="00BC1D4B" w:rsidRDefault="00ED1F84">
            <w:pPr>
              <w:pStyle w:val="Corpsdetexte"/>
              <w:spacing w:after="0"/>
              <w:jc w:val="center"/>
              <w:rPr>
                <w:rFonts w:ascii="Verdana" w:hAnsi="Verdana"/>
                <w:sz w:val="18"/>
                <w:szCs w:val="18"/>
                <w:lang w:val="fr-FR"/>
              </w:rPr>
            </w:pPr>
            <w:r>
              <w:rPr>
                <w:rFonts w:ascii="Verdana" w:hAnsi="Verdana"/>
                <w:sz w:val="18"/>
                <w:szCs w:val="18"/>
                <w:lang w:val="fr-FR"/>
              </w:rPr>
              <w:t>2.42</w:t>
            </w:r>
          </w:p>
        </w:tc>
        <w:tc>
          <w:tcPr>
            <w:tcW w:w="2694" w:type="dxa"/>
            <w:tcBorders>
              <w:top w:val="single" w:sz="4" w:space="0" w:color="000000"/>
              <w:left w:val="single" w:sz="4" w:space="0" w:color="000000"/>
              <w:bottom w:val="single" w:sz="4" w:space="0" w:color="000000"/>
              <w:right w:val="single" w:sz="4" w:space="0" w:color="000000"/>
            </w:tcBorders>
            <w:vAlign w:val="center"/>
          </w:tcPr>
          <w:p w14:paraId="3303314F" w14:textId="77777777" w:rsidR="00BC1D4B" w:rsidRDefault="00ED1F84">
            <w:pPr>
              <w:pStyle w:val="Corpsdetexte"/>
              <w:spacing w:after="0"/>
              <w:jc w:val="center"/>
              <w:rPr>
                <w:rFonts w:ascii="Verdana" w:hAnsi="Verdana"/>
                <w:sz w:val="18"/>
                <w:szCs w:val="18"/>
                <w:lang w:val="fr-FR"/>
              </w:rPr>
            </w:pPr>
            <w:r>
              <w:rPr>
                <w:rFonts w:ascii="Verdana" w:hAnsi="Verdana"/>
                <w:sz w:val="18"/>
                <w:szCs w:val="18"/>
              </w:rPr>
              <w:t>[log10]</w:t>
            </w:r>
          </w:p>
        </w:tc>
      </w:tr>
      <w:tr w:rsidR="00BC1D4B" w14:paraId="6956FDF3" w14:textId="77777777">
        <w:trPr>
          <w:trHeight w:val="454"/>
        </w:trPr>
        <w:tc>
          <w:tcPr>
            <w:tcW w:w="39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1A92E2F" w14:textId="77777777" w:rsidR="00BC1D4B" w:rsidRDefault="00ED1F84">
            <w:pPr>
              <w:pStyle w:val="Corpsdetexte"/>
              <w:spacing w:after="0"/>
              <w:rPr>
                <w:rFonts w:ascii="Verdana" w:hAnsi="Verdana"/>
                <w:sz w:val="18"/>
                <w:szCs w:val="18"/>
              </w:rPr>
            </w:pPr>
            <w:r>
              <w:rPr>
                <w:rFonts w:ascii="Verdana" w:hAnsi="Verdana"/>
                <w:sz w:val="18"/>
                <w:szCs w:val="18"/>
                <w:lang w:val="en-US"/>
              </w:rPr>
              <w:t>Koc</w:t>
            </w:r>
          </w:p>
        </w:tc>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25D75D3" w14:textId="77777777" w:rsidR="00BC1D4B" w:rsidRDefault="00ED1F84">
            <w:pPr>
              <w:pStyle w:val="Corpsdetexte"/>
              <w:spacing w:after="0"/>
              <w:jc w:val="center"/>
              <w:rPr>
                <w:rFonts w:ascii="Verdana" w:hAnsi="Verdana"/>
                <w:sz w:val="18"/>
                <w:szCs w:val="18"/>
                <w:lang w:val="fr-FR"/>
              </w:rPr>
            </w:pPr>
            <w:r>
              <w:rPr>
                <w:rFonts w:ascii="Verdana" w:hAnsi="Verdana"/>
                <w:sz w:val="18"/>
                <w:szCs w:val="18"/>
                <w:lang w:val="fr-FR"/>
              </w:rPr>
              <w:t>807</w:t>
            </w:r>
          </w:p>
        </w:tc>
        <w:tc>
          <w:tcPr>
            <w:tcW w:w="2694" w:type="dxa"/>
            <w:tcBorders>
              <w:top w:val="single" w:sz="4" w:space="0" w:color="000000"/>
              <w:left w:val="single" w:sz="4" w:space="0" w:color="000000"/>
              <w:bottom w:val="single" w:sz="4" w:space="0" w:color="000000"/>
              <w:right w:val="single" w:sz="4" w:space="0" w:color="000000"/>
            </w:tcBorders>
            <w:vAlign w:val="center"/>
          </w:tcPr>
          <w:p w14:paraId="767DF4B1" w14:textId="77777777" w:rsidR="00BC1D4B" w:rsidRDefault="00ED1F84">
            <w:pPr>
              <w:pStyle w:val="Corpsdetexte"/>
              <w:spacing w:after="0"/>
              <w:jc w:val="center"/>
              <w:rPr>
                <w:rFonts w:ascii="Verdana" w:hAnsi="Verdana"/>
                <w:sz w:val="18"/>
                <w:szCs w:val="18"/>
              </w:rPr>
            </w:pPr>
            <w:r>
              <w:rPr>
                <w:rFonts w:ascii="Verdana" w:hAnsi="Verdana"/>
                <w:sz w:val="18"/>
                <w:szCs w:val="18"/>
              </w:rPr>
              <w:t>l.kg</w:t>
            </w:r>
            <w:r>
              <w:rPr>
                <w:rFonts w:ascii="Verdana" w:hAnsi="Verdana"/>
                <w:sz w:val="18"/>
                <w:szCs w:val="18"/>
                <w:vertAlign w:val="superscript"/>
              </w:rPr>
              <w:t>-1</w:t>
            </w:r>
            <w:r>
              <w:rPr>
                <w:rFonts w:ascii="Verdana" w:hAnsi="Verdana"/>
                <w:sz w:val="18"/>
                <w:szCs w:val="18"/>
              </w:rPr>
              <w:t xml:space="preserve"> [</w:t>
            </w:r>
            <w:r>
              <w:rPr>
                <w:rFonts w:ascii="Verdana" w:hAnsi="Verdana"/>
                <w:sz w:val="18"/>
                <w:szCs w:val="18"/>
                <w:lang w:val="fr-FR"/>
              </w:rPr>
              <w:t>20</w:t>
            </w:r>
            <w:r>
              <w:rPr>
                <w:rFonts w:ascii="Verdana" w:hAnsi="Verdana"/>
                <w:sz w:val="18"/>
                <w:szCs w:val="18"/>
              </w:rPr>
              <w:t xml:space="preserve"> °C]</w:t>
            </w:r>
          </w:p>
        </w:tc>
        <w:tc>
          <w:tcPr>
            <w:tcW w:w="20" w:type="dxa"/>
            <w:vAlign w:val="center"/>
          </w:tcPr>
          <w:p w14:paraId="592130B9" w14:textId="77777777" w:rsidR="00BC1D4B" w:rsidRDefault="00BC1D4B">
            <w:pPr>
              <w:spacing w:after="0"/>
              <w:jc w:val="both"/>
              <w:rPr>
                <w:rFonts w:ascii="Verdana" w:hAnsi="Verdana"/>
                <w:sz w:val="18"/>
                <w:szCs w:val="18"/>
              </w:rPr>
            </w:pPr>
          </w:p>
        </w:tc>
      </w:tr>
      <w:tr w:rsidR="00BC1D4B" w14:paraId="1B8509EB" w14:textId="77777777">
        <w:trPr>
          <w:gridAfter w:val="1"/>
          <w:wAfter w:w="25" w:type="dxa"/>
          <w:trHeight w:val="454"/>
        </w:trPr>
        <w:tc>
          <w:tcPr>
            <w:tcW w:w="39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9593DD3"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Biodegradability</w:t>
            </w:r>
          </w:p>
        </w:tc>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FA5ACBA"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Based on OECD TG 301D :</w:t>
            </w:r>
          </w:p>
          <w:p w14:paraId="11E05D0D"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readily biodegradable</w:t>
            </w:r>
          </w:p>
          <w:p w14:paraId="675E6A67"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fulfilling the 10-day window criteria</w:t>
            </w:r>
          </w:p>
        </w:tc>
        <w:tc>
          <w:tcPr>
            <w:tcW w:w="2694" w:type="dxa"/>
            <w:tcBorders>
              <w:top w:val="single" w:sz="4" w:space="0" w:color="000000"/>
              <w:left w:val="single" w:sz="4" w:space="0" w:color="000000"/>
              <w:bottom w:val="single" w:sz="4" w:space="0" w:color="000000"/>
              <w:right w:val="single" w:sz="4" w:space="0" w:color="000000"/>
            </w:tcBorders>
            <w:vAlign w:val="center"/>
          </w:tcPr>
          <w:p w14:paraId="2C24D17A"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w:t>
            </w:r>
          </w:p>
        </w:tc>
      </w:tr>
      <w:tr w:rsidR="00BC1D4B" w14:paraId="0E34676E" w14:textId="77777777">
        <w:trPr>
          <w:gridAfter w:val="1"/>
          <w:wAfter w:w="25" w:type="dxa"/>
          <w:trHeight w:val="454"/>
        </w:trPr>
        <w:tc>
          <w:tcPr>
            <w:tcW w:w="39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9DA329E" w14:textId="77777777" w:rsidR="00BC1D4B" w:rsidRDefault="00ED1F84">
            <w:pPr>
              <w:pStyle w:val="Corpsdetexte"/>
              <w:spacing w:after="0"/>
              <w:rPr>
                <w:rFonts w:ascii="Verdana" w:hAnsi="Verdana"/>
                <w:sz w:val="18"/>
                <w:szCs w:val="18"/>
                <w:lang w:val="fr-FR"/>
              </w:rPr>
            </w:pPr>
            <w:r>
              <w:rPr>
                <w:rFonts w:ascii="Verdana" w:hAnsi="Verdana"/>
                <w:sz w:val="18"/>
                <w:szCs w:val="18"/>
              </w:rPr>
              <w:t>DT</w:t>
            </w:r>
            <w:r>
              <w:rPr>
                <w:rFonts w:ascii="Verdana" w:hAnsi="Verdana"/>
                <w:sz w:val="18"/>
                <w:szCs w:val="18"/>
                <w:vertAlign w:val="subscript"/>
              </w:rPr>
              <w:t>50</w:t>
            </w:r>
            <w:r>
              <w:rPr>
                <w:rFonts w:ascii="Verdana" w:hAnsi="Verdana"/>
                <w:sz w:val="18"/>
                <w:szCs w:val="18"/>
              </w:rPr>
              <w:t xml:space="preserve"> in surface water</w:t>
            </w:r>
          </w:p>
        </w:tc>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2D4C4B9" w14:textId="18184195" w:rsidR="00BC1D4B" w:rsidRDefault="00ED1F84">
            <w:pPr>
              <w:pStyle w:val="Corpsdetexte"/>
              <w:spacing w:after="0"/>
              <w:rPr>
                <w:rFonts w:ascii="Verdana" w:hAnsi="Verdana"/>
                <w:sz w:val="18"/>
                <w:szCs w:val="18"/>
                <w:lang w:val="en-US"/>
              </w:rPr>
            </w:pPr>
            <w:r>
              <w:rPr>
                <w:rFonts w:ascii="Verdana" w:hAnsi="Verdana"/>
                <w:sz w:val="18"/>
                <w:szCs w:val="18"/>
                <w:lang w:val="en-US"/>
              </w:rPr>
              <w:t xml:space="preserve">Based on OECD TG </w:t>
            </w:r>
            <w:r w:rsidR="00825813">
              <w:rPr>
                <w:rFonts w:ascii="Verdana" w:hAnsi="Verdana"/>
                <w:sz w:val="18"/>
                <w:szCs w:val="18"/>
                <w:lang w:val="en-US"/>
              </w:rPr>
              <w:t>1</w:t>
            </w:r>
            <w:r>
              <w:rPr>
                <w:rFonts w:ascii="Verdana" w:hAnsi="Verdana"/>
                <w:sz w:val="18"/>
                <w:szCs w:val="18"/>
                <w:lang w:val="en-US"/>
              </w:rPr>
              <w:t>11: hydrolytically stable</w:t>
            </w:r>
          </w:p>
          <w:p w14:paraId="578BA135" w14:textId="77777777" w:rsidR="00BC1D4B" w:rsidRDefault="00BC1D4B">
            <w:pPr>
              <w:pStyle w:val="Corpsdetexte"/>
              <w:spacing w:after="0"/>
              <w:rPr>
                <w:rFonts w:ascii="Verdana" w:hAnsi="Verdana"/>
                <w:sz w:val="18"/>
                <w:szCs w:val="18"/>
                <w:lang w:val="en-US"/>
              </w:rPr>
            </w:pPr>
          </w:p>
          <w:p w14:paraId="22B44A58" w14:textId="77777777" w:rsidR="00BC1D4B" w:rsidRDefault="00ED1F84">
            <w:pPr>
              <w:pStyle w:val="Corpsdetexte"/>
              <w:spacing w:after="0"/>
              <w:rPr>
                <w:rFonts w:ascii="Verdana" w:hAnsi="Verdana"/>
                <w:sz w:val="18"/>
                <w:szCs w:val="18"/>
                <w:lang w:val="en-US"/>
              </w:rPr>
            </w:pPr>
            <w:r>
              <w:rPr>
                <w:rFonts w:ascii="Verdana" w:hAnsi="Verdana"/>
                <w:sz w:val="18"/>
                <w:szCs w:val="18"/>
              </w:rPr>
              <w:t>Based on</w:t>
            </w:r>
            <w:r>
              <w:rPr>
                <w:sz w:val="18"/>
                <w:szCs w:val="18"/>
              </w:rPr>
              <w:t xml:space="preserve"> </w:t>
            </w:r>
            <w:r>
              <w:rPr>
                <w:rFonts w:ascii="Verdana" w:hAnsi="Verdana"/>
                <w:sz w:val="18"/>
                <w:szCs w:val="18"/>
                <w:lang w:val="en-US"/>
              </w:rPr>
              <w:t>equivalent to OECD TG 309:</w:t>
            </w:r>
          </w:p>
          <w:p w14:paraId="7994CE82"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 Degradation of test substance (test mat. analysis):</w:t>
            </w:r>
          </w:p>
          <w:p w14:paraId="5CC34870"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 xml:space="preserve">3 after 3d </w:t>
            </w:r>
          </w:p>
          <w:p w14:paraId="4ABECA3A"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 xml:space="preserve">78 after 7d </w:t>
            </w:r>
          </w:p>
          <w:p w14:paraId="1460EF3C" w14:textId="77777777" w:rsidR="00BC1D4B" w:rsidRDefault="00ED1F84">
            <w:pPr>
              <w:pStyle w:val="Corpsdetexte"/>
              <w:spacing w:after="0"/>
              <w:rPr>
                <w:rFonts w:ascii="Verdana" w:hAnsi="Verdana"/>
                <w:sz w:val="18"/>
                <w:szCs w:val="18"/>
                <w:lang w:val="en-US"/>
              </w:rPr>
            </w:pPr>
            <w:r>
              <w:rPr>
                <w:rFonts w:ascii="Verdana" w:hAnsi="Verdana"/>
                <w:sz w:val="18"/>
                <w:szCs w:val="18"/>
                <w:lang w:val="en-US"/>
              </w:rPr>
              <w:t>100 after 14d</w:t>
            </w:r>
          </w:p>
        </w:tc>
        <w:tc>
          <w:tcPr>
            <w:tcW w:w="2694" w:type="dxa"/>
            <w:tcBorders>
              <w:top w:val="single" w:sz="4" w:space="0" w:color="000000"/>
              <w:left w:val="single" w:sz="4" w:space="0" w:color="000000"/>
              <w:bottom w:val="single" w:sz="4" w:space="0" w:color="000000"/>
              <w:right w:val="single" w:sz="4" w:space="0" w:color="000000"/>
            </w:tcBorders>
            <w:vAlign w:val="center"/>
          </w:tcPr>
          <w:p w14:paraId="65C6944E"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d [21-25°C]</w:t>
            </w:r>
          </w:p>
        </w:tc>
      </w:tr>
      <w:tr w:rsidR="00BC1D4B" w14:paraId="1257BFDE" w14:textId="77777777">
        <w:trPr>
          <w:gridAfter w:val="1"/>
          <w:wAfter w:w="25" w:type="dxa"/>
          <w:trHeight w:val="454"/>
        </w:trPr>
        <w:tc>
          <w:tcPr>
            <w:tcW w:w="39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B709A71" w14:textId="77777777" w:rsidR="00BC1D4B" w:rsidRDefault="00ED1F84">
            <w:pPr>
              <w:pStyle w:val="Corpsdetexte"/>
              <w:spacing w:after="0"/>
              <w:rPr>
                <w:rFonts w:ascii="Verdana" w:hAnsi="Verdana"/>
                <w:sz w:val="18"/>
                <w:szCs w:val="18"/>
                <w:lang w:val="fr-FR"/>
              </w:rPr>
            </w:pPr>
            <w:r>
              <w:rPr>
                <w:rFonts w:ascii="Verdana" w:hAnsi="Verdana"/>
                <w:sz w:val="18"/>
                <w:szCs w:val="18"/>
              </w:rPr>
              <w:t>DT</w:t>
            </w:r>
            <w:r>
              <w:rPr>
                <w:rFonts w:ascii="Verdana" w:hAnsi="Verdana"/>
                <w:sz w:val="18"/>
                <w:szCs w:val="18"/>
                <w:vertAlign w:val="subscript"/>
              </w:rPr>
              <w:t>50</w:t>
            </w:r>
            <w:r>
              <w:rPr>
                <w:rFonts w:ascii="Verdana" w:hAnsi="Verdana"/>
                <w:sz w:val="18"/>
                <w:szCs w:val="18"/>
              </w:rPr>
              <w:t xml:space="preserve"> in soil</w:t>
            </w:r>
          </w:p>
        </w:tc>
        <w:tc>
          <w:tcPr>
            <w:tcW w:w="24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9E18C5B" w14:textId="77777777" w:rsidR="00BC1D4B" w:rsidRDefault="00ED1F84">
            <w:pPr>
              <w:pStyle w:val="Corpsdetexte"/>
              <w:spacing w:after="0"/>
              <w:jc w:val="center"/>
              <w:rPr>
                <w:rFonts w:ascii="Verdana" w:hAnsi="Verdana"/>
                <w:sz w:val="18"/>
                <w:szCs w:val="18"/>
                <w:lang w:val="fr-FR"/>
              </w:rPr>
            </w:pPr>
            <w:r>
              <w:rPr>
                <w:rFonts w:ascii="Verdana" w:hAnsi="Verdana"/>
                <w:sz w:val="18"/>
                <w:szCs w:val="18"/>
                <w:lang w:val="fr-FR"/>
              </w:rPr>
              <w:t>30</w:t>
            </w:r>
          </w:p>
        </w:tc>
        <w:tc>
          <w:tcPr>
            <w:tcW w:w="2694" w:type="dxa"/>
            <w:tcBorders>
              <w:top w:val="single" w:sz="4" w:space="0" w:color="000000"/>
              <w:left w:val="single" w:sz="4" w:space="0" w:color="000000"/>
              <w:bottom w:val="single" w:sz="4" w:space="0" w:color="000000"/>
              <w:right w:val="single" w:sz="4" w:space="0" w:color="000000"/>
            </w:tcBorders>
            <w:vAlign w:val="center"/>
          </w:tcPr>
          <w:p w14:paraId="5CD27ECF" w14:textId="77777777" w:rsidR="00BC1D4B" w:rsidRDefault="00ED1F84">
            <w:pPr>
              <w:pStyle w:val="Corpsdetexte"/>
              <w:spacing w:after="0"/>
              <w:jc w:val="center"/>
              <w:rPr>
                <w:rFonts w:ascii="Verdana" w:hAnsi="Verdana"/>
                <w:sz w:val="18"/>
                <w:szCs w:val="18"/>
                <w:lang w:val="fr-FR"/>
              </w:rPr>
            </w:pPr>
            <w:r>
              <w:rPr>
                <w:rFonts w:ascii="Verdana" w:hAnsi="Verdana"/>
                <w:sz w:val="18"/>
                <w:szCs w:val="18"/>
              </w:rPr>
              <w:t>Default value</w:t>
            </w:r>
          </w:p>
        </w:tc>
      </w:tr>
    </w:tbl>
    <w:p w14:paraId="4B685401" w14:textId="77777777" w:rsidR="00BC1D4B" w:rsidRDefault="00BC1D4B">
      <w:pPr>
        <w:pStyle w:val="Corpsdetexte"/>
        <w:jc w:val="both"/>
        <w:rPr>
          <w:rFonts w:ascii="Verdana" w:hAnsi="Verdana"/>
          <w:bCs/>
          <w:sz w:val="18"/>
          <w:szCs w:val="18"/>
          <w:lang w:val="en-US"/>
        </w:rPr>
      </w:pPr>
    </w:p>
    <w:tbl>
      <w:tblPr>
        <w:tblStyle w:val="Grilledutableau"/>
        <w:tblW w:w="0" w:type="auto"/>
        <w:tblLook w:val="04A0" w:firstRow="1" w:lastRow="0" w:firstColumn="1" w:lastColumn="0" w:noHBand="0" w:noVBand="1"/>
      </w:tblPr>
      <w:tblGrid>
        <w:gridCol w:w="4165"/>
        <w:gridCol w:w="4137"/>
      </w:tblGrid>
      <w:tr w:rsidR="00BC1D4B" w14:paraId="46C96D63" w14:textId="77777777">
        <w:trPr>
          <w:trHeight w:val="567"/>
        </w:trPr>
        <w:tc>
          <w:tcPr>
            <w:tcW w:w="9061" w:type="dxa"/>
            <w:gridSpan w:val="2"/>
            <w:shd w:val="clear" w:color="auto" w:fill="FFFFFF" w:themeFill="background1"/>
            <w:vAlign w:val="center"/>
          </w:tcPr>
          <w:p w14:paraId="7C6B9894" w14:textId="77777777" w:rsidR="00BC1D4B" w:rsidRDefault="00ED1F84">
            <w:pPr>
              <w:pStyle w:val="Corpsdetexte"/>
              <w:spacing w:after="0"/>
              <w:jc w:val="both"/>
              <w:rPr>
                <w:rFonts w:ascii="Verdana" w:hAnsi="Verdana"/>
                <w:b/>
                <w:sz w:val="18"/>
                <w:szCs w:val="18"/>
              </w:rPr>
            </w:pPr>
            <w:r>
              <w:rPr>
                <w:rFonts w:ascii="Verdana" w:hAnsi="Verdana"/>
                <w:b/>
                <w:sz w:val="18"/>
                <w:szCs w:val="18"/>
              </w:rPr>
              <w:t>Calculated fate and distribution in the STP – SimpleTreat v4.0</w:t>
            </w:r>
          </w:p>
        </w:tc>
      </w:tr>
      <w:tr w:rsidR="00BC1D4B" w14:paraId="5E3DD14C" w14:textId="77777777">
        <w:trPr>
          <w:trHeight w:val="454"/>
        </w:trPr>
        <w:tc>
          <w:tcPr>
            <w:tcW w:w="4530" w:type="dxa"/>
            <w:shd w:val="clear" w:color="auto" w:fill="DDD9C3" w:themeFill="background2" w:themeFillShade="E6"/>
            <w:vAlign w:val="center"/>
          </w:tcPr>
          <w:p w14:paraId="3876401D" w14:textId="77777777" w:rsidR="00BC1D4B" w:rsidRDefault="00ED1F84">
            <w:pPr>
              <w:pStyle w:val="Corpsdetexte"/>
              <w:spacing w:after="0"/>
              <w:jc w:val="both"/>
              <w:rPr>
                <w:rFonts w:ascii="Verdana" w:hAnsi="Verdana"/>
                <w:b/>
                <w:sz w:val="18"/>
                <w:szCs w:val="18"/>
              </w:rPr>
            </w:pPr>
            <w:r>
              <w:rPr>
                <w:rFonts w:ascii="Verdana" w:hAnsi="Verdana"/>
                <w:b/>
                <w:sz w:val="18"/>
                <w:szCs w:val="18"/>
              </w:rPr>
              <w:t>Compartment</w:t>
            </w:r>
          </w:p>
        </w:tc>
        <w:tc>
          <w:tcPr>
            <w:tcW w:w="4531" w:type="dxa"/>
            <w:shd w:val="clear" w:color="auto" w:fill="DDD9C3" w:themeFill="background2" w:themeFillShade="E6"/>
            <w:vAlign w:val="center"/>
          </w:tcPr>
          <w:p w14:paraId="2B866783" w14:textId="77777777" w:rsidR="00BC1D4B" w:rsidRDefault="00ED1F84">
            <w:pPr>
              <w:pStyle w:val="Corpsdetexte"/>
              <w:spacing w:after="0"/>
              <w:jc w:val="center"/>
              <w:rPr>
                <w:rFonts w:ascii="Verdana" w:hAnsi="Verdana"/>
                <w:b/>
                <w:sz w:val="18"/>
                <w:szCs w:val="18"/>
              </w:rPr>
            </w:pPr>
            <w:r>
              <w:rPr>
                <w:rFonts w:ascii="Verdana" w:hAnsi="Verdana"/>
                <w:b/>
                <w:sz w:val="18"/>
                <w:szCs w:val="18"/>
              </w:rPr>
              <w:t>Percentage [%]</w:t>
            </w:r>
          </w:p>
        </w:tc>
      </w:tr>
      <w:tr w:rsidR="00BC1D4B" w14:paraId="7C025291" w14:textId="77777777">
        <w:trPr>
          <w:trHeight w:val="454"/>
        </w:trPr>
        <w:tc>
          <w:tcPr>
            <w:tcW w:w="4530" w:type="dxa"/>
            <w:vAlign w:val="center"/>
          </w:tcPr>
          <w:p w14:paraId="0493401B" w14:textId="77777777" w:rsidR="00BC1D4B" w:rsidRDefault="00ED1F84">
            <w:pPr>
              <w:pStyle w:val="Corpsdetexte"/>
              <w:spacing w:after="0"/>
              <w:rPr>
                <w:rFonts w:ascii="Verdana" w:hAnsi="Verdana"/>
                <w:sz w:val="18"/>
                <w:szCs w:val="18"/>
              </w:rPr>
            </w:pPr>
            <w:r>
              <w:rPr>
                <w:rFonts w:ascii="Verdana" w:hAnsi="Verdana"/>
                <w:sz w:val="18"/>
                <w:szCs w:val="18"/>
              </w:rPr>
              <w:t>Air</w:t>
            </w:r>
          </w:p>
        </w:tc>
        <w:tc>
          <w:tcPr>
            <w:tcW w:w="4531" w:type="dxa"/>
            <w:vAlign w:val="center"/>
          </w:tcPr>
          <w:p w14:paraId="200F0A14" w14:textId="77777777" w:rsidR="00BC1D4B" w:rsidRDefault="00ED1F84">
            <w:pPr>
              <w:pStyle w:val="Corpsdetexte"/>
              <w:spacing w:after="0"/>
              <w:jc w:val="center"/>
              <w:rPr>
                <w:rFonts w:ascii="Verdana" w:hAnsi="Verdana"/>
                <w:sz w:val="18"/>
                <w:szCs w:val="18"/>
              </w:rPr>
            </w:pPr>
            <w:r>
              <w:rPr>
                <w:rFonts w:ascii="Verdana" w:hAnsi="Verdana"/>
                <w:sz w:val="18"/>
                <w:szCs w:val="18"/>
                <w:lang w:val="en-US"/>
              </w:rPr>
              <w:t>4.79E-09</w:t>
            </w:r>
          </w:p>
        </w:tc>
      </w:tr>
      <w:tr w:rsidR="00BC1D4B" w14:paraId="75651D4D" w14:textId="77777777">
        <w:trPr>
          <w:trHeight w:val="454"/>
        </w:trPr>
        <w:tc>
          <w:tcPr>
            <w:tcW w:w="4530" w:type="dxa"/>
            <w:vAlign w:val="center"/>
          </w:tcPr>
          <w:p w14:paraId="00267273" w14:textId="77777777" w:rsidR="00BC1D4B" w:rsidRDefault="00ED1F84">
            <w:pPr>
              <w:pStyle w:val="Corpsdetexte"/>
              <w:spacing w:after="0"/>
              <w:rPr>
                <w:rFonts w:ascii="Verdana" w:hAnsi="Verdana"/>
                <w:sz w:val="18"/>
                <w:szCs w:val="18"/>
              </w:rPr>
            </w:pPr>
            <w:r>
              <w:rPr>
                <w:rFonts w:ascii="Verdana" w:hAnsi="Verdana"/>
                <w:sz w:val="18"/>
                <w:szCs w:val="18"/>
              </w:rPr>
              <w:t>Water</w:t>
            </w:r>
          </w:p>
        </w:tc>
        <w:tc>
          <w:tcPr>
            <w:tcW w:w="4531" w:type="dxa"/>
            <w:vAlign w:val="center"/>
          </w:tcPr>
          <w:p w14:paraId="5E015D4C" w14:textId="77777777" w:rsidR="00BC1D4B" w:rsidRDefault="00ED1F84">
            <w:pPr>
              <w:pStyle w:val="Corpsdetexte"/>
              <w:spacing w:after="0"/>
              <w:jc w:val="center"/>
              <w:rPr>
                <w:rFonts w:ascii="Verdana" w:hAnsi="Verdana"/>
                <w:sz w:val="18"/>
                <w:szCs w:val="18"/>
              </w:rPr>
            </w:pPr>
            <w:r>
              <w:rPr>
                <w:rFonts w:ascii="Verdana" w:hAnsi="Verdana"/>
                <w:sz w:val="18"/>
                <w:szCs w:val="18"/>
                <w:lang w:val="en-US"/>
              </w:rPr>
              <w:t>7.54</w:t>
            </w:r>
          </w:p>
        </w:tc>
      </w:tr>
      <w:tr w:rsidR="00BC1D4B" w14:paraId="65B70C91" w14:textId="77777777">
        <w:trPr>
          <w:trHeight w:val="454"/>
        </w:trPr>
        <w:tc>
          <w:tcPr>
            <w:tcW w:w="4530" w:type="dxa"/>
            <w:vAlign w:val="center"/>
          </w:tcPr>
          <w:p w14:paraId="43220264" w14:textId="77777777" w:rsidR="00BC1D4B" w:rsidRDefault="00ED1F84">
            <w:pPr>
              <w:pStyle w:val="Corpsdetexte"/>
              <w:spacing w:after="0"/>
              <w:rPr>
                <w:rFonts w:ascii="Verdana" w:hAnsi="Verdana"/>
                <w:sz w:val="18"/>
                <w:szCs w:val="18"/>
              </w:rPr>
            </w:pPr>
            <w:r>
              <w:rPr>
                <w:rFonts w:ascii="Verdana" w:hAnsi="Verdana"/>
                <w:sz w:val="18"/>
                <w:szCs w:val="18"/>
              </w:rPr>
              <w:t>Sludge</w:t>
            </w:r>
          </w:p>
        </w:tc>
        <w:tc>
          <w:tcPr>
            <w:tcW w:w="4531" w:type="dxa"/>
            <w:vAlign w:val="center"/>
          </w:tcPr>
          <w:p w14:paraId="0AC29411" w14:textId="77777777" w:rsidR="00BC1D4B" w:rsidRDefault="00ED1F84">
            <w:pPr>
              <w:pStyle w:val="Corpsdetexte"/>
              <w:spacing w:after="0"/>
              <w:jc w:val="center"/>
              <w:rPr>
                <w:rFonts w:ascii="Verdana" w:hAnsi="Verdana"/>
                <w:sz w:val="18"/>
                <w:szCs w:val="18"/>
              </w:rPr>
            </w:pPr>
            <w:r>
              <w:rPr>
                <w:rFonts w:ascii="Verdana" w:hAnsi="Verdana"/>
                <w:sz w:val="18"/>
                <w:szCs w:val="18"/>
                <w:lang w:val="en-US"/>
              </w:rPr>
              <w:t>6.82</w:t>
            </w:r>
          </w:p>
        </w:tc>
      </w:tr>
      <w:tr w:rsidR="00BC1D4B" w14:paraId="2CB90DFE" w14:textId="77777777">
        <w:trPr>
          <w:trHeight w:val="454"/>
        </w:trPr>
        <w:tc>
          <w:tcPr>
            <w:tcW w:w="4530" w:type="dxa"/>
            <w:vAlign w:val="center"/>
          </w:tcPr>
          <w:p w14:paraId="3A69FFF3" w14:textId="77777777" w:rsidR="00BC1D4B" w:rsidRDefault="00ED1F84">
            <w:pPr>
              <w:pStyle w:val="Corpsdetexte"/>
              <w:spacing w:after="0"/>
              <w:rPr>
                <w:rFonts w:ascii="Verdana" w:hAnsi="Verdana"/>
                <w:sz w:val="18"/>
                <w:szCs w:val="18"/>
              </w:rPr>
            </w:pPr>
            <w:r>
              <w:rPr>
                <w:rFonts w:ascii="Verdana" w:hAnsi="Verdana"/>
                <w:sz w:val="18"/>
                <w:szCs w:val="18"/>
              </w:rPr>
              <w:t>Degraded in STP</w:t>
            </w:r>
          </w:p>
        </w:tc>
        <w:tc>
          <w:tcPr>
            <w:tcW w:w="4531" w:type="dxa"/>
            <w:vAlign w:val="center"/>
          </w:tcPr>
          <w:p w14:paraId="0F8CEEFD" w14:textId="77777777" w:rsidR="00BC1D4B" w:rsidRDefault="00ED1F84">
            <w:pPr>
              <w:pStyle w:val="Corpsdetexte"/>
              <w:spacing w:after="0"/>
              <w:jc w:val="center"/>
              <w:rPr>
                <w:rFonts w:ascii="Verdana" w:hAnsi="Verdana"/>
                <w:sz w:val="18"/>
                <w:szCs w:val="18"/>
              </w:rPr>
            </w:pPr>
            <w:r>
              <w:rPr>
                <w:rFonts w:ascii="Verdana" w:hAnsi="Verdana"/>
                <w:sz w:val="18"/>
                <w:szCs w:val="18"/>
                <w:lang w:val="en-US"/>
              </w:rPr>
              <w:t>85.64</w:t>
            </w:r>
          </w:p>
        </w:tc>
      </w:tr>
    </w:tbl>
    <w:p w14:paraId="525A97F3" w14:textId="77777777" w:rsidR="00BC1D4B" w:rsidRDefault="00BC1D4B">
      <w:pPr>
        <w:spacing w:after="0"/>
        <w:jc w:val="both"/>
        <w:rPr>
          <w:bCs/>
        </w:rPr>
      </w:pPr>
      <w:bookmarkStart w:id="69" w:name="N13952"/>
      <w:bookmarkEnd w:id="69"/>
    </w:p>
    <w:p w14:paraId="78841479" w14:textId="77777777" w:rsidR="00BC1D4B" w:rsidRDefault="00BC1D4B">
      <w:pPr>
        <w:spacing w:after="0"/>
        <w:jc w:val="both"/>
        <w:rPr>
          <w:bCs/>
        </w:rPr>
      </w:pPr>
    </w:p>
    <w:p w14:paraId="7E1265EE" w14:textId="77777777" w:rsidR="00BC1D4B" w:rsidRDefault="00ED1F84">
      <w:pPr>
        <w:pStyle w:val="Titre3"/>
      </w:pPr>
      <w:r>
        <w:t xml:space="preserve"> </w:t>
      </w:r>
      <w:bookmarkStart w:id="70" w:name="_Toc314130982"/>
      <w:bookmarkStart w:id="71" w:name="_Toc477529631"/>
      <w:bookmarkStart w:id="72" w:name="_Toc137044501"/>
      <w:r>
        <w:t>Combined exposure assessment</w:t>
      </w:r>
      <w:bookmarkEnd w:id="70"/>
      <w:bookmarkEnd w:id="71"/>
      <w:bookmarkEnd w:id="72"/>
    </w:p>
    <w:p w14:paraId="22DD64F5" w14:textId="77777777" w:rsidR="00BC1D4B" w:rsidRDefault="00BC1D4B">
      <w:pPr>
        <w:jc w:val="both"/>
        <w:rPr>
          <w:rFonts w:ascii="Verdana" w:eastAsia="Arial Unicode MS" w:hAnsi="Verdana"/>
          <w:sz w:val="20"/>
          <w:szCs w:val="20"/>
          <w:lang w:val="en-US"/>
        </w:rPr>
      </w:pPr>
    </w:p>
    <w:p w14:paraId="2276CA78" w14:textId="3FA09921" w:rsidR="00BC1D4B" w:rsidRDefault="00ED1F84">
      <w:pPr>
        <w:jc w:val="both"/>
        <w:rPr>
          <w:rFonts w:ascii="Verdana" w:eastAsia="Arial Unicode MS" w:hAnsi="Verdana"/>
          <w:sz w:val="20"/>
          <w:szCs w:val="20"/>
          <w:lang w:val="en-US"/>
        </w:rPr>
      </w:pPr>
      <w:r>
        <w:rPr>
          <w:rFonts w:ascii="Verdana" w:eastAsia="Arial Unicode MS" w:hAnsi="Verdana"/>
          <w:sz w:val="20"/>
          <w:szCs w:val="20"/>
          <w:lang w:val="en-US"/>
        </w:rPr>
        <w:lastRenderedPageBreak/>
        <w:t xml:space="preserve">The aMSCA did not recalculated the regional PEC. The regional predicted environmental concentrations as reported by the Registrants are </w:t>
      </w:r>
      <w:r w:rsidR="00255748">
        <w:rPr>
          <w:rFonts w:ascii="Verdana" w:eastAsia="Arial Unicode MS" w:hAnsi="Verdana"/>
          <w:sz w:val="20"/>
          <w:szCs w:val="20"/>
          <w:lang w:val="en-US"/>
        </w:rPr>
        <w:t>available in the confidential annex</w:t>
      </w:r>
      <w:r w:rsidR="00EC69D4">
        <w:rPr>
          <w:rFonts w:ascii="Verdana" w:eastAsia="Arial Unicode MS" w:hAnsi="Verdana"/>
          <w:sz w:val="20"/>
          <w:szCs w:val="20"/>
          <w:lang w:val="en-US"/>
        </w:rPr>
        <w:t>.</w:t>
      </w:r>
    </w:p>
    <w:p w14:paraId="5FE5278E" w14:textId="77777777" w:rsidR="00BC1D4B" w:rsidRDefault="00BC1D4B">
      <w:pPr>
        <w:spacing w:after="0"/>
        <w:jc w:val="both"/>
        <w:rPr>
          <w:bCs/>
        </w:rPr>
      </w:pPr>
    </w:p>
    <w:p w14:paraId="752B56FD" w14:textId="77777777" w:rsidR="00BC1D4B" w:rsidRDefault="00ED1F84">
      <w:pPr>
        <w:pStyle w:val="Titre3"/>
      </w:pPr>
      <w:bookmarkStart w:id="73" w:name="_Toc137044502"/>
      <w:r>
        <w:t>Monitoring data from literature</w:t>
      </w:r>
      <w:bookmarkEnd w:id="73"/>
    </w:p>
    <w:p w14:paraId="1AB5110A" w14:textId="77777777" w:rsidR="00BC1D4B" w:rsidRDefault="00BC1D4B">
      <w:pPr>
        <w:pStyle w:val="Corpsdetexte"/>
      </w:pPr>
    </w:p>
    <w:p w14:paraId="2F5B5A1E" w14:textId="77777777" w:rsidR="00BC1D4B" w:rsidRDefault="00ED1F84">
      <w:pPr>
        <w:pStyle w:val="Corpsdetexte"/>
        <w:jc w:val="both"/>
        <w:rPr>
          <w:rFonts w:ascii="Verdana" w:eastAsia="Calibri" w:hAnsi="Verdana"/>
          <w:sz w:val="20"/>
          <w:szCs w:val="20"/>
          <w:lang w:val="en-US"/>
        </w:rPr>
      </w:pPr>
      <w:r>
        <w:rPr>
          <w:rFonts w:ascii="Verdana" w:hAnsi="Verdana"/>
          <w:sz w:val="20"/>
          <w:szCs w:val="20"/>
        </w:rPr>
        <w:t>Monitoring data were obtained from Norman database</w:t>
      </w:r>
      <w:r>
        <w:rPr>
          <w:rStyle w:val="Appelnotedebasdep"/>
          <w:szCs w:val="20"/>
        </w:rPr>
        <w:footnoteReference w:id="22"/>
      </w:r>
      <w:r>
        <w:rPr>
          <w:rFonts w:ascii="Verdana" w:hAnsi="Verdana"/>
          <w:sz w:val="20"/>
          <w:szCs w:val="20"/>
        </w:rPr>
        <w:t xml:space="preserve">. All data come from a campaign conducted from June to August 2019 in the Danube river basin (Germany, Austria, Croatia, Serbia, Romania, Slovakia, Hungary, Bulgaria and Czech Republic). Only 7 measurements were available for groundwater and DPG was not found in these samples (LOD </w:t>
      </w:r>
      <w:r>
        <w:rPr>
          <w:rFonts w:ascii="Verdana" w:eastAsia="Calibri" w:hAnsi="Verdana"/>
          <w:sz w:val="20"/>
          <w:szCs w:val="20"/>
        </w:rPr>
        <w:t>and</w:t>
      </w:r>
      <w:r>
        <w:rPr>
          <w:rFonts w:ascii="Verdana" w:eastAsia="Calibri" w:hAnsi="Verdana"/>
          <w:sz w:val="20"/>
          <w:szCs w:val="20"/>
          <w:lang w:val="en-US"/>
        </w:rPr>
        <w:t xml:space="preserve"> LOQ = 0.005 µg/L). In surface water, more than 100 samples were analysed and the concentration of DPG was up to 0.167 µg/L. In WWTP, around 20 samples were analysed and DPG was found in all samples at level 0.038-0.766 µg/L.</w:t>
      </w:r>
    </w:p>
    <w:p w14:paraId="456A979B" w14:textId="77777777" w:rsidR="00BC1D4B" w:rsidRDefault="00ED1F84">
      <w:pPr>
        <w:pStyle w:val="Corpsdetexte"/>
        <w:jc w:val="both"/>
        <w:rPr>
          <w:rFonts w:ascii="Verdana" w:eastAsia="Calibri" w:hAnsi="Verdana"/>
          <w:sz w:val="20"/>
          <w:szCs w:val="20"/>
          <w:lang w:val="en-US"/>
        </w:rPr>
      </w:pPr>
      <w:r>
        <w:rPr>
          <w:rFonts w:ascii="Verdana" w:eastAsia="Calibri" w:hAnsi="Verdana"/>
          <w:sz w:val="20"/>
          <w:szCs w:val="20"/>
          <w:lang w:val="en-US"/>
        </w:rPr>
        <w:t>These values are lower than the PNEC for surface water (30 µg/L). However, these samples might not be fully representative of the environmental situation as they were obtained in only one campaign of 3 months in 2019, and come from a single hydro-geological region of Eastern Europe.</w:t>
      </w:r>
    </w:p>
    <w:p w14:paraId="2546EBED" w14:textId="77777777" w:rsidR="00BC1D4B" w:rsidRDefault="00ED1F84">
      <w:pPr>
        <w:pStyle w:val="Corpsdetexte"/>
        <w:jc w:val="both"/>
      </w:pPr>
      <w:r>
        <w:rPr>
          <w:rFonts w:ascii="Verdana" w:eastAsia="Calibri" w:hAnsi="Verdana"/>
          <w:sz w:val="20"/>
          <w:szCs w:val="20"/>
        </w:rPr>
        <w:t>A review of the scientific literature was also conducted to characterise the occurrence of DPG in the aquatic compartment.</w:t>
      </w:r>
      <w:r>
        <w:t xml:space="preserve"> </w:t>
      </w:r>
    </w:p>
    <w:p w14:paraId="1E9B966A" w14:textId="77777777" w:rsidR="00BC1D4B" w:rsidRDefault="00ED1F84">
      <w:pPr>
        <w:pStyle w:val="Corpsdetexte"/>
        <w:jc w:val="both"/>
        <w:rPr>
          <w:rFonts w:ascii="Verdana" w:eastAsia="Calibri" w:hAnsi="Verdana"/>
          <w:sz w:val="20"/>
          <w:szCs w:val="20"/>
          <w:lang w:val="en-US"/>
        </w:rPr>
      </w:pPr>
      <w:r>
        <w:rPr>
          <w:rFonts w:ascii="Verdana" w:eastAsia="Calibri" w:hAnsi="Verdana"/>
          <w:sz w:val="20"/>
          <w:szCs w:val="20"/>
          <w:lang w:val="en-US"/>
        </w:rPr>
        <w:t>In Western Japan (Ichihara, 2023), DPG was detected in all the samples in lake water, river water, sewage effluent, and tap water at level up to 44 ng/L.</w:t>
      </w:r>
    </w:p>
    <w:p w14:paraId="51E61E9F" w14:textId="77777777" w:rsidR="00BC1D4B" w:rsidRDefault="00ED1F84">
      <w:pPr>
        <w:pStyle w:val="Corpsdetexte"/>
        <w:jc w:val="both"/>
        <w:rPr>
          <w:rFonts w:ascii="Verdana" w:eastAsia="Calibri" w:hAnsi="Verdana"/>
          <w:sz w:val="20"/>
          <w:szCs w:val="20"/>
          <w:lang w:val="en-US"/>
        </w:rPr>
      </w:pPr>
      <w:r>
        <w:rPr>
          <w:rFonts w:ascii="Verdana" w:eastAsia="Calibri" w:hAnsi="Verdana"/>
          <w:sz w:val="20"/>
          <w:szCs w:val="20"/>
          <w:lang w:val="en-US"/>
        </w:rPr>
        <w:t>In another study, DPG was detected in all 14 analyzed water samples</w:t>
      </w:r>
      <w:r>
        <w:t xml:space="preserve"> </w:t>
      </w:r>
      <w:r>
        <w:rPr>
          <w:rFonts w:ascii="Verdana" w:eastAsia="Calibri" w:hAnsi="Verdana"/>
          <w:sz w:val="20"/>
          <w:szCs w:val="20"/>
          <w:lang w:val="en-US"/>
        </w:rPr>
        <w:t>(surface water, groundwater, bank filtrate, as well as a plant for drinking water production)</w:t>
      </w:r>
      <w:r>
        <w:t xml:space="preserve"> </w:t>
      </w:r>
      <w:r>
        <w:rPr>
          <w:rFonts w:ascii="Verdana" w:eastAsia="Calibri" w:hAnsi="Verdana"/>
          <w:sz w:val="20"/>
          <w:szCs w:val="20"/>
          <w:lang w:val="en-US"/>
        </w:rPr>
        <w:t xml:space="preserve">from Germany, Spain and The Netherlands, at higher estimated concentrations up to 100 ng/L (Schulze et al., 2019). </w:t>
      </w:r>
    </w:p>
    <w:p w14:paraId="004E0636" w14:textId="77777777" w:rsidR="00BC1D4B" w:rsidRDefault="00ED1F84">
      <w:pPr>
        <w:pStyle w:val="Corpsdetexte"/>
        <w:jc w:val="both"/>
        <w:rPr>
          <w:rFonts w:ascii="Verdana" w:eastAsia="Calibri" w:hAnsi="Verdana"/>
          <w:sz w:val="20"/>
          <w:szCs w:val="20"/>
          <w:lang w:val="en-US"/>
        </w:rPr>
      </w:pPr>
      <w:r>
        <w:rPr>
          <w:rFonts w:ascii="Verdana" w:eastAsia="Calibri" w:hAnsi="Verdana"/>
          <w:sz w:val="20"/>
          <w:szCs w:val="20"/>
          <w:lang w:val="en-US"/>
        </w:rPr>
        <w:t>The range, mean, median concentrations, and detection frequency of DPG was also measured in surface water of Zhujiang and Dongjiang rivers, in China. DPG was detected at a frequency of 100 %. The concentration range was 3.47-1894 ng/L and the study reported that the concentrations were generally higher during the dry season, probably due to a more limited dilution.</w:t>
      </w:r>
      <w:r>
        <w:t xml:space="preserve"> </w:t>
      </w:r>
      <w:r>
        <w:rPr>
          <w:rFonts w:ascii="Verdana" w:eastAsia="Calibri" w:hAnsi="Verdana"/>
          <w:sz w:val="20"/>
          <w:szCs w:val="20"/>
          <w:lang w:val="en-US"/>
        </w:rPr>
        <w:t xml:space="preserve">The DPG concentrations in rivers have been reported to be 13–1079 ng/L in Australia (Rauert et al., 2022), 5–540 ng/L in USA (Hou et al., 2019), and 220 ng/L in Canada (Johannessen et al., 2022). </w:t>
      </w:r>
    </w:p>
    <w:p w14:paraId="4C50FC50" w14:textId="74C79A21" w:rsidR="00BC1D4B" w:rsidRDefault="00ED1F84">
      <w:pPr>
        <w:pStyle w:val="Corpsdetexte"/>
        <w:jc w:val="both"/>
        <w:rPr>
          <w:rFonts w:ascii="Verdana" w:eastAsia="Calibri" w:hAnsi="Verdana"/>
          <w:sz w:val="20"/>
          <w:szCs w:val="20"/>
          <w:lang w:val="en-US"/>
        </w:rPr>
      </w:pPr>
      <w:r>
        <w:rPr>
          <w:rFonts w:ascii="Verdana" w:eastAsia="Calibri" w:hAnsi="Verdana"/>
          <w:sz w:val="20"/>
          <w:szCs w:val="20"/>
          <w:lang w:val="en-US"/>
        </w:rPr>
        <w:t xml:space="preserve">In surface runoff, the DPG concentration reached 58.8 μg/L in a study conducted in China (Zhang, 2023). In a Canadian study (Challis </w:t>
      </w:r>
      <w:r>
        <w:rPr>
          <w:rFonts w:ascii="Verdana" w:eastAsia="Calibri" w:hAnsi="Verdana"/>
          <w:i/>
          <w:sz w:val="20"/>
          <w:szCs w:val="20"/>
          <w:lang w:val="en-US"/>
        </w:rPr>
        <w:t>et al</w:t>
      </w:r>
      <w:r>
        <w:rPr>
          <w:rFonts w:ascii="Verdana" w:eastAsia="Calibri" w:hAnsi="Verdana"/>
          <w:sz w:val="20"/>
          <w:szCs w:val="20"/>
          <w:lang w:val="en-US"/>
        </w:rPr>
        <w:t>. 2021), semi-quantification of DPG revealed that this substance was the most abundant among 5 target coumpounds, with average concentrations of 60 μg/L in stormwater urban runoff. The maximum observed concentrations of DPG were up to 364 μg/L.</w:t>
      </w:r>
    </w:p>
    <w:p w14:paraId="2870EA69" w14:textId="6C41B78A" w:rsidR="00741E8B" w:rsidRDefault="00741E8B">
      <w:pPr>
        <w:pStyle w:val="Corpsdetexte"/>
        <w:jc w:val="both"/>
        <w:rPr>
          <w:rFonts w:ascii="Verdana" w:eastAsia="Calibri" w:hAnsi="Verdana"/>
          <w:sz w:val="20"/>
          <w:szCs w:val="20"/>
          <w:lang w:val="en-US"/>
        </w:rPr>
      </w:pPr>
      <w:r>
        <w:rPr>
          <w:rFonts w:ascii="Verdana" w:eastAsia="Calibri" w:hAnsi="Verdana"/>
          <w:sz w:val="20"/>
          <w:szCs w:val="20"/>
          <w:lang w:val="en-US"/>
        </w:rPr>
        <w:t xml:space="preserve">Abrasion particles of tyres are emitted to the environment and research has shown that tyre additives like DPG can enter the environment through the leaching of automobile tyre wear particles. Under the volatilization, leaching, and </w:t>
      </w:r>
      <w:r>
        <w:rPr>
          <w:rFonts w:ascii="Verdana" w:eastAsia="Calibri" w:hAnsi="Verdana"/>
          <w:sz w:val="20"/>
          <w:szCs w:val="20"/>
          <w:lang w:val="en-US"/>
        </w:rPr>
        <w:lastRenderedPageBreak/>
        <w:t xml:space="preserve">transformation action on tyres particles by sunlight and rain, tyre additives are released into urban water systems, such as surface rainfall runoff, wastewater treatment plants, receiving surface waters, and drinking water treatment plant (Zhang </w:t>
      </w:r>
      <w:r>
        <w:rPr>
          <w:rFonts w:ascii="Verdana" w:eastAsia="Calibri" w:hAnsi="Verdana"/>
          <w:i/>
          <w:sz w:val="20"/>
          <w:szCs w:val="20"/>
          <w:lang w:val="en-US"/>
        </w:rPr>
        <w:t>et al</w:t>
      </w:r>
      <w:r>
        <w:rPr>
          <w:rFonts w:ascii="Verdana" w:eastAsia="Calibri" w:hAnsi="Verdana"/>
          <w:sz w:val="20"/>
          <w:szCs w:val="20"/>
          <w:lang w:val="en-US"/>
        </w:rPr>
        <w:t xml:space="preserve">. 2023). As reported in Sieber </w:t>
      </w:r>
      <w:r>
        <w:rPr>
          <w:rFonts w:ascii="Verdana" w:eastAsia="Calibri" w:hAnsi="Verdana"/>
          <w:i/>
          <w:sz w:val="20"/>
          <w:szCs w:val="20"/>
          <w:lang w:val="en-US"/>
        </w:rPr>
        <w:t>et al</w:t>
      </w:r>
      <w:r>
        <w:rPr>
          <w:rFonts w:ascii="Verdana" w:eastAsia="Calibri" w:hAnsi="Verdana"/>
          <w:sz w:val="20"/>
          <w:szCs w:val="20"/>
          <w:lang w:val="en-US"/>
        </w:rPr>
        <w:t xml:space="preserve">. (2020), the estimated </w:t>
      </w:r>
      <w:r>
        <w:rPr>
          <w:rFonts w:ascii="Verdana" w:eastAsia="Calibri" w:hAnsi="Verdana"/>
          <w:i/>
          <w:sz w:val="20"/>
          <w:szCs w:val="20"/>
          <w:lang w:val="en-US"/>
        </w:rPr>
        <w:t>per capita</w:t>
      </w:r>
      <w:r>
        <w:rPr>
          <w:rFonts w:ascii="Verdana" w:eastAsia="Calibri" w:hAnsi="Verdana"/>
          <w:sz w:val="20"/>
          <w:szCs w:val="20"/>
          <w:lang w:val="en-US"/>
        </w:rPr>
        <w:t xml:space="preserve"> flows of rubber was in year 2018 in Switzerland, 1.29 ± 0.45 kg/capita of rubber emitted from tyre wear (97%) and rubber granules (3%). Street cleaning and waste water treatment removed around 26% of this rubber mass before finally reaching the receiving environmental compartment, resulting in an effective input of 0.96 ± 0.35 kg/capita of rubber into the natural environment. Most of this mass (74%) was deposited on roadside soils (up to 5 m distance from road), 22% flowed into surface waters and the remaining part (4%) was emitted to soils. The amount of tyre wear particles emitted to the aquatic environment was stated to depend on the infrastructure for collection and treatment of road runoff.</w:t>
      </w:r>
    </w:p>
    <w:p w14:paraId="151E38F6" w14:textId="4FD33485" w:rsidR="00BC1D4B" w:rsidRDefault="00ED1F84">
      <w:pPr>
        <w:pStyle w:val="Corpsdetexte"/>
        <w:jc w:val="both"/>
        <w:rPr>
          <w:rFonts w:ascii="Verdana" w:eastAsia="Calibri" w:hAnsi="Verdana"/>
          <w:sz w:val="20"/>
          <w:szCs w:val="20"/>
          <w:lang w:val="en-US"/>
        </w:rPr>
      </w:pPr>
      <w:r>
        <w:rPr>
          <w:rFonts w:ascii="Verdana" w:eastAsia="Calibri" w:hAnsi="Verdana"/>
          <w:sz w:val="20"/>
          <w:szCs w:val="20"/>
          <w:lang w:val="en-US"/>
        </w:rPr>
        <w:t xml:space="preserve">The concentrations and removal efficiencies of DPG was measured in three municipal </w:t>
      </w:r>
      <w:r w:rsidR="00681A9A">
        <w:rPr>
          <w:rFonts w:ascii="Verdana" w:eastAsia="Calibri" w:hAnsi="Verdana"/>
          <w:sz w:val="20"/>
          <w:szCs w:val="20"/>
          <w:lang w:val="en-US"/>
        </w:rPr>
        <w:t>S</w:t>
      </w:r>
      <w:r>
        <w:rPr>
          <w:rFonts w:ascii="Verdana" w:eastAsia="Calibri" w:hAnsi="Verdana"/>
          <w:sz w:val="20"/>
          <w:szCs w:val="20"/>
          <w:lang w:val="en-US"/>
        </w:rPr>
        <w:t xml:space="preserve">TPs in China (Zhang, 2023). DPG (maximum concentration of 3570 ng/L) was the compound with the highest concentration among the 23 tyres additives analysed and showed a detection frequency of 100%. Two out of three </w:t>
      </w:r>
      <w:r w:rsidR="00681A9A">
        <w:rPr>
          <w:rFonts w:ascii="Verdana" w:eastAsia="Calibri" w:hAnsi="Verdana"/>
          <w:sz w:val="20"/>
          <w:szCs w:val="20"/>
          <w:lang w:val="en-US"/>
        </w:rPr>
        <w:t>S</w:t>
      </w:r>
      <w:r>
        <w:rPr>
          <w:rFonts w:ascii="Verdana" w:eastAsia="Calibri" w:hAnsi="Verdana"/>
          <w:sz w:val="20"/>
          <w:szCs w:val="20"/>
          <w:lang w:val="en-US"/>
        </w:rPr>
        <w:t xml:space="preserve">TP analysed showed a removal of the substance between 88.5-96.8%. In one of the three </w:t>
      </w:r>
      <w:r w:rsidR="00681A9A">
        <w:rPr>
          <w:rFonts w:ascii="Verdana" w:eastAsia="Calibri" w:hAnsi="Verdana"/>
          <w:sz w:val="20"/>
          <w:szCs w:val="20"/>
          <w:lang w:val="en-US"/>
        </w:rPr>
        <w:t>S</w:t>
      </w:r>
      <w:r>
        <w:rPr>
          <w:rFonts w:ascii="Verdana" w:eastAsia="Calibri" w:hAnsi="Verdana"/>
          <w:sz w:val="20"/>
          <w:szCs w:val="20"/>
          <w:lang w:val="en-US"/>
        </w:rPr>
        <w:t xml:space="preserve">TP the removal rates of DPG were negative, indicating that the substance was not efficiently removed. </w:t>
      </w:r>
    </w:p>
    <w:p w14:paraId="437BEB2A" w14:textId="148B624A" w:rsidR="00BC1D4B" w:rsidRDefault="00741E8B">
      <w:pPr>
        <w:pStyle w:val="Corpsdetexte"/>
        <w:jc w:val="both"/>
        <w:rPr>
          <w:rFonts w:ascii="Verdana" w:eastAsia="Calibri" w:hAnsi="Verdana"/>
          <w:sz w:val="20"/>
          <w:szCs w:val="20"/>
          <w:lang w:val="en-US"/>
        </w:rPr>
      </w:pPr>
      <w:r>
        <w:rPr>
          <w:rFonts w:ascii="Verdana" w:eastAsia="Calibri" w:hAnsi="Verdana"/>
          <w:sz w:val="20"/>
          <w:szCs w:val="20"/>
          <w:lang w:val="en-US"/>
        </w:rPr>
        <w:t xml:space="preserve">Mobile substances such as DPG might not be effectively removed in wastewater. </w:t>
      </w:r>
      <w:r w:rsidR="00856F24">
        <w:rPr>
          <w:rFonts w:ascii="Verdana" w:eastAsia="Calibri" w:hAnsi="Verdana"/>
          <w:sz w:val="20"/>
          <w:szCs w:val="20"/>
          <w:lang w:val="en-US"/>
        </w:rPr>
        <w:t xml:space="preserve">A mobile substance as the intrinsic property to spread quickly in the aquatic environment to the source of our drinking water. Sewer residence time (the amount of time a given volume of wastewater resides in a sewer system prior to treatment) can have a significant influence on predictions of environmental fate and transport of wastewater constituents and corresponding risk assessment. </w:t>
      </w:r>
      <w:r w:rsidR="00ED1F84">
        <w:rPr>
          <w:rFonts w:ascii="Verdana" w:eastAsia="Calibri" w:hAnsi="Verdana"/>
          <w:sz w:val="20"/>
          <w:szCs w:val="20"/>
          <w:lang w:val="en-US"/>
        </w:rPr>
        <w:t>The mobility assessment is based on experimentally determined log organic carbon - water partition coefficients (log K</w:t>
      </w:r>
      <w:r w:rsidR="00ED1F84">
        <w:rPr>
          <w:rFonts w:ascii="Verdana" w:eastAsia="Calibri" w:hAnsi="Verdana"/>
          <w:sz w:val="20"/>
          <w:szCs w:val="20"/>
          <w:vertAlign w:val="subscript"/>
          <w:lang w:val="en-US"/>
        </w:rPr>
        <w:t>oc</w:t>
      </w:r>
      <w:r w:rsidR="00ED1F84">
        <w:rPr>
          <w:rFonts w:ascii="Verdana" w:eastAsia="Calibri" w:hAnsi="Verdana"/>
          <w:sz w:val="20"/>
          <w:szCs w:val="20"/>
          <w:lang w:val="en-US"/>
        </w:rPr>
        <w:t xml:space="preserve">). The CLP amendment including new hazard classes stipulates that </w:t>
      </w:r>
      <w:r w:rsidR="00ED1F84">
        <w:rPr>
          <w:rFonts w:ascii="Verdana" w:hAnsi="Verdana"/>
          <w:sz w:val="20"/>
          <w:szCs w:val="20"/>
        </w:rPr>
        <w:t>a substance shall be considered to fulfil the mobility criterion (M) when the log Koc is less than 3</w:t>
      </w:r>
      <w:r w:rsidR="00ED1F84">
        <w:rPr>
          <w:rStyle w:val="Appelnotedebasdep"/>
          <w:szCs w:val="20"/>
        </w:rPr>
        <w:footnoteReference w:id="23"/>
      </w:r>
      <w:r w:rsidR="00ED1F84">
        <w:rPr>
          <w:rFonts w:ascii="Verdana" w:hAnsi="Verdana"/>
          <w:sz w:val="20"/>
          <w:szCs w:val="20"/>
        </w:rPr>
        <w:t>.</w:t>
      </w:r>
      <w:r w:rsidR="00ED1F84">
        <w:rPr>
          <w:rFonts w:ascii="Verdana" w:eastAsia="Calibri" w:hAnsi="Verdana"/>
          <w:sz w:val="20"/>
          <w:szCs w:val="20"/>
          <w:lang w:val="en-US"/>
        </w:rPr>
        <w:t xml:space="preserve"> According to the OECD 106 study (Adsorption-Desorption using a batch equilibrium method, unpublished study report 2015) the experimental adsorption coefficient log Koc values measured on five soil ranged from 2.5 to 3.13 for DPG with four soils displaying log Koc &lt; 3. The QSAR model KOCWIN adsorption coefficient is estimated to 2.4 and 3.2 depending of the model. For mobile or very mobile substances, if the residence time in WWTP is too short these substance will not be removed efficiently before being release to the environment.</w:t>
      </w:r>
    </w:p>
    <w:p w14:paraId="18B4A915" w14:textId="7C4FD413" w:rsidR="00BC1D4B" w:rsidRDefault="00741E8B">
      <w:pPr>
        <w:jc w:val="both"/>
        <w:rPr>
          <w:rFonts w:ascii="Verdana" w:hAnsi="Verdana"/>
          <w:sz w:val="20"/>
          <w:szCs w:val="20"/>
        </w:rPr>
      </w:pPr>
      <w:r>
        <w:rPr>
          <w:rFonts w:ascii="Verdana" w:eastAsia="Calibri" w:hAnsi="Verdana"/>
          <w:sz w:val="20"/>
          <w:szCs w:val="20"/>
        </w:rPr>
        <w:t>Altogether, t</w:t>
      </w:r>
      <w:r w:rsidR="00ED1F84">
        <w:rPr>
          <w:rFonts w:ascii="Verdana" w:eastAsia="Calibri" w:hAnsi="Verdana"/>
          <w:sz w:val="20"/>
          <w:szCs w:val="20"/>
        </w:rPr>
        <w:t xml:space="preserve">his </w:t>
      </w:r>
      <w:r w:rsidR="00A2463B">
        <w:rPr>
          <w:rFonts w:ascii="Verdana" w:eastAsia="Calibri" w:hAnsi="Verdana"/>
          <w:sz w:val="20"/>
          <w:szCs w:val="20"/>
        </w:rPr>
        <w:t xml:space="preserve">literature </w:t>
      </w:r>
      <w:r w:rsidR="00ED1F84">
        <w:rPr>
          <w:rFonts w:ascii="Verdana" w:eastAsia="Calibri" w:hAnsi="Verdana"/>
          <w:sz w:val="20"/>
          <w:szCs w:val="20"/>
        </w:rPr>
        <w:t xml:space="preserve">review confirms the occurrence and widespread distribution of DPG in the aquatic compartment. The monitoring values are under the hazard threshold values (PNEC values) for the aquatic environment, at the exception of intermittent rainfall event. </w:t>
      </w:r>
      <w:r w:rsidR="00ED1F84">
        <w:rPr>
          <w:rFonts w:ascii="Verdana" w:eastAsia="Calibri" w:hAnsi="Verdana"/>
          <w:sz w:val="20"/>
          <w:szCs w:val="20"/>
          <w:lang w:val="en-US"/>
        </w:rPr>
        <w:t>There is however an uncertainty whether the available surface water monitoring data represent local assessment (as closely as possible to the emission source). Also, the mobility property of DPG needs to be considered as it might not be efficiently removed from the WWTP</w:t>
      </w:r>
      <w:r w:rsidR="00681A9A">
        <w:rPr>
          <w:rFonts w:ascii="Verdana" w:eastAsia="Calibri" w:hAnsi="Verdana"/>
          <w:sz w:val="20"/>
          <w:szCs w:val="20"/>
          <w:lang w:val="en-US"/>
        </w:rPr>
        <w:t xml:space="preserve"> (including domestic or municipal sewage treatment plants-STP or industrial wastewater treatment plants)</w:t>
      </w:r>
      <w:r w:rsidR="00ED1F84">
        <w:rPr>
          <w:rFonts w:ascii="Verdana" w:eastAsia="Calibri" w:hAnsi="Verdana"/>
          <w:sz w:val="20"/>
          <w:szCs w:val="20"/>
          <w:lang w:val="en-US"/>
        </w:rPr>
        <w:t>.</w:t>
      </w:r>
      <w:r w:rsidR="00ED1F84">
        <w:rPr>
          <w:rFonts w:ascii="Verdana" w:hAnsi="Verdana"/>
          <w:sz w:val="20"/>
          <w:szCs w:val="20"/>
        </w:rPr>
        <w:t xml:space="preserve"> Monitoring the influent and effluent concentration of DPG at the WWTP could help understand the fate and behaviour of the substance. The higher concentration of DPG found in monitoring data from WWTP compared to the other aquatic environment raised the question if the exposure scenarios proposed by the </w:t>
      </w:r>
      <w:r w:rsidR="00ED1F84">
        <w:rPr>
          <w:rFonts w:ascii="Verdana" w:hAnsi="Verdana"/>
          <w:sz w:val="20"/>
          <w:szCs w:val="20"/>
        </w:rPr>
        <w:lastRenderedPageBreak/>
        <w:t>Registrants cover all the uses of DPG and</w:t>
      </w:r>
      <w:r>
        <w:rPr>
          <w:rFonts w:ascii="Verdana" w:hAnsi="Verdana"/>
          <w:sz w:val="20"/>
          <w:szCs w:val="20"/>
        </w:rPr>
        <w:t xml:space="preserve"> exposure</w:t>
      </w:r>
      <w:r w:rsidR="00ED1F84">
        <w:rPr>
          <w:rFonts w:ascii="Verdana" w:hAnsi="Verdana"/>
          <w:sz w:val="20"/>
          <w:szCs w:val="20"/>
        </w:rPr>
        <w:t xml:space="preserve"> </w:t>
      </w:r>
      <w:r>
        <w:rPr>
          <w:rFonts w:ascii="Verdana" w:hAnsi="Verdana"/>
          <w:sz w:val="20"/>
          <w:szCs w:val="20"/>
        </w:rPr>
        <w:t xml:space="preserve">route </w:t>
      </w:r>
      <w:r w:rsidR="00ED1F84">
        <w:rPr>
          <w:rFonts w:ascii="Verdana" w:hAnsi="Verdana"/>
          <w:sz w:val="20"/>
          <w:szCs w:val="20"/>
        </w:rPr>
        <w:t xml:space="preserve">of DPG </w:t>
      </w:r>
      <w:r>
        <w:rPr>
          <w:rFonts w:ascii="Verdana" w:hAnsi="Verdana"/>
          <w:sz w:val="20"/>
          <w:szCs w:val="20"/>
        </w:rPr>
        <w:t>from</w:t>
      </w:r>
      <w:r w:rsidR="00ED1F84">
        <w:rPr>
          <w:rFonts w:ascii="Verdana" w:hAnsi="Verdana"/>
          <w:sz w:val="20"/>
          <w:szCs w:val="20"/>
        </w:rPr>
        <w:t xml:space="preserve"> rubber articles. In particular, the release of DPG from high density polyethylene (HDPE) pipe material is of concern.</w:t>
      </w:r>
    </w:p>
    <w:p w14:paraId="65C73E1A" w14:textId="77777777" w:rsidR="00BC1D4B" w:rsidRDefault="00BC1D4B">
      <w:pPr>
        <w:pStyle w:val="Corpsdetexte"/>
        <w:jc w:val="both"/>
        <w:rPr>
          <w:rFonts w:ascii="Verdana" w:eastAsia="Calibri" w:hAnsi="Verdana"/>
          <w:sz w:val="20"/>
          <w:szCs w:val="20"/>
          <w:lang w:val="en-US"/>
        </w:rPr>
      </w:pPr>
    </w:p>
    <w:p w14:paraId="27A6637B" w14:textId="77777777" w:rsidR="00BC1D4B" w:rsidRDefault="00BC1D4B">
      <w:pPr>
        <w:pStyle w:val="Corpsdetexte"/>
        <w:jc w:val="both"/>
        <w:rPr>
          <w:rFonts w:ascii="Verdana" w:eastAsia="Calibri" w:hAnsi="Verdana"/>
          <w:sz w:val="20"/>
          <w:szCs w:val="20"/>
          <w:lang w:val="en-US"/>
        </w:rPr>
      </w:pPr>
    </w:p>
    <w:p w14:paraId="35433F13" w14:textId="77777777" w:rsidR="00BC1D4B" w:rsidRDefault="00BC1D4B">
      <w:pPr>
        <w:pStyle w:val="Titre1"/>
        <w:sectPr w:rsidR="00BC1D4B">
          <w:pgSz w:w="11906" w:h="16838"/>
          <w:pgMar w:top="1418" w:right="1797" w:bottom="1134" w:left="1797" w:header="680" w:footer="567" w:gutter="0"/>
          <w:cols w:space="708"/>
          <w:docGrid w:linePitch="360"/>
        </w:sectPr>
      </w:pPr>
    </w:p>
    <w:p w14:paraId="6FD78A20" w14:textId="77777777" w:rsidR="00BC1D4B" w:rsidRDefault="00ED1F84">
      <w:pPr>
        <w:pStyle w:val="Titre1"/>
      </w:pPr>
      <w:bookmarkStart w:id="74" w:name="_Toc137044503"/>
      <w:r>
        <w:lastRenderedPageBreak/>
        <w:t>Risk characterisation</w:t>
      </w:r>
      <w:bookmarkEnd w:id="74"/>
    </w:p>
    <w:p w14:paraId="3ADADFBE" w14:textId="77777777" w:rsidR="00BC1D4B" w:rsidRDefault="00ED1F84">
      <w:pPr>
        <w:pStyle w:val="Titre2"/>
      </w:pPr>
      <w:bookmarkStart w:id="75" w:name="_Toc137044504"/>
      <w:r>
        <w:t>Human health</w:t>
      </w:r>
      <w:bookmarkEnd w:id="75"/>
    </w:p>
    <w:p w14:paraId="79C64813" w14:textId="77777777" w:rsidR="00BC1D4B" w:rsidRDefault="00ED1F84">
      <w:pPr>
        <w:pStyle w:val="Corpsdetexte"/>
      </w:pPr>
      <w:r>
        <w:rPr>
          <w:rFonts w:ascii="Verdana" w:eastAsia="Calibri" w:hAnsi="Verdana"/>
          <w:sz w:val="20"/>
          <w:szCs w:val="20"/>
        </w:rPr>
        <w:t>Risk characterisation was performed based on exposure assessed in the exposure scenarios of the registration dossiers and on the DNEL recommended by the aMSCA considering the recent EOGRTS study as discussed in section 1.4.2.</w:t>
      </w:r>
    </w:p>
    <w:p w14:paraId="46C7E8C1" w14:textId="77777777" w:rsidR="00BC1D4B" w:rsidRDefault="00ED1F84">
      <w:pPr>
        <w:pStyle w:val="Lgende"/>
      </w:pPr>
      <w:r>
        <w:t xml:space="preserve">Table 26: Human health risk characterisation </w:t>
      </w:r>
    </w:p>
    <w:tbl>
      <w:tblPr>
        <w:tblStyle w:val="TableauGrille4-Accentuation52"/>
        <w:tblW w:w="0" w:type="auto"/>
        <w:tblLook w:val="04A0" w:firstRow="1" w:lastRow="0" w:firstColumn="1" w:lastColumn="0" w:noHBand="0" w:noVBand="1"/>
      </w:tblPr>
      <w:tblGrid>
        <w:gridCol w:w="501"/>
        <w:gridCol w:w="1102"/>
        <w:gridCol w:w="3016"/>
        <w:gridCol w:w="1735"/>
        <w:gridCol w:w="834"/>
        <w:gridCol w:w="1572"/>
        <w:gridCol w:w="3770"/>
        <w:gridCol w:w="1746"/>
      </w:tblGrid>
      <w:tr w:rsidR="00BC1D4B" w14:paraId="19C23924" w14:textId="77777777" w:rsidTr="00BC1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tcPr>
          <w:p w14:paraId="7E3904A8" w14:textId="77777777" w:rsidR="00BC1D4B" w:rsidRDefault="00BC1D4B">
            <w:pPr>
              <w:spacing w:after="0"/>
              <w:jc w:val="center"/>
              <w:rPr>
                <w:rFonts w:ascii="Verdana" w:hAnsi="Verdana" w:cs="Calibri"/>
                <w:sz w:val="18"/>
                <w:szCs w:val="18"/>
                <w:lang w:val="en-US"/>
              </w:rPr>
            </w:pPr>
          </w:p>
        </w:tc>
        <w:tc>
          <w:tcPr>
            <w:tcW w:w="4118" w:type="dxa"/>
            <w:gridSpan w:val="2"/>
            <w:vAlign w:val="center"/>
          </w:tcPr>
          <w:p w14:paraId="6C74AB59" w14:textId="77777777" w:rsidR="00BC1D4B" w:rsidRDefault="00ED1F84">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Exposure scenario name</w:t>
            </w:r>
          </w:p>
        </w:tc>
        <w:tc>
          <w:tcPr>
            <w:tcW w:w="1735" w:type="dxa"/>
          </w:tcPr>
          <w:p w14:paraId="52DE5B29" w14:textId="77777777" w:rsidR="00BC1D4B" w:rsidRDefault="00ED1F84">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Contributing scenario</w:t>
            </w:r>
          </w:p>
        </w:tc>
        <w:tc>
          <w:tcPr>
            <w:tcW w:w="834" w:type="dxa"/>
            <w:vAlign w:val="center"/>
          </w:tcPr>
          <w:p w14:paraId="375C080A" w14:textId="77777777" w:rsidR="00BC1D4B" w:rsidRDefault="00ED1F84">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PROC</w:t>
            </w:r>
          </w:p>
        </w:tc>
        <w:tc>
          <w:tcPr>
            <w:tcW w:w="1572" w:type="dxa"/>
          </w:tcPr>
          <w:p w14:paraId="60AD40CC" w14:textId="77777777" w:rsidR="00BC1D4B" w:rsidRDefault="00ED1F84">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RCR</w:t>
            </w:r>
          </w:p>
        </w:tc>
        <w:tc>
          <w:tcPr>
            <w:tcW w:w="3770" w:type="dxa"/>
          </w:tcPr>
          <w:p w14:paraId="719BB1CA" w14:textId="77777777" w:rsidR="00BC1D4B" w:rsidRDefault="00ED1F84">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RMM</w:t>
            </w:r>
          </w:p>
        </w:tc>
        <w:tc>
          <w:tcPr>
            <w:tcW w:w="1746" w:type="dxa"/>
          </w:tcPr>
          <w:p w14:paraId="7D0090DC" w14:textId="77777777" w:rsidR="00BC1D4B" w:rsidRDefault="00ED1F84">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Exposure model</w:t>
            </w:r>
          </w:p>
        </w:tc>
      </w:tr>
      <w:tr w:rsidR="00BC1D4B" w14:paraId="477EF3BD"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6" w:type="dxa"/>
            <w:gridSpan w:val="8"/>
            <w:shd w:val="clear" w:color="auto" w:fill="1F3864"/>
          </w:tcPr>
          <w:p w14:paraId="4B16DF3D" w14:textId="77777777" w:rsidR="00BC1D4B" w:rsidRDefault="00ED1F84">
            <w:pPr>
              <w:spacing w:after="0"/>
              <w:jc w:val="center"/>
              <w:rPr>
                <w:rFonts w:ascii="Verdana" w:hAnsi="Verdana" w:cs="Calibri"/>
                <w:sz w:val="18"/>
                <w:szCs w:val="18"/>
              </w:rPr>
            </w:pPr>
            <w:r>
              <w:rPr>
                <w:rFonts w:ascii="Verdana" w:hAnsi="Verdana" w:cs="Calibri"/>
                <w:sz w:val="18"/>
                <w:szCs w:val="18"/>
              </w:rPr>
              <w:t xml:space="preserve">Manufacture of DPG </w:t>
            </w:r>
          </w:p>
        </w:tc>
      </w:tr>
      <w:tr w:rsidR="00BC1D4B" w14:paraId="175294EF"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6C59658F"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1a</w:t>
            </w:r>
          </w:p>
        </w:tc>
        <w:tc>
          <w:tcPr>
            <w:tcW w:w="4118" w:type="dxa"/>
            <w:gridSpan w:val="2"/>
            <w:vMerge w:val="restart"/>
            <w:vAlign w:val="center"/>
          </w:tcPr>
          <w:p w14:paraId="3C9A1F3A" w14:textId="6CBD95C3" w:rsidR="00BC1D4B" w:rsidRDefault="00ED1F84" w:rsidP="00253C01">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 xml:space="preserve">Manufacture of substances </w:t>
            </w:r>
            <w:r w:rsidR="00253C01">
              <w:rPr>
                <w:rFonts w:ascii="Verdana" w:hAnsi="Verdana" w:cs="Calibri"/>
                <w:sz w:val="18"/>
                <w:szCs w:val="18"/>
                <w:lang w:val="en-US"/>
              </w:rPr>
              <w:t>- Registrant 1</w:t>
            </w:r>
          </w:p>
        </w:tc>
        <w:tc>
          <w:tcPr>
            <w:tcW w:w="1735" w:type="dxa"/>
            <w:vAlign w:val="center"/>
          </w:tcPr>
          <w:p w14:paraId="7FACCCB5"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6</w:t>
            </w:r>
          </w:p>
        </w:tc>
        <w:tc>
          <w:tcPr>
            <w:tcW w:w="834" w:type="dxa"/>
            <w:shd w:val="clear" w:color="auto" w:fill="auto"/>
            <w:vAlign w:val="center"/>
          </w:tcPr>
          <w:p w14:paraId="23363763"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8a</w:t>
            </w:r>
          </w:p>
        </w:tc>
        <w:tc>
          <w:tcPr>
            <w:tcW w:w="1572" w:type="dxa"/>
            <w:shd w:val="clear" w:color="auto" w:fill="FFC000"/>
            <w:vAlign w:val="center"/>
          </w:tcPr>
          <w:p w14:paraId="71F79FB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=0.949</w:t>
            </w:r>
          </w:p>
          <w:p w14:paraId="43B705A6"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F6086F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=0.954</w:t>
            </w:r>
          </w:p>
        </w:tc>
        <w:tc>
          <w:tcPr>
            <w:tcW w:w="3770" w:type="dxa"/>
            <w:shd w:val="clear" w:color="auto" w:fill="auto"/>
          </w:tcPr>
          <w:p w14:paraId="1525E35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698FF40C"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2924FF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5212AE3E"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1B34F8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95% Dermal protection effectiveness</w:t>
            </w:r>
          </w:p>
          <w:p w14:paraId="46FDA636"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0BDE2EC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65B43A03"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4E22831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20)</w:t>
            </w:r>
          </w:p>
        </w:tc>
        <w:tc>
          <w:tcPr>
            <w:tcW w:w="1746" w:type="dxa"/>
            <w:shd w:val="clear" w:color="auto" w:fill="auto"/>
          </w:tcPr>
          <w:p w14:paraId="1D0D03A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rPr>
              <w:t>Riskofderm 2.0, TRA Workers 3.0, ART 1.5</w:t>
            </w:r>
          </w:p>
        </w:tc>
      </w:tr>
      <w:tr w:rsidR="00BC1D4B" w14:paraId="206BDD1B"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5628582F"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64CBE83A"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7D98DB26"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7</w:t>
            </w:r>
          </w:p>
        </w:tc>
        <w:tc>
          <w:tcPr>
            <w:tcW w:w="834" w:type="dxa"/>
            <w:shd w:val="clear" w:color="auto" w:fill="auto"/>
            <w:vAlign w:val="center"/>
          </w:tcPr>
          <w:p w14:paraId="6C1C3817"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8a</w:t>
            </w:r>
          </w:p>
        </w:tc>
        <w:tc>
          <w:tcPr>
            <w:tcW w:w="1572" w:type="dxa"/>
            <w:shd w:val="clear" w:color="auto" w:fill="FFC000"/>
            <w:vAlign w:val="center"/>
          </w:tcPr>
          <w:p w14:paraId="11A0AAC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0.963</w:t>
            </w:r>
          </w:p>
          <w:p w14:paraId="5BC4D887"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9B3A86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=0.965</w:t>
            </w:r>
          </w:p>
        </w:tc>
        <w:tc>
          <w:tcPr>
            <w:tcW w:w="3770" w:type="dxa"/>
            <w:shd w:val="clear" w:color="auto" w:fill="auto"/>
          </w:tcPr>
          <w:p w14:paraId="6C4F7C4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4060D231"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D6C866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276E01A1"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24144E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5CFCE300"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6C9D60B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6C947E5C"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17C071A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20)</w:t>
            </w:r>
          </w:p>
        </w:tc>
        <w:tc>
          <w:tcPr>
            <w:tcW w:w="1746" w:type="dxa"/>
            <w:shd w:val="clear" w:color="auto" w:fill="auto"/>
          </w:tcPr>
          <w:p w14:paraId="4CD4F29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 ART 1.5</w:t>
            </w:r>
          </w:p>
        </w:tc>
      </w:tr>
      <w:tr w:rsidR="00BC1D4B" w14:paraId="3F29E565"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650E2282"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6A4EBCED"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69B2B8EC"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13</w:t>
            </w:r>
          </w:p>
        </w:tc>
        <w:tc>
          <w:tcPr>
            <w:tcW w:w="834" w:type="dxa"/>
            <w:shd w:val="clear" w:color="auto" w:fill="auto"/>
            <w:vAlign w:val="center"/>
          </w:tcPr>
          <w:p w14:paraId="086D13FF"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BA4E471"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5FDCB5D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1.219</w:t>
            </w:r>
          </w:p>
          <w:p w14:paraId="3138DD7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RCR Combined route =1.254</w:t>
            </w:r>
          </w:p>
        </w:tc>
        <w:tc>
          <w:tcPr>
            <w:tcW w:w="3770" w:type="dxa"/>
            <w:shd w:val="clear" w:color="auto" w:fill="auto"/>
          </w:tcPr>
          <w:p w14:paraId="6D93CD7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Basic room ventilation (up to 3 ACH)</w:t>
            </w:r>
          </w:p>
          <w:p w14:paraId="5A3EBF93"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44846C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Local exhaust ventilation: specifically designed fixed capturing hood, on tool extraction or enclosing hoods (assumed effectiveness = 90-95%)</w:t>
            </w:r>
            <w:r>
              <w:rPr>
                <w:rFonts w:ascii="Verdana" w:hAnsi="Verdana" w:cs="Calibri"/>
                <w:sz w:val="18"/>
                <w:szCs w:val="18"/>
                <w:lang w:val="en-US"/>
              </w:rPr>
              <w:br/>
            </w:r>
          </w:p>
          <w:p w14:paraId="53D08BC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028FF7D7"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823A7B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3AE591DD"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419A43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36BE0FDA"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472DC5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20)</w:t>
            </w:r>
          </w:p>
        </w:tc>
        <w:tc>
          <w:tcPr>
            <w:tcW w:w="1746" w:type="dxa"/>
            <w:shd w:val="clear" w:color="auto" w:fill="auto"/>
          </w:tcPr>
          <w:p w14:paraId="357AB2C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 ART 1.5</w:t>
            </w:r>
          </w:p>
        </w:tc>
      </w:tr>
      <w:tr w:rsidR="00BC1D4B" w14:paraId="765120F8"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455230C1"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7D252683"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15437DF5"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14</w:t>
            </w:r>
          </w:p>
        </w:tc>
        <w:tc>
          <w:tcPr>
            <w:tcW w:w="834" w:type="dxa"/>
            <w:shd w:val="clear" w:color="auto" w:fill="auto"/>
            <w:vAlign w:val="center"/>
          </w:tcPr>
          <w:p w14:paraId="5943D7F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1AC15F9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1.219</w:t>
            </w:r>
          </w:p>
          <w:p w14:paraId="077D38E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=1.227</w:t>
            </w:r>
          </w:p>
        </w:tc>
        <w:tc>
          <w:tcPr>
            <w:tcW w:w="3770" w:type="dxa"/>
            <w:shd w:val="clear" w:color="auto" w:fill="auto"/>
          </w:tcPr>
          <w:p w14:paraId="69FC412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0D5CED42"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106C04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 xml:space="preserve">Local exhaust ventilation: specifically designed fixed capturing hood, on tool extraction or enclosing hoods (assumed effectiveness = 90-95%) </w:t>
            </w:r>
          </w:p>
          <w:p w14:paraId="3B0AA886"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2F002E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6CAB68A6"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6DA8C4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0943A5CF"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33CA3E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4868CD7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79FA52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20)</w:t>
            </w:r>
          </w:p>
        </w:tc>
        <w:tc>
          <w:tcPr>
            <w:tcW w:w="1746" w:type="dxa"/>
            <w:shd w:val="clear" w:color="auto" w:fill="auto"/>
          </w:tcPr>
          <w:p w14:paraId="428EAB5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 ART 1.5</w:t>
            </w:r>
          </w:p>
        </w:tc>
      </w:tr>
      <w:tr w:rsidR="00BC1D4B" w14:paraId="5AA57B76"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216AB28C"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1550606E"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47901EF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22</w:t>
            </w:r>
          </w:p>
        </w:tc>
        <w:tc>
          <w:tcPr>
            <w:tcW w:w="834" w:type="dxa"/>
            <w:shd w:val="clear" w:color="auto" w:fill="auto"/>
            <w:vAlign w:val="center"/>
          </w:tcPr>
          <w:p w14:paraId="7F001296"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22</w:t>
            </w:r>
          </w:p>
        </w:tc>
        <w:tc>
          <w:tcPr>
            <w:tcW w:w="1572" w:type="dxa"/>
            <w:shd w:val="clear" w:color="auto" w:fill="FF0000"/>
            <w:vAlign w:val="center"/>
          </w:tcPr>
          <w:p w14:paraId="40D5FB2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=1.01</w:t>
            </w:r>
          </w:p>
        </w:tc>
        <w:tc>
          <w:tcPr>
            <w:tcW w:w="3770" w:type="dxa"/>
            <w:shd w:val="clear" w:color="auto" w:fill="auto"/>
          </w:tcPr>
          <w:p w14:paraId="6C11E2C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05351E85"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1E09979"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006CA9E7"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3BEA87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24516A6C"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26C6EF9"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74EA3A12"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8C2A8C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Respiratory protection (APF = 40)</w:t>
            </w:r>
            <w:r>
              <w:rPr>
                <w:rFonts w:ascii="Verdana" w:hAnsi="Verdana"/>
                <w:sz w:val="18"/>
                <w:szCs w:val="18"/>
                <w:lang w:val="en-US"/>
              </w:rPr>
              <w:t xml:space="preserve"> </w:t>
            </w:r>
            <w:r>
              <w:rPr>
                <w:rFonts w:ascii="Verdana" w:hAnsi="Verdana" w:cs="Calibri"/>
                <w:sz w:val="18"/>
                <w:szCs w:val="18"/>
                <w:lang w:val="en-US"/>
              </w:rPr>
              <w:t xml:space="preserve">Air-purifying Full-Face (with gas/cartridge-cartridge, that can be combined with a </w:t>
            </w:r>
          </w:p>
          <w:p w14:paraId="3ED24F1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particulate filter) (APF 40)</w:t>
            </w:r>
          </w:p>
        </w:tc>
        <w:tc>
          <w:tcPr>
            <w:tcW w:w="1746" w:type="dxa"/>
            <w:shd w:val="clear" w:color="auto" w:fill="auto"/>
          </w:tcPr>
          <w:p w14:paraId="2530C29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6067A558"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197E3396"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1b</w:t>
            </w:r>
          </w:p>
        </w:tc>
        <w:tc>
          <w:tcPr>
            <w:tcW w:w="4118" w:type="dxa"/>
            <w:gridSpan w:val="2"/>
            <w:vMerge w:val="restart"/>
            <w:vAlign w:val="center"/>
          </w:tcPr>
          <w:p w14:paraId="198DD38B" w14:textId="0208D8DD" w:rsidR="00BC1D4B" w:rsidRDefault="00253C01">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sidRPr="00253C01">
              <w:rPr>
                <w:rFonts w:ascii="Verdana" w:hAnsi="Verdana"/>
                <w:color w:val="000000"/>
                <w:sz w:val="18"/>
                <w:szCs w:val="18"/>
                <w:lang w:val="en-US"/>
              </w:rPr>
              <w:t>M</w:t>
            </w:r>
            <w:r>
              <w:rPr>
                <w:rFonts w:ascii="Verdana" w:hAnsi="Verdana"/>
                <w:color w:val="000000"/>
                <w:sz w:val="18"/>
                <w:szCs w:val="18"/>
                <w:lang w:val="en-US"/>
              </w:rPr>
              <w:t>anufacture of substances - Registrant 2</w:t>
            </w:r>
          </w:p>
        </w:tc>
        <w:tc>
          <w:tcPr>
            <w:tcW w:w="1735" w:type="dxa"/>
            <w:vAlign w:val="center"/>
          </w:tcPr>
          <w:p w14:paraId="70F92AFF"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CS 6</w:t>
            </w:r>
          </w:p>
        </w:tc>
        <w:tc>
          <w:tcPr>
            <w:tcW w:w="834" w:type="dxa"/>
            <w:shd w:val="clear" w:color="auto" w:fill="auto"/>
            <w:vAlign w:val="center"/>
          </w:tcPr>
          <w:p w14:paraId="21F37EFC"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14</w:t>
            </w:r>
          </w:p>
        </w:tc>
        <w:tc>
          <w:tcPr>
            <w:tcW w:w="1572" w:type="dxa"/>
            <w:shd w:val="clear" w:color="auto" w:fill="FF0000"/>
            <w:vAlign w:val="center"/>
          </w:tcPr>
          <w:p w14:paraId="155B5740"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6C2EF39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RCR Combined route =1.116</w:t>
            </w:r>
          </w:p>
        </w:tc>
        <w:tc>
          <w:tcPr>
            <w:tcW w:w="3770" w:type="dxa"/>
            <w:shd w:val="clear" w:color="auto" w:fill="auto"/>
          </w:tcPr>
          <w:p w14:paraId="6043AA51"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Basic room ventilation (up to 3 ACH)</w:t>
            </w:r>
          </w:p>
          <w:p w14:paraId="1EE9C3C3"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0907DD9E"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Advanced Occupational Health and Safety Management System</w:t>
            </w:r>
          </w:p>
          <w:p w14:paraId="0DCDBEB5"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2919E41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95% Dermal protection effectiveness</w:t>
            </w:r>
          </w:p>
        </w:tc>
        <w:tc>
          <w:tcPr>
            <w:tcW w:w="1746" w:type="dxa"/>
            <w:shd w:val="clear" w:color="auto" w:fill="auto"/>
          </w:tcPr>
          <w:p w14:paraId="61504B5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rPr>
              <w:t>TRA Workers 3.0</w:t>
            </w:r>
          </w:p>
        </w:tc>
      </w:tr>
      <w:tr w:rsidR="00BC1D4B" w14:paraId="10EF2F13"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033EFF28"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22CF615F"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08D74A11"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CS 7</w:t>
            </w:r>
          </w:p>
        </w:tc>
        <w:tc>
          <w:tcPr>
            <w:tcW w:w="834" w:type="dxa"/>
            <w:shd w:val="clear" w:color="auto" w:fill="auto"/>
            <w:vAlign w:val="center"/>
          </w:tcPr>
          <w:p w14:paraId="46411C68"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3</w:t>
            </w:r>
          </w:p>
        </w:tc>
        <w:tc>
          <w:tcPr>
            <w:tcW w:w="1572" w:type="dxa"/>
            <w:shd w:val="clear" w:color="auto" w:fill="FF0000"/>
            <w:vAlign w:val="center"/>
          </w:tcPr>
          <w:p w14:paraId="4AEB9E64"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RCR Dermal =1.471</w:t>
            </w:r>
          </w:p>
          <w:p w14:paraId="4C284FA6"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41846DA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RCR combined routes = 1.484</w:t>
            </w:r>
          </w:p>
        </w:tc>
        <w:tc>
          <w:tcPr>
            <w:tcW w:w="3770" w:type="dxa"/>
            <w:shd w:val="clear" w:color="auto" w:fill="auto"/>
          </w:tcPr>
          <w:p w14:paraId="10701536"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Basic room ventilation (up to 3 ACH)</w:t>
            </w:r>
          </w:p>
          <w:p w14:paraId="36EA7529"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5B9D76BE"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Local exhaust ventilation: specifically designed fixed capturing hood, on tool extraction or enclosing hoods (assumed effectiveness &gt;= 90-95%)</w:t>
            </w:r>
          </w:p>
          <w:p w14:paraId="42E1307D"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540E009A"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Advanced Occupational Health and Safety Management System</w:t>
            </w:r>
          </w:p>
          <w:p w14:paraId="383A01F1"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246946E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Closed batch process with occasional controlled exposure</w:t>
            </w:r>
          </w:p>
        </w:tc>
        <w:tc>
          <w:tcPr>
            <w:tcW w:w="1746" w:type="dxa"/>
            <w:shd w:val="clear" w:color="auto" w:fill="auto"/>
          </w:tcPr>
          <w:p w14:paraId="75D1E94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TRA Workers 3.0</w:t>
            </w:r>
          </w:p>
        </w:tc>
      </w:tr>
      <w:tr w:rsidR="00BC1D4B" w14:paraId="6A779F6C"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42ED9D21"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30B1E1CB"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332FE45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CS 8</w:t>
            </w:r>
          </w:p>
        </w:tc>
        <w:tc>
          <w:tcPr>
            <w:tcW w:w="834" w:type="dxa"/>
            <w:shd w:val="clear" w:color="auto" w:fill="auto"/>
            <w:vAlign w:val="center"/>
          </w:tcPr>
          <w:p w14:paraId="4F56BA69"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8a</w:t>
            </w:r>
          </w:p>
        </w:tc>
        <w:tc>
          <w:tcPr>
            <w:tcW w:w="1572" w:type="dxa"/>
            <w:shd w:val="clear" w:color="auto" w:fill="FFC000"/>
            <w:vAlign w:val="center"/>
          </w:tcPr>
          <w:p w14:paraId="4D3A36D2"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RCR dermal = 0.949</w:t>
            </w:r>
          </w:p>
          <w:p w14:paraId="4D55E69D"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737CE41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lastRenderedPageBreak/>
              <w:t>RCR combined routes = 0.954</w:t>
            </w:r>
          </w:p>
        </w:tc>
        <w:tc>
          <w:tcPr>
            <w:tcW w:w="3770" w:type="dxa"/>
            <w:shd w:val="clear" w:color="auto" w:fill="auto"/>
          </w:tcPr>
          <w:p w14:paraId="1946EBAC"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lastRenderedPageBreak/>
              <w:t>Basic room ventilation (up to 3 ACH)</w:t>
            </w:r>
          </w:p>
          <w:p w14:paraId="50CBEAA4"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39F58885"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Advanced Occupational Health and Safety Management System</w:t>
            </w:r>
          </w:p>
          <w:p w14:paraId="1B832239"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10C49843"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Respiratory protection: Yes (APF &gt;= 20)</w:t>
            </w:r>
          </w:p>
          <w:p w14:paraId="6111F49D"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08E226A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95% dermal protection effectiveness</w:t>
            </w:r>
          </w:p>
        </w:tc>
        <w:tc>
          <w:tcPr>
            <w:tcW w:w="1746" w:type="dxa"/>
            <w:shd w:val="clear" w:color="auto" w:fill="auto"/>
          </w:tcPr>
          <w:p w14:paraId="66F23CB8"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lastRenderedPageBreak/>
              <w:t>TRA Workers 3.0</w:t>
            </w:r>
          </w:p>
          <w:p w14:paraId="76104D6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Riskofderm 2.0; ART 1.5</w:t>
            </w:r>
          </w:p>
        </w:tc>
      </w:tr>
      <w:tr w:rsidR="00BC1D4B" w14:paraId="7BCEA4D2"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0A2BD512"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4E99B70E"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7A1071A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CS 9</w:t>
            </w:r>
          </w:p>
        </w:tc>
        <w:tc>
          <w:tcPr>
            <w:tcW w:w="834" w:type="dxa"/>
            <w:shd w:val="clear" w:color="auto" w:fill="auto"/>
            <w:vAlign w:val="center"/>
          </w:tcPr>
          <w:p w14:paraId="63E5A84D"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8a</w:t>
            </w:r>
          </w:p>
        </w:tc>
        <w:tc>
          <w:tcPr>
            <w:tcW w:w="1572" w:type="dxa"/>
            <w:shd w:val="clear" w:color="auto" w:fill="FFC000"/>
            <w:vAlign w:val="center"/>
          </w:tcPr>
          <w:p w14:paraId="7C76837C"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RCR dermal = 0.964</w:t>
            </w:r>
          </w:p>
          <w:p w14:paraId="699F335D"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1B8278C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RCR combined routes = 0.965</w:t>
            </w:r>
          </w:p>
        </w:tc>
        <w:tc>
          <w:tcPr>
            <w:tcW w:w="3770" w:type="dxa"/>
            <w:shd w:val="clear" w:color="auto" w:fill="auto"/>
          </w:tcPr>
          <w:p w14:paraId="7760967A"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Basic room ventilation (up to 3 ACH)</w:t>
            </w:r>
          </w:p>
          <w:p w14:paraId="4F79AFE5"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0A5DBB7D"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Advanced Occupational Health and Safety Management System</w:t>
            </w:r>
          </w:p>
          <w:p w14:paraId="48EE4EFA"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795898DF"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Respiratory protection: Yes (APF &gt;= 20)</w:t>
            </w:r>
          </w:p>
          <w:p w14:paraId="56ED8ADC"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71F510D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95% dermal protection effectiveness</w:t>
            </w:r>
          </w:p>
        </w:tc>
        <w:tc>
          <w:tcPr>
            <w:tcW w:w="1746" w:type="dxa"/>
            <w:shd w:val="clear" w:color="auto" w:fill="auto"/>
          </w:tcPr>
          <w:p w14:paraId="61939F55" w14:textId="77777777" w:rsidR="00BC1D4B" w:rsidRDefault="00ED1F84">
            <w:pPr>
              <w:widowControl w:val="0"/>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Pr>
                <w:rFonts w:ascii="Verdana" w:hAnsi="Verdana"/>
                <w:color w:val="000000"/>
                <w:sz w:val="18"/>
                <w:szCs w:val="18"/>
              </w:rPr>
              <w:t>TRA Workers 3.0</w:t>
            </w:r>
          </w:p>
          <w:p w14:paraId="775465B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olor w:val="000000"/>
                <w:sz w:val="18"/>
                <w:szCs w:val="18"/>
              </w:rPr>
              <w:t>Riskofderm 2.0; ART 1.5</w:t>
            </w:r>
          </w:p>
        </w:tc>
      </w:tr>
      <w:tr w:rsidR="00BC1D4B" w14:paraId="22ECA8CF"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41960500"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334A9C74"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5060E49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CS 13</w:t>
            </w:r>
          </w:p>
        </w:tc>
        <w:tc>
          <w:tcPr>
            <w:tcW w:w="834" w:type="dxa"/>
            <w:shd w:val="clear" w:color="auto" w:fill="auto"/>
            <w:vAlign w:val="center"/>
          </w:tcPr>
          <w:p w14:paraId="302EFFAD"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8b</w:t>
            </w:r>
          </w:p>
        </w:tc>
        <w:tc>
          <w:tcPr>
            <w:tcW w:w="1572" w:type="dxa"/>
            <w:shd w:val="clear" w:color="auto" w:fill="FF0000"/>
            <w:vAlign w:val="center"/>
          </w:tcPr>
          <w:p w14:paraId="161362DF"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RCR dermal = 1.461</w:t>
            </w:r>
          </w:p>
          <w:p w14:paraId="00C4C262"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1761D40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RCR combined routes = 1.476</w:t>
            </w:r>
          </w:p>
        </w:tc>
        <w:tc>
          <w:tcPr>
            <w:tcW w:w="3770" w:type="dxa"/>
            <w:shd w:val="clear" w:color="auto" w:fill="auto"/>
          </w:tcPr>
          <w:p w14:paraId="1F0F4997"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Basic room ventilation (up to 3 ACH)</w:t>
            </w:r>
          </w:p>
          <w:p w14:paraId="2886E44F"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val="en-US"/>
              </w:rPr>
            </w:pPr>
          </w:p>
          <w:p w14:paraId="59F1809A"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val="en-US"/>
              </w:rPr>
            </w:pPr>
            <w:r>
              <w:rPr>
                <w:rFonts w:ascii="Verdana" w:hAnsi="Verdana"/>
                <w:color w:val="000000"/>
                <w:sz w:val="18"/>
                <w:szCs w:val="18"/>
                <w:lang w:val="en-US"/>
              </w:rPr>
              <w:t>Local exhaust ventilation: enclosing hood with very high effectiveness such as fume cupboard (assumed effectiveness &gt;= 95%)</w:t>
            </w:r>
          </w:p>
          <w:p w14:paraId="20DF8A99"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val="en-US"/>
              </w:rPr>
            </w:pPr>
          </w:p>
          <w:p w14:paraId="3AD4C7EE"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Advanced Occupational Health and Safety Management System</w:t>
            </w:r>
          </w:p>
          <w:p w14:paraId="1006BFB8"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6DF5A98B"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lastRenderedPageBreak/>
              <w:t>95% dermal protection effectiveness</w:t>
            </w:r>
          </w:p>
          <w:p w14:paraId="04762014"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42B94601"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Eye protection</w:t>
            </w:r>
          </w:p>
          <w:p w14:paraId="58BF6AAE"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426C78A4" w14:textId="77777777" w:rsidR="00BC1D4B" w:rsidRDefault="00ED1F84">
            <w:pPr>
              <w:widowControl w:val="0"/>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val="en-US"/>
              </w:rPr>
            </w:pPr>
            <w:r>
              <w:rPr>
                <w:rFonts w:ascii="Verdana" w:hAnsi="Verdana"/>
                <w:color w:val="000000"/>
                <w:sz w:val="18"/>
                <w:szCs w:val="18"/>
                <w:lang w:val="en-US"/>
              </w:rPr>
              <w:t>No respiratory protection, h</w:t>
            </w:r>
            <w:r>
              <w:rPr>
                <w:rFonts w:ascii="Verdana" w:hAnsi="Verdana"/>
                <w:iCs/>
                <w:color w:val="000000"/>
                <w:sz w:val="18"/>
                <w:szCs w:val="18"/>
                <w:lang w:val="en-US"/>
              </w:rPr>
              <w:t>owever, a dry substance silo (reservoir) is connected to a filling device with extraction (fabric filter sleeves), so under standard operating conditions the respiratory protection is not necessary.</w:t>
            </w:r>
          </w:p>
          <w:p w14:paraId="565D06D7"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46" w:type="dxa"/>
            <w:shd w:val="clear" w:color="auto" w:fill="auto"/>
          </w:tcPr>
          <w:p w14:paraId="49DC491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olor w:val="000000"/>
                <w:sz w:val="18"/>
                <w:szCs w:val="18"/>
              </w:rPr>
              <w:lastRenderedPageBreak/>
              <w:t>TRA Workers 3.0</w:t>
            </w:r>
          </w:p>
        </w:tc>
      </w:tr>
      <w:tr w:rsidR="00BC1D4B" w14:paraId="4F5CE487"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6C14E28A"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7843C410"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5AC5846F"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CS 17</w:t>
            </w:r>
          </w:p>
        </w:tc>
        <w:tc>
          <w:tcPr>
            <w:tcW w:w="834" w:type="dxa"/>
            <w:shd w:val="clear" w:color="auto" w:fill="auto"/>
            <w:vAlign w:val="center"/>
          </w:tcPr>
          <w:p w14:paraId="66768272"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21</w:t>
            </w:r>
          </w:p>
        </w:tc>
        <w:tc>
          <w:tcPr>
            <w:tcW w:w="1572" w:type="dxa"/>
            <w:shd w:val="clear" w:color="auto" w:fill="FF0000"/>
            <w:vAlign w:val="center"/>
          </w:tcPr>
          <w:p w14:paraId="6B772D5F"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RCR dermal = 1.012</w:t>
            </w:r>
          </w:p>
          <w:p w14:paraId="56148D2C"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6D78ADF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RCR combined routes = 1.515</w:t>
            </w:r>
          </w:p>
        </w:tc>
        <w:tc>
          <w:tcPr>
            <w:tcW w:w="3770" w:type="dxa"/>
            <w:shd w:val="clear" w:color="auto" w:fill="auto"/>
          </w:tcPr>
          <w:p w14:paraId="49B6ECE4"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Basic room ventilation (up to 3 ACH)</w:t>
            </w:r>
          </w:p>
          <w:p w14:paraId="09AAD2F4"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val="en-US"/>
              </w:rPr>
            </w:pPr>
          </w:p>
          <w:p w14:paraId="796B923C"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Advanced Occupational Health and Safety Management System</w:t>
            </w:r>
          </w:p>
          <w:p w14:paraId="2ED5FF75"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62B6087D"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95% dermal protection effectiveness</w:t>
            </w:r>
          </w:p>
          <w:p w14:paraId="7C708D35"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04E61661" w14:textId="77777777" w:rsidR="00BC1D4B" w:rsidRDefault="00ED1F8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Eye protection</w:t>
            </w:r>
          </w:p>
          <w:p w14:paraId="09F53EEA" w14:textId="77777777" w:rsidR="00BC1D4B" w:rsidRDefault="00BC1D4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lang w:val="en-US"/>
              </w:rPr>
            </w:pPr>
          </w:p>
          <w:p w14:paraId="207B48E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Respiratory protection:  APF &gt;= 10</w:t>
            </w:r>
          </w:p>
        </w:tc>
        <w:tc>
          <w:tcPr>
            <w:tcW w:w="1746" w:type="dxa"/>
            <w:shd w:val="clear" w:color="auto" w:fill="auto"/>
          </w:tcPr>
          <w:p w14:paraId="34A8EB7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olor w:val="000000"/>
                <w:sz w:val="18"/>
                <w:szCs w:val="18"/>
              </w:rPr>
              <w:t>TRA Workers 3.0</w:t>
            </w:r>
          </w:p>
        </w:tc>
      </w:tr>
      <w:tr w:rsidR="00BC1D4B" w14:paraId="6F768D3C"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39B7FBC4"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6242572E"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26177CC5"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CS 18</w:t>
            </w:r>
          </w:p>
        </w:tc>
        <w:tc>
          <w:tcPr>
            <w:tcW w:w="834" w:type="dxa"/>
            <w:shd w:val="clear" w:color="auto" w:fill="auto"/>
            <w:vAlign w:val="center"/>
          </w:tcPr>
          <w:p w14:paraId="6E1A4B1C"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21</w:t>
            </w:r>
          </w:p>
        </w:tc>
        <w:tc>
          <w:tcPr>
            <w:tcW w:w="1572" w:type="dxa"/>
            <w:shd w:val="clear" w:color="auto" w:fill="FF0000"/>
            <w:vAlign w:val="center"/>
          </w:tcPr>
          <w:p w14:paraId="01C05E32"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RCR inhalation = 0.91</w:t>
            </w:r>
          </w:p>
          <w:p w14:paraId="4BEA62BB"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79DA6D1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lastRenderedPageBreak/>
              <w:t>RCR combined routes = 1.414</w:t>
            </w:r>
          </w:p>
        </w:tc>
        <w:tc>
          <w:tcPr>
            <w:tcW w:w="3770" w:type="dxa"/>
            <w:shd w:val="clear" w:color="auto" w:fill="auto"/>
          </w:tcPr>
          <w:p w14:paraId="4B98BF76"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lastRenderedPageBreak/>
              <w:t>Basic room ventilation (up to 3 ACH)</w:t>
            </w:r>
          </w:p>
          <w:p w14:paraId="3DF5E81C"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val="en-US"/>
              </w:rPr>
            </w:pPr>
          </w:p>
          <w:p w14:paraId="1DD656A3"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lastRenderedPageBreak/>
              <w:t>Advanced Occupational Health and Safety Management System</w:t>
            </w:r>
          </w:p>
          <w:p w14:paraId="42C6643C"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50003467"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95% dermal protection effectiveness</w:t>
            </w:r>
          </w:p>
          <w:p w14:paraId="32E72EC2"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69F98C0F" w14:textId="77777777" w:rsidR="00BC1D4B" w:rsidRDefault="00ED1F8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r>
              <w:rPr>
                <w:rFonts w:ascii="Verdana" w:hAnsi="Verdana" w:cstheme="minorHAnsi"/>
                <w:sz w:val="18"/>
                <w:szCs w:val="18"/>
                <w:lang w:val="en-US"/>
              </w:rPr>
              <w:t>Eye protection</w:t>
            </w:r>
          </w:p>
          <w:p w14:paraId="257F1582" w14:textId="77777777" w:rsidR="00BC1D4B" w:rsidRDefault="00BC1D4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lang w:val="en-US"/>
              </w:rPr>
            </w:pPr>
          </w:p>
          <w:p w14:paraId="1768F1F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theme="minorHAnsi"/>
                <w:sz w:val="18"/>
                <w:szCs w:val="18"/>
                <w:lang w:val="en-US"/>
              </w:rPr>
              <w:t>Respiratory protection:  APF &gt;= 10</w:t>
            </w:r>
          </w:p>
        </w:tc>
        <w:tc>
          <w:tcPr>
            <w:tcW w:w="1746" w:type="dxa"/>
            <w:shd w:val="clear" w:color="auto" w:fill="auto"/>
          </w:tcPr>
          <w:p w14:paraId="3016A2F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olor w:val="000000"/>
                <w:sz w:val="18"/>
                <w:szCs w:val="18"/>
              </w:rPr>
              <w:lastRenderedPageBreak/>
              <w:t>TRA Workers 3.0</w:t>
            </w:r>
          </w:p>
        </w:tc>
      </w:tr>
      <w:tr w:rsidR="00BC1D4B" w14:paraId="20D4BEC3" w14:textId="77777777" w:rsidTr="00BC1D4B">
        <w:tc>
          <w:tcPr>
            <w:cnfStyle w:val="001000000000" w:firstRow="0" w:lastRow="0" w:firstColumn="1" w:lastColumn="0" w:oddVBand="0" w:evenVBand="0" w:oddHBand="0" w:evenHBand="0" w:firstRowFirstColumn="0" w:firstRowLastColumn="0" w:lastRowFirstColumn="0" w:lastRowLastColumn="0"/>
            <w:tcW w:w="1603" w:type="dxa"/>
            <w:gridSpan w:val="2"/>
            <w:shd w:val="clear" w:color="auto" w:fill="1F3864"/>
          </w:tcPr>
          <w:p w14:paraId="321516C8" w14:textId="77777777" w:rsidR="00BC1D4B" w:rsidRDefault="00BC1D4B">
            <w:pPr>
              <w:spacing w:after="0"/>
              <w:jc w:val="center"/>
              <w:rPr>
                <w:rFonts w:ascii="Verdana" w:hAnsi="Verdana" w:cs="Calibri"/>
                <w:sz w:val="18"/>
                <w:szCs w:val="18"/>
                <w:lang w:val="en-US"/>
              </w:rPr>
            </w:pPr>
          </w:p>
        </w:tc>
        <w:tc>
          <w:tcPr>
            <w:tcW w:w="12673" w:type="dxa"/>
            <w:gridSpan w:val="6"/>
            <w:shd w:val="clear" w:color="auto" w:fill="1F3864"/>
          </w:tcPr>
          <w:p w14:paraId="6E17C45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and re- packaging</w:t>
            </w:r>
          </w:p>
        </w:tc>
      </w:tr>
      <w:tr w:rsidR="00BC1D4B" w14:paraId="7E439594"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1CA7014E"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2</w:t>
            </w:r>
          </w:p>
        </w:tc>
        <w:tc>
          <w:tcPr>
            <w:tcW w:w="4118" w:type="dxa"/>
            <w:gridSpan w:val="2"/>
            <w:vMerge w:val="restart"/>
            <w:vAlign w:val="center"/>
          </w:tcPr>
          <w:p w14:paraId="4DE9C53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or re-packing - Manufacture of Masterbatches - continuous process</w:t>
            </w:r>
          </w:p>
        </w:tc>
        <w:tc>
          <w:tcPr>
            <w:tcW w:w="1735" w:type="dxa"/>
            <w:vAlign w:val="center"/>
          </w:tcPr>
          <w:p w14:paraId="1C40559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3</w:t>
            </w:r>
          </w:p>
        </w:tc>
        <w:tc>
          <w:tcPr>
            <w:tcW w:w="834" w:type="dxa"/>
            <w:shd w:val="clear" w:color="auto" w:fill="auto"/>
            <w:vAlign w:val="center"/>
          </w:tcPr>
          <w:p w14:paraId="6B20E7B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3</w:t>
            </w:r>
          </w:p>
        </w:tc>
        <w:tc>
          <w:tcPr>
            <w:tcW w:w="1572" w:type="dxa"/>
            <w:shd w:val="clear" w:color="auto" w:fill="FF0000"/>
            <w:vAlign w:val="center"/>
          </w:tcPr>
          <w:p w14:paraId="6866FBA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1.219</w:t>
            </w:r>
          </w:p>
          <w:p w14:paraId="51D00B5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=1.236</w:t>
            </w:r>
          </w:p>
        </w:tc>
        <w:tc>
          <w:tcPr>
            <w:tcW w:w="3770" w:type="dxa"/>
            <w:shd w:val="clear" w:color="auto" w:fill="auto"/>
          </w:tcPr>
          <w:p w14:paraId="355080E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Good room ventilation (3 to 5 ACH)</w:t>
            </w:r>
          </w:p>
          <w:p w14:paraId="6C6E8F8F"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6886592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 xml:space="preserve">Local exhaust ventilation: specifically designed fixed capturing hood, on tool extraction or enclosing hoods (assumed effectiveness = 90-95%) </w:t>
            </w:r>
          </w:p>
          <w:p w14:paraId="051654AE"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4BB5D3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62F313A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2464C0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7DE0931E"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B78E48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57E3E7FB"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D47795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20)</w:t>
            </w:r>
          </w:p>
        </w:tc>
        <w:tc>
          <w:tcPr>
            <w:tcW w:w="1746" w:type="dxa"/>
            <w:shd w:val="clear" w:color="auto" w:fill="auto"/>
          </w:tcPr>
          <w:p w14:paraId="1A0649A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40F69FB4"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01CE44C8"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6131636D"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3EC04456"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15</w:t>
            </w:r>
          </w:p>
        </w:tc>
        <w:tc>
          <w:tcPr>
            <w:tcW w:w="834" w:type="dxa"/>
            <w:shd w:val="clear" w:color="auto" w:fill="auto"/>
            <w:vAlign w:val="center"/>
          </w:tcPr>
          <w:p w14:paraId="710A6BC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15</w:t>
            </w:r>
          </w:p>
        </w:tc>
        <w:tc>
          <w:tcPr>
            <w:tcW w:w="1572" w:type="dxa"/>
            <w:shd w:val="clear" w:color="auto" w:fill="FF0000"/>
            <w:vAlign w:val="center"/>
          </w:tcPr>
          <w:p w14:paraId="37D4ED7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1.461</w:t>
            </w:r>
          </w:p>
          <w:p w14:paraId="7EA7793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=1.471</w:t>
            </w:r>
          </w:p>
        </w:tc>
        <w:tc>
          <w:tcPr>
            <w:tcW w:w="3770" w:type="dxa"/>
            <w:shd w:val="clear" w:color="auto" w:fill="auto"/>
          </w:tcPr>
          <w:p w14:paraId="79E17A7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Good room ventilation (3 to 5 ACH)</w:t>
            </w:r>
          </w:p>
          <w:p w14:paraId="5A24C2AF"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4F4D931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6E116359"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C1D46C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7A319E27"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C8D382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30AFFEEB"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AD35389"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20)</w:t>
            </w:r>
          </w:p>
        </w:tc>
        <w:tc>
          <w:tcPr>
            <w:tcW w:w="1746" w:type="dxa"/>
            <w:shd w:val="clear" w:color="auto" w:fill="auto"/>
          </w:tcPr>
          <w:p w14:paraId="4838AAA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499F564C"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5059A597"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3</w:t>
            </w:r>
          </w:p>
        </w:tc>
        <w:tc>
          <w:tcPr>
            <w:tcW w:w="4118" w:type="dxa"/>
            <w:gridSpan w:val="2"/>
            <w:vMerge w:val="restart"/>
            <w:vAlign w:val="center"/>
          </w:tcPr>
          <w:p w14:paraId="1A326C9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or re-packing - Masterbatch production - internal mixer</w:t>
            </w:r>
          </w:p>
        </w:tc>
        <w:tc>
          <w:tcPr>
            <w:tcW w:w="1735" w:type="dxa"/>
            <w:vAlign w:val="center"/>
          </w:tcPr>
          <w:p w14:paraId="1B7CDBC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4</w:t>
            </w:r>
          </w:p>
        </w:tc>
        <w:tc>
          <w:tcPr>
            <w:tcW w:w="834" w:type="dxa"/>
            <w:shd w:val="clear" w:color="auto" w:fill="auto"/>
            <w:vAlign w:val="center"/>
          </w:tcPr>
          <w:p w14:paraId="20087C52"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5</w:t>
            </w:r>
          </w:p>
        </w:tc>
        <w:tc>
          <w:tcPr>
            <w:tcW w:w="1572" w:type="dxa"/>
            <w:shd w:val="clear" w:color="auto" w:fill="FF0000"/>
            <w:vAlign w:val="center"/>
          </w:tcPr>
          <w:p w14:paraId="0096288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1B9CF17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=1.223</w:t>
            </w:r>
          </w:p>
        </w:tc>
        <w:tc>
          <w:tcPr>
            <w:tcW w:w="3770" w:type="dxa"/>
            <w:shd w:val="clear" w:color="auto" w:fill="auto"/>
          </w:tcPr>
          <w:p w14:paraId="6EE783A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42B339FC"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0C4485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351842F8"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ECDE64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3C07345D"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B70AB3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p w14:paraId="2C65A8F0"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30EC32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786158F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530FA597"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00BE759C"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25B2868A"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4CE01DB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5</w:t>
            </w:r>
          </w:p>
        </w:tc>
        <w:tc>
          <w:tcPr>
            <w:tcW w:w="834" w:type="dxa"/>
            <w:shd w:val="clear" w:color="auto" w:fill="auto"/>
            <w:vAlign w:val="center"/>
          </w:tcPr>
          <w:p w14:paraId="4CE0188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14</w:t>
            </w:r>
          </w:p>
        </w:tc>
        <w:tc>
          <w:tcPr>
            <w:tcW w:w="1572" w:type="dxa"/>
            <w:shd w:val="clear" w:color="auto" w:fill="FF0000"/>
            <w:vAlign w:val="center"/>
          </w:tcPr>
          <w:p w14:paraId="4C19F9E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1.219</w:t>
            </w:r>
          </w:p>
          <w:p w14:paraId="1B955E0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=1.221</w:t>
            </w:r>
          </w:p>
        </w:tc>
        <w:tc>
          <w:tcPr>
            <w:tcW w:w="3770" w:type="dxa"/>
            <w:shd w:val="clear" w:color="auto" w:fill="auto"/>
          </w:tcPr>
          <w:p w14:paraId="4C45DC9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2F2D15E1"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FAD1DF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5F63AD00"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0DF0C739"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69179099"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481334F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23E2E8F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37C728F2"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1A50809A"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4</w:t>
            </w:r>
          </w:p>
        </w:tc>
        <w:tc>
          <w:tcPr>
            <w:tcW w:w="4118" w:type="dxa"/>
            <w:gridSpan w:val="2"/>
            <w:vMerge w:val="restart"/>
            <w:vAlign w:val="center"/>
          </w:tcPr>
          <w:p w14:paraId="1D625942"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and re-packaging.</w:t>
            </w:r>
          </w:p>
        </w:tc>
        <w:tc>
          <w:tcPr>
            <w:tcW w:w="1735" w:type="dxa"/>
            <w:vAlign w:val="center"/>
          </w:tcPr>
          <w:p w14:paraId="6106ED20"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61C3CEA6"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8a</w:t>
            </w:r>
          </w:p>
        </w:tc>
        <w:tc>
          <w:tcPr>
            <w:tcW w:w="1572" w:type="dxa"/>
            <w:shd w:val="clear" w:color="auto" w:fill="FF0000"/>
            <w:vAlign w:val="center"/>
          </w:tcPr>
          <w:p w14:paraId="2FDB90F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=1.373</w:t>
            </w:r>
          </w:p>
        </w:tc>
        <w:tc>
          <w:tcPr>
            <w:tcW w:w="3770" w:type="dxa"/>
            <w:shd w:val="clear" w:color="auto" w:fill="auto"/>
          </w:tcPr>
          <w:p w14:paraId="15554BB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Good room ventilation (3 to 5 ACH)</w:t>
            </w:r>
          </w:p>
          <w:p w14:paraId="044597B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CDA668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619D20F6"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6406736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66852D4C"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1E27AD6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90% Dermal protection effectiveness</w:t>
            </w:r>
          </w:p>
          <w:p w14:paraId="733323DF"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BF426B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307DE1F8"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6852B65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20)</w:t>
            </w:r>
          </w:p>
        </w:tc>
        <w:tc>
          <w:tcPr>
            <w:tcW w:w="1746" w:type="dxa"/>
            <w:shd w:val="clear" w:color="auto" w:fill="auto"/>
          </w:tcPr>
          <w:p w14:paraId="482B14B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240BEBBE"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6E7A8BAD"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6E4D5BCA"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28C73C9C"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7</w:t>
            </w:r>
          </w:p>
        </w:tc>
        <w:tc>
          <w:tcPr>
            <w:tcW w:w="834" w:type="dxa"/>
            <w:shd w:val="clear" w:color="auto" w:fill="auto"/>
            <w:vAlign w:val="center"/>
          </w:tcPr>
          <w:p w14:paraId="7E6CF99F"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8a</w:t>
            </w:r>
          </w:p>
        </w:tc>
        <w:tc>
          <w:tcPr>
            <w:tcW w:w="1572" w:type="dxa"/>
            <w:shd w:val="clear" w:color="auto" w:fill="FF0000"/>
            <w:vAlign w:val="center"/>
          </w:tcPr>
          <w:p w14:paraId="35B1378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=1.373</w:t>
            </w:r>
          </w:p>
        </w:tc>
        <w:tc>
          <w:tcPr>
            <w:tcW w:w="3770" w:type="dxa"/>
            <w:shd w:val="clear" w:color="auto" w:fill="auto"/>
          </w:tcPr>
          <w:p w14:paraId="6AAB3BAF"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461D9106"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775174F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0B00DCC9"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B22AF3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3CA87A31"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6647FE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90% Dermal protection effectiveness</w:t>
            </w:r>
          </w:p>
          <w:p w14:paraId="788B42B7"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18B4E1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284043BE"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4473930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20DB9C6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189B446C"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785FA712"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08994F95"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7C8ECC4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11</w:t>
            </w:r>
          </w:p>
        </w:tc>
        <w:tc>
          <w:tcPr>
            <w:tcW w:w="834" w:type="dxa"/>
            <w:shd w:val="clear" w:color="auto" w:fill="auto"/>
            <w:vAlign w:val="center"/>
          </w:tcPr>
          <w:p w14:paraId="0D3FFF77"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C000"/>
            <w:vAlign w:val="center"/>
          </w:tcPr>
          <w:p w14:paraId="6B381DE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62E0A83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=0.98</w:t>
            </w:r>
          </w:p>
        </w:tc>
        <w:tc>
          <w:tcPr>
            <w:tcW w:w="3770" w:type="dxa"/>
            <w:shd w:val="clear" w:color="auto" w:fill="auto"/>
          </w:tcPr>
          <w:p w14:paraId="5FA2634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73C69891"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4D7D85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Local exhaust ventilation: specifically designed LEV such as receiving hoods (assumed effectiveness = 80-90%)</w:t>
            </w:r>
          </w:p>
          <w:p w14:paraId="0793E145"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4F35CF1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Occupational Health and Safety Management System</w:t>
            </w:r>
          </w:p>
          <w:p w14:paraId="5E57441B"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4DC9EF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p w14:paraId="2ECB5DCC"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ADA1C7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Eye protection</w:t>
            </w:r>
          </w:p>
        </w:tc>
        <w:tc>
          <w:tcPr>
            <w:tcW w:w="1746" w:type="dxa"/>
            <w:shd w:val="clear" w:color="auto" w:fill="auto"/>
          </w:tcPr>
          <w:p w14:paraId="2C822A3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4B994538"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179CAA0B"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7034346C"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1DCBF791"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12</w:t>
            </w:r>
          </w:p>
        </w:tc>
        <w:tc>
          <w:tcPr>
            <w:tcW w:w="834" w:type="dxa"/>
            <w:shd w:val="clear" w:color="auto" w:fill="auto"/>
            <w:vAlign w:val="center"/>
          </w:tcPr>
          <w:p w14:paraId="34E5318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C000"/>
            <w:vAlign w:val="center"/>
          </w:tcPr>
          <w:p w14:paraId="57AA805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430AFB4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=0.98</w:t>
            </w:r>
          </w:p>
        </w:tc>
        <w:tc>
          <w:tcPr>
            <w:tcW w:w="3770" w:type="dxa"/>
            <w:shd w:val="clear" w:color="auto" w:fill="auto"/>
          </w:tcPr>
          <w:p w14:paraId="17559813"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49B7D1DD"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BFAF7A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Local exhaust ventilation: specifically designed LEV such as receiving hoods (assumed effectiveness = 80-90%)</w:t>
            </w:r>
          </w:p>
          <w:p w14:paraId="55FACE5A"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1CB3DFF"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Basic Occupational Health and Safety Management System</w:t>
            </w:r>
          </w:p>
          <w:p w14:paraId="3D16174F"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38909F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p w14:paraId="0B502186"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C22CE8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Eye protection</w:t>
            </w:r>
          </w:p>
          <w:p w14:paraId="7E59B109"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51E9959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091D7EE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4F0258EB"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52015A1F"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13</w:t>
            </w:r>
          </w:p>
        </w:tc>
        <w:tc>
          <w:tcPr>
            <w:tcW w:w="4118" w:type="dxa"/>
            <w:gridSpan w:val="2"/>
            <w:vMerge w:val="restart"/>
            <w:vAlign w:val="center"/>
          </w:tcPr>
          <w:p w14:paraId="18EB3CDE"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or re-packing - End of Life Tyre: Coarse shredding</w:t>
            </w:r>
          </w:p>
        </w:tc>
        <w:tc>
          <w:tcPr>
            <w:tcW w:w="1735" w:type="dxa"/>
            <w:vAlign w:val="center"/>
          </w:tcPr>
          <w:p w14:paraId="138ACFD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4F533D1F"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8a</w:t>
            </w:r>
          </w:p>
        </w:tc>
        <w:tc>
          <w:tcPr>
            <w:tcW w:w="1572" w:type="dxa"/>
            <w:shd w:val="clear" w:color="auto" w:fill="FF0000"/>
            <w:vAlign w:val="center"/>
          </w:tcPr>
          <w:p w14:paraId="475CB0F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49FCEFD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=1.227</w:t>
            </w:r>
          </w:p>
        </w:tc>
        <w:tc>
          <w:tcPr>
            <w:tcW w:w="3770" w:type="dxa"/>
            <w:shd w:val="clear" w:color="auto" w:fill="auto"/>
          </w:tcPr>
          <w:p w14:paraId="078A8A6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68EBCC08"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8FF477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34658409"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587250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tc>
        <w:tc>
          <w:tcPr>
            <w:tcW w:w="1746" w:type="dxa"/>
            <w:shd w:val="clear" w:color="auto" w:fill="auto"/>
          </w:tcPr>
          <w:p w14:paraId="1CA3B27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0CBB3419"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281A1979"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0C4FF23B"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720C688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3</w:t>
            </w:r>
          </w:p>
        </w:tc>
        <w:tc>
          <w:tcPr>
            <w:tcW w:w="834" w:type="dxa"/>
            <w:shd w:val="clear" w:color="auto" w:fill="auto"/>
            <w:vAlign w:val="center"/>
          </w:tcPr>
          <w:p w14:paraId="611395A7"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8b</w:t>
            </w:r>
          </w:p>
        </w:tc>
        <w:tc>
          <w:tcPr>
            <w:tcW w:w="1572" w:type="dxa"/>
            <w:shd w:val="clear" w:color="auto" w:fill="FF0000"/>
            <w:vAlign w:val="center"/>
          </w:tcPr>
          <w:p w14:paraId="47611CE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739FBA9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=1.2025</w:t>
            </w:r>
          </w:p>
        </w:tc>
        <w:tc>
          <w:tcPr>
            <w:tcW w:w="3770" w:type="dxa"/>
            <w:shd w:val="clear" w:color="auto" w:fill="auto"/>
          </w:tcPr>
          <w:p w14:paraId="51C519E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11807D6E"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0958A0C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281BE402"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106D6A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tc>
        <w:tc>
          <w:tcPr>
            <w:tcW w:w="1746" w:type="dxa"/>
            <w:shd w:val="clear" w:color="auto" w:fill="auto"/>
          </w:tcPr>
          <w:p w14:paraId="0E667C4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09B4028E"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04CA5750"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61843C53"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shd w:val="clear" w:color="auto" w:fill="auto"/>
            <w:vAlign w:val="center"/>
          </w:tcPr>
          <w:p w14:paraId="290B390F"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4</w:t>
            </w:r>
          </w:p>
        </w:tc>
        <w:tc>
          <w:tcPr>
            <w:tcW w:w="834" w:type="dxa"/>
            <w:shd w:val="clear" w:color="auto" w:fill="auto"/>
            <w:vAlign w:val="center"/>
          </w:tcPr>
          <w:p w14:paraId="2E98C66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8b</w:t>
            </w:r>
          </w:p>
        </w:tc>
        <w:tc>
          <w:tcPr>
            <w:tcW w:w="1572" w:type="dxa"/>
            <w:shd w:val="clear" w:color="auto" w:fill="FF0000"/>
            <w:vAlign w:val="center"/>
          </w:tcPr>
          <w:p w14:paraId="3600EC2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 005</w:t>
            </w:r>
          </w:p>
          <w:p w14:paraId="5C6FB87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=1.51</w:t>
            </w:r>
          </w:p>
        </w:tc>
        <w:tc>
          <w:tcPr>
            <w:tcW w:w="3770" w:type="dxa"/>
            <w:shd w:val="clear" w:color="auto" w:fill="auto"/>
          </w:tcPr>
          <w:p w14:paraId="45042DC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4C5C295E"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6ABD65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tc>
        <w:tc>
          <w:tcPr>
            <w:tcW w:w="1746" w:type="dxa"/>
            <w:shd w:val="clear" w:color="auto" w:fill="auto"/>
          </w:tcPr>
          <w:p w14:paraId="094A7D4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3BA23DF7" w14:textId="77777777" w:rsidTr="00BC1D4B">
        <w:tc>
          <w:tcPr>
            <w:cnfStyle w:val="001000000000" w:firstRow="0" w:lastRow="0" w:firstColumn="1" w:lastColumn="0" w:oddVBand="0" w:evenVBand="0" w:oddHBand="0" w:evenHBand="0" w:firstRowFirstColumn="0" w:firstRowLastColumn="0" w:lastRowFirstColumn="0" w:lastRowLastColumn="0"/>
            <w:tcW w:w="501" w:type="dxa"/>
            <w:vAlign w:val="center"/>
          </w:tcPr>
          <w:p w14:paraId="59D2B031"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14</w:t>
            </w:r>
          </w:p>
        </w:tc>
        <w:tc>
          <w:tcPr>
            <w:tcW w:w="4118" w:type="dxa"/>
            <w:gridSpan w:val="2"/>
            <w:vAlign w:val="center"/>
          </w:tcPr>
          <w:p w14:paraId="02BE20E5"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or re-packing - End of life Tyre: Grinding (ambient)</w:t>
            </w:r>
          </w:p>
        </w:tc>
        <w:tc>
          <w:tcPr>
            <w:tcW w:w="1735" w:type="dxa"/>
            <w:vAlign w:val="center"/>
          </w:tcPr>
          <w:p w14:paraId="5300A38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w:t>
            </w:r>
          </w:p>
        </w:tc>
        <w:tc>
          <w:tcPr>
            <w:tcW w:w="834" w:type="dxa"/>
            <w:shd w:val="clear" w:color="auto" w:fill="auto"/>
          </w:tcPr>
          <w:p w14:paraId="5A8EE7BC"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572" w:type="dxa"/>
            <w:vAlign w:val="center"/>
          </w:tcPr>
          <w:p w14:paraId="375CF8C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w:t>
            </w:r>
          </w:p>
        </w:tc>
        <w:tc>
          <w:tcPr>
            <w:tcW w:w="3770" w:type="dxa"/>
          </w:tcPr>
          <w:p w14:paraId="04C0D033"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46" w:type="dxa"/>
          </w:tcPr>
          <w:p w14:paraId="73FFE933"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r>
      <w:tr w:rsidR="00BC1D4B" w14:paraId="40B30675"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5A30110F"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15</w:t>
            </w:r>
          </w:p>
        </w:tc>
        <w:tc>
          <w:tcPr>
            <w:tcW w:w="4118" w:type="dxa"/>
            <w:gridSpan w:val="2"/>
            <w:vMerge w:val="restart"/>
            <w:vAlign w:val="center"/>
          </w:tcPr>
          <w:p w14:paraId="010B4E9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or re-packing - End of Life Tyre: Grinding cryogenic</w:t>
            </w:r>
          </w:p>
        </w:tc>
        <w:tc>
          <w:tcPr>
            <w:tcW w:w="1735" w:type="dxa"/>
            <w:vAlign w:val="center"/>
          </w:tcPr>
          <w:p w14:paraId="29D36833"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2E5148D7"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8a</w:t>
            </w:r>
          </w:p>
        </w:tc>
        <w:tc>
          <w:tcPr>
            <w:tcW w:w="1572" w:type="dxa"/>
            <w:shd w:val="clear" w:color="auto" w:fill="FF0000"/>
            <w:vAlign w:val="center"/>
          </w:tcPr>
          <w:p w14:paraId="7F643D0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4387153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=1.227</w:t>
            </w:r>
          </w:p>
        </w:tc>
        <w:tc>
          <w:tcPr>
            <w:tcW w:w="3770" w:type="dxa"/>
            <w:shd w:val="clear" w:color="auto" w:fill="auto"/>
          </w:tcPr>
          <w:p w14:paraId="3045E06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03BDDDAE"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5EE1A0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3A6952C3"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598E2F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tc>
        <w:tc>
          <w:tcPr>
            <w:tcW w:w="1746" w:type="dxa"/>
            <w:shd w:val="clear" w:color="auto" w:fill="auto"/>
          </w:tcPr>
          <w:p w14:paraId="0548460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299FDDE1"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2F0B8BC6" w14:textId="77777777" w:rsidR="00BC1D4B" w:rsidRDefault="00BC1D4B">
            <w:pPr>
              <w:spacing w:after="0"/>
              <w:jc w:val="center"/>
              <w:rPr>
                <w:rFonts w:ascii="Verdana" w:hAnsi="Verdana" w:cs="Calibri"/>
                <w:sz w:val="18"/>
                <w:szCs w:val="18"/>
                <w:lang w:val="en-US"/>
              </w:rPr>
            </w:pPr>
          </w:p>
        </w:tc>
        <w:tc>
          <w:tcPr>
            <w:tcW w:w="4118" w:type="dxa"/>
            <w:gridSpan w:val="2"/>
            <w:vMerge/>
          </w:tcPr>
          <w:p w14:paraId="68FDF987"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725A9EA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3</w:t>
            </w:r>
          </w:p>
        </w:tc>
        <w:tc>
          <w:tcPr>
            <w:tcW w:w="834" w:type="dxa"/>
            <w:shd w:val="clear" w:color="auto" w:fill="auto"/>
            <w:vAlign w:val="center"/>
          </w:tcPr>
          <w:p w14:paraId="1984B0F4"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8b</w:t>
            </w:r>
          </w:p>
        </w:tc>
        <w:tc>
          <w:tcPr>
            <w:tcW w:w="1572" w:type="dxa"/>
            <w:shd w:val="clear" w:color="auto" w:fill="FFC000"/>
            <w:vAlign w:val="center"/>
          </w:tcPr>
          <w:p w14:paraId="12853D1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1C86250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=0.975</w:t>
            </w:r>
          </w:p>
        </w:tc>
        <w:tc>
          <w:tcPr>
            <w:tcW w:w="3770" w:type="dxa"/>
            <w:shd w:val="clear" w:color="auto" w:fill="auto"/>
          </w:tcPr>
          <w:p w14:paraId="6148414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2BFE4885"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530E17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4F46998D"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27D91B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80% Dermal protection effectiveness</w:t>
            </w:r>
          </w:p>
          <w:p w14:paraId="064BC4A5"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3C3930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Respiratory protection (AFP 10)</w:t>
            </w:r>
          </w:p>
        </w:tc>
        <w:tc>
          <w:tcPr>
            <w:tcW w:w="1746" w:type="dxa"/>
            <w:shd w:val="clear" w:color="auto" w:fill="auto"/>
          </w:tcPr>
          <w:p w14:paraId="20EC706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67D6E827"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Align w:val="center"/>
          </w:tcPr>
          <w:p w14:paraId="750FD3C2"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16</w:t>
            </w:r>
          </w:p>
        </w:tc>
        <w:tc>
          <w:tcPr>
            <w:tcW w:w="4118" w:type="dxa"/>
            <w:gridSpan w:val="2"/>
            <w:vAlign w:val="center"/>
          </w:tcPr>
          <w:p w14:paraId="7B3B9D34"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or re-packing - End of Life Tyre: Pyrolysis</w:t>
            </w:r>
          </w:p>
        </w:tc>
        <w:tc>
          <w:tcPr>
            <w:tcW w:w="1735" w:type="dxa"/>
            <w:vAlign w:val="center"/>
          </w:tcPr>
          <w:p w14:paraId="390ACB1A"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6E1E7DF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8b</w:t>
            </w:r>
          </w:p>
        </w:tc>
        <w:tc>
          <w:tcPr>
            <w:tcW w:w="1572" w:type="dxa"/>
            <w:shd w:val="clear" w:color="auto" w:fill="FF0000"/>
            <w:vAlign w:val="center"/>
          </w:tcPr>
          <w:p w14:paraId="22D408B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3B5EF1C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=1.025</w:t>
            </w:r>
          </w:p>
        </w:tc>
        <w:tc>
          <w:tcPr>
            <w:tcW w:w="3770" w:type="dxa"/>
            <w:shd w:val="clear" w:color="auto" w:fill="auto"/>
          </w:tcPr>
          <w:p w14:paraId="446E39F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53B23D9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7F20F5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1C445B7F"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576E29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tc>
        <w:tc>
          <w:tcPr>
            <w:tcW w:w="1746" w:type="dxa"/>
            <w:shd w:val="clear" w:color="auto" w:fill="auto"/>
          </w:tcPr>
          <w:p w14:paraId="3CDF915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24F7CA64"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3A95198D"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17</w:t>
            </w:r>
          </w:p>
        </w:tc>
        <w:tc>
          <w:tcPr>
            <w:tcW w:w="4118" w:type="dxa"/>
            <w:gridSpan w:val="2"/>
            <w:vMerge w:val="restart"/>
            <w:vAlign w:val="center"/>
          </w:tcPr>
          <w:p w14:paraId="050219F5"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or re-packing - End of Life Tyre: Energy recovery: cement kiln</w:t>
            </w:r>
          </w:p>
        </w:tc>
        <w:tc>
          <w:tcPr>
            <w:tcW w:w="1735" w:type="dxa"/>
            <w:vAlign w:val="center"/>
          </w:tcPr>
          <w:p w14:paraId="3CAA766A"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728D9300"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8b</w:t>
            </w:r>
          </w:p>
        </w:tc>
        <w:tc>
          <w:tcPr>
            <w:tcW w:w="1572" w:type="dxa"/>
            <w:shd w:val="clear" w:color="auto" w:fill="FF0000"/>
            <w:vAlign w:val="center"/>
          </w:tcPr>
          <w:p w14:paraId="3C4D66A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0068E879"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=1.025</w:t>
            </w:r>
          </w:p>
        </w:tc>
        <w:tc>
          <w:tcPr>
            <w:tcW w:w="3770" w:type="dxa"/>
            <w:shd w:val="clear" w:color="auto" w:fill="auto"/>
          </w:tcPr>
          <w:p w14:paraId="53AB137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6516AE32"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225A6F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6982C2F8"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87E864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tc>
        <w:tc>
          <w:tcPr>
            <w:tcW w:w="1746" w:type="dxa"/>
            <w:shd w:val="clear" w:color="auto" w:fill="auto"/>
          </w:tcPr>
          <w:p w14:paraId="08F11D2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67D9E385"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511C2FC6"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4161A9C7"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5ABB11E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 xml:space="preserve">CS 3 </w:t>
            </w:r>
          </w:p>
        </w:tc>
        <w:tc>
          <w:tcPr>
            <w:tcW w:w="834" w:type="dxa"/>
            <w:shd w:val="clear" w:color="auto" w:fill="auto"/>
            <w:vAlign w:val="center"/>
          </w:tcPr>
          <w:p w14:paraId="55A9D5B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21</w:t>
            </w:r>
          </w:p>
        </w:tc>
        <w:tc>
          <w:tcPr>
            <w:tcW w:w="1572" w:type="dxa"/>
            <w:shd w:val="clear" w:color="auto" w:fill="FF0000"/>
            <w:vAlign w:val="center"/>
          </w:tcPr>
          <w:p w14:paraId="6F793D7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1.005</w:t>
            </w:r>
          </w:p>
          <w:p w14:paraId="1938434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=1.511</w:t>
            </w:r>
          </w:p>
        </w:tc>
        <w:tc>
          <w:tcPr>
            <w:tcW w:w="3770" w:type="dxa"/>
            <w:shd w:val="clear" w:color="auto" w:fill="auto"/>
          </w:tcPr>
          <w:p w14:paraId="1E7A634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58402649"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009A9E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tc>
        <w:tc>
          <w:tcPr>
            <w:tcW w:w="1746" w:type="dxa"/>
            <w:shd w:val="clear" w:color="auto" w:fill="auto"/>
          </w:tcPr>
          <w:p w14:paraId="7DC774D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16FB2769" w14:textId="77777777" w:rsidTr="00BC1D4B">
        <w:tc>
          <w:tcPr>
            <w:cnfStyle w:val="001000000000" w:firstRow="0" w:lastRow="0" w:firstColumn="1" w:lastColumn="0" w:oddVBand="0" w:evenVBand="0" w:oddHBand="0" w:evenHBand="0" w:firstRowFirstColumn="0" w:firstRowLastColumn="0" w:lastRowFirstColumn="0" w:lastRowLastColumn="0"/>
            <w:tcW w:w="501" w:type="dxa"/>
            <w:vAlign w:val="center"/>
          </w:tcPr>
          <w:p w14:paraId="2CFA64EC"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18</w:t>
            </w:r>
          </w:p>
        </w:tc>
        <w:tc>
          <w:tcPr>
            <w:tcW w:w="4118" w:type="dxa"/>
            <w:gridSpan w:val="2"/>
            <w:vAlign w:val="center"/>
          </w:tcPr>
          <w:p w14:paraId="1CFE7206"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or re-packing - End of Life Tyre: Energy recovery: other</w:t>
            </w:r>
          </w:p>
        </w:tc>
        <w:tc>
          <w:tcPr>
            <w:tcW w:w="1735" w:type="dxa"/>
            <w:vAlign w:val="center"/>
          </w:tcPr>
          <w:p w14:paraId="6869242C"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249D9D94"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8b</w:t>
            </w:r>
          </w:p>
        </w:tc>
        <w:tc>
          <w:tcPr>
            <w:tcW w:w="1572" w:type="dxa"/>
            <w:shd w:val="clear" w:color="auto" w:fill="FF0000"/>
            <w:vAlign w:val="center"/>
          </w:tcPr>
          <w:p w14:paraId="4DB2F85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65ED85E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=1.025</w:t>
            </w:r>
          </w:p>
        </w:tc>
        <w:tc>
          <w:tcPr>
            <w:tcW w:w="3770" w:type="dxa"/>
            <w:shd w:val="clear" w:color="auto" w:fill="auto"/>
          </w:tcPr>
          <w:p w14:paraId="643600FF"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06D124EF"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082A6B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4F417AD0"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E11655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tc>
        <w:tc>
          <w:tcPr>
            <w:tcW w:w="1746" w:type="dxa"/>
            <w:shd w:val="clear" w:color="auto" w:fill="auto"/>
          </w:tcPr>
          <w:p w14:paraId="1C69840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5EA17D2B"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Align w:val="center"/>
          </w:tcPr>
          <w:p w14:paraId="3C23AE54"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19</w:t>
            </w:r>
          </w:p>
        </w:tc>
        <w:tc>
          <w:tcPr>
            <w:tcW w:w="4118" w:type="dxa"/>
            <w:gridSpan w:val="2"/>
            <w:vAlign w:val="center"/>
          </w:tcPr>
          <w:p w14:paraId="3FE3956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or re-packing - End of Life Tyre: Electric arc furnace</w:t>
            </w:r>
          </w:p>
        </w:tc>
        <w:tc>
          <w:tcPr>
            <w:tcW w:w="1735" w:type="dxa"/>
            <w:vAlign w:val="center"/>
          </w:tcPr>
          <w:p w14:paraId="18E81FF6"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1C1EDE0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8b</w:t>
            </w:r>
          </w:p>
        </w:tc>
        <w:tc>
          <w:tcPr>
            <w:tcW w:w="1572" w:type="dxa"/>
            <w:shd w:val="clear" w:color="auto" w:fill="FF0000"/>
            <w:vAlign w:val="center"/>
          </w:tcPr>
          <w:p w14:paraId="6738C58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07FF9A9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=1.025</w:t>
            </w:r>
          </w:p>
        </w:tc>
        <w:tc>
          <w:tcPr>
            <w:tcW w:w="3770" w:type="dxa"/>
            <w:shd w:val="clear" w:color="auto" w:fill="auto"/>
          </w:tcPr>
          <w:p w14:paraId="73DABA6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292D943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49C3F5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09362D38"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E717D8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tc>
        <w:tc>
          <w:tcPr>
            <w:tcW w:w="1746" w:type="dxa"/>
            <w:shd w:val="clear" w:color="auto" w:fill="auto"/>
          </w:tcPr>
          <w:p w14:paraId="62EAA3F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12BDF394" w14:textId="77777777" w:rsidTr="00BC1D4B">
        <w:tc>
          <w:tcPr>
            <w:cnfStyle w:val="001000000000" w:firstRow="0" w:lastRow="0" w:firstColumn="1" w:lastColumn="0" w:oddVBand="0" w:evenVBand="0" w:oddHBand="0" w:evenHBand="0" w:firstRowFirstColumn="0" w:firstRowLastColumn="0" w:lastRowFirstColumn="0" w:lastRowLastColumn="0"/>
            <w:tcW w:w="501" w:type="dxa"/>
            <w:vAlign w:val="center"/>
          </w:tcPr>
          <w:p w14:paraId="744BC22B"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20</w:t>
            </w:r>
          </w:p>
        </w:tc>
        <w:tc>
          <w:tcPr>
            <w:tcW w:w="4118" w:type="dxa"/>
            <w:gridSpan w:val="2"/>
            <w:vAlign w:val="center"/>
          </w:tcPr>
          <w:p w14:paraId="1964ECE0"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Formulation or re-packing - End of Life Tyre: Devulcanization/reclaim</w:t>
            </w:r>
          </w:p>
        </w:tc>
        <w:tc>
          <w:tcPr>
            <w:tcW w:w="1735" w:type="dxa"/>
            <w:vAlign w:val="center"/>
          </w:tcPr>
          <w:p w14:paraId="4FE00D97"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617626E1"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8b</w:t>
            </w:r>
          </w:p>
        </w:tc>
        <w:tc>
          <w:tcPr>
            <w:tcW w:w="1572" w:type="dxa"/>
            <w:shd w:val="clear" w:color="auto" w:fill="FF0000"/>
            <w:vAlign w:val="center"/>
          </w:tcPr>
          <w:p w14:paraId="0CBE7B7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0292D25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=1.025</w:t>
            </w:r>
          </w:p>
        </w:tc>
        <w:tc>
          <w:tcPr>
            <w:tcW w:w="3770" w:type="dxa"/>
            <w:shd w:val="clear" w:color="auto" w:fill="auto"/>
          </w:tcPr>
          <w:p w14:paraId="559BBB6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527144EC"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E6DEEC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3A6ED284"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488ED39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tc>
        <w:tc>
          <w:tcPr>
            <w:tcW w:w="1746" w:type="dxa"/>
            <w:shd w:val="clear" w:color="auto" w:fill="auto"/>
          </w:tcPr>
          <w:p w14:paraId="2A58263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1C25FC0C"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gridSpan w:val="2"/>
            <w:shd w:val="clear" w:color="auto" w:fill="1F3864"/>
          </w:tcPr>
          <w:p w14:paraId="1C363D13" w14:textId="77777777" w:rsidR="00BC1D4B" w:rsidRDefault="00BC1D4B">
            <w:pPr>
              <w:spacing w:after="0"/>
              <w:rPr>
                <w:rFonts w:ascii="Verdana" w:hAnsi="Verdana" w:cs="Calibri"/>
                <w:sz w:val="18"/>
                <w:szCs w:val="18"/>
                <w:lang w:val="en-US"/>
              </w:rPr>
            </w:pPr>
          </w:p>
        </w:tc>
        <w:tc>
          <w:tcPr>
            <w:tcW w:w="7157" w:type="dxa"/>
            <w:gridSpan w:val="4"/>
            <w:shd w:val="clear" w:color="auto" w:fill="1F3864"/>
            <w:vAlign w:val="center"/>
          </w:tcPr>
          <w:p w14:paraId="67D1C03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Use at industrial sites</w:t>
            </w:r>
          </w:p>
        </w:tc>
        <w:tc>
          <w:tcPr>
            <w:tcW w:w="3770" w:type="dxa"/>
            <w:shd w:val="clear" w:color="auto" w:fill="1F3864"/>
          </w:tcPr>
          <w:p w14:paraId="74C8E928"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46" w:type="dxa"/>
            <w:shd w:val="clear" w:color="auto" w:fill="1F3864"/>
          </w:tcPr>
          <w:p w14:paraId="5AA58D2E"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r>
      <w:tr w:rsidR="00BC1D4B" w14:paraId="5A3B9B54"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78432622"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5</w:t>
            </w:r>
          </w:p>
        </w:tc>
        <w:tc>
          <w:tcPr>
            <w:tcW w:w="4118" w:type="dxa"/>
            <w:gridSpan w:val="2"/>
            <w:vMerge w:val="restart"/>
            <w:vAlign w:val="center"/>
          </w:tcPr>
          <w:p w14:paraId="431AD505"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Use at industrial sites - Manufacture of General Rubber Goods (Grad PD, C, GC &amp; Mixland) - According to ETRMA.</w:t>
            </w:r>
          </w:p>
        </w:tc>
        <w:tc>
          <w:tcPr>
            <w:tcW w:w="1735" w:type="dxa"/>
            <w:vAlign w:val="center"/>
          </w:tcPr>
          <w:p w14:paraId="776B059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4</w:t>
            </w:r>
          </w:p>
        </w:tc>
        <w:tc>
          <w:tcPr>
            <w:tcW w:w="834" w:type="dxa"/>
            <w:shd w:val="clear" w:color="auto" w:fill="auto"/>
            <w:vAlign w:val="center"/>
          </w:tcPr>
          <w:p w14:paraId="5FC27DD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4361C6D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1.46</w:t>
            </w:r>
          </w:p>
          <w:p w14:paraId="19151E7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 1.49</w:t>
            </w:r>
          </w:p>
        </w:tc>
        <w:tc>
          <w:tcPr>
            <w:tcW w:w="3770" w:type="dxa"/>
            <w:shd w:val="clear" w:color="auto" w:fill="auto"/>
          </w:tcPr>
          <w:p w14:paraId="5A3F5DB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4BFB8AE0"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0C0B993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Local exhaust ventilation: specifically designed fixed capturing hood, on tool extraction or enclosing hoods (assumed effectiveness = 90-95%)</w:t>
            </w:r>
          </w:p>
          <w:p w14:paraId="340133F6"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2D33369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Advanced occupational Health and Safety Management System</w:t>
            </w:r>
          </w:p>
          <w:p w14:paraId="20C1161F"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2A7A54A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rPr>
              <w:t>Eye protection</w:t>
            </w:r>
          </w:p>
        </w:tc>
        <w:tc>
          <w:tcPr>
            <w:tcW w:w="1746" w:type="dxa"/>
            <w:shd w:val="clear" w:color="auto" w:fill="auto"/>
          </w:tcPr>
          <w:p w14:paraId="320DE5F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rPr>
              <w:t>TRA Workers 3.0</w:t>
            </w:r>
          </w:p>
        </w:tc>
      </w:tr>
      <w:tr w:rsidR="00BC1D4B" w14:paraId="3FA49E67"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3BC2CF9D" w14:textId="77777777" w:rsidR="00BC1D4B" w:rsidRDefault="00BC1D4B">
            <w:pPr>
              <w:spacing w:after="0"/>
              <w:jc w:val="center"/>
              <w:rPr>
                <w:rFonts w:ascii="Verdana" w:hAnsi="Verdana" w:cs="Calibri"/>
                <w:sz w:val="18"/>
                <w:szCs w:val="18"/>
                <w:lang w:val="en-US"/>
              </w:rPr>
            </w:pPr>
          </w:p>
        </w:tc>
        <w:tc>
          <w:tcPr>
            <w:tcW w:w="4118" w:type="dxa"/>
            <w:gridSpan w:val="2"/>
            <w:vMerge/>
          </w:tcPr>
          <w:p w14:paraId="3BA39BAB"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0E97BC9A"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5</w:t>
            </w:r>
          </w:p>
        </w:tc>
        <w:tc>
          <w:tcPr>
            <w:tcW w:w="834" w:type="dxa"/>
            <w:shd w:val="clear" w:color="auto" w:fill="auto"/>
            <w:vAlign w:val="center"/>
          </w:tcPr>
          <w:p w14:paraId="6E2B0C60"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0486B41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Combined route RCR = 1.04</w:t>
            </w:r>
          </w:p>
        </w:tc>
        <w:tc>
          <w:tcPr>
            <w:tcW w:w="3770" w:type="dxa"/>
            <w:shd w:val="clear" w:color="auto" w:fill="auto"/>
          </w:tcPr>
          <w:p w14:paraId="3EB6A6F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002F89A7"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3AC0892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Advanced occupational Health and Safety Management System</w:t>
            </w:r>
          </w:p>
          <w:p w14:paraId="075BAEC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634D2DA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95% dermal protection effectiveness </w:t>
            </w:r>
          </w:p>
          <w:p w14:paraId="22DD81A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26C4255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Eye protection</w:t>
            </w:r>
          </w:p>
        </w:tc>
        <w:tc>
          <w:tcPr>
            <w:tcW w:w="1746" w:type="dxa"/>
            <w:shd w:val="clear" w:color="auto" w:fill="auto"/>
          </w:tcPr>
          <w:p w14:paraId="4DDA02A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rPr>
              <w:t>TRA Workers 3.0</w:t>
            </w:r>
          </w:p>
        </w:tc>
      </w:tr>
      <w:tr w:rsidR="00BC1D4B" w14:paraId="41CC3BB6"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295DB82D" w14:textId="77777777" w:rsidR="00BC1D4B" w:rsidRDefault="00BC1D4B">
            <w:pPr>
              <w:spacing w:after="0"/>
              <w:jc w:val="center"/>
              <w:rPr>
                <w:rFonts w:ascii="Verdana" w:hAnsi="Verdana" w:cs="Calibri"/>
                <w:sz w:val="18"/>
                <w:szCs w:val="18"/>
                <w:lang w:val="en-US"/>
              </w:rPr>
            </w:pPr>
          </w:p>
        </w:tc>
        <w:tc>
          <w:tcPr>
            <w:tcW w:w="4118" w:type="dxa"/>
            <w:gridSpan w:val="2"/>
            <w:vMerge/>
          </w:tcPr>
          <w:p w14:paraId="0B6F5943"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49C01AAF"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6</w:t>
            </w:r>
          </w:p>
        </w:tc>
        <w:tc>
          <w:tcPr>
            <w:tcW w:w="834" w:type="dxa"/>
            <w:shd w:val="clear" w:color="auto" w:fill="auto"/>
            <w:vAlign w:val="center"/>
          </w:tcPr>
          <w:p w14:paraId="69CC8004"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65580E7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Inhalation = 1.01</w:t>
            </w:r>
          </w:p>
          <w:p w14:paraId="7E30C6F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 1.50</w:t>
            </w:r>
          </w:p>
        </w:tc>
        <w:tc>
          <w:tcPr>
            <w:tcW w:w="3770" w:type="dxa"/>
            <w:shd w:val="clear" w:color="auto" w:fill="auto"/>
          </w:tcPr>
          <w:p w14:paraId="304E1813"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3EFE4DAB"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CF67EE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576E247A"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77A32A3"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65F57AA5"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156EE73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90% dermal protection effectiveness </w:t>
            </w:r>
          </w:p>
          <w:p w14:paraId="5AA898DF"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0FD7AD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675DEC5B"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9415AF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Respiratory protection (APF = 10)</w:t>
            </w:r>
          </w:p>
        </w:tc>
        <w:tc>
          <w:tcPr>
            <w:tcW w:w="1746" w:type="dxa"/>
            <w:shd w:val="clear" w:color="auto" w:fill="auto"/>
          </w:tcPr>
          <w:p w14:paraId="7B4C866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rPr>
              <w:t>TRA Workers 3.0</w:t>
            </w:r>
          </w:p>
        </w:tc>
      </w:tr>
      <w:tr w:rsidR="00BC1D4B" w14:paraId="3D0BDAB8"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531B945A" w14:textId="77777777" w:rsidR="00BC1D4B" w:rsidRDefault="00BC1D4B">
            <w:pPr>
              <w:spacing w:after="0"/>
              <w:jc w:val="center"/>
              <w:rPr>
                <w:rFonts w:ascii="Verdana" w:hAnsi="Verdana" w:cs="Calibri"/>
                <w:sz w:val="18"/>
                <w:szCs w:val="18"/>
                <w:lang w:val="en-US"/>
              </w:rPr>
            </w:pPr>
          </w:p>
        </w:tc>
        <w:tc>
          <w:tcPr>
            <w:tcW w:w="4118" w:type="dxa"/>
            <w:gridSpan w:val="2"/>
            <w:vMerge/>
          </w:tcPr>
          <w:p w14:paraId="6417155D"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649B745D"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9</w:t>
            </w:r>
          </w:p>
        </w:tc>
        <w:tc>
          <w:tcPr>
            <w:tcW w:w="834" w:type="dxa"/>
            <w:shd w:val="clear" w:color="auto" w:fill="auto"/>
            <w:vAlign w:val="center"/>
          </w:tcPr>
          <w:p w14:paraId="3ACBFCF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5</w:t>
            </w:r>
          </w:p>
        </w:tc>
        <w:tc>
          <w:tcPr>
            <w:tcW w:w="1572" w:type="dxa"/>
            <w:shd w:val="clear" w:color="auto" w:fill="FF0000"/>
            <w:vAlign w:val="center"/>
          </w:tcPr>
          <w:p w14:paraId="3EB52A4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0.973</w:t>
            </w:r>
          </w:p>
          <w:p w14:paraId="47240B1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RCR Combined route = 1.61</w:t>
            </w:r>
          </w:p>
        </w:tc>
        <w:tc>
          <w:tcPr>
            <w:tcW w:w="3770" w:type="dxa"/>
            <w:shd w:val="clear" w:color="auto" w:fill="auto"/>
          </w:tcPr>
          <w:p w14:paraId="4CCA194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Basic room ventilation (up to 3 ACH)</w:t>
            </w:r>
          </w:p>
          <w:p w14:paraId="003924F9"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B4C05F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Local exhaust ventilation: specifically designed fixed capturing hood, on tool extraction or enclosing hoods (assumed effectiveness = 90-95%)</w:t>
            </w:r>
          </w:p>
          <w:p w14:paraId="1E8D1C8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68C932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79F621C5"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727A844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80% dermal protection effectiveness </w:t>
            </w:r>
          </w:p>
          <w:p w14:paraId="61310EB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20ED04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7D5A3F43"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A39E20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Respiratory protection (APF = 20)</w:t>
            </w:r>
          </w:p>
        </w:tc>
        <w:tc>
          <w:tcPr>
            <w:tcW w:w="1746" w:type="dxa"/>
            <w:shd w:val="clear" w:color="auto" w:fill="auto"/>
          </w:tcPr>
          <w:p w14:paraId="69A0132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rPr>
              <w:lastRenderedPageBreak/>
              <w:t>TRA Workers 3.0</w:t>
            </w:r>
          </w:p>
        </w:tc>
      </w:tr>
      <w:tr w:rsidR="00BC1D4B" w14:paraId="5513139B"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0AD2A1FC" w14:textId="77777777" w:rsidR="00BC1D4B" w:rsidRDefault="00BC1D4B">
            <w:pPr>
              <w:spacing w:after="0"/>
              <w:jc w:val="center"/>
              <w:rPr>
                <w:rFonts w:ascii="Verdana" w:hAnsi="Verdana" w:cs="Calibri"/>
                <w:sz w:val="18"/>
                <w:szCs w:val="18"/>
                <w:lang w:val="en-US"/>
              </w:rPr>
            </w:pPr>
          </w:p>
        </w:tc>
        <w:tc>
          <w:tcPr>
            <w:tcW w:w="4118" w:type="dxa"/>
            <w:gridSpan w:val="2"/>
            <w:vMerge/>
          </w:tcPr>
          <w:p w14:paraId="4D9CEB8E"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18058A7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10</w:t>
            </w:r>
          </w:p>
        </w:tc>
        <w:tc>
          <w:tcPr>
            <w:tcW w:w="834" w:type="dxa"/>
            <w:shd w:val="clear" w:color="auto" w:fill="auto"/>
            <w:vAlign w:val="center"/>
          </w:tcPr>
          <w:p w14:paraId="279DD5F1"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5</w:t>
            </w:r>
          </w:p>
        </w:tc>
        <w:tc>
          <w:tcPr>
            <w:tcW w:w="1572" w:type="dxa"/>
            <w:shd w:val="clear" w:color="auto" w:fill="FF0000"/>
            <w:vAlign w:val="center"/>
          </w:tcPr>
          <w:p w14:paraId="6D2548C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4A66E0E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 1.61</w:t>
            </w:r>
          </w:p>
        </w:tc>
        <w:tc>
          <w:tcPr>
            <w:tcW w:w="3770" w:type="dxa"/>
            <w:shd w:val="clear" w:color="auto" w:fill="auto"/>
          </w:tcPr>
          <w:p w14:paraId="67CEBE4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0166AB20"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ABF8B5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01527D74"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4A3841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200F1BA2"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7EA3DA6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90% dermal protection effectiveness </w:t>
            </w:r>
          </w:p>
          <w:p w14:paraId="6EFECFB3"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4072F30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14E2F84A"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25BFC0F"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Respiratory protection (APF = 10)</w:t>
            </w:r>
          </w:p>
        </w:tc>
        <w:tc>
          <w:tcPr>
            <w:tcW w:w="1746" w:type="dxa"/>
            <w:shd w:val="clear" w:color="auto" w:fill="auto"/>
          </w:tcPr>
          <w:p w14:paraId="7DE1A8B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rPr>
              <w:t>TRA Workers 3.0</w:t>
            </w:r>
          </w:p>
        </w:tc>
      </w:tr>
      <w:tr w:rsidR="00BC1D4B" w14:paraId="656CDA52"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57E3FCF2" w14:textId="77777777" w:rsidR="00BC1D4B" w:rsidRDefault="00BC1D4B">
            <w:pPr>
              <w:spacing w:after="0"/>
              <w:jc w:val="center"/>
              <w:rPr>
                <w:rFonts w:ascii="Verdana" w:hAnsi="Verdana" w:cs="Calibri"/>
                <w:sz w:val="18"/>
                <w:szCs w:val="18"/>
                <w:lang w:val="en-US"/>
              </w:rPr>
            </w:pPr>
          </w:p>
        </w:tc>
        <w:tc>
          <w:tcPr>
            <w:tcW w:w="4118" w:type="dxa"/>
            <w:gridSpan w:val="2"/>
            <w:vMerge/>
          </w:tcPr>
          <w:p w14:paraId="606BAF5F"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1E33B917"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12</w:t>
            </w:r>
          </w:p>
        </w:tc>
        <w:tc>
          <w:tcPr>
            <w:tcW w:w="834" w:type="dxa"/>
            <w:shd w:val="clear" w:color="auto" w:fill="auto"/>
            <w:vAlign w:val="center"/>
          </w:tcPr>
          <w:p w14:paraId="41505835"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4254D39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Inhalation = 1.01</w:t>
            </w:r>
          </w:p>
          <w:p w14:paraId="4B45A4F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1.50</w:t>
            </w:r>
          </w:p>
        </w:tc>
        <w:tc>
          <w:tcPr>
            <w:tcW w:w="3770" w:type="dxa"/>
            <w:shd w:val="clear" w:color="auto" w:fill="auto"/>
          </w:tcPr>
          <w:p w14:paraId="49D572A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1C9CB7AE"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33F527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6F4BB1A3"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5EAB79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58913188"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52611E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 xml:space="preserve">90% dermal protection effectiveness </w:t>
            </w:r>
          </w:p>
          <w:p w14:paraId="3089F9E0"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843E53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1FBE06FD"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81EE9B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34F9924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706293E5"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1C006EA8" w14:textId="77777777" w:rsidR="00BC1D4B" w:rsidRDefault="00BC1D4B">
            <w:pPr>
              <w:spacing w:after="0"/>
              <w:jc w:val="center"/>
              <w:rPr>
                <w:rFonts w:ascii="Verdana" w:hAnsi="Verdana" w:cs="Calibri"/>
                <w:sz w:val="18"/>
                <w:szCs w:val="18"/>
                <w:lang w:val="en-US"/>
              </w:rPr>
            </w:pPr>
          </w:p>
        </w:tc>
        <w:tc>
          <w:tcPr>
            <w:tcW w:w="4118" w:type="dxa"/>
            <w:gridSpan w:val="2"/>
            <w:vMerge/>
          </w:tcPr>
          <w:p w14:paraId="57A1E7F7"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794CCCC3"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17</w:t>
            </w:r>
          </w:p>
        </w:tc>
        <w:tc>
          <w:tcPr>
            <w:tcW w:w="834" w:type="dxa"/>
            <w:shd w:val="clear" w:color="auto" w:fill="auto"/>
            <w:vAlign w:val="center"/>
          </w:tcPr>
          <w:p w14:paraId="12585379"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8b</w:t>
            </w:r>
          </w:p>
        </w:tc>
        <w:tc>
          <w:tcPr>
            <w:tcW w:w="1572" w:type="dxa"/>
            <w:shd w:val="clear" w:color="auto" w:fill="FF0000"/>
            <w:vAlign w:val="center"/>
          </w:tcPr>
          <w:p w14:paraId="6186FB8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=1.461</w:t>
            </w:r>
          </w:p>
          <w:p w14:paraId="126C818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=1.476</w:t>
            </w:r>
          </w:p>
        </w:tc>
        <w:tc>
          <w:tcPr>
            <w:tcW w:w="3770" w:type="dxa"/>
            <w:shd w:val="clear" w:color="auto" w:fill="auto"/>
          </w:tcPr>
          <w:p w14:paraId="67B2BC5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4EF01F56"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CEEF5E3"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enclosing hood with very high effectiveness such as fume cupboard (assumed effectiveness = 95%)</w:t>
            </w:r>
          </w:p>
          <w:p w14:paraId="265C08E4"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3CDDD6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7BB2C82C"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4B63C7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2E3989A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6B4A41C9"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10D0BC4B" w14:textId="77777777" w:rsidR="00BC1D4B" w:rsidRDefault="00BC1D4B">
            <w:pPr>
              <w:spacing w:after="0"/>
              <w:jc w:val="center"/>
              <w:rPr>
                <w:rFonts w:ascii="Verdana" w:hAnsi="Verdana" w:cs="Calibri"/>
                <w:sz w:val="18"/>
                <w:szCs w:val="18"/>
                <w:lang w:val="en-US"/>
              </w:rPr>
            </w:pPr>
          </w:p>
        </w:tc>
        <w:tc>
          <w:tcPr>
            <w:tcW w:w="4118" w:type="dxa"/>
            <w:gridSpan w:val="2"/>
            <w:vMerge/>
          </w:tcPr>
          <w:p w14:paraId="32D445B7"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1483475D"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18</w:t>
            </w:r>
          </w:p>
        </w:tc>
        <w:tc>
          <w:tcPr>
            <w:tcW w:w="834" w:type="dxa"/>
            <w:shd w:val="clear" w:color="auto" w:fill="auto"/>
            <w:vAlign w:val="center"/>
          </w:tcPr>
          <w:p w14:paraId="0B557203"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5</w:t>
            </w:r>
          </w:p>
        </w:tc>
        <w:tc>
          <w:tcPr>
            <w:tcW w:w="1572" w:type="dxa"/>
            <w:shd w:val="clear" w:color="auto" w:fill="FF0000"/>
            <w:vAlign w:val="center"/>
          </w:tcPr>
          <w:p w14:paraId="68038B8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6B0D450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 1.42</w:t>
            </w:r>
          </w:p>
        </w:tc>
        <w:tc>
          <w:tcPr>
            <w:tcW w:w="3770" w:type="dxa"/>
            <w:shd w:val="clear" w:color="auto" w:fill="auto"/>
          </w:tcPr>
          <w:p w14:paraId="771D650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3DBA58FF"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0F50E2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Local exhaust ventilation: Yes, specifically designed fixed capturing hood, on tool extraction or enclosing hoods (assumed effectiveness = 90-95%)</w:t>
            </w:r>
          </w:p>
          <w:p w14:paraId="442D782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1F67B65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68CB8564"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62C9405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5DB642D7"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42F07E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0B4EDB9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508A84E4"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1ACA9C61" w14:textId="77777777" w:rsidR="00BC1D4B" w:rsidRDefault="00BC1D4B">
            <w:pPr>
              <w:spacing w:after="0"/>
              <w:jc w:val="center"/>
              <w:rPr>
                <w:rFonts w:ascii="Verdana" w:hAnsi="Verdana" w:cs="Calibri"/>
                <w:sz w:val="18"/>
                <w:szCs w:val="18"/>
                <w:lang w:val="en-US"/>
              </w:rPr>
            </w:pPr>
          </w:p>
        </w:tc>
        <w:tc>
          <w:tcPr>
            <w:tcW w:w="4118" w:type="dxa"/>
            <w:gridSpan w:val="2"/>
            <w:vMerge/>
          </w:tcPr>
          <w:p w14:paraId="69DDFF7D"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049F5ED7"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19</w:t>
            </w:r>
          </w:p>
        </w:tc>
        <w:tc>
          <w:tcPr>
            <w:tcW w:w="834" w:type="dxa"/>
            <w:shd w:val="clear" w:color="auto" w:fill="auto"/>
            <w:vAlign w:val="center"/>
          </w:tcPr>
          <w:p w14:paraId="71061E51"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12C5FCD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5080AD4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1.42</w:t>
            </w:r>
          </w:p>
        </w:tc>
        <w:tc>
          <w:tcPr>
            <w:tcW w:w="3770" w:type="dxa"/>
            <w:shd w:val="clear" w:color="auto" w:fill="auto"/>
          </w:tcPr>
          <w:p w14:paraId="73843DF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334AA113"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112161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Local exhaust ventilation: Yes, specifically designed fixed capturing hood, on tool extraction or enclosing </w:t>
            </w:r>
            <w:r>
              <w:rPr>
                <w:rFonts w:ascii="Verdana" w:hAnsi="Verdana"/>
                <w:sz w:val="18"/>
                <w:szCs w:val="18"/>
                <w:lang w:val="en-US"/>
              </w:rPr>
              <w:lastRenderedPageBreak/>
              <w:t>hoods (assumed effectiveness = 90-95%)</w:t>
            </w:r>
          </w:p>
          <w:p w14:paraId="3DE749ED"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6D0BD87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7A7B74F6"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D4302C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3ECE0DB8"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01F110B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181AA07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1013FCF1" w14:textId="77777777" w:rsidTr="00BC1D4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01" w:type="dxa"/>
            <w:vMerge/>
          </w:tcPr>
          <w:p w14:paraId="6D190E3E" w14:textId="77777777" w:rsidR="00BC1D4B" w:rsidRDefault="00BC1D4B">
            <w:pPr>
              <w:spacing w:after="0"/>
              <w:jc w:val="center"/>
              <w:rPr>
                <w:rFonts w:ascii="Verdana" w:hAnsi="Verdana" w:cs="Calibri"/>
                <w:sz w:val="18"/>
                <w:szCs w:val="18"/>
                <w:lang w:val="en-US"/>
              </w:rPr>
            </w:pPr>
          </w:p>
        </w:tc>
        <w:tc>
          <w:tcPr>
            <w:tcW w:w="4118" w:type="dxa"/>
            <w:gridSpan w:val="2"/>
            <w:vMerge/>
          </w:tcPr>
          <w:p w14:paraId="7544648B"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5BD22AC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20</w:t>
            </w:r>
          </w:p>
        </w:tc>
        <w:tc>
          <w:tcPr>
            <w:tcW w:w="834" w:type="dxa"/>
            <w:shd w:val="clear" w:color="auto" w:fill="auto"/>
            <w:vAlign w:val="center"/>
          </w:tcPr>
          <w:p w14:paraId="28C0A928"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C000"/>
            <w:vAlign w:val="center"/>
          </w:tcPr>
          <w:p w14:paraId="02261D3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=0.932</w:t>
            </w:r>
          </w:p>
        </w:tc>
        <w:tc>
          <w:tcPr>
            <w:tcW w:w="3770" w:type="dxa"/>
            <w:shd w:val="clear" w:color="auto" w:fill="auto"/>
          </w:tcPr>
          <w:p w14:paraId="0B3C0EA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1A0B6C60"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349567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Yes, specifically designed fixed capturing hood, on tool extraction or enclosing hoods (assumed effectiveness = 90-95%)</w:t>
            </w:r>
          </w:p>
          <w:p w14:paraId="6F86D547"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2B0F63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79E335EF"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1C98FF5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3489A891"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014A05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5257DF0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2EDF0C13"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69DB6484" w14:textId="77777777" w:rsidR="00BC1D4B" w:rsidRDefault="00BC1D4B">
            <w:pPr>
              <w:spacing w:after="0"/>
              <w:jc w:val="center"/>
              <w:rPr>
                <w:rFonts w:ascii="Verdana" w:hAnsi="Verdana" w:cs="Calibri"/>
                <w:sz w:val="18"/>
                <w:szCs w:val="18"/>
                <w:lang w:val="en-US"/>
              </w:rPr>
            </w:pPr>
          </w:p>
        </w:tc>
        <w:tc>
          <w:tcPr>
            <w:tcW w:w="4118" w:type="dxa"/>
            <w:gridSpan w:val="2"/>
            <w:vMerge/>
          </w:tcPr>
          <w:p w14:paraId="20AC1A49"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05791F71"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21</w:t>
            </w:r>
          </w:p>
        </w:tc>
        <w:tc>
          <w:tcPr>
            <w:tcW w:w="834" w:type="dxa"/>
            <w:shd w:val="clear" w:color="auto" w:fill="auto"/>
            <w:vAlign w:val="center"/>
          </w:tcPr>
          <w:p w14:paraId="12B7D904"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320D335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0.98</w:t>
            </w:r>
          </w:p>
          <w:p w14:paraId="3F765B2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1.08</w:t>
            </w:r>
          </w:p>
        </w:tc>
        <w:tc>
          <w:tcPr>
            <w:tcW w:w="3770" w:type="dxa"/>
            <w:shd w:val="clear" w:color="auto" w:fill="auto"/>
          </w:tcPr>
          <w:p w14:paraId="3A92DD6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2F43844B"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4C36F19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72DFC8A2"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0E20DC53"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1DB11E2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206EED6B"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3DDEEE13" w14:textId="77777777" w:rsidR="00BC1D4B" w:rsidRDefault="00BC1D4B">
            <w:pPr>
              <w:spacing w:after="0"/>
              <w:jc w:val="center"/>
              <w:rPr>
                <w:rFonts w:ascii="Verdana" w:hAnsi="Verdana" w:cs="Calibri"/>
                <w:sz w:val="18"/>
                <w:szCs w:val="18"/>
                <w:lang w:val="en-US"/>
              </w:rPr>
            </w:pPr>
          </w:p>
        </w:tc>
        <w:tc>
          <w:tcPr>
            <w:tcW w:w="4118" w:type="dxa"/>
            <w:gridSpan w:val="2"/>
            <w:vMerge/>
          </w:tcPr>
          <w:p w14:paraId="2C601915"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7DAF0DB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22</w:t>
            </w:r>
          </w:p>
        </w:tc>
        <w:tc>
          <w:tcPr>
            <w:tcW w:w="834" w:type="dxa"/>
            <w:shd w:val="clear" w:color="auto" w:fill="auto"/>
            <w:vAlign w:val="center"/>
          </w:tcPr>
          <w:p w14:paraId="3FAE5CE8"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1F2EFCE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1.22</w:t>
            </w:r>
          </w:p>
          <w:p w14:paraId="68AA2FB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1.27</w:t>
            </w:r>
          </w:p>
        </w:tc>
        <w:tc>
          <w:tcPr>
            <w:tcW w:w="3770" w:type="dxa"/>
            <w:shd w:val="clear" w:color="auto" w:fill="auto"/>
          </w:tcPr>
          <w:p w14:paraId="63F4957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39168285"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F99FA1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411B182C"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77B1A1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58A4B07B"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1134D8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1C911A25"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5A4AD7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199FBEF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1F81B38E"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5A96DEDD" w14:textId="77777777" w:rsidR="00BC1D4B" w:rsidRDefault="00BC1D4B">
            <w:pPr>
              <w:spacing w:after="0"/>
              <w:jc w:val="center"/>
              <w:rPr>
                <w:rFonts w:ascii="Verdana" w:hAnsi="Verdana" w:cs="Calibri"/>
                <w:sz w:val="18"/>
                <w:szCs w:val="18"/>
                <w:lang w:val="en-US"/>
              </w:rPr>
            </w:pPr>
          </w:p>
        </w:tc>
        <w:tc>
          <w:tcPr>
            <w:tcW w:w="4118" w:type="dxa"/>
            <w:gridSpan w:val="2"/>
            <w:vMerge/>
          </w:tcPr>
          <w:p w14:paraId="68F09894"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711A4CDD"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23</w:t>
            </w:r>
          </w:p>
        </w:tc>
        <w:tc>
          <w:tcPr>
            <w:tcW w:w="834" w:type="dxa"/>
            <w:shd w:val="clear" w:color="auto" w:fill="auto"/>
            <w:vAlign w:val="center"/>
          </w:tcPr>
          <w:p w14:paraId="1903B81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3EBA234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05E8E56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1.08</w:t>
            </w:r>
          </w:p>
        </w:tc>
        <w:tc>
          <w:tcPr>
            <w:tcW w:w="3770" w:type="dxa"/>
            <w:shd w:val="clear" w:color="auto" w:fill="auto"/>
          </w:tcPr>
          <w:p w14:paraId="52B4EB7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01B93E26"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A91E11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09750C6C"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A6A464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0A16F0BB"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D1DEEB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705C49A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5BB96414"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4DD2110C" w14:textId="77777777" w:rsidR="00BC1D4B" w:rsidRDefault="00BC1D4B">
            <w:pPr>
              <w:spacing w:after="0"/>
              <w:jc w:val="center"/>
              <w:rPr>
                <w:rFonts w:ascii="Verdana" w:hAnsi="Verdana" w:cs="Calibri"/>
                <w:sz w:val="18"/>
                <w:szCs w:val="18"/>
                <w:lang w:val="en-US"/>
              </w:rPr>
            </w:pPr>
          </w:p>
        </w:tc>
        <w:tc>
          <w:tcPr>
            <w:tcW w:w="4118" w:type="dxa"/>
            <w:gridSpan w:val="2"/>
            <w:vMerge/>
          </w:tcPr>
          <w:p w14:paraId="0EE4D79F"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7C30B59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24</w:t>
            </w:r>
          </w:p>
        </w:tc>
        <w:tc>
          <w:tcPr>
            <w:tcW w:w="834" w:type="dxa"/>
            <w:shd w:val="clear" w:color="auto" w:fill="auto"/>
            <w:vAlign w:val="center"/>
          </w:tcPr>
          <w:p w14:paraId="73B26E77"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10</w:t>
            </w:r>
          </w:p>
        </w:tc>
        <w:tc>
          <w:tcPr>
            <w:tcW w:w="1572" w:type="dxa"/>
            <w:shd w:val="clear" w:color="auto" w:fill="FF0000"/>
            <w:vAlign w:val="center"/>
          </w:tcPr>
          <w:p w14:paraId="1F44AF9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290FE32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1.03</w:t>
            </w:r>
          </w:p>
        </w:tc>
        <w:tc>
          <w:tcPr>
            <w:tcW w:w="3770" w:type="dxa"/>
            <w:shd w:val="clear" w:color="auto" w:fill="auto"/>
          </w:tcPr>
          <w:p w14:paraId="618B3A9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3552CB3B"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44B684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Local exhaust ventilation: specifically designed fixed capturing hood, on tool extraction or enclosing hoods (assumed effectiveness = 90-95%)</w:t>
            </w:r>
          </w:p>
          <w:p w14:paraId="1BEB6CF1"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31BF1F8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0C299746"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29D1D5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507C56D2"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D1B8E8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3538B66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7B6A6812"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72413FFC" w14:textId="77777777" w:rsidR="00BC1D4B" w:rsidRDefault="00BC1D4B">
            <w:pPr>
              <w:spacing w:after="0"/>
              <w:jc w:val="center"/>
              <w:rPr>
                <w:rFonts w:ascii="Verdana" w:hAnsi="Verdana" w:cs="Calibri"/>
                <w:sz w:val="18"/>
                <w:szCs w:val="18"/>
                <w:lang w:val="en-US"/>
              </w:rPr>
            </w:pPr>
          </w:p>
        </w:tc>
        <w:tc>
          <w:tcPr>
            <w:tcW w:w="4118" w:type="dxa"/>
            <w:gridSpan w:val="2"/>
            <w:vMerge/>
          </w:tcPr>
          <w:p w14:paraId="4C4095E4"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64C322A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25</w:t>
            </w:r>
          </w:p>
        </w:tc>
        <w:tc>
          <w:tcPr>
            <w:tcW w:w="834" w:type="dxa"/>
            <w:shd w:val="clear" w:color="auto" w:fill="auto"/>
            <w:vAlign w:val="center"/>
          </w:tcPr>
          <w:p w14:paraId="2D15E7F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13</w:t>
            </w:r>
          </w:p>
        </w:tc>
        <w:tc>
          <w:tcPr>
            <w:tcW w:w="1572" w:type="dxa"/>
            <w:shd w:val="clear" w:color="auto" w:fill="FF0000"/>
            <w:vAlign w:val="center"/>
          </w:tcPr>
          <w:p w14:paraId="3C70D38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w:t>
            </w:r>
          </w:p>
          <w:p w14:paraId="4F6F07D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 1.08</w:t>
            </w:r>
          </w:p>
        </w:tc>
        <w:tc>
          <w:tcPr>
            <w:tcW w:w="3770" w:type="dxa"/>
            <w:shd w:val="clear" w:color="auto" w:fill="auto"/>
          </w:tcPr>
          <w:p w14:paraId="718C358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2AEEF40F"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C159FE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54A4C440"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009A8D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90% dermal protection effectiveness</w:t>
            </w:r>
          </w:p>
          <w:p w14:paraId="1D9EEE90"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7532D57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3A34173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5DCB7317"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3C27805D" w14:textId="77777777" w:rsidR="00BC1D4B" w:rsidRDefault="00BC1D4B">
            <w:pPr>
              <w:spacing w:after="0"/>
              <w:jc w:val="center"/>
              <w:rPr>
                <w:rFonts w:ascii="Verdana" w:hAnsi="Verdana" w:cs="Calibri"/>
                <w:sz w:val="18"/>
                <w:szCs w:val="18"/>
                <w:lang w:val="en-US"/>
              </w:rPr>
            </w:pPr>
          </w:p>
        </w:tc>
        <w:tc>
          <w:tcPr>
            <w:tcW w:w="4118" w:type="dxa"/>
            <w:gridSpan w:val="2"/>
            <w:vMerge/>
          </w:tcPr>
          <w:p w14:paraId="52743325"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4EDAF798"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26</w:t>
            </w:r>
          </w:p>
        </w:tc>
        <w:tc>
          <w:tcPr>
            <w:tcW w:w="834" w:type="dxa"/>
            <w:shd w:val="clear" w:color="auto" w:fill="auto"/>
            <w:vAlign w:val="center"/>
          </w:tcPr>
          <w:p w14:paraId="4159644D"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10</w:t>
            </w:r>
          </w:p>
        </w:tc>
        <w:tc>
          <w:tcPr>
            <w:tcW w:w="1572" w:type="dxa"/>
            <w:shd w:val="clear" w:color="auto" w:fill="FF0000"/>
            <w:vAlign w:val="center"/>
          </w:tcPr>
          <w:p w14:paraId="1D69AEE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7A67679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 = 1.03</w:t>
            </w:r>
          </w:p>
        </w:tc>
        <w:tc>
          <w:tcPr>
            <w:tcW w:w="3770" w:type="dxa"/>
            <w:shd w:val="clear" w:color="auto" w:fill="auto"/>
          </w:tcPr>
          <w:p w14:paraId="6BFF363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38CF0AAF"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9D9B26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Local exhaust ventilation: specifically designed fixed capturing hood, on tool extraction or enclosing hoods (assumed effectiveness = 90-95%)</w:t>
            </w:r>
          </w:p>
          <w:p w14:paraId="2F9E7A5B"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6DC8B39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479FCE4D"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8BA3D6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7BD2AC06"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C1E5BF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13B9E67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3AE98348"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610B2FF7" w14:textId="77777777" w:rsidR="00BC1D4B" w:rsidRDefault="00BC1D4B">
            <w:pPr>
              <w:spacing w:after="0"/>
              <w:jc w:val="center"/>
              <w:rPr>
                <w:rFonts w:ascii="Verdana" w:hAnsi="Verdana" w:cs="Calibri"/>
                <w:sz w:val="18"/>
                <w:szCs w:val="18"/>
                <w:lang w:val="en-US"/>
              </w:rPr>
            </w:pPr>
          </w:p>
        </w:tc>
        <w:tc>
          <w:tcPr>
            <w:tcW w:w="4118" w:type="dxa"/>
            <w:gridSpan w:val="2"/>
            <w:vMerge/>
          </w:tcPr>
          <w:p w14:paraId="053C052E"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6A9F5F25"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31</w:t>
            </w:r>
          </w:p>
        </w:tc>
        <w:tc>
          <w:tcPr>
            <w:tcW w:w="834" w:type="dxa"/>
            <w:shd w:val="clear" w:color="auto" w:fill="auto"/>
            <w:vAlign w:val="center"/>
          </w:tcPr>
          <w:p w14:paraId="7F11F96F"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10</w:t>
            </w:r>
          </w:p>
        </w:tc>
        <w:tc>
          <w:tcPr>
            <w:tcW w:w="1572" w:type="dxa"/>
            <w:shd w:val="clear" w:color="auto" w:fill="FF0000"/>
            <w:vAlign w:val="center"/>
          </w:tcPr>
          <w:p w14:paraId="6F9B263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2E15CE7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1.075</w:t>
            </w:r>
          </w:p>
        </w:tc>
        <w:tc>
          <w:tcPr>
            <w:tcW w:w="3770" w:type="dxa"/>
            <w:shd w:val="clear" w:color="auto" w:fill="auto"/>
          </w:tcPr>
          <w:p w14:paraId="159DA363"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5B91DABD"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0581735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Local exhaust ventilation: specifically designed fixed capturing hood, on tool extraction or enclosing hoods (assumed effectiveness = 90-95%)</w:t>
            </w:r>
          </w:p>
          <w:p w14:paraId="52324238"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6D233CF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7BE72C77"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EA1D5E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5198D950"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FD5A169"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719E20B1"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A5927B3"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Respiratory protection (APF = 10)</w:t>
            </w:r>
          </w:p>
        </w:tc>
        <w:tc>
          <w:tcPr>
            <w:tcW w:w="1746" w:type="dxa"/>
            <w:shd w:val="clear" w:color="auto" w:fill="auto"/>
          </w:tcPr>
          <w:p w14:paraId="2954F28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4D202EDA" w14:textId="77777777" w:rsidTr="00BC1D4B">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01" w:type="dxa"/>
            <w:vMerge/>
          </w:tcPr>
          <w:p w14:paraId="2B5E3142" w14:textId="77777777" w:rsidR="00BC1D4B" w:rsidRDefault="00BC1D4B">
            <w:pPr>
              <w:spacing w:after="0"/>
              <w:jc w:val="center"/>
              <w:rPr>
                <w:rFonts w:ascii="Verdana" w:hAnsi="Verdana" w:cs="Calibri"/>
                <w:sz w:val="18"/>
                <w:szCs w:val="18"/>
                <w:lang w:val="en-US"/>
              </w:rPr>
            </w:pPr>
          </w:p>
        </w:tc>
        <w:tc>
          <w:tcPr>
            <w:tcW w:w="4118" w:type="dxa"/>
            <w:gridSpan w:val="2"/>
            <w:vMerge/>
          </w:tcPr>
          <w:p w14:paraId="57946B1F"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73DE5C4D"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35</w:t>
            </w:r>
          </w:p>
        </w:tc>
        <w:tc>
          <w:tcPr>
            <w:tcW w:w="834" w:type="dxa"/>
            <w:shd w:val="clear" w:color="auto" w:fill="auto"/>
            <w:vAlign w:val="center"/>
          </w:tcPr>
          <w:p w14:paraId="3487E03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10</w:t>
            </w:r>
          </w:p>
        </w:tc>
        <w:tc>
          <w:tcPr>
            <w:tcW w:w="1572" w:type="dxa"/>
            <w:shd w:val="clear" w:color="auto" w:fill="FF0000"/>
            <w:vAlign w:val="center"/>
          </w:tcPr>
          <w:p w14:paraId="5BB1B40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4B559CF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1.48</w:t>
            </w:r>
          </w:p>
        </w:tc>
        <w:tc>
          <w:tcPr>
            <w:tcW w:w="3770" w:type="dxa"/>
            <w:shd w:val="clear" w:color="auto" w:fill="auto"/>
          </w:tcPr>
          <w:p w14:paraId="2E743AD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3C0285B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7D103D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388C3B33"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6C7D7E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6BB3E5CE"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6F8404F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36BEB48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rPr>
              <w:t>TRA Workers 3.0</w:t>
            </w:r>
          </w:p>
        </w:tc>
      </w:tr>
      <w:tr w:rsidR="00BC1D4B" w14:paraId="4DD1A529"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66B2478C"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8</w:t>
            </w:r>
          </w:p>
        </w:tc>
        <w:tc>
          <w:tcPr>
            <w:tcW w:w="4118" w:type="dxa"/>
            <w:gridSpan w:val="2"/>
            <w:vMerge w:val="restart"/>
            <w:vAlign w:val="center"/>
          </w:tcPr>
          <w:p w14:paraId="606FA45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Use at industrial sites - pre-step tyre -- manufacturing and handling of DPG grad C // masterbatch</w:t>
            </w:r>
          </w:p>
        </w:tc>
        <w:tc>
          <w:tcPr>
            <w:tcW w:w="1735" w:type="dxa"/>
            <w:vAlign w:val="center"/>
          </w:tcPr>
          <w:p w14:paraId="36009FAF"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50FABCA3"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5</w:t>
            </w:r>
          </w:p>
        </w:tc>
        <w:tc>
          <w:tcPr>
            <w:tcW w:w="1572" w:type="dxa"/>
            <w:shd w:val="clear" w:color="auto" w:fill="FF0000"/>
            <w:vAlign w:val="center"/>
          </w:tcPr>
          <w:p w14:paraId="3E239EA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inhalation = 1.112</w:t>
            </w:r>
          </w:p>
          <w:p w14:paraId="778ADDB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1.6</w:t>
            </w:r>
          </w:p>
        </w:tc>
        <w:tc>
          <w:tcPr>
            <w:tcW w:w="3770" w:type="dxa"/>
            <w:shd w:val="clear" w:color="auto" w:fill="auto"/>
          </w:tcPr>
          <w:p w14:paraId="256875E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Basic Room ventilation (up to 3 ACH)</w:t>
            </w:r>
          </w:p>
          <w:p w14:paraId="33809A4E"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67AC655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Local exhaust ventilation: specifically designed fixed capturing hood, on tool extraction or enclosing hoods (assumed effectiveness = 90-95%)</w:t>
            </w:r>
          </w:p>
          <w:p w14:paraId="5BB7E376"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389E1C8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lastRenderedPageBreak/>
              <w:t>Advanced occupational Health and Safety Management System</w:t>
            </w:r>
          </w:p>
          <w:p w14:paraId="24BA42A3"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189B32E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90% dermal protection effectiveness</w:t>
            </w:r>
          </w:p>
          <w:p w14:paraId="14FC4034"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C37C98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733B3A8C"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42420C63"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Respiratory protection (APF = 20)</w:t>
            </w:r>
          </w:p>
        </w:tc>
        <w:tc>
          <w:tcPr>
            <w:tcW w:w="1746" w:type="dxa"/>
            <w:shd w:val="clear" w:color="auto" w:fill="auto"/>
          </w:tcPr>
          <w:p w14:paraId="7AE211C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35B0BFB5"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7EB9FF04" w14:textId="77777777" w:rsidR="00BC1D4B" w:rsidRDefault="00BC1D4B">
            <w:pPr>
              <w:spacing w:after="0"/>
              <w:jc w:val="center"/>
              <w:rPr>
                <w:rFonts w:ascii="Verdana" w:hAnsi="Verdana" w:cs="Calibri"/>
                <w:sz w:val="18"/>
                <w:szCs w:val="18"/>
                <w:lang w:val="en-US"/>
              </w:rPr>
            </w:pPr>
          </w:p>
        </w:tc>
        <w:tc>
          <w:tcPr>
            <w:tcW w:w="4118" w:type="dxa"/>
            <w:gridSpan w:val="2"/>
            <w:vMerge/>
          </w:tcPr>
          <w:p w14:paraId="40793696"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052FF555"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3</w:t>
            </w:r>
          </w:p>
        </w:tc>
        <w:tc>
          <w:tcPr>
            <w:tcW w:w="834" w:type="dxa"/>
            <w:shd w:val="clear" w:color="auto" w:fill="auto"/>
            <w:vAlign w:val="center"/>
          </w:tcPr>
          <w:p w14:paraId="1BE3736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14</w:t>
            </w:r>
          </w:p>
        </w:tc>
        <w:tc>
          <w:tcPr>
            <w:tcW w:w="1572" w:type="dxa"/>
            <w:shd w:val="clear" w:color="auto" w:fill="FF0000"/>
            <w:vAlign w:val="center"/>
          </w:tcPr>
          <w:p w14:paraId="7FCE1E3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1,219</w:t>
            </w:r>
          </w:p>
          <w:p w14:paraId="216AE76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=1,224</w:t>
            </w:r>
          </w:p>
        </w:tc>
        <w:tc>
          <w:tcPr>
            <w:tcW w:w="3770" w:type="dxa"/>
            <w:shd w:val="clear" w:color="auto" w:fill="auto"/>
          </w:tcPr>
          <w:p w14:paraId="1D3AFFD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7B762DF3"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FCDC8B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149A4E61"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EBDABB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4D725CF5"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765010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38E5B4E6"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F59B45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0F68772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3E7A92DA"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58B74BBC"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9</w:t>
            </w:r>
          </w:p>
        </w:tc>
        <w:tc>
          <w:tcPr>
            <w:tcW w:w="4118" w:type="dxa"/>
            <w:gridSpan w:val="2"/>
            <w:vMerge w:val="restart"/>
            <w:vAlign w:val="center"/>
          </w:tcPr>
          <w:p w14:paraId="0AE141FE"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Use at industrial sites - Manufacture of Tyres (Grad PD, C, GC &amp; Mixland)</w:t>
            </w:r>
          </w:p>
        </w:tc>
        <w:tc>
          <w:tcPr>
            <w:tcW w:w="1735" w:type="dxa"/>
            <w:vAlign w:val="center"/>
          </w:tcPr>
          <w:p w14:paraId="7EAD66D1"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5D4E4CF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C000"/>
            <w:vAlign w:val="center"/>
          </w:tcPr>
          <w:p w14:paraId="1FEAC4D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w:t>
            </w:r>
            <w:r>
              <w:rPr>
                <w:rFonts w:ascii="Verdana" w:hAnsi="Verdana"/>
                <w:sz w:val="18"/>
                <w:szCs w:val="18"/>
              </w:rPr>
              <w:t xml:space="preserve"> </w:t>
            </w:r>
            <w:r>
              <w:rPr>
                <w:rFonts w:ascii="Verdana" w:hAnsi="Verdana" w:cs="Calibri"/>
                <w:sz w:val="18"/>
                <w:szCs w:val="18"/>
                <w:lang w:val="en-US"/>
              </w:rPr>
              <w:t>0,912</w:t>
            </w:r>
          </w:p>
        </w:tc>
        <w:tc>
          <w:tcPr>
            <w:tcW w:w="3770" w:type="dxa"/>
            <w:shd w:val="clear" w:color="auto" w:fill="auto"/>
          </w:tcPr>
          <w:p w14:paraId="0C8E5FA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Good Room ventilation (3 to 5 ACH)</w:t>
            </w:r>
          </w:p>
          <w:p w14:paraId="4CF81A3A"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6513026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Local exhaust ventilation: specifically designed fixed capturing hood, on tool extraction or enclosing hoods (assumed effectiveness = 90-95%) Dilution ventilation</w:t>
            </w:r>
          </w:p>
          <w:p w14:paraId="254F1EE1"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676056D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75F012F3"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613F1D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p w14:paraId="163248E2"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222D64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2D8322E8"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ADEF23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75FE792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7EFC5917"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7F608C55" w14:textId="77777777" w:rsidR="00BC1D4B" w:rsidRDefault="00BC1D4B">
            <w:pPr>
              <w:spacing w:after="0"/>
              <w:jc w:val="center"/>
              <w:rPr>
                <w:rFonts w:ascii="Verdana" w:hAnsi="Verdana" w:cs="Calibri"/>
                <w:sz w:val="18"/>
                <w:szCs w:val="18"/>
                <w:lang w:val="en-US"/>
              </w:rPr>
            </w:pPr>
          </w:p>
        </w:tc>
        <w:tc>
          <w:tcPr>
            <w:tcW w:w="4118" w:type="dxa"/>
            <w:gridSpan w:val="2"/>
            <w:vMerge/>
          </w:tcPr>
          <w:p w14:paraId="35F4A299"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050E9C08"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4</w:t>
            </w:r>
          </w:p>
        </w:tc>
        <w:tc>
          <w:tcPr>
            <w:tcW w:w="834" w:type="dxa"/>
            <w:shd w:val="clear" w:color="auto" w:fill="auto"/>
            <w:vAlign w:val="center"/>
          </w:tcPr>
          <w:p w14:paraId="1C848738"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23443E8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1.46</w:t>
            </w:r>
          </w:p>
          <w:p w14:paraId="0C20341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1.492</w:t>
            </w:r>
          </w:p>
        </w:tc>
        <w:tc>
          <w:tcPr>
            <w:tcW w:w="3770" w:type="dxa"/>
            <w:shd w:val="clear" w:color="auto" w:fill="auto"/>
          </w:tcPr>
          <w:p w14:paraId="4A7BF94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Basic room ventilation (up to 3 ACH)</w:t>
            </w:r>
          </w:p>
          <w:p w14:paraId="1117E4B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5CAE80A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Local exhaust ventilation: specifically designed fixed capturing hood, on tool extraction or enclosing hoods (assumed effectiveness = 90-95%) Dilution ventilation</w:t>
            </w:r>
          </w:p>
          <w:p w14:paraId="2D8B1CCE"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CDCC7E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4CEDC42E"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88BFBB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0D438D1F"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46" w:type="dxa"/>
            <w:shd w:val="clear" w:color="auto" w:fill="auto"/>
          </w:tcPr>
          <w:p w14:paraId="73898D3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244DB891"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31F2B1FB" w14:textId="77777777" w:rsidR="00BC1D4B" w:rsidRDefault="00BC1D4B">
            <w:pPr>
              <w:spacing w:after="0"/>
              <w:jc w:val="center"/>
              <w:rPr>
                <w:rFonts w:ascii="Verdana" w:hAnsi="Verdana" w:cs="Calibri"/>
                <w:sz w:val="18"/>
                <w:szCs w:val="18"/>
                <w:lang w:val="en-US"/>
              </w:rPr>
            </w:pPr>
          </w:p>
        </w:tc>
        <w:tc>
          <w:tcPr>
            <w:tcW w:w="4118" w:type="dxa"/>
            <w:gridSpan w:val="2"/>
            <w:vMerge/>
          </w:tcPr>
          <w:p w14:paraId="46A2AFF1"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6A448E8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5</w:t>
            </w:r>
          </w:p>
        </w:tc>
        <w:tc>
          <w:tcPr>
            <w:tcW w:w="834" w:type="dxa"/>
            <w:shd w:val="clear" w:color="auto" w:fill="auto"/>
            <w:vAlign w:val="center"/>
          </w:tcPr>
          <w:p w14:paraId="631C08E3"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458DC96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1.035</w:t>
            </w:r>
          </w:p>
        </w:tc>
        <w:tc>
          <w:tcPr>
            <w:tcW w:w="3770" w:type="dxa"/>
            <w:shd w:val="clear" w:color="auto" w:fill="auto"/>
          </w:tcPr>
          <w:p w14:paraId="6B734AB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Basic Room ventilation (up to 3 ACH)</w:t>
            </w:r>
          </w:p>
          <w:p w14:paraId="4105CBA2"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661E39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4464D43F"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B2F5E29"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133C2C9B"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0687E46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26519F0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1D01659C"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54AE45ED" w14:textId="77777777" w:rsidR="00BC1D4B" w:rsidRDefault="00BC1D4B">
            <w:pPr>
              <w:spacing w:after="0"/>
              <w:jc w:val="center"/>
              <w:rPr>
                <w:rFonts w:ascii="Verdana" w:hAnsi="Verdana" w:cs="Calibri"/>
                <w:sz w:val="18"/>
                <w:szCs w:val="18"/>
                <w:lang w:val="en-US"/>
              </w:rPr>
            </w:pPr>
          </w:p>
        </w:tc>
        <w:tc>
          <w:tcPr>
            <w:tcW w:w="4118" w:type="dxa"/>
            <w:gridSpan w:val="2"/>
            <w:vMerge/>
          </w:tcPr>
          <w:p w14:paraId="3CBD783A"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4BBA2ED3"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6</w:t>
            </w:r>
          </w:p>
        </w:tc>
        <w:tc>
          <w:tcPr>
            <w:tcW w:w="834" w:type="dxa"/>
            <w:shd w:val="clear" w:color="auto" w:fill="auto"/>
            <w:vAlign w:val="center"/>
          </w:tcPr>
          <w:p w14:paraId="40A321C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4D52BF6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inhalation= 1.012</w:t>
            </w:r>
          </w:p>
          <w:p w14:paraId="7A86C26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1.50</w:t>
            </w:r>
          </w:p>
        </w:tc>
        <w:tc>
          <w:tcPr>
            <w:tcW w:w="3770" w:type="dxa"/>
            <w:shd w:val="clear" w:color="auto" w:fill="auto"/>
          </w:tcPr>
          <w:p w14:paraId="1EDC519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0532F0FD"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E53D94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r>
              <w:rPr>
                <w:rFonts w:ascii="Verdana" w:hAnsi="Verdana" w:cs="Calibri"/>
                <w:sz w:val="18"/>
                <w:szCs w:val="18"/>
                <w:lang w:val="en-US"/>
              </w:rPr>
              <w:br/>
              <w:t xml:space="preserve"> </w:t>
            </w:r>
          </w:p>
          <w:p w14:paraId="41C42C1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1DDBAB39"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F4466C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p w14:paraId="4E279531"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F935BC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3334DF79"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E6DFA4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Respiratory protection (APF = 10)</w:t>
            </w:r>
          </w:p>
        </w:tc>
        <w:tc>
          <w:tcPr>
            <w:tcW w:w="1746" w:type="dxa"/>
            <w:shd w:val="clear" w:color="auto" w:fill="auto"/>
          </w:tcPr>
          <w:p w14:paraId="2C28318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38418C93"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59A3C96B" w14:textId="77777777" w:rsidR="00BC1D4B" w:rsidRDefault="00BC1D4B">
            <w:pPr>
              <w:spacing w:after="0"/>
              <w:jc w:val="center"/>
              <w:rPr>
                <w:rFonts w:ascii="Verdana" w:hAnsi="Verdana" w:cs="Calibri"/>
                <w:sz w:val="18"/>
                <w:szCs w:val="18"/>
                <w:lang w:val="en-US"/>
              </w:rPr>
            </w:pPr>
          </w:p>
        </w:tc>
        <w:tc>
          <w:tcPr>
            <w:tcW w:w="4118" w:type="dxa"/>
            <w:gridSpan w:val="2"/>
            <w:vMerge/>
          </w:tcPr>
          <w:p w14:paraId="7B72ED1A"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02FEF97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9</w:t>
            </w:r>
          </w:p>
        </w:tc>
        <w:tc>
          <w:tcPr>
            <w:tcW w:w="834" w:type="dxa"/>
            <w:shd w:val="clear" w:color="auto" w:fill="auto"/>
            <w:vAlign w:val="center"/>
          </w:tcPr>
          <w:p w14:paraId="0AB5A10E"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74F0407F"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1.219</w:t>
            </w:r>
          </w:p>
          <w:p w14:paraId="3FE731A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1.269</w:t>
            </w:r>
          </w:p>
        </w:tc>
        <w:tc>
          <w:tcPr>
            <w:tcW w:w="3770" w:type="dxa"/>
            <w:shd w:val="clear" w:color="auto" w:fill="auto"/>
          </w:tcPr>
          <w:p w14:paraId="2367AE9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5BA21DDD"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756091E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14CA5D55"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26B36A9"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561CAE63"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55AE043"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2A5A2B14"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03375B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3137799F"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3DEA5BD6" w14:textId="77777777" w:rsidTr="00BC1D4B">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01" w:type="dxa"/>
            <w:vMerge/>
          </w:tcPr>
          <w:p w14:paraId="45BAA5A4" w14:textId="77777777" w:rsidR="00BC1D4B" w:rsidRDefault="00BC1D4B">
            <w:pPr>
              <w:spacing w:after="0"/>
              <w:jc w:val="center"/>
              <w:rPr>
                <w:rFonts w:ascii="Verdana" w:hAnsi="Verdana" w:cs="Calibri"/>
                <w:sz w:val="18"/>
                <w:szCs w:val="18"/>
                <w:lang w:val="en-US"/>
              </w:rPr>
            </w:pPr>
          </w:p>
        </w:tc>
        <w:tc>
          <w:tcPr>
            <w:tcW w:w="4118" w:type="dxa"/>
            <w:gridSpan w:val="2"/>
            <w:vMerge/>
          </w:tcPr>
          <w:p w14:paraId="24714DEF"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29C79CFF"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10</w:t>
            </w:r>
          </w:p>
        </w:tc>
        <w:tc>
          <w:tcPr>
            <w:tcW w:w="834" w:type="dxa"/>
            <w:shd w:val="clear" w:color="auto" w:fill="auto"/>
            <w:vAlign w:val="center"/>
          </w:tcPr>
          <w:p w14:paraId="69DEADF0"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1EC3BF1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inhalation = 1.012</w:t>
            </w:r>
          </w:p>
          <w:p w14:paraId="56865BE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1.5</w:t>
            </w:r>
          </w:p>
        </w:tc>
        <w:tc>
          <w:tcPr>
            <w:tcW w:w="3770" w:type="dxa"/>
            <w:shd w:val="clear" w:color="auto" w:fill="auto"/>
          </w:tcPr>
          <w:p w14:paraId="7B7F72A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635E0EB6"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A67562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5961D21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 xml:space="preserve">  </w:t>
            </w:r>
          </w:p>
          <w:p w14:paraId="18C4A83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4B766893"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1896AF6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p w14:paraId="67D33697"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CE21F9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79E2AA6F"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7B1689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3C0599C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12ADCF77"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62D1FF13" w14:textId="77777777" w:rsidR="00BC1D4B" w:rsidRDefault="00BC1D4B">
            <w:pPr>
              <w:spacing w:after="0"/>
              <w:jc w:val="center"/>
              <w:rPr>
                <w:rFonts w:ascii="Verdana" w:hAnsi="Verdana" w:cs="Calibri"/>
                <w:sz w:val="18"/>
                <w:szCs w:val="18"/>
                <w:lang w:val="en-US"/>
              </w:rPr>
            </w:pPr>
          </w:p>
        </w:tc>
        <w:tc>
          <w:tcPr>
            <w:tcW w:w="4118" w:type="dxa"/>
            <w:gridSpan w:val="2"/>
            <w:vMerge/>
          </w:tcPr>
          <w:p w14:paraId="2D33700B"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295E1E4E"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13</w:t>
            </w:r>
          </w:p>
        </w:tc>
        <w:tc>
          <w:tcPr>
            <w:tcW w:w="834" w:type="dxa"/>
            <w:shd w:val="clear" w:color="auto" w:fill="auto"/>
            <w:vAlign w:val="center"/>
          </w:tcPr>
          <w:p w14:paraId="1ABD54AE"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6C664F7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inhalation = 1.219</w:t>
            </w:r>
          </w:p>
          <w:p w14:paraId="2C040B5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 xml:space="preserve">RCR combined routes= 1.269 </w:t>
            </w:r>
          </w:p>
        </w:tc>
        <w:tc>
          <w:tcPr>
            <w:tcW w:w="3770" w:type="dxa"/>
            <w:shd w:val="clear" w:color="auto" w:fill="auto"/>
          </w:tcPr>
          <w:p w14:paraId="32339A3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00AFFDC3"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7AA6C3C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6AB1B45C"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E61179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95% dermal protection effectiveness</w:t>
            </w:r>
          </w:p>
          <w:p w14:paraId="2DD30AD2"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452E3A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4AF4041D"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0E4E97D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7823DBA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rPr>
              <w:t>TRA Workers 3.0</w:t>
            </w:r>
          </w:p>
        </w:tc>
      </w:tr>
      <w:tr w:rsidR="00BC1D4B" w14:paraId="1D7C4FE0"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30FCB437" w14:textId="77777777" w:rsidR="00BC1D4B" w:rsidRDefault="00BC1D4B">
            <w:pPr>
              <w:spacing w:after="0"/>
              <w:jc w:val="center"/>
              <w:rPr>
                <w:rFonts w:ascii="Verdana" w:hAnsi="Verdana" w:cs="Calibri"/>
                <w:sz w:val="18"/>
                <w:szCs w:val="18"/>
                <w:lang w:val="en-US"/>
              </w:rPr>
            </w:pPr>
          </w:p>
        </w:tc>
        <w:tc>
          <w:tcPr>
            <w:tcW w:w="4118" w:type="dxa"/>
            <w:gridSpan w:val="2"/>
            <w:vMerge/>
          </w:tcPr>
          <w:p w14:paraId="699A6D5B"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646231E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14</w:t>
            </w:r>
          </w:p>
        </w:tc>
        <w:tc>
          <w:tcPr>
            <w:tcW w:w="834" w:type="dxa"/>
            <w:shd w:val="clear" w:color="auto" w:fill="auto"/>
            <w:vAlign w:val="center"/>
          </w:tcPr>
          <w:p w14:paraId="2621F9D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8b</w:t>
            </w:r>
          </w:p>
        </w:tc>
        <w:tc>
          <w:tcPr>
            <w:tcW w:w="1572" w:type="dxa"/>
            <w:shd w:val="clear" w:color="auto" w:fill="FF0000"/>
            <w:vAlign w:val="center"/>
          </w:tcPr>
          <w:p w14:paraId="007B3F9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1.373</w:t>
            </w:r>
          </w:p>
        </w:tc>
        <w:tc>
          <w:tcPr>
            <w:tcW w:w="3770" w:type="dxa"/>
            <w:shd w:val="clear" w:color="auto" w:fill="auto"/>
          </w:tcPr>
          <w:p w14:paraId="134284E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Good Room ventilation (3 to 5 ACH)</w:t>
            </w:r>
          </w:p>
          <w:p w14:paraId="79F25D79"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61F8ED7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lastRenderedPageBreak/>
              <w:t>Local exhaust ventilation: enclosing hood with very high effectiveness such as fume cupboard (assumed effectiveness = 95%)</w:t>
            </w:r>
          </w:p>
          <w:p w14:paraId="25BA01A9"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6BDE82A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52479E88"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0999B1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p w14:paraId="3FE00A2A"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10F2BF4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4BA1E93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rPr>
              <w:lastRenderedPageBreak/>
              <w:t>TRA Workers 3.0</w:t>
            </w:r>
          </w:p>
        </w:tc>
      </w:tr>
      <w:tr w:rsidR="00BC1D4B" w14:paraId="7F699F81"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45111200" w14:textId="77777777" w:rsidR="00BC1D4B" w:rsidRDefault="00BC1D4B">
            <w:pPr>
              <w:spacing w:after="0"/>
              <w:jc w:val="center"/>
              <w:rPr>
                <w:rFonts w:ascii="Verdana" w:hAnsi="Verdana" w:cs="Calibri"/>
                <w:sz w:val="18"/>
                <w:szCs w:val="18"/>
                <w:lang w:val="en-US"/>
              </w:rPr>
            </w:pPr>
          </w:p>
        </w:tc>
        <w:tc>
          <w:tcPr>
            <w:tcW w:w="4118" w:type="dxa"/>
            <w:gridSpan w:val="2"/>
            <w:vMerge/>
          </w:tcPr>
          <w:p w14:paraId="3AEC6ABC"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1AC774E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17</w:t>
            </w:r>
          </w:p>
        </w:tc>
        <w:tc>
          <w:tcPr>
            <w:tcW w:w="834" w:type="dxa"/>
            <w:shd w:val="clear" w:color="auto" w:fill="auto"/>
            <w:vAlign w:val="center"/>
          </w:tcPr>
          <w:p w14:paraId="70DBB99F"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8b</w:t>
            </w:r>
          </w:p>
        </w:tc>
        <w:tc>
          <w:tcPr>
            <w:tcW w:w="1572" w:type="dxa"/>
            <w:shd w:val="clear" w:color="auto" w:fill="FF0000"/>
            <w:vAlign w:val="center"/>
          </w:tcPr>
          <w:p w14:paraId="386CF97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47AAB82C"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=1.075</w:t>
            </w:r>
          </w:p>
        </w:tc>
        <w:tc>
          <w:tcPr>
            <w:tcW w:w="3770" w:type="dxa"/>
            <w:shd w:val="clear" w:color="auto" w:fill="auto"/>
          </w:tcPr>
          <w:p w14:paraId="7B68527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6C2F8673"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7645DC0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71176BFB"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A96823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90% dermal protection effectiveness</w:t>
            </w:r>
          </w:p>
          <w:p w14:paraId="6B0EE99F"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62570F3"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556ADB3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65C9BBC7"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12190ABB" w14:textId="77777777" w:rsidR="00BC1D4B" w:rsidRDefault="00BC1D4B">
            <w:pPr>
              <w:spacing w:after="0"/>
              <w:jc w:val="center"/>
              <w:rPr>
                <w:rFonts w:ascii="Verdana" w:hAnsi="Verdana" w:cs="Calibri"/>
                <w:sz w:val="18"/>
                <w:szCs w:val="18"/>
                <w:lang w:val="en-US"/>
              </w:rPr>
            </w:pPr>
          </w:p>
        </w:tc>
        <w:tc>
          <w:tcPr>
            <w:tcW w:w="4118" w:type="dxa"/>
            <w:gridSpan w:val="2"/>
            <w:vMerge/>
          </w:tcPr>
          <w:p w14:paraId="65BD6CF1"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2F093E8E"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18</w:t>
            </w:r>
          </w:p>
        </w:tc>
        <w:tc>
          <w:tcPr>
            <w:tcW w:w="834" w:type="dxa"/>
            <w:shd w:val="clear" w:color="auto" w:fill="auto"/>
            <w:vAlign w:val="center"/>
          </w:tcPr>
          <w:p w14:paraId="10B1A1B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5</w:t>
            </w:r>
          </w:p>
        </w:tc>
        <w:tc>
          <w:tcPr>
            <w:tcW w:w="1572" w:type="dxa"/>
            <w:shd w:val="clear" w:color="auto" w:fill="FF0000"/>
            <w:vAlign w:val="center"/>
          </w:tcPr>
          <w:p w14:paraId="09965C1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68580AC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1.42</w:t>
            </w:r>
          </w:p>
        </w:tc>
        <w:tc>
          <w:tcPr>
            <w:tcW w:w="3770" w:type="dxa"/>
            <w:shd w:val="clear" w:color="auto" w:fill="auto"/>
          </w:tcPr>
          <w:p w14:paraId="14A1D95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201AE9A5"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382240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Local exhaust ventilation: specifically designed fixed capturing hood, on tool extraction or enclosing hoods (assumed effectiveness = 90-95%)</w:t>
            </w:r>
          </w:p>
          <w:p w14:paraId="72ACE626"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6E06363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7F59CF56"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37418D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07E9E107"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26A72C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38C12C3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188D3E51"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0735A8EC" w14:textId="77777777" w:rsidR="00BC1D4B" w:rsidRDefault="00BC1D4B">
            <w:pPr>
              <w:spacing w:after="0"/>
              <w:jc w:val="center"/>
              <w:rPr>
                <w:rFonts w:ascii="Verdana" w:hAnsi="Verdana" w:cs="Calibri"/>
                <w:sz w:val="18"/>
                <w:szCs w:val="18"/>
                <w:lang w:val="en-US"/>
              </w:rPr>
            </w:pPr>
          </w:p>
        </w:tc>
        <w:tc>
          <w:tcPr>
            <w:tcW w:w="4118" w:type="dxa"/>
            <w:gridSpan w:val="2"/>
            <w:vMerge/>
          </w:tcPr>
          <w:p w14:paraId="309E213B"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3D6D9074"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19</w:t>
            </w:r>
          </w:p>
        </w:tc>
        <w:tc>
          <w:tcPr>
            <w:tcW w:w="834" w:type="dxa"/>
            <w:shd w:val="clear" w:color="auto" w:fill="auto"/>
            <w:vAlign w:val="center"/>
          </w:tcPr>
          <w:p w14:paraId="2F4B7893"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5</w:t>
            </w:r>
          </w:p>
        </w:tc>
        <w:tc>
          <w:tcPr>
            <w:tcW w:w="1572" w:type="dxa"/>
            <w:shd w:val="clear" w:color="auto" w:fill="FF0000"/>
            <w:vAlign w:val="center"/>
          </w:tcPr>
          <w:p w14:paraId="7D5D6F59"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0.974</w:t>
            </w:r>
          </w:p>
          <w:p w14:paraId="0485A24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1.42</w:t>
            </w:r>
          </w:p>
        </w:tc>
        <w:tc>
          <w:tcPr>
            <w:tcW w:w="3770" w:type="dxa"/>
            <w:shd w:val="clear" w:color="auto" w:fill="auto"/>
          </w:tcPr>
          <w:p w14:paraId="15AEEB2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727F6EC9"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DCA036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 xml:space="preserve">Local exhaust ventilation: specifically designed fixed capturing hood, on tool </w:t>
            </w:r>
            <w:r>
              <w:rPr>
                <w:rFonts w:ascii="Verdana" w:hAnsi="Verdana" w:cs="Calibri"/>
                <w:sz w:val="18"/>
                <w:szCs w:val="18"/>
                <w:lang w:val="en-US"/>
              </w:rPr>
              <w:lastRenderedPageBreak/>
              <w:t>extraction or enclosing hoods (assumed effectiveness = 90-95%)</w:t>
            </w:r>
          </w:p>
          <w:p w14:paraId="69F0DC3B"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83DB98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53030758"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63DA79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76541A68"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38608F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18127E8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755C7EA9"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7D9C5628" w14:textId="77777777" w:rsidR="00BC1D4B" w:rsidRDefault="00BC1D4B">
            <w:pPr>
              <w:spacing w:after="0"/>
              <w:jc w:val="center"/>
              <w:rPr>
                <w:rFonts w:ascii="Verdana" w:hAnsi="Verdana" w:cs="Calibri"/>
                <w:sz w:val="18"/>
                <w:szCs w:val="18"/>
                <w:lang w:val="en-US"/>
              </w:rPr>
            </w:pPr>
          </w:p>
        </w:tc>
        <w:tc>
          <w:tcPr>
            <w:tcW w:w="4118" w:type="dxa"/>
            <w:gridSpan w:val="2"/>
            <w:vMerge/>
          </w:tcPr>
          <w:p w14:paraId="71A2273A"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74C7CF15"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20</w:t>
            </w:r>
          </w:p>
        </w:tc>
        <w:tc>
          <w:tcPr>
            <w:tcW w:w="834" w:type="dxa"/>
            <w:shd w:val="clear" w:color="auto" w:fill="auto"/>
            <w:vAlign w:val="center"/>
          </w:tcPr>
          <w:p w14:paraId="306051F0"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C000"/>
            <w:vAlign w:val="center"/>
          </w:tcPr>
          <w:p w14:paraId="7A34410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=0.932</w:t>
            </w:r>
          </w:p>
        </w:tc>
        <w:tc>
          <w:tcPr>
            <w:tcW w:w="3770" w:type="dxa"/>
            <w:shd w:val="clear" w:color="auto" w:fill="auto"/>
          </w:tcPr>
          <w:p w14:paraId="41AF5F0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7FDDF725"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15F319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3BFE3E1B"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3A159E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00025B18"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56D6455"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00AF0F10"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6E195BA"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2739F44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2F899165"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78740ECE" w14:textId="77777777" w:rsidR="00BC1D4B" w:rsidRDefault="00BC1D4B">
            <w:pPr>
              <w:spacing w:after="0"/>
              <w:jc w:val="center"/>
              <w:rPr>
                <w:rFonts w:ascii="Verdana" w:hAnsi="Verdana" w:cs="Calibri"/>
                <w:sz w:val="18"/>
                <w:szCs w:val="18"/>
                <w:lang w:val="en-US"/>
              </w:rPr>
            </w:pPr>
          </w:p>
        </w:tc>
        <w:tc>
          <w:tcPr>
            <w:tcW w:w="4118" w:type="dxa"/>
            <w:gridSpan w:val="2"/>
            <w:vMerge/>
          </w:tcPr>
          <w:p w14:paraId="1768E6F4"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2E70EAB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21</w:t>
            </w:r>
          </w:p>
        </w:tc>
        <w:tc>
          <w:tcPr>
            <w:tcW w:w="834" w:type="dxa"/>
            <w:shd w:val="clear" w:color="auto" w:fill="auto"/>
            <w:vAlign w:val="center"/>
          </w:tcPr>
          <w:p w14:paraId="3CE87027"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3C23589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330988B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=1.075</w:t>
            </w:r>
          </w:p>
        </w:tc>
        <w:tc>
          <w:tcPr>
            <w:tcW w:w="3770" w:type="dxa"/>
            <w:shd w:val="clear" w:color="auto" w:fill="auto"/>
          </w:tcPr>
          <w:p w14:paraId="0FCDDC39"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67863C17"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3BC1FD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031E3AA6"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9BCA6F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p w14:paraId="155EB944"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DF6142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tc>
        <w:tc>
          <w:tcPr>
            <w:tcW w:w="1746" w:type="dxa"/>
            <w:shd w:val="clear" w:color="auto" w:fill="auto"/>
          </w:tcPr>
          <w:p w14:paraId="1470340D"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542BD3AB"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4B9B8BC9" w14:textId="77777777" w:rsidR="00BC1D4B" w:rsidRDefault="00BC1D4B">
            <w:pPr>
              <w:spacing w:after="0"/>
              <w:jc w:val="center"/>
              <w:rPr>
                <w:rFonts w:ascii="Verdana" w:hAnsi="Verdana" w:cs="Calibri"/>
                <w:sz w:val="18"/>
                <w:szCs w:val="18"/>
                <w:lang w:val="en-US"/>
              </w:rPr>
            </w:pPr>
          </w:p>
        </w:tc>
        <w:tc>
          <w:tcPr>
            <w:tcW w:w="4118" w:type="dxa"/>
            <w:gridSpan w:val="2"/>
            <w:vMerge/>
          </w:tcPr>
          <w:p w14:paraId="294E6B6C"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407BDA10"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22</w:t>
            </w:r>
          </w:p>
        </w:tc>
        <w:tc>
          <w:tcPr>
            <w:tcW w:w="834" w:type="dxa"/>
            <w:shd w:val="clear" w:color="auto" w:fill="auto"/>
            <w:vAlign w:val="center"/>
          </w:tcPr>
          <w:p w14:paraId="6A696AC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w:t>
            </w:r>
          </w:p>
        </w:tc>
        <w:tc>
          <w:tcPr>
            <w:tcW w:w="1572" w:type="dxa"/>
            <w:shd w:val="clear" w:color="auto" w:fill="FF0000"/>
            <w:vAlign w:val="center"/>
          </w:tcPr>
          <w:p w14:paraId="6931713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28D2060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=1.075</w:t>
            </w:r>
          </w:p>
        </w:tc>
        <w:tc>
          <w:tcPr>
            <w:tcW w:w="3770" w:type="dxa"/>
            <w:shd w:val="clear" w:color="auto" w:fill="auto"/>
          </w:tcPr>
          <w:p w14:paraId="1C3F193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3BB6E317"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7232C53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20C4C359"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786E441"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p w14:paraId="4CEF70EC"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18CBE96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Eye protection</w:t>
            </w:r>
          </w:p>
        </w:tc>
        <w:tc>
          <w:tcPr>
            <w:tcW w:w="1746" w:type="dxa"/>
            <w:shd w:val="clear" w:color="auto" w:fill="auto"/>
          </w:tcPr>
          <w:p w14:paraId="61C4C0F8"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606B8C3C"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30641E57" w14:textId="77777777" w:rsidR="00BC1D4B" w:rsidRDefault="00BC1D4B">
            <w:pPr>
              <w:spacing w:after="0"/>
              <w:jc w:val="center"/>
              <w:rPr>
                <w:rFonts w:ascii="Verdana" w:hAnsi="Verdana" w:cs="Calibri"/>
                <w:sz w:val="18"/>
                <w:szCs w:val="18"/>
                <w:lang w:val="en-US"/>
              </w:rPr>
            </w:pPr>
          </w:p>
        </w:tc>
        <w:tc>
          <w:tcPr>
            <w:tcW w:w="4118" w:type="dxa"/>
            <w:gridSpan w:val="2"/>
            <w:vMerge/>
          </w:tcPr>
          <w:p w14:paraId="0BECB392"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12B191DA"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24</w:t>
            </w:r>
          </w:p>
        </w:tc>
        <w:tc>
          <w:tcPr>
            <w:tcW w:w="834" w:type="dxa"/>
            <w:shd w:val="clear" w:color="auto" w:fill="auto"/>
            <w:vAlign w:val="center"/>
          </w:tcPr>
          <w:p w14:paraId="4135194F"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10</w:t>
            </w:r>
          </w:p>
        </w:tc>
        <w:tc>
          <w:tcPr>
            <w:tcW w:w="1572" w:type="dxa"/>
            <w:shd w:val="clear" w:color="auto" w:fill="FF0000"/>
            <w:vAlign w:val="center"/>
          </w:tcPr>
          <w:p w14:paraId="2D18BF9F"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297BFB0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w:t>
            </w:r>
          </w:p>
        </w:tc>
        <w:tc>
          <w:tcPr>
            <w:tcW w:w="3770" w:type="dxa"/>
            <w:shd w:val="clear" w:color="auto" w:fill="auto"/>
          </w:tcPr>
          <w:p w14:paraId="1459DAD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562E2747"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43A5A43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44998827"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5109268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67179ACD"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0F9A863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361A9F81"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665D6F4"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90 % dermal protection effectiveness</w:t>
            </w:r>
          </w:p>
        </w:tc>
        <w:tc>
          <w:tcPr>
            <w:tcW w:w="1746" w:type="dxa"/>
            <w:shd w:val="clear" w:color="auto" w:fill="auto"/>
          </w:tcPr>
          <w:p w14:paraId="7BF4263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30400284"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18EFBBBB" w14:textId="77777777" w:rsidR="00BC1D4B" w:rsidRDefault="00BC1D4B">
            <w:pPr>
              <w:spacing w:after="0"/>
              <w:jc w:val="center"/>
              <w:rPr>
                <w:rFonts w:ascii="Verdana" w:hAnsi="Verdana" w:cs="Calibri"/>
                <w:sz w:val="18"/>
                <w:szCs w:val="18"/>
                <w:lang w:val="en-US"/>
              </w:rPr>
            </w:pPr>
          </w:p>
        </w:tc>
        <w:tc>
          <w:tcPr>
            <w:tcW w:w="4118" w:type="dxa"/>
            <w:gridSpan w:val="2"/>
            <w:vMerge/>
          </w:tcPr>
          <w:p w14:paraId="4001B7EB"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1CF99B0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25</w:t>
            </w:r>
          </w:p>
        </w:tc>
        <w:tc>
          <w:tcPr>
            <w:tcW w:w="834" w:type="dxa"/>
            <w:shd w:val="clear" w:color="auto" w:fill="auto"/>
            <w:vAlign w:val="center"/>
          </w:tcPr>
          <w:p w14:paraId="2EBDEBAF"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10</w:t>
            </w:r>
          </w:p>
        </w:tc>
        <w:tc>
          <w:tcPr>
            <w:tcW w:w="1572" w:type="dxa"/>
            <w:shd w:val="clear" w:color="auto" w:fill="FF0000"/>
            <w:vAlign w:val="center"/>
          </w:tcPr>
          <w:p w14:paraId="470767A0"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021F30C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1.227</w:t>
            </w:r>
          </w:p>
        </w:tc>
        <w:tc>
          <w:tcPr>
            <w:tcW w:w="3770" w:type="dxa"/>
            <w:shd w:val="clear" w:color="auto" w:fill="auto"/>
          </w:tcPr>
          <w:p w14:paraId="01A013D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75262A79"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4384F1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0F3F5584"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BC05DD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6DDD572C"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F66312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90 % dermal protection effectiveness</w:t>
            </w:r>
          </w:p>
        </w:tc>
        <w:tc>
          <w:tcPr>
            <w:tcW w:w="1746" w:type="dxa"/>
            <w:shd w:val="clear" w:color="auto" w:fill="auto"/>
          </w:tcPr>
          <w:p w14:paraId="6E78ED9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71A5DCDF"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22AD4637" w14:textId="77777777" w:rsidR="00BC1D4B" w:rsidRDefault="00BC1D4B">
            <w:pPr>
              <w:spacing w:after="0"/>
              <w:jc w:val="center"/>
              <w:rPr>
                <w:rFonts w:ascii="Verdana" w:hAnsi="Verdana" w:cs="Calibri"/>
                <w:sz w:val="18"/>
                <w:szCs w:val="18"/>
                <w:lang w:val="en-US"/>
              </w:rPr>
            </w:pPr>
          </w:p>
        </w:tc>
        <w:tc>
          <w:tcPr>
            <w:tcW w:w="4118" w:type="dxa"/>
            <w:gridSpan w:val="2"/>
            <w:vMerge/>
          </w:tcPr>
          <w:p w14:paraId="6C6B71A9"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70F45DBF"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29</w:t>
            </w:r>
          </w:p>
        </w:tc>
        <w:tc>
          <w:tcPr>
            <w:tcW w:w="834" w:type="dxa"/>
            <w:shd w:val="clear" w:color="auto" w:fill="auto"/>
            <w:vAlign w:val="center"/>
          </w:tcPr>
          <w:p w14:paraId="69BD643E"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10</w:t>
            </w:r>
          </w:p>
        </w:tc>
        <w:tc>
          <w:tcPr>
            <w:tcW w:w="1572" w:type="dxa"/>
            <w:shd w:val="clear" w:color="auto" w:fill="FF0000"/>
            <w:vAlign w:val="center"/>
          </w:tcPr>
          <w:p w14:paraId="21BB821B"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317B08A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=1.227</w:t>
            </w:r>
          </w:p>
        </w:tc>
        <w:tc>
          <w:tcPr>
            <w:tcW w:w="3770" w:type="dxa"/>
            <w:shd w:val="clear" w:color="auto" w:fill="auto"/>
          </w:tcPr>
          <w:p w14:paraId="58077CAE"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3246F7C7"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79C5B9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7472A8F0"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6DC7ED68"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29EB901D"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4D048093"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90 % dermal protection effectiveness</w:t>
            </w:r>
          </w:p>
        </w:tc>
        <w:tc>
          <w:tcPr>
            <w:tcW w:w="1746" w:type="dxa"/>
            <w:shd w:val="clear" w:color="auto" w:fill="auto"/>
          </w:tcPr>
          <w:p w14:paraId="40C571A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59F490DB"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0317429D" w14:textId="77777777" w:rsidR="00BC1D4B" w:rsidRDefault="00BC1D4B">
            <w:pPr>
              <w:spacing w:after="0"/>
              <w:jc w:val="center"/>
              <w:rPr>
                <w:rFonts w:ascii="Verdana" w:hAnsi="Verdana" w:cs="Calibri"/>
                <w:sz w:val="18"/>
                <w:szCs w:val="18"/>
                <w:lang w:val="en-US"/>
              </w:rPr>
            </w:pPr>
          </w:p>
        </w:tc>
        <w:tc>
          <w:tcPr>
            <w:tcW w:w="4118" w:type="dxa"/>
            <w:gridSpan w:val="2"/>
            <w:vMerge/>
          </w:tcPr>
          <w:p w14:paraId="2E632E38"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2DF0E22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30</w:t>
            </w:r>
          </w:p>
        </w:tc>
        <w:tc>
          <w:tcPr>
            <w:tcW w:w="834" w:type="dxa"/>
            <w:shd w:val="clear" w:color="auto" w:fill="auto"/>
            <w:vAlign w:val="center"/>
          </w:tcPr>
          <w:p w14:paraId="0D1FD6E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21</w:t>
            </w:r>
          </w:p>
        </w:tc>
        <w:tc>
          <w:tcPr>
            <w:tcW w:w="1572" w:type="dxa"/>
            <w:shd w:val="clear" w:color="auto" w:fill="FF0000"/>
            <w:vAlign w:val="center"/>
          </w:tcPr>
          <w:p w14:paraId="1984C16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inhalation = 1.01</w:t>
            </w:r>
          </w:p>
          <w:p w14:paraId="14FD3417"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=1.414</w:t>
            </w:r>
          </w:p>
        </w:tc>
        <w:tc>
          <w:tcPr>
            <w:tcW w:w="3770" w:type="dxa"/>
            <w:shd w:val="clear" w:color="auto" w:fill="auto"/>
          </w:tcPr>
          <w:p w14:paraId="50C4006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0A4FD259"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334567E4"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08AF5B37"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A4B0819"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3B828CFC"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1A677A9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80 % dermal protection effectiveness</w:t>
            </w:r>
          </w:p>
        </w:tc>
        <w:tc>
          <w:tcPr>
            <w:tcW w:w="1746" w:type="dxa"/>
            <w:shd w:val="clear" w:color="auto" w:fill="auto"/>
          </w:tcPr>
          <w:p w14:paraId="0ED69A92"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lastRenderedPageBreak/>
              <w:t>TRA Workers 3.0</w:t>
            </w:r>
          </w:p>
        </w:tc>
      </w:tr>
      <w:tr w:rsidR="00BC1D4B" w14:paraId="01EBE142" w14:textId="77777777" w:rsidTr="00BC1D4B">
        <w:tc>
          <w:tcPr>
            <w:cnfStyle w:val="001000000000" w:firstRow="0" w:lastRow="0" w:firstColumn="1" w:lastColumn="0" w:oddVBand="0" w:evenVBand="0" w:oddHBand="0" w:evenHBand="0" w:firstRowFirstColumn="0" w:firstRowLastColumn="0" w:lastRowFirstColumn="0" w:lastRowLastColumn="0"/>
            <w:tcW w:w="501" w:type="dxa"/>
            <w:vMerge/>
          </w:tcPr>
          <w:p w14:paraId="1665F5C8" w14:textId="77777777" w:rsidR="00BC1D4B" w:rsidRDefault="00BC1D4B">
            <w:pPr>
              <w:spacing w:after="0"/>
              <w:jc w:val="center"/>
              <w:rPr>
                <w:rFonts w:ascii="Verdana" w:hAnsi="Verdana" w:cs="Calibri"/>
                <w:sz w:val="18"/>
                <w:szCs w:val="18"/>
                <w:lang w:val="en-US"/>
              </w:rPr>
            </w:pPr>
          </w:p>
        </w:tc>
        <w:tc>
          <w:tcPr>
            <w:tcW w:w="4118" w:type="dxa"/>
            <w:gridSpan w:val="2"/>
            <w:vMerge/>
          </w:tcPr>
          <w:p w14:paraId="6092B36D"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76FA382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33</w:t>
            </w:r>
          </w:p>
        </w:tc>
        <w:tc>
          <w:tcPr>
            <w:tcW w:w="834" w:type="dxa"/>
            <w:shd w:val="clear" w:color="auto" w:fill="auto"/>
            <w:vAlign w:val="center"/>
          </w:tcPr>
          <w:p w14:paraId="7849556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10</w:t>
            </w:r>
          </w:p>
        </w:tc>
        <w:tc>
          <w:tcPr>
            <w:tcW w:w="1572" w:type="dxa"/>
            <w:shd w:val="clear" w:color="auto" w:fill="FF0000"/>
            <w:vAlign w:val="center"/>
          </w:tcPr>
          <w:p w14:paraId="305D7E5F"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0DC5E066"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=1.227</w:t>
            </w:r>
          </w:p>
        </w:tc>
        <w:tc>
          <w:tcPr>
            <w:tcW w:w="3770" w:type="dxa"/>
            <w:shd w:val="clear" w:color="auto" w:fill="auto"/>
          </w:tcPr>
          <w:p w14:paraId="7B3E7361"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25DD57A3"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777C462"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08B5B7F9"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E5F932A"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739D8593"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7D1A5800"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76AF0516"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3631E65"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90 % dermal protection effectiveness</w:t>
            </w:r>
          </w:p>
        </w:tc>
        <w:tc>
          <w:tcPr>
            <w:tcW w:w="1746" w:type="dxa"/>
            <w:shd w:val="clear" w:color="auto" w:fill="auto"/>
          </w:tcPr>
          <w:p w14:paraId="7C91D6D7" w14:textId="77777777" w:rsidR="00BC1D4B" w:rsidRDefault="00ED1F84">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62D98B38"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tcPr>
          <w:p w14:paraId="512D4ADC" w14:textId="77777777" w:rsidR="00BC1D4B" w:rsidRDefault="00BC1D4B">
            <w:pPr>
              <w:spacing w:after="0"/>
              <w:jc w:val="center"/>
              <w:rPr>
                <w:rFonts w:ascii="Verdana" w:hAnsi="Verdana" w:cs="Calibri"/>
                <w:sz w:val="18"/>
                <w:szCs w:val="18"/>
                <w:lang w:val="en-US"/>
              </w:rPr>
            </w:pPr>
          </w:p>
        </w:tc>
        <w:tc>
          <w:tcPr>
            <w:tcW w:w="4118" w:type="dxa"/>
            <w:gridSpan w:val="2"/>
            <w:vMerge/>
          </w:tcPr>
          <w:p w14:paraId="519DC85E"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2D1CA4F4"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37</w:t>
            </w:r>
          </w:p>
        </w:tc>
        <w:tc>
          <w:tcPr>
            <w:tcW w:w="834" w:type="dxa"/>
            <w:shd w:val="clear" w:color="auto" w:fill="auto"/>
            <w:vAlign w:val="center"/>
          </w:tcPr>
          <w:p w14:paraId="3EF0E036"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10</w:t>
            </w:r>
          </w:p>
        </w:tc>
        <w:tc>
          <w:tcPr>
            <w:tcW w:w="1572" w:type="dxa"/>
            <w:shd w:val="clear" w:color="auto" w:fill="FF0000"/>
            <w:vAlign w:val="center"/>
          </w:tcPr>
          <w:p w14:paraId="39D63A9B"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0.975</w:t>
            </w:r>
          </w:p>
          <w:p w14:paraId="6A930E9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w:t>
            </w:r>
          </w:p>
        </w:tc>
        <w:tc>
          <w:tcPr>
            <w:tcW w:w="3770" w:type="dxa"/>
            <w:shd w:val="clear" w:color="auto" w:fill="auto"/>
          </w:tcPr>
          <w:p w14:paraId="26A4BA16"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1883AD0B"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E924AAD"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Local exhaust ventilation: specifically designed fixed capturing hood, on tool extraction or enclosing hoods (assumed effectiveness = 90-95%)</w:t>
            </w:r>
          </w:p>
          <w:p w14:paraId="1D4793DC"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E001D8F"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Advanced occupational Health and Safety Management System</w:t>
            </w:r>
          </w:p>
          <w:p w14:paraId="457AF175"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188DEEAC"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Eye protection</w:t>
            </w:r>
          </w:p>
          <w:p w14:paraId="1809F5CF"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5127B7F3"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90 % dermal protection effectiveness</w:t>
            </w:r>
          </w:p>
        </w:tc>
        <w:tc>
          <w:tcPr>
            <w:tcW w:w="1746" w:type="dxa"/>
            <w:shd w:val="clear" w:color="auto" w:fill="auto"/>
          </w:tcPr>
          <w:p w14:paraId="7BC8D67E" w14:textId="77777777" w:rsidR="00BC1D4B" w:rsidRDefault="00ED1F84">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2770B71A" w14:textId="77777777" w:rsidTr="00BC1D4B">
        <w:tc>
          <w:tcPr>
            <w:cnfStyle w:val="001000000000" w:firstRow="0" w:lastRow="0" w:firstColumn="1" w:lastColumn="0" w:oddVBand="0" w:evenVBand="0" w:oddHBand="0" w:evenHBand="0" w:firstRowFirstColumn="0" w:firstRowLastColumn="0" w:lastRowFirstColumn="0" w:lastRowLastColumn="0"/>
            <w:tcW w:w="1603" w:type="dxa"/>
            <w:gridSpan w:val="2"/>
            <w:shd w:val="clear" w:color="auto" w:fill="1F3864"/>
          </w:tcPr>
          <w:p w14:paraId="4EBECF77" w14:textId="77777777" w:rsidR="00BC1D4B" w:rsidRDefault="00BC1D4B">
            <w:pPr>
              <w:spacing w:after="0"/>
              <w:jc w:val="center"/>
              <w:rPr>
                <w:rFonts w:ascii="Verdana" w:hAnsi="Verdana" w:cs="Calibri"/>
                <w:sz w:val="18"/>
                <w:szCs w:val="18"/>
                <w:lang w:val="en-US"/>
              </w:rPr>
            </w:pPr>
          </w:p>
        </w:tc>
        <w:tc>
          <w:tcPr>
            <w:tcW w:w="12673" w:type="dxa"/>
            <w:gridSpan w:val="6"/>
            <w:shd w:val="clear" w:color="auto" w:fill="1F3864"/>
            <w:vAlign w:val="center"/>
          </w:tcPr>
          <w:p w14:paraId="0929E63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Article service life – professional workers</w:t>
            </w:r>
          </w:p>
        </w:tc>
      </w:tr>
      <w:tr w:rsidR="00BC1D4B" w14:paraId="2B3D3FA0" w14:textId="77777777" w:rsidTr="00BC1D4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01" w:type="dxa"/>
          </w:tcPr>
          <w:p w14:paraId="2A2D16FF"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6</w:t>
            </w:r>
          </w:p>
        </w:tc>
        <w:tc>
          <w:tcPr>
            <w:tcW w:w="4118" w:type="dxa"/>
            <w:gridSpan w:val="2"/>
          </w:tcPr>
          <w:p w14:paraId="1ED7F11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Service life (professional worker) - GRG articles - conveyor belt</w:t>
            </w:r>
          </w:p>
        </w:tc>
        <w:tc>
          <w:tcPr>
            <w:tcW w:w="1735" w:type="dxa"/>
          </w:tcPr>
          <w:p w14:paraId="5D4962B0"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635BD785"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21</w:t>
            </w:r>
          </w:p>
        </w:tc>
        <w:tc>
          <w:tcPr>
            <w:tcW w:w="1572" w:type="dxa"/>
            <w:shd w:val="clear" w:color="auto" w:fill="FF0000"/>
          </w:tcPr>
          <w:p w14:paraId="5568047F"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1.01</w:t>
            </w:r>
          </w:p>
          <w:p w14:paraId="12816DA8"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1.01</w:t>
            </w:r>
          </w:p>
        </w:tc>
        <w:tc>
          <w:tcPr>
            <w:tcW w:w="3770" w:type="dxa"/>
            <w:shd w:val="clear" w:color="auto" w:fill="auto"/>
          </w:tcPr>
          <w:p w14:paraId="0A5880A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Basic room ventilation (up to 3 ACH)</w:t>
            </w:r>
          </w:p>
          <w:p w14:paraId="004B559E"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6520398E"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Basic occupational Health and Safety Management System</w:t>
            </w:r>
          </w:p>
          <w:p w14:paraId="204CEE68"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p w14:paraId="4262CA46"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Eye protection</w:t>
            </w:r>
          </w:p>
        </w:tc>
        <w:tc>
          <w:tcPr>
            <w:tcW w:w="1746" w:type="dxa"/>
            <w:shd w:val="clear" w:color="auto" w:fill="auto"/>
          </w:tcPr>
          <w:p w14:paraId="62F6A5A3"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rPr>
              <w:t>TRA Workers 3.0</w:t>
            </w:r>
          </w:p>
        </w:tc>
      </w:tr>
      <w:tr w:rsidR="00BC1D4B" w14:paraId="125B7EE3" w14:textId="77777777" w:rsidTr="00BC1D4B">
        <w:tc>
          <w:tcPr>
            <w:cnfStyle w:val="001000000000" w:firstRow="0" w:lastRow="0" w:firstColumn="1" w:lastColumn="0" w:oddVBand="0" w:evenVBand="0" w:oddHBand="0" w:evenHBand="0" w:firstRowFirstColumn="0" w:firstRowLastColumn="0" w:lastRowFirstColumn="0" w:lastRowLastColumn="0"/>
            <w:tcW w:w="501" w:type="dxa"/>
            <w:vAlign w:val="center"/>
          </w:tcPr>
          <w:p w14:paraId="67BE95B2"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10</w:t>
            </w:r>
          </w:p>
        </w:tc>
        <w:tc>
          <w:tcPr>
            <w:tcW w:w="4118" w:type="dxa"/>
            <w:gridSpan w:val="2"/>
          </w:tcPr>
          <w:p w14:paraId="1581ACD3"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Service life (professional worker) - Garage owner - tyres change.</w:t>
            </w:r>
          </w:p>
        </w:tc>
        <w:tc>
          <w:tcPr>
            <w:tcW w:w="1735" w:type="dxa"/>
          </w:tcPr>
          <w:p w14:paraId="2ACFE85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0511AC66"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21</w:t>
            </w:r>
          </w:p>
        </w:tc>
        <w:tc>
          <w:tcPr>
            <w:tcW w:w="1572" w:type="dxa"/>
            <w:vAlign w:val="center"/>
          </w:tcPr>
          <w:p w14:paraId="120F8785"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w:t>
            </w:r>
          </w:p>
        </w:tc>
        <w:tc>
          <w:tcPr>
            <w:tcW w:w="3770" w:type="dxa"/>
            <w:vAlign w:val="center"/>
          </w:tcPr>
          <w:p w14:paraId="78CEB136"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w:t>
            </w:r>
          </w:p>
        </w:tc>
        <w:tc>
          <w:tcPr>
            <w:tcW w:w="1746" w:type="dxa"/>
            <w:vAlign w:val="center"/>
          </w:tcPr>
          <w:p w14:paraId="2C7151CA"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w:t>
            </w:r>
          </w:p>
        </w:tc>
      </w:tr>
      <w:tr w:rsidR="00BC1D4B" w14:paraId="229A4B1F"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5B1F8F66"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lastRenderedPageBreak/>
              <w:t>12</w:t>
            </w:r>
          </w:p>
        </w:tc>
        <w:tc>
          <w:tcPr>
            <w:tcW w:w="4118" w:type="dxa"/>
            <w:gridSpan w:val="2"/>
            <w:vMerge w:val="restart"/>
            <w:vAlign w:val="center"/>
          </w:tcPr>
          <w:p w14:paraId="64CD1A16"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Service life (professional worker) - End of Life Tyre: ELT pre-processing</w:t>
            </w:r>
          </w:p>
          <w:p w14:paraId="2B6EBC9F"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storage.</w:t>
            </w:r>
          </w:p>
        </w:tc>
        <w:tc>
          <w:tcPr>
            <w:tcW w:w="1735" w:type="dxa"/>
            <w:vAlign w:val="center"/>
          </w:tcPr>
          <w:p w14:paraId="5246F88D"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CS2</w:t>
            </w:r>
          </w:p>
        </w:tc>
        <w:tc>
          <w:tcPr>
            <w:tcW w:w="834" w:type="dxa"/>
            <w:shd w:val="clear" w:color="auto" w:fill="auto"/>
            <w:vAlign w:val="center"/>
          </w:tcPr>
          <w:p w14:paraId="07BA1C6E"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21</w:t>
            </w:r>
          </w:p>
        </w:tc>
        <w:tc>
          <w:tcPr>
            <w:tcW w:w="1572" w:type="dxa"/>
            <w:shd w:val="clear" w:color="auto" w:fill="FF0000"/>
            <w:vAlign w:val="center"/>
          </w:tcPr>
          <w:p w14:paraId="09E16E52"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1.001</w:t>
            </w:r>
          </w:p>
          <w:p w14:paraId="285208C5"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1.156</w:t>
            </w:r>
          </w:p>
        </w:tc>
        <w:tc>
          <w:tcPr>
            <w:tcW w:w="3770" w:type="dxa"/>
            <w:shd w:val="clear" w:color="auto" w:fill="auto"/>
          </w:tcPr>
          <w:p w14:paraId="6E274442"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737277E2"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096E0620"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occupational Health and Safety Management System</w:t>
            </w:r>
          </w:p>
          <w:p w14:paraId="5CEDB830"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6BFFCF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2E58E01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25D778C3"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1440998A" w14:textId="77777777" w:rsidR="00BC1D4B" w:rsidRDefault="00BC1D4B">
            <w:pPr>
              <w:spacing w:after="0"/>
              <w:jc w:val="center"/>
              <w:rPr>
                <w:rFonts w:ascii="Verdana" w:hAnsi="Verdana" w:cs="Calibri"/>
                <w:sz w:val="18"/>
                <w:szCs w:val="18"/>
                <w:lang w:val="en-US"/>
              </w:rPr>
            </w:pPr>
          </w:p>
        </w:tc>
        <w:tc>
          <w:tcPr>
            <w:tcW w:w="4118" w:type="dxa"/>
            <w:gridSpan w:val="2"/>
            <w:vMerge/>
            <w:vAlign w:val="center"/>
          </w:tcPr>
          <w:p w14:paraId="0D4EFC3B"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c>
          <w:tcPr>
            <w:tcW w:w="1735" w:type="dxa"/>
            <w:vAlign w:val="center"/>
          </w:tcPr>
          <w:p w14:paraId="2A2F26A5"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3</w:t>
            </w:r>
          </w:p>
        </w:tc>
        <w:tc>
          <w:tcPr>
            <w:tcW w:w="834" w:type="dxa"/>
            <w:shd w:val="clear" w:color="auto" w:fill="auto"/>
            <w:vAlign w:val="center"/>
          </w:tcPr>
          <w:p w14:paraId="6DEA5F2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21</w:t>
            </w:r>
          </w:p>
        </w:tc>
        <w:tc>
          <w:tcPr>
            <w:tcW w:w="1572" w:type="dxa"/>
            <w:shd w:val="clear" w:color="auto" w:fill="FF0000"/>
            <w:vAlign w:val="center"/>
          </w:tcPr>
          <w:p w14:paraId="53516BD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1.005</w:t>
            </w:r>
          </w:p>
          <w:p w14:paraId="75A380CE"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1.31</w:t>
            </w:r>
          </w:p>
        </w:tc>
        <w:tc>
          <w:tcPr>
            <w:tcW w:w="3770" w:type="dxa"/>
            <w:shd w:val="clear" w:color="auto" w:fill="auto"/>
          </w:tcPr>
          <w:p w14:paraId="1C914D4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0D4E931C" w14:textId="77777777" w:rsidR="00BC1D4B" w:rsidRDefault="00BC1D4B">
            <w:pPr>
              <w:spacing w:after="0"/>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1A6E456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 xml:space="preserve">Local exhaust ventilation: specifically designed LEV such as receiving hoods (assumed effectiveness </w:t>
            </w:r>
          </w:p>
          <w:p w14:paraId="13687A86"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80-90%)</w:t>
            </w:r>
          </w:p>
          <w:p w14:paraId="2A3129D1"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3B1E072D"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 xml:space="preserve"> Basic occupational Health and Safety Management System</w:t>
            </w:r>
          </w:p>
        </w:tc>
        <w:tc>
          <w:tcPr>
            <w:tcW w:w="1746" w:type="dxa"/>
            <w:shd w:val="clear" w:color="auto" w:fill="auto"/>
          </w:tcPr>
          <w:p w14:paraId="0A06116F"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568DE8DB"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Align w:val="center"/>
          </w:tcPr>
          <w:p w14:paraId="56409579"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21</w:t>
            </w:r>
          </w:p>
        </w:tc>
        <w:tc>
          <w:tcPr>
            <w:tcW w:w="4118" w:type="dxa"/>
            <w:gridSpan w:val="2"/>
          </w:tcPr>
          <w:p w14:paraId="06B32B7C"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 xml:space="preserve">Service life (professional worker) - ELT articles – installation of shock </w:t>
            </w:r>
          </w:p>
          <w:p w14:paraId="2297F66F"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absorbing tiles</w:t>
            </w:r>
          </w:p>
        </w:tc>
        <w:tc>
          <w:tcPr>
            <w:tcW w:w="1735" w:type="dxa"/>
            <w:vAlign w:val="center"/>
          </w:tcPr>
          <w:p w14:paraId="3AD5D79E"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38BD9354"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21</w:t>
            </w:r>
          </w:p>
        </w:tc>
        <w:tc>
          <w:tcPr>
            <w:tcW w:w="1572" w:type="dxa"/>
            <w:shd w:val="clear" w:color="auto" w:fill="FF0000"/>
          </w:tcPr>
          <w:p w14:paraId="5BC9C99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inhalation = 1.062</w:t>
            </w:r>
          </w:p>
          <w:p w14:paraId="6746A786"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1.264</w:t>
            </w:r>
          </w:p>
        </w:tc>
        <w:tc>
          <w:tcPr>
            <w:tcW w:w="3770" w:type="dxa"/>
            <w:shd w:val="clear" w:color="auto" w:fill="auto"/>
          </w:tcPr>
          <w:p w14:paraId="1C95B672"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3684E312"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307F11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occupational Health and Safety Management System</w:t>
            </w:r>
          </w:p>
          <w:p w14:paraId="02B91178"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10DFE3B7"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tc>
        <w:tc>
          <w:tcPr>
            <w:tcW w:w="1746" w:type="dxa"/>
            <w:shd w:val="clear" w:color="auto" w:fill="auto"/>
          </w:tcPr>
          <w:p w14:paraId="782FA305"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583D042A" w14:textId="77777777" w:rsidTr="00BC1D4B">
        <w:tc>
          <w:tcPr>
            <w:cnfStyle w:val="001000000000" w:firstRow="0" w:lastRow="0" w:firstColumn="1" w:lastColumn="0" w:oddVBand="0" w:evenVBand="0" w:oddHBand="0" w:evenHBand="0" w:firstRowFirstColumn="0" w:firstRowLastColumn="0" w:lastRowFirstColumn="0" w:lastRowLastColumn="0"/>
            <w:tcW w:w="501" w:type="dxa"/>
            <w:vMerge w:val="restart"/>
            <w:vAlign w:val="center"/>
          </w:tcPr>
          <w:p w14:paraId="1D2B0515"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23</w:t>
            </w:r>
          </w:p>
        </w:tc>
        <w:tc>
          <w:tcPr>
            <w:tcW w:w="4118" w:type="dxa"/>
            <w:gridSpan w:val="2"/>
            <w:vMerge w:val="restart"/>
            <w:vAlign w:val="center"/>
          </w:tcPr>
          <w:p w14:paraId="166EC335"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Service life (professional worker) – re-use of ELT articles – installation of synthetic turf</w:t>
            </w:r>
          </w:p>
          <w:p w14:paraId="3243942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fields</w:t>
            </w:r>
          </w:p>
        </w:tc>
        <w:tc>
          <w:tcPr>
            <w:tcW w:w="1735" w:type="dxa"/>
            <w:vAlign w:val="center"/>
          </w:tcPr>
          <w:p w14:paraId="65979C71"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2</w:t>
            </w:r>
          </w:p>
        </w:tc>
        <w:tc>
          <w:tcPr>
            <w:tcW w:w="834" w:type="dxa"/>
            <w:shd w:val="clear" w:color="auto" w:fill="auto"/>
            <w:vAlign w:val="center"/>
          </w:tcPr>
          <w:p w14:paraId="04599A0F"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21</w:t>
            </w:r>
          </w:p>
        </w:tc>
        <w:tc>
          <w:tcPr>
            <w:tcW w:w="1572" w:type="dxa"/>
            <w:shd w:val="clear" w:color="auto" w:fill="FF0000"/>
          </w:tcPr>
          <w:p w14:paraId="7C77E05A"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inhalation = 1.062</w:t>
            </w:r>
          </w:p>
          <w:p w14:paraId="1DE6D1A9"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1.264</w:t>
            </w:r>
          </w:p>
        </w:tc>
        <w:tc>
          <w:tcPr>
            <w:tcW w:w="3770" w:type="dxa"/>
            <w:shd w:val="clear" w:color="auto" w:fill="auto"/>
          </w:tcPr>
          <w:p w14:paraId="3B0608B3"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71889FBA"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2164A79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occupational Health and Safety Management System</w:t>
            </w:r>
          </w:p>
          <w:p w14:paraId="2D7D4F67"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p w14:paraId="3B5BE135"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80% Dermal protection effectiveness</w:t>
            </w:r>
          </w:p>
        </w:tc>
        <w:tc>
          <w:tcPr>
            <w:tcW w:w="1746" w:type="dxa"/>
            <w:shd w:val="clear" w:color="auto" w:fill="auto"/>
          </w:tcPr>
          <w:p w14:paraId="4EDB9056"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1765187C"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Merge/>
            <w:vAlign w:val="center"/>
          </w:tcPr>
          <w:p w14:paraId="37D59FB1" w14:textId="77777777" w:rsidR="00BC1D4B" w:rsidRDefault="00BC1D4B">
            <w:pPr>
              <w:spacing w:after="0"/>
              <w:jc w:val="center"/>
              <w:rPr>
                <w:rFonts w:ascii="Verdana" w:hAnsi="Verdana" w:cs="Calibri"/>
                <w:sz w:val="18"/>
                <w:szCs w:val="18"/>
                <w:lang w:val="en-US"/>
              </w:rPr>
            </w:pPr>
          </w:p>
        </w:tc>
        <w:tc>
          <w:tcPr>
            <w:tcW w:w="4118" w:type="dxa"/>
            <w:gridSpan w:val="2"/>
            <w:vMerge/>
          </w:tcPr>
          <w:p w14:paraId="195C1A60"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1735" w:type="dxa"/>
            <w:vAlign w:val="center"/>
          </w:tcPr>
          <w:p w14:paraId="7D6C9CE1"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CS 3</w:t>
            </w:r>
          </w:p>
        </w:tc>
        <w:tc>
          <w:tcPr>
            <w:tcW w:w="834" w:type="dxa"/>
            <w:shd w:val="clear" w:color="auto" w:fill="auto"/>
            <w:vAlign w:val="center"/>
          </w:tcPr>
          <w:p w14:paraId="4ACB52EE"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21</w:t>
            </w:r>
          </w:p>
        </w:tc>
        <w:tc>
          <w:tcPr>
            <w:tcW w:w="1572" w:type="dxa"/>
            <w:shd w:val="clear" w:color="auto" w:fill="FF0000"/>
          </w:tcPr>
          <w:p w14:paraId="75396394"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dermal = 1.01</w:t>
            </w:r>
          </w:p>
          <w:p w14:paraId="35AE0CE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RCR combined routes = 1.112</w:t>
            </w:r>
          </w:p>
        </w:tc>
        <w:tc>
          <w:tcPr>
            <w:tcW w:w="3770" w:type="dxa"/>
            <w:shd w:val="clear" w:color="auto" w:fill="auto"/>
          </w:tcPr>
          <w:p w14:paraId="7132596D"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room ventilation (up to 3 ACH)</w:t>
            </w:r>
          </w:p>
          <w:p w14:paraId="339DA46F"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41B9F74A"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Basic occupational Health and Safety Management</w:t>
            </w:r>
          </w:p>
          <w:p w14:paraId="165097DE" w14:textId="77777777" w:rsidR="00BC1D4B" w:rsidRDefault="00BC1D4B">
            <w:pPr>
              <w:spacing w:after="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p w14:paraId="2CDEEC27"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Respiratory protection (APF = 10)</w:t>
            </w:r>
          </w:p>
        </w:tc>
        <w:tc>
          <w:tcPr>
            <w:tcW w:w="1746" w:type="dxa"/>
            <w:shd w:val="clear" w:color="auto" w:fill="auto"/>
          </w:tcPr>
          <w:p w14:paraId="7F16591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TRA Workers 3.0</w:t>
            </w:r>
          </w:p>
        </w:tc>
      </w:tr>
      <w:tr w:rsidR="00BC1D4B" w14:paraId="0E229E46" w14:textId="77777777" w:rsidTr="00BC1D4B">
        <w:tc>
          <w:tcPr>
            <w:cnfStyle w:val="001000000000" w:firstRow="0" w:lastRow="0" w:firstColumn="1" w:lastColumn="0" w:oddVBand="0" w:evenVBand="0" w:oddHBand="0" w:evenHBand="0" w:firstRowFirstColumn="0" w:firstRowLastColumn="0" w:lastRowFirstColumn="0" w:lastRowLastColumn="0"/>
            <w:tcW w:w="1603" w:type="dxa"/>
            <w:gridSpan w:val="2"/>
            <w:shd w:val="clear" w:color="auto" w:fill="1F3864"/>
          </w:tcPr>
          <w:p w14:paraId="1C68FF07" w14:textId="77777777" w:rsidR="00BC1D4B" w:rsidRDefault="00BC1D4B">
            <w:pPr>
              <w:spacing w:after="0"/>
              <w:jc w:val="center"/>
              <w:rPr>
                <w:rFonts w:ascii="Verdana" w:hAnsi="Verdana" w:cs="Calibri"/>
                <w:sz w:val="18"/>
                <w:szCs w:val="18"/>
                <w:lang w:val="en-US"/>
              </w:rPr>
            </w:pPr>
          </w:p>
        </w:tc>
        <w:tc>
          <w:tcPr>
            <w:tcW w:w="12673" w:type="dxa"/>
            <w:gridSpan w:val="6"/>
            <w:shd w:val="clear" w:color="auto" w:fill="1F3864"/>
            <w:vAlign w:val="center"/>
          </w:tcPr>
          <w:p w14:paraId="030C68F1"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Article service life – consumers</w:t>
            </w:r>
          </w:p>
        </w:tc>
      </w:tr>
      <w:tr w:rsidR="00BC1D4B" w14:paraId="4701E4EA"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Align w:val="center"/>
          </w:tcPr>
          <w:p w14:paraId="611EAA2A"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t>7</w:t>
            </w:r>
          </w:p>
        </w:tc>
        <w:tc>
          <w:tcPr>
            <w:tcW w:w="4118" w:type="dxa"/>
            <w:gridSpan w:val="2"/>
          </w:tcPr>
          <w:p w14:paraId="7072E9B7"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lang w:val="en-US"/>
              </w:rPr>
            </w:pPr>
            <w:r>
              <w:rPr>
                <w:rFonts w:ascii="Verdana" w:hAnsi="Verdana"/>
                <w:b/>
                <w:bCs/>
                <w:sz w:val="18"/>
                <w:szCs w:val="18"/>
                <w:lang w:val="en-US"/>
              </w:rPr>
              <w:t>Service life (consumers) - GRG articles (balloons) – consumer</w:t>
            </w:r>
          </w:p>
          <w:p w14:paraId="037D173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b/>
                <w:bCs/>
                <w:sz w:val="18"/>
                <w:szCs w:val="18"/>
                <w:lang w:val="en-US"/>
              </w:rPr>
              <w:t>(children’s 6 to 11 years)</w:t>
            </w:r>
          </w:p>
        </w:tc>
        <w:tc>
          <w:tcPr>
            <w:tcW w:w="1735" w:type="dxa"/>
          </w:tcPr>
          <w:p w14:paraId="70F0EEC0"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p>
        </w:tc>
        <w:tc>
          <w:tcPr>
            <w:tcW w:w="7922" w:type="dxa"/>
            <w:gridSpan w:val="4"/>
            <w:vAlign w:val="center"/>
          </w:tcPr>
          <w:p w14:paraId="66041E0E"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cs="Calibri"/>
                <w:sz w:val="18"/>
                <w:szCs w:val="18"/>
                <w:lang w:val="en-US"/>
              </w:rPr>
              <w:t>/</w:t>
            </w:r>
          </w:p>
        </w:tc>
      </w:tr>
      <w:tr w:rsidR="00BC1D4B" w14:paraId="26E2B96D" w14:textId="77777777" w:rsidTr="00BC1D4B">
        <w:tc>
          <w:tcPr>
            <w:cnfStyle w:val="001000000000" w:firstRow="0" w:lastRow="0" w:firstColumn="1" w:lastColumn="0" w:oddVBand="0" w:evenVBand="0" w:oddHBand="0" w:evenHBand="0" w:firstRowFirstColumn="0" w:firstRowLastColumn="0" w:lastRowFirstColumn="0" w:lastRowLastColumn="0"/>
            <w:tcW w:w="501" w:type="dxa"/>
            <w:vAlign w:val="center"/>
          </w:tcPr>
          <w:p w14:paraId="2EB7B914" w14:textId="77777777" w:rsidR="00BC1D4B" w:rsidRDefault="00ED1F84">
            <w:pPr>
              <w:spacing w:after="0"/>
              <w:jc w:val="center"/>
              <w:rPr>
                <w:rFonts w:ascii="Verdana" w:hAnsi="Verdana" w:cs="Calibri"/>
                <w:sz w:val="18"/>
                <w:szCs w:val="18"/>
                <w:lang w:val="en-US"/>
              </w:rPr>
            </w:pPr>
            <w:r>
              <w:rPr>
                <w:rFonts w:ascii="Verdana" w:hAnsi="Verdana" w:cs="Calibri"/>
                <w:sz w:val="18"/>
                <w:szCs w:val="18"/>
                <w:lang w:val="en-US"/>
              </w:rPr>
              <w:lastRenderedPageBreak/>
              <w:t>11</w:t>
            </w:r>
          </w:p>
        </w:tc>
        <w:tc>
          <w:tcPr>
            <w:tcW w:w="4118" w:type="dxa"/>
            <w:gridSpan w:val="2"/>
          </w:tcPr>
          <w:p w14:paraId="59440676"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b/>
                <w:bCs/>
                <w:sz w:val="18"/>
                <w:szCs w:val="18"/>
                <w:lang w:val="en-US"/>
              </w:rPr>
              <w:t>Service life (consumers) - Consumer use of tyres (vehicles).</w:t>
            </w:r>
          </w:p>
        </w:tc>
        <w:tc>
          <w:tcPr>
            <w:tcW w:w="1735" w:type="dxa"/>
            <w:vAlign w:val="center"/>
          </w:tcPr>
          <w:p w14:paraId="21B8C0AD"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CS 2</w:t>
            </w:r>
          </w:p>
        </w:tc>
        <w:tc>
          <w:tcPr>
            <w:tcW w:w="834" w:type="dxa"/>
            <w:shd w:val="clear" w:color="auto" w:fill="auto"/>
            <w:vAlign w:val="center"/>
          </w:tcPr>
          <w:p w14:paraId="47C45E3A"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w:t>
            </w:r>
          </w:p>
        </w:tc>
        <w:tc>
          <w:tcPr>
            <w:tcW w:w="1572" w:type="dxa"/>
            <w:shd w:val="clear" w:color="auto" w:fill="FF0000"/>
          </w:tcPr>
          <w:p w14:paraId="535FA57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RCR dermal = 1.124</w:t>
            </w:r>
          </w:p>
          <w:p w14:paraId="175AE01B"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RCR combined routes = 1.132</w:t>
            </w:r>
          </w:p>
        </w:tc>
        <w:tc>
          <w:tcPr>
            <w:tcW w:w="3770" w:type="dxa"/>
            <w:shd w:val="clear" w:color="auto" w:fill="auto"/>
          </w:tcPr>
          <w:p w14:paraId="14542F8C"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w:t>
            </w:r>
          </w:p>
        </w:tc>
        <w:tc>
          <w:tcPr>
            <w:tcW w:w="1746" w:type="dxa"/>
            <w:shd w:val="clear" w:color="auto" w:fill="auto"/>
          </w:tcPr>
          <w:p w14:paraId="7CB0C920"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TRA Consumers 3.1</w:t>
            </w:r>
          </w:p>
          <w:p w14:paraId="2520C477"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(R15) </w:t>
            </w:r>
          </w:p>
          <w:p w14:paraId="751DDC2C"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1594871D"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Exposure time per event: = 1 h/event</w:t>
            </w:r>
          </w:p>
          <w:p w14:paraId="7E101236"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p w14:paraId="4997A80A"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Frequency of use over a year: Infrequent</w:t>
            </w:r>
          </w:p>
          <w:p w14:paraId="5A165C60"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p>
        </w:tc>
      </w:tr>
      <w:tr w:rsidR="00BC1D4B" w14:paraId="533094A2" w14:textId="77777777" w:rsidTr="00BC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dxa"/>
            <w:vAlign w:val="center"/>
          </w:tcPr>
          <w:p w14:paraId="62F04950" w14:textId="77777777" w:rsidR="00BC1D4B" w:rsidRDefault="00ED1F84">
            <w:pPr>
              <w:spacing w:after="0"/>
              <w:jc w:val="center"/>
              <w:rPr>
                <w:rFonts w:ascii="Verdana" w:hAnsi="Verdana" w:cs="Calibri"/>
                <w:sz w:val="18"/>
                <w:szCs w:val="18"/>
                <w:lang w:val="en-US"/>
              </w:rPr>
            </w:pPr>
            <w:r>
              <w:rPr>
                <w:rFonts w:ascii="Verdana" w:hAnsi="Verdana"/>
                <w:sz w:val="18"/>
                <w:szCs w:val="18"/>
                <w:lang w:val="en-US"/>
              </w:rPr>
              <w:t>22</w:t>
            </w:r>
          </w:p>
        </w:tc>
        <w:tc>
          <w:tcPr>
            <w:tcW w:w="4118" w:type="dxa"/>
            <w:gridSpan w:val="2"/>
          </w:tcPr>
          <w:p w14:paraId="37395D2D"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b/>
                <w:bCs/>
                <w:sz w:val="18"/>
                <w:szCs w:val="18"/>
                <w:lang w:val="en-US"/>
              </w:rPr>
              <w:t>Service life (consumers) - ELT articles - shock absorbing tiles</w:t>
            </w:r>
            <w:r>
              <w:rPr>
                <w:rFonts w:ascii="Verdana" w:hAnsi="Verdana"/>
                <w:sz w:val="18"/>
                <w:szCs w:val="18"/>
                <w:lang w:val="en-US"/>
              </w:rPr>
              <w:t xml:space="preserve"> </w:t>
            </w:r>
            <w:r>
              <w:rPr>
                <w:rFonts w:ascii="Verdana" w:hAnsi="Verdana"/>
                <w:b/>
                <w:bCs/>
                <w:sz w:val="18"/>
                <w:szCs w:val="18"/>
                <w:lang w:val="en-US"/>
              </w:rPr>
              <w:t>(children’s &lt; 3 years)</w:t>
            </w:r>
          </w:p>
        </w:tc>
        <w:tc>
          <w:tcPr>
            <w:tcW w:w="1735" w:type="dxa"/>
            <w:vAlign w:val="center"/>
          </w:tcPr>
          <w:p w14:paraId="2EB85C65"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CS 2</w:t>
            </w:r>
          </w:p>
        </w:tc>
        <w:tc>
          <w:tcPr>
            <w:tcW w:w="834" w:type="dxa"/>
          </w:tcPr>
          <w:p w14:paraId="71BD4862"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c>
          <w:tcPr>
            <w:tcW w:w="7088" w:type="dxa"/>
            <w:gridSpan w:val="3"/>
            <w:vAlign w:val="center"/>
          </w:tcPr>
          <w:p w14:paraId="058ED290"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w:t>
            </w:r>
          </w:p>
        </w:tc>
      </w:tr>
      <w:tr w:rsidR="00BC1D4B" w14:paraId="0D3D240F" w14:textId="77777777" w:rsidTr="00BC1D4B">
        <w:tc>
          <w:tcPr>
            <w:cnfStyle w:val="001000000000" w:firstRow="0" w:lastRow="0" w:firstColumn="1" w:lastColumn="0" w:oddVBand="0" w:evenVBand="0" w:oddHBand="0" w:evenHBand="0" w:firstRowFirstColumn="0" w:firstRowLastColumn="0" w:lastRowFirstColumn="0" w:lastRowLastColumn="0"/>
            <w:tcW w:w="501" w:type="dxa"/>
            <w:vAlign w:val="center"/>
          </w:tcPr>
          <w:p w14:paraId="09C2FF25" w14:textId="77777777" w:rsidR="00BC1D4B" w:rsidRDefault="00ED1F84">
            <w:pPr>
              <w:spacing w:after="0"/>
              <w:jc w:val="center"/>
              <w:rPr>
                <w:rFonts w:ascii="Verdana" w:hAnsi="Verdana" w:cs="Calibri"/>
                <w:sz w:val="18"/>
                <w:szCs w:val="18"/>
                <w:lang w:val="en-US"/>
              </w:rPr>
            </w:pPr>
            <w:r>
              <w:rPr>
                <w:rFonts w:ascii="Verdana" w:hAnsi="Verdana"/>
                <w:sz w:val="18"/>
                <w:szCs w:val="18"/>
                <w:lang w:val="en-US"/>
              </w:rPr>
              <w:t>24</w:t>
            </w:r>
          </w:p>
        </w:tc>
        <w:tc>
          <w:tcPr>
            <w:tcW w:w="4118" w:type="dxa"/>
            <w:gridSpan w:val="2"/>
          </w:tcPr>
          <w:p w14:paraId="18C2DE53"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val="en-US"/>
              </w:rPr>
            </w:pPr>
            <w:r>
              <w:rPr>
                <w:rFonts w:ascii="Verdana" w:hAnsi="Verdana"/>
                <w:b/>
                <w:bCs/>
                <w:sz w:val="18"/>
                <w:szCs w:val="18"/>
                <w:lang w:val="en-US"/>
              </w:rPr>
              <w:t>Service life (consumers) - ELT articles - synthetic turf fields</w:t>
            </w:r>
          </w:p>
          <w:p w14:paraId="06D7CC41"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 xml:space="preserve"> (</w:t>
            </w:r>
            <w:r>
              <w:rPr>
                <w:rFonts w:ascii="Verdana" w:hAnsi="Verdana"/>
                <w:b/>
                <w:bCs/>
                <w:sz w:val="18"/>
                <w:szCs w:val="18"/>
                <w:lang w:val="en-US"/>
              </w:rPr>
              <w:t>children’s 6 to 11 years)</w:t>
            </w:r>
          </w:p>
        </w:tc>
        <w:tc>
          <w:tcPr>
            <w:tcW w:w="1735" w:type="dxa"/>
            <w:vAlign w:val="center"/>
          </w:tcPr>
          <w:p w14:paraId="1FC392A3"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CS 2</w:t>
            </w:r>
          </w:p>
        </w:tc>
        <w:tc>
          <w:tcPr>
            <w:tcW w:w="834" w:type="dxa"/>
          </w:tcPr>
          <w:p w14:paraId="2CDD3375"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7088" w:type="dxa"/>
            <w:gridSpan w:val="3"/>
            <w:vAlign w:val="center"/>
          </w:tcPr>
          <w:p w14:paraId="3D0BEAD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val="en-US"/>
              </w:rPr>
            </w:pPr>
            <w:r>
              <w:rPr>
                <w:rFonts w:ascii="Verdana" w:hAnsi="Verdana"/>
                <w:sz w:val="18"/>
                <w:szCs w:val="18"/>
                <w:lang w:val="en-US"/>
              </w:rPr>
              <w:t>/</w:t>
            </w:r>
          </w:p>
        </w:tc>
      </w:tr>
    </w:tbl>
    <w:p w14:paraId="7D9D00C7" w14:textId="77777777" w:rsidR="00BC1D4B" w:rsidRDefault="00BC1D4B">
      <w:pPr>
        <w:spacing w:before="240"/>
        <w:jc w:val="both"/>
        <w:rPr>
          <w:rFonts w:ascii="Verdana" w:hAnsi="Verdana"/>
          <w:sz w:val="20"/>
          <w:szCs w:val="20"/>
        </w:rPr>
        <w:sectPr w:rsidR="00BC1D4B">
          <w:pgSz w:w="16838" w:h="11906" w:orient="landscape"/>
          <w:pgMar w:top="1797" w:right="1418" w:bottom="1797" w:left="1134" w:header="680" w:footer="567" w:gutter="0"/>
          <w:cols w:space="708"/>
          <w:docGrid w:linePitch="360"/>
        </w:sectPr>
      </w:pPr>
    </w:p>
    <w:p w14:paraId="0B33CE61" w14:textId="77777777" w:rsidR="00BC1D4B" w:rsidRDefault="00ED1F84">
      <w:pPr>
        <w:spacing w:after="240"/>
        <w:jc w:val="both"/>
        <w:rPr>
          <w:rFonts w:ascii="Verdana" w:eastAsia="Calibri" w:hAnsi="Verdana"/>
          <w:sz w:val="20"/>
          <w:szCs w:val="20"/>
        </w:rPr>
      </w:pPr>
      <w:r>
        <w:rPr>
          <w:rFonts w:ascii="Verdana" w:eastAsia="Calibri" w:hAnsi="Verdana"/>
          <w:sz w:val="20"/>
          <w:szCs w:val="20"/>
        </w:rPr>
        <w:lastRenderedPageBreak/>
        <w:t>The exposure scenarios, the associated PROCs and the calculated risks are detailed in tables 21 and 26 in annex I. Only the scenarios with RCRs &gt; 1 (highlighted in red) and the scenarios with RCRs close to 1 (0.95≤RCR&lt;1) (highlighted in orange) are reported in the table. The associated risk management measures (RMM) and the exposure models used to determine the risks are reported.</w:t>
      </w:r>
    </w:p>
    <w:p w14:paraId="5D810AEC" w14:textId="77777777" w:rsidR="00BC1D4B" w:rsidRDefault="00ED1F84">
      <w:pPr>
        <w:spacing w:after="240"/>
        <w:jc w:val="both"/>
        <w:rPr>
          <w:rFonts w:ascii="Verdana" w:eastAsia="Calibri" w:hAnsi="Verdana"/>
          <w:sz w:val="20"/>
          <w:szCs w:val="20"/>
        </w:rPr>
      </w:pPr>
      <w:r>
        <w:rPr>
          <w:rFonts w:ascii="Verdana" w:eastAsia="Calibri" w:hAnsi="Verdana"/>
          <w:sz w:val="20"/>
          <w:szCs w:val="20"/>
        </w:rPr>
        <w:t xml:space="preserve">Overall, RCR &gt; 1 are observed in contributing scenario of most exposure scenario for industrial and professional workers and in one scenario for consumers. </w:t>
      </w:r>
    </w:p>
    <w:p w14:paraId="3A8CD59A" w14:textId="58C0D366" w:rsidR="00BC1D4B" w:rsidRDefault="00ED1F84">
      <w:pPr>
        <w:spacing w:after="240"/>
        <w:jc w:val="both"/>
        <w:rPr>
          <w:rFonts w:ascii="Verdana" w:eastAsia="Calibri" w:hAnsi="Verdana"/>
          <w:sz w:val="20"/>
          <w:szCs w:val="20"/>
        </w:rPr>
      </w:pPr>
      <w:r>
        <w:rPr>
          <w:rFonts w:ascii="Verdana" w:eastAsia="Calibri" w:hAnsi="Verdana"/>
          <w:sz w:val="20"/>
          <w:szCs w:val="20"/>
        </w:rPr>
        <w:t xml:space="preserve">For industrial workers, contributing scenario leading to RCR &gt; 1 were identified for PROC 3, 5, 8a, 8b, 9, 10, 13, 14, 15, 21 and 22 in several exposure scenarios. The RCRs calculated were between </w:t>
      </w:r>
      <w:r w:rsidR="00750E91">
        <w:rPr>
          <w:rFonts w:ascii="Verdana" w:eastAsia="Calibri" w:hAnsi="Verdana"/>
          <w:sz w:val="20"/>
          <w:szCs w:val="20"/>
        </w:rPr>
        <w:t>&gt;</w:t>
      </w:r>
      <w:r>
        <w:rPr>
          <w:rFonts w:ascii="Verdana" w:eastAsia="Calibri" w:hAnsi="Verdana"/>
          <w:sz w:val="20"/>
          <w:szCs w:val="20"/>
        </w:rPr>
        <w:t xml:space="preserve">1 and 1.61. </w:t>
      </w:r>
    </w:p>
    <w:p w14:paraId="47EB54EE" w14:textId="77777777" w:rsidR="00BC1D4B" w:rsidRDefault="00ED1F84">
      <w:pPr>
        <w:spacing w:after="240"/>
        <w:jc w:val="both"/>
        <w:rPr>
          <w:rFonts w:ascii="Verdana" w:eastAsia="Calibri" w:hAnsi="Verdana"/>
          <w:sz w:val="20"/>
          <w:szCs w:val="20"/>
        </w:rPr>
      </w:pPr>
      <w:r>
        <w:rPr>
          <w:rFonts w:ascii="Verdana" w:eastAsia="Calibri" w:hAnsi="Verdana"/>
          <w:sz w:val="20"/>
          <w:szCs w:val="20"/>
        </w:rPr>
        <w:t>Considering professional workers,</w:t>
      </w:r>
      <w:r>
        <w:t xml:space="preserve"> </w:t>
      </w:r>
      <w:r>
        <w:rPr>
          <w:rFonts w:ascii="Verdana" w:eastAsia="Calibri" w:hAnsi="Verdana"/>
          <w:sz w:val="20"/>
          <w:szCs w:val="20"/>
        </w:rPr>
        <w:t>contributing scenario with RCR &gt; 1 were identified for PROC 21 for:</w:t>
      </w:r>
    </w:p>
    <w:p w14:paraId="2A25FC17" w14:textId="77777777" w:rsidR="00BC1D4B" w:rsidRDefault="00ED1F84" w:rsidP="0074729A">
      <w:pPr>
        <w:numPr>
          <w:ilvl w:val="0"/>
          <w:numId w:val="12"/>
        </w:numPr>
        <w:spacing w:after="240"/>
        <w:jc w:val="both"/>
        <w:rPr>
          <w:rFonts w:ascii="Verdana" w:eastAsia="Calibri" w:hAnsi="Verdana"/>
          <w:sz w:val="20"/>
          <w:szCs w:val="20"/>
        </w:rPr>
      </w:pPr>
      <w:r>
        <w:rPr>
          <w:rFonts w:ascii="Verdana" w:eastAsia="Calibri" w:hAnsi="Verdana"/>
          <w:sz w:val="20"/>
          <w:szCs w:val="20"/>
        </w:rPr>
        <w:t xml:space="preserve">exposure scenario 6 (Service life (professional worker) - GRG articles - conveyor belt), </w:t>
      </w:r>
    </w:p>
    <w:p w14:paraId="0E44B8BA" w14:textId="77777777" w:rsidR="00BC1D4B" w:rsidRDefault="00ED1F84" w:rsidP="0074729A">
      <w:pPr>
        <w:numPr>
          <w:ilvl w:val="0"/>
          <w:numId w:val="12"/>
        </w:numPr>
        <w:spacing w:after="240"/>
        <w:jc w:val="both"/>
        <w:rPr>
          <w:rFonts w:ascii="Verdana" w:eastAsia="Calibri" w:hAnsi="Verdana"/>
          <w:sz w:val="20"/>
          <w:szCs w:val="20"/>
        </w:rPr>
      </w:pPr>
      <w:r>
        <w:rPr>
          <w:rFonts w:ascii="Verdana" w:eastAsia="Calibri" w:hAnsi="Verdana"/>
          <w:sz w:val="20"/>
          <w:szCs w:val="20"/>
        </w:rPr>
        <w:t xml:space="preserve">exposure scenario 12 (Service life (professional worker) - End of Life Tyre: ELT pre-processing storage.), </w:t>
      </w:r>
    </w:p>
    <w:p w14:paraId="7D6F7E26" w14:textId="77777777" w:rsidR="00BC1D4B" w:rsidRDefault="00ED1F84" w:rsidP="0074729A">
      <w:pPr>
        <w:numPr>
          <w:ilvl w:val="0"/>
          <w:numId w:val="12"/>
        </w:numPr>
        <w:spacing w:after="240"/>
        <w:jc w:val="both"/>
        <w:rPr>
          <w:rFonts w:ascii="Verdana" w:eastAsia="Calibri" w:hAnsi="Verdana"/>
          <w:sz w:val="20"/>
          <w:szCs w:val="20"/>
        </w:rPr>
      </w:pPr>
      <w:r>
        <w:rPr>
          <w:rFonts w:ascii="Verdana" w:eastAsia="Calibri" w:hAnsi="Verdana"/>
          <w:sz w:val="20"/>
          <w:szCs w:val="20"/>
        </w:rPr>
        <w:t>exposure scenario 21 (Service life (professional worker) - ELT articles – installation of shock absorbing tiles)</w:t>
      </w:r>
    </w:p>
    <w:p w14:paraId="39477C0E" w14:textId="77777777" w:rsidR="00BC1D4B" w:rsidRDefault="00ED1F84" w:rsidP="0074729A">
      <w:pPr>
        <w:numPr>
          <w:ilvl w:val="0"/>
          <w:numId w:val="12"/>
        </w:numPr>
        <w:spacing w:after="240"/>
        <w:jc w:val="both"/>
        <w:rPr>
          <w:rFonts w:ascii="Verdana" w:eastAsia="Calibri" w:hAnsi="Verdana"/>
          <w:sz w:val="20"/>
          <w:szCs w:val="20"/>
        </w:rPr>
      </w:pPr>
      <w:r>
        <w:rPr>
          <w:rFonts w:ascii="Verdana" w:eastAsia="Calibri" w:hAnsi="Verdana"/>
          <w:sz w:val="20"/>
          <w:szCs w:val="20"/>
        </w:rPr>
        <w:t>exposure scenario 23 (Service life (professional worker) – re-use of ELT articles – installation of synthetic turf fields).</w:t>
      </w:r>
    </w:p>
    <w:p w14:paraId="066EEF7E" w14:textId="0DB7E14A" w:rsidR="00BC1D4B" w:rsidRDefault="00ED1F84">
      <w:pPr>
        <w:spacing w:after="240"/>
        <w:jc w:val="both"/>
        <w:rPr>
          <w:rFonts w:ascii="Verdana" w:eastAsia="Calibri" w:hAnsi="Verdana"/>
          <w:sz w:val="20"/>
          <w:szCs w:val="20"/>
        </w:rPr>
      </w:pPr>
      <w:r>
        <w:rPr>
          <w:rFonts w:ascii="Verdana" w:eastAsia="Calibri" w:hAnsi="Verdana"/>
          <w:sz w:val="20"/>
          <w:szCs w:val="20"/>
        </w:rPr>
        <w:t xml:space="preserve">The RCRs calculated were between </w:t>
      </w:r>
      <w:r w:rsidR="00750E91">
        <w:rPr>
          <w:rFonts w:ascii="Verdana" w:eastAsia="Calibri" w:hAnsi="Verdana"/>
          <w:sz w:val="20"/>
          <w:szCs w:val="20"/>
        </w:rPr>
        <w:t>&gt;</w:t>
      </w:r>
      <w:r>
        <w:rPr>
          <w:rFonts w:ascii="Verdana" w:eastAsia="Calibri" w:hAnsi="Verdana"/>
          <w:sz w:val="20"/>
          <w:szCs w:val="20"/>
        </w:rPr>
        <w:t>1 and 1.31.</w:t>
      </w:r>
    </w:p>
    <w:p w14:paraId="68E67669" w14:textId="44B5F8CC" w:rsidR="00BC1D4B" w:rsidRDefault="00ED1F84">
      <w:pPr>
        <w:pStyle w:val="Corpsdetexte"/>
        <w:jc w:val="both"/>
        <w:rPr>
          <w:rFonts w:ascii="Verdana" w:eastAsia="Calibri" w:hAnsi="Verdana"/>
          <w:sz w:val="20"/>
          <w:szCs w:val="20"/>
        </w:rPr>
      </w:pPr>
      <w:r>
        <w:rPr>
          <w:rFonts w:ascii="Verdana" w:eastAsia="Calibri" w:hAnsi="Verdana"/>
          <w:sz w:val="20"/>
          <w:szCs w:val="20"/>
        </w:rPr>
        <w:t>For consumers, the contributing scenario 2 of the exposure scenario 11 (</w:t>
      </w:r>
      <w:r>
        <w:rPr>
          <w:rFonts w:ascii="Verdana" w:eastAsia="Calibri" w:hAnsi="Verdana"/>
          <w:bCs/>
          <w:sz w:val="20"/>
          <w:szCs w:val="20"/>
          <w:lang w:val="en-US"/>
        </w:rPr>
        <w:t xml:space="preserve">Service life (consumers) - Consumer use of tyres (vehicles)) </w:t>
      </w:r>
      <w:r>
        <w:rPr>
          <w:rFonts w:ascii="Verdana" w:eastAsia="Calibri" w:hAnsi="Verdana"/>
          <w:sz w:val="20"/>
          <w:szCs w:val="20"/>
        </w:rPr>
        <w:t>present a RCR for dermal route equal to 1.12 and a RCR for combined routes equal to 1.13. The situation considered for RCR calculation was a worst case situation of new tyre change (higher % of DPG compare to used tyre) with a % of DPG value of 0.08 (% of DPG in full new tyre). DPG in used tyres is considered to be 0.04%. In this scenario, only the Tier I tool ECETOC TRA has been used. On the other hand, no data have been located by the aMSCA to confirm the concentration of DPG present in tyres, whether manufactured in Europe or imported from outside Europe.</w:t>
      </w:r>
    </w:p>
    <w:p w14:paraId="6C59787A" w14:textId="77777777" w:rsidR="00BC1D4B" w:rsidRDefault="00ED1F84">
      <w:pPr>
        <w:pStyle w:val="Corpsdetexte"/>
        <w:rPr>
          <w:rFonts w:ascii="Verdana" w:hAnsi="Verdana"/>
          <w:b/>
          <w:sz w:val="22"/>
          <w:lang w:val="en-US"/>
        </w:rPr>
      </w:pPr>
      <w:r>
        <w:rPr>
          <w:rFonts w:ascii="Verdana" w:hAnsi="Verdana"/>
          <w:b/>
          <w:sz w:val="22"/>
          <w:u w:val="single"/>
          <w:lang w:val="en-US"/>
        </w:rPr>
        <w:t>Risk characterization based on literature data</w:t>
      </w:r>
      <w:r>
        <w:rPr>
          <w:rFonts w:ascii="Verdana" w:hAnsi="Verdana"/>
          <w:b/>
          <w:sz w:val="22"/>
          <w:lang w:val="en-US"/>
        </w:rPr>
        <w:t>:</w:t>
      </w:r>
    </w:p>
    <w:p w14:paraId="3F6FD476" w14:textId="77777777" w:rsidR="00BC1D4B" w:rsidRDefault="00ED1F84">
      <w:pPr>
        <w:spacing w:after="240"/>
        <w:rPr>
          <w:rFonts w:ascii="Verdana" w:hAnsi="Verdana"/>
          <w:sz w:val="20"/>
          <w:lang w:val="en-US"/>
        </w:rPr>
      </w:pPr>
      <w:r>
        <w:rPr>
          <w:rFonts w:ascii="Verdana" w:hAnsi="Verdana"/>
          <w:sz w:val="20"/>
          <w:lang w:val="en-US"/>
        </w:rPr>
        <w:t>It is highlighted that data are scarce and have limitations. These calculations are therefore performed to obtain an estimates whether risks may occur through the different reported sources of exposures.</w:t>
      </w:r>
    </w:p>
    <w:p w14:paraId="40367B53" w14:textId="77777777" w:rsidR="00BC1D4B" w:rsidRDefault="00ED1F84">
      <w:pPr>
        <w:spacing w:after="240"/>
        <w:rPr>
          <w:rFonts w:ascii="Verdana" w:hAnsi="Verdana"/>
          <w:b/>
          <w:sz w:val="20"/>
          <w:lang w:val="en-US"/>
        </w:rPr>
      </w:pPr>
      <w:r>
        <w:rPr>
          <w:rFonts w:ascii="Verdana" w:hAnsi="Verdana"/>
          <w:b/>
          <w:sz w:val="20"/>
          <w:lang w:val="en-US"/>
        </w:rPr>
        <w:t>Drinking water:</w:t>
      </w:r>
    </w:p>
    <w:p w14:paraId="0525EB6F" w14:textId="77777777" w:rsidR="00BC1D4B" w:rsidRDefault="00ED1F84">
      <w:pPr>
        <w:spacing w:after="240"/>
        <w:jc w:val="both"/>
        <w:rPr>
          <w:rFonts w:ascii="Verdana" w:hAnsi="Verdana"/>
          <w:sz w:val="20"/>
          <w:lang w:val="en-US"/>
        </w:rPr>
      </w:pPr>
      <w:r>
        <w:rPr>
          <w:rFonts w:ascii="Verdana" w:hAnsi="Verdana"/>
          <w:sz w:val="20"/>
          <w:lang w:val="en-US"/>
        </w:rPr>
        <w:t xml:space="preserve">Risk calculation was performed based on publications where a specific concentration of DPG was clearly indicated. </w:t>
      </w:r>
    </w:p>
    <w:p w14:paraId="1AC5B15B" w14:textId="77777777" w:rsidR="00BC1D4B" w:rsidRDefault="00ED1F84">
      <w:pPr>
        <w:spacing w:after="240"/>
        <w:jc w:val="both"/>
        <w:rPr>
          <w:rFonts w:ascii="Verdana" w:hAnsi="Verdana"/>
          <w:sz w:val="20"/>
          <w:lang w:val="en-US"/>
        </w:rPr>
      </w:pPr>
      <w:r>
        <w:rPr>
          <w:rFonts w:ascii="Verdana" w:hAnsi="Verdana"/>
          <w:sz w:val="20"/>
          <w:lang w:val="en-US"/>
        </w:rPr>
        <w:t xml:space="preserve">In Gollong </w:t>
      </w:r>
      <w:r>
        <w:rPr>
          <w:rFonts w:ascii="Verdana" w:hAnsi="Verdana"/>
          <w:i/>
          <w:sz w:val="20"/>
          <w:lang w:val="en-US"/>
        </w:rPr>
        <w:t>et al</w:t>
      </w:r>
      <w:r>
        <w:rPr>
          <w:rFonts w:ascii="Verdana" w:hAnsi="Verdana"/>
          <w:sz w:val="20"/>
          <w:lang w:val="en-US"/>
        </w:rPr>
        <w:t xml:space="preserve">. (2022), the concentration indicated is probably a median of DPG concentrations in all the types of water tested in the study and therefore not specific to drinking water samples. </w:t>
      </w:r>
    </w:p>
    <w:p w14:paraId="2D31B418" w14:textId="77777777" w:rsidR="00BC1D4B" w:rsidRDefault="00ED1F84">
      <w:pPr>
        <w:spacing w:after="240"/>
        <w:jc w:val="both"/>
        <w:rPr>
          <w:rFonts w:ascii="Verdana" w:hAnsi="Verdana"/>
          <w:sz w:val="20"/>
          <w:lang w:val="en-US"/>
        </w:rPr>
      </w:pPr>
      <w:r>
        <w:rPr>
          <w:rFonts w:ascii="Verdana" w:hAnsi="Verdana"/>
          <w:sz w:val="20"/>
          <w:lang w:val="en-US"/>
        </w:rPr>
        <w:t xml:space="preserve">In Neuwald </w:t>
      </w:r>
      <w:r>
        <w:rPr>
          <w:rFonts w:ascii="Verdana" w:hAnsi="Verdana"/>
          <w:i/>
          <w:sz w:val="20"/>
          <w:lang w:val="en-US"/>
        </w:rPr>
        <w:t>et al</w:t>
      </w:r>
      <w:r>
        <w:rPr>
          <w:rFonts w:ascii="Verdana" w:hAnsi="Verdana"/>
          <w:sz w:val="20"/>
          <w:lang w:val="en-US"/>
        </w:rPr>
        <w:t xml:space="preserve">. (2022), the concentration of DPG was calculated in sources of drinking water and not in the treated water. </w:t>
      </w:r>
    </w:p>
    <w:p w14:paraId="66D6D3DC" w14:textId="77777777" w:rsidR="00BC1D4B" w:rsidRDefault="00ED1F84">
      <w:pPr>
        <w:spacing w:after="240"/>
        <w:jc w:val="both"/>
        <w:rPr>
          <w:rFonts w:ascii="Verdana" w:hAnsi="Verdana"/>
          <w:sz w:val="20"/>
          <w:lang w:val="en-US"/>
        </w:rPr>
      </w:pPr>
      <w:r>
        <w:rPr>
          <w:rFonts w:ascii="Verdana" w:hAnsi="Verdana"/>
          <w:sz w:val="20"/>
          <w:lang w:val="en-US"/>
        </w:rPr>
        <w:lastRenderedPageBreak/>
        <w:t xml:space="preserve">In Tang </w:t>
      </w:r>
      <w:r>
        <w:rPr>
          <w:rFonts w:ascii="Verdana" w:hAnsi="Verdana"/>
          <w:i/>
          <w:sz w:val="20"/>
          <w:lang w:val="en-US"/>
        </w:rPr>
        <w:t>et al</w:t>
      </w:r>
      <w:r>
        <w:rPr>
          <w:rFonts w:ascii="Verdana" w:hAnsi="Verdana"/>
          <w:sz w:val="20"/>
          <w:lang w:val="en-US"/>
        </w:rPr>
        <w:t>. (2015), the maximum DPG concentration in the residential district has been selected (0.47 mg/L) for risk estimation.</w:t>
      </w:r>
    </w:p>
    <w:p w14:paraId="5A8A8247" w14:textId="77777777" w:rsidR="00BC1D4B" w:rsidRDefault="00ED1F84">
      <w:pPr>
        <w:spacing w:after="240"/>
        <w:jc w:val="both"/>
        <w:rPr>
          <w:rFonts w:ascii="Verdana" w:hAnsi="Verdana"/>
          <w:sz w:val="20"/>
          <w:lang w:val="en-US"/>
        </w:rPr>
      </w:pPr>
      <w:r>
        <w:rPr>
          <w:rFonts w:ascii="Verdana" w:hAnsi="Verdana"/>
          <w:noProof/>
          <w:sz w:val="20"/>
          <w:lang w:val="fr-FR" w:eastAsia="fr-FR"/>
        </w:rPr>
        <mc:AlternateContent>
          <mc:Choice Requires="wps">
            <w:drawing>
              <wp:anchor distT="0" distB="0" distL="114300" distR="114300" simplePos="0" relativeHeight="251663360" behindDoc="0" locked="0" layoutInCell="1" allowOverlap="1">
                <wp:simplePos x="0" y="0"/>
                <wp:positionH relativeFrom="column">
                  <wp:posOffset>-48326</wp:posOffset>
                </wp:positionH>
                <wp:positionV relativeFrom="paragraph">
                  <wp:posOffset>429070</wp:posOffset>
                </wp:positionV>
                <wp:extent cx="2755075" cy="320633"/>
                <wp:effectExtent l="0" t="0" r="26670" b="22860"/>
                <wp:wrapNone/>
                <wp:docPr id="8" name="Rectangle 9"/>
                <wp:cNvGraphicFramePr/>
                <a:graphic xmlns:a="http://schemas.openxmlformats.org/drawingml/2006/main">
                  <a:graphicData uri="http://schemas.microsoft.com/office/word/2010/wordprocessingShape">
                    <wps:wsp>
                      <wps:cNvSpPr/>
                      <wps:spPr bwMode="auto">
                        <a:xfrm>
                          <a:off x="0" y="0"/>
                          <a:ext cx="2755075" cy="320633"/>
                        </a:xfrm>
                        <a:prstGeom prst="rect">
                          <a:avLst/>
                        </a:prstGeom>
                        <a:noFill/>
                        <a:ln w="25400" cap="flat" cmpd="sng" algn="ctr">
                          <a:solidFill>
                            <a:srgbClr val="4F81BD">
                              <a:shade val="50000"/>
                            </a:srgbClr>
                          </a:solidFill>
                          <a:prstDash val="solid"/>
                        </a:ln>
                        <a:effectLst/>
                      </wps:spPr>
                      <wps:bodyPr rot="0">
                        <a:prstTxWarp prst="textNoShape">
                          <a:avLst/>
                        </a:prstTxWarp>
                        <a:noAutofit/>
                      </wps:bodyPr>
                    </wps:wsp>
                  </a:graphicData>
                </a:graphic>
              </wp:anchor>
            </w:drawing>
          </mc:Choice>
          <mc:Fallback>
            <w:pict>
              <v:rect w14:anchorId="235155DD" id="Rectangle 9" o:spid="_x0000_s1026" style="position:absolute;margin-left:-3.8pt;margin-top:33.8pt;width:216.95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" filled="f" strokecolor="#385d8a" strokeweight="2pt"/>
            </w:pict>
          </mc:Fallback>
        </mc:AlternateContent>
      </w:r>
      <w:r>
        <w:rPr>
          <w:rFonts w:ascii="Verdana" w:hAnsi="Verdana"/>
          <w:sz w:val="20"/>
          <w:lang w:val="en-US"/>
        </w:rPr>
        <w:t>The exposure assessment is based on the following calculation method (Anses, 2018):</w:t>
      </w:r>
    </w:p>
    <w:p w14:paraId="0EB4B217" w14:textId="77777777" w:rsidR="00BC1D4B" w:rsidRDefault="00ED1F84">
      <w:pPr>
        <w:spacing w:after="240"/>
        <w:jc w:val="both"/>
        <w:rPr>
          <w:rFonts w:ascii="Verdana" w:hAnsi="Verdana"/>
          <w:sz w:val="20"/>
          <w:lang w:val="en-US"/>
        </w:rPr>
      </w:pPr>
      <w:r>
        <w:rPr>
          <w:rFonts w:ascii="Verdana" w:hAnsi="Verdana"/>
          <w:sz w:val="20"/>
          <w:lang w:val="en-US"/>
        </w:rPr>
        <w:t>Exposure = C</w:t>
      </w:r>
      <w:r>
        <w:rPr>
          <w:rFonts w:ascii="Verdana" w:hAnsi="Verdana"/>
          <w:sz w:val="20"/>
          <w:vertAlign w:val="subscript"/>
          <w:lang w:val="en-US"/>
        </w:rPr>
        <w:t xml:space="preserve">water </w:t>
      </w:r>
      <w:r>
        <w:rPr>
          <w:rFonts w:ascii="Verdana" w:hAnsi="Verdana"/>
          <w:sz w:val="20"/>
          <w:lang w:val="en-US"/>
        </w:rPr>
        <w:t>x consumption/ bw</w:t>
      </w:r>
    </w:p>
    <w:p w14:paraId="4520DD18" w14:textId="77777777" w:rsidR="00BC1D4B" w:rsidRDefault="00BC1D4B">
      <w:pPr>
        <w:spacing w:after="0"/>
        <w:jc w:val="both"/>
        <w:rPr>
          <w:rFonts w:ascii="Verdana" w:hAnsi="Verdana"/>
          <w:sz w:val="20"/>
          <w:lang w:val="en-US"/>
        </w:rPr>
      </w:pPr>
    </w:p>
    <w:p w14:paraId="18CEB92A" w14:textId="77777777" w:rsidR="00BC1D4B" w:rsidRDefault="00ED1F84">
      <w:pPr>
        <w:spacing w:after="0"/>
        <w:jc w:val="both"/>
        <w:rPr>
          <w:rFonts w:ascii="Verdana" w:hAnsi="Verdana"/>
          <w:sz w:val="20"/>
          <w:lang w:val="en-US"/>
        </w:rPr>
      </w:pPr>
      <w:r>
        <w:rPr>
          <w:rFonts w:ascii="Verdana" w:hAnsi="Verdana"/>
          <w:sz w:val="20"/>
          <w:lang w:val="en-US"/>
        </w:rPr>
        <w:t>Where:</w:t>
      </w:r>
    </w:p>
    <w:p w14:paraId="4DA232C2" w14:textId="77777777" w:rsidR="00BC1D4B" w:rsidRDefault="00ED1F84">
      <w:pPr>
        <w:spacing w:after="0"/>
        <w:ind w:firstLine="720"/>
        <w:rPr>
          <w:rFonts w:ascii="Verdana" w:hAnsi="Verdana"/>
          <w:sz w:val="20"/>
          <w:lang w:val="en-US"/>
        </w:rPr>
      </w:pPr>
      <w:r>
        <w:rPr>
          <w:rFonts w:ascii="Verdana" w:hAnsi="Verdana"/>
          <w:b/>
          <w:sz w:val="20"/>
          <w:lang w:val="en-US"/>
        </w:rPr>
        <w:t>Exposure:</w:t>
      </w:r>
      <w:r>
        <w:rPr>
          <w:rFonts w:ascii="Verdana" w:hAnsi="Verdana"/>
          <w:sz w:val="20"/>
          <w:lang w:val="en-US"/>
        </w:rPr>
        <w:t xml:space="preserve"> µg/kg bw/d</w:t>
      </w:r>
    </w:p>
    <w:p w14:paraId="628226A6" w14:textId="77777777" w:rsidR="00BC1D4B" w:rsidRDefault="00ED1F84">
      <w:pPr>
        <w:spacing w:after="0"/>
        <w:ind w:firstLine="720"/>
        <w:rPr>
          <w:rFonts w:ascii="Verdana" w:hAnsi="Verdana"/>
          <w:sz w:val="20"/>
          <w:lang w:val="en-US"/>
        </w:rPr>
      </w:pPr>
      <w:r>
        <w:rPr>
          <w:rFonts w:ascii="Verdana" w:hAnsi="Verdana"/>
          <w:b/>
          <w:sz w:val="20"/>
          <w:lang w:val="en-US"/>
        </w:rPr>
        <w:t>C</w:t>
      </w:r>
      <w:r>
        <w:rPr>
          <w:rFonts w:ascii="Verdana" w:hAnsi="Verdana"/>
          <w:b/>
          <w:sz w:val="20"/>
          <w:vertAlign w:val="subscript"/>
          <w:lang w:val="en-US"/>
        </w:rPr>
        <w:t>water</w:t>
      </w:r>
      <w:r>
        <w:rPr>
          <w:rFonts w:ascii="Verdana" w:hAnsi="Verdana"/>
          <w:b/>
          <w:sz w:val="20"/>
          <w:lang w:val="en-US"/>
        </w:rPr>
        <w:t>:</w:t>
      </w:r>
      <w:r>
        <w:rPr>
          <w:rFonts w:ascii="Verdana" w:hAnsi="Verdana"/>
          <w:sz w:val="20"/>
          <w:lang w:val="en-US"/>
        </w:rPr>
        <w:t xml:space="preserve"> concentration of DPG in water in µg/L</w:t>
      </w:r>
    </w:p>
    <w:p w14:paraId="361196E8" w14:textId="77777777" w:rsidR="00BC1D4B" w:rsidRDefault="00ED1F84">
      <w:pPr>
        <w:spacing w:after="0"/>
        <w:ind w:left="720"/>
        <w:rPr>
          <w:rFonts w:ascii="Verdana" w:hAnsi="Verdana"/>
          <w:sz w:val="20"/>
          <w:lang w:val="en-US"/>
        </w:rPr>
      </w:pPr>
      <w:r>
        <w:rPr>
          <w:rFonts w:ascii="Verdana" w:hAnsi="Verdana"/>
          <w:b/>
          <w:sz w:val="20"/>
          <w:lang w:val="en-US"/>
        </w:rPr>
        <w:t>Consumption:</w:t>
      </w:r>
      <w:r>
        <w:rPr>
          <w:rFonts w:ascii="Verdana" w:hAnsi="Verdana"/>
          <w:sz w:val="20"/>
          <w:lang w:val="en-US"/>
        </w:rPr>
        <w:t xml:space="preserve"> 2L/d for adults, 1L/d for children, 0.75 L/d for infants (WHO, 2022)</w:t>
      </w:r>
    </w:p>
    <w:p w14:paraId="5BD70BA2" w14:textId="77777777" w:rsidR="00BC1D4B" w:rsidRDefault="00ED1F84">
      <w:pPr>
        <w:spacing w:after="0"/>
        <w:ind w:left="720"/>
        <w:rPr>
          <w:rFonts w:ascii="Verdana" w:hAnsi="Verdana"/>
          <w:sz w:val="20"/>
          <w:lang w:val="en-US"/>
        </w:rPr>
      </w:pPr>
      <w:r>
        <w:rPr>
          <w:rFonts w:ascii="Verdana" w:hAnsi="Verdana"/>
          <w:b/>
          <w:sz w:val="20"/>
          <w:lang w:val="en-US"/>
        </w:rPr>
        <w:t xml:space="preserve">bw: </w:t>
      </w:r>
      <w:r>
        <w:rPr>
          <w:rFonts w:ascii="Verdana" w:hAnsi="Verdana"/>
          <w:sz w:val="20"/>
          <w:lang w:val="en-US"/>
        </w:rPr>
        <w:t>60 kg for adults, 10 kg for children, 5 kg for infants (WHO, 2022)</w:t>
      </w:r>
    </w:p>
    <w:p w14:paraId="63E63F62" w14:textId="77777777" w:rsidR="00BC1D4B" w:rsidRDefault="00BC1D4B">
      <w:pPr>
        <w:spacing w:after="0"/>
        <w:ind w:left="720"/>
        <w:rPr>
          <w:rFonts w:ascii="Verdana" w:hAnsi="Verdana"/>
          <w:sz w:val="20"/>
          <w:lang w:val="en-US"/>
        </w:rPr>
      </w:pPr>
    </w:p>
    <w:p w14:paraId="131A8445" w14:textId="77777777" w:rsidR="00BC1D4B" w:rsidRDefault="00BC1D4B">
      <w:pPr>
        <w:spacing w:after="0"/>
        <w:ind w:left="720"/>
        <w:rPr>
          <w:rFonts w:ascii="Verdana" w:hAnsi="Verdana"/>
          <w:sz w:val="20"/>
          <w:lang w:val="en-US"/>
        </w:rPr>
      </w:pPr>
    </w:p>
    <w:p w14:paraId="7B511398" w14:textId="77777777" w:rsidR="00BC1D4B" w:rsidRDefault="00ED1F84">
      <w:pPr>
        <w:spacing w:after="200"/>
        <w:rPr>
          <w:rFonts w:ascii="Verdana" w:hAnsi="Verdana"/>
          <w:b/>
          <w:bCs/>
          <w:sz w:val="20"/>
          <w:szCs w:val="20"/>
          <w:lang w:val="en-US"/>
        </w:rPr>
      </w:pPr>
      <w:r>
        <w:rPr>
          <w:rFonts w:ascii="Verdana" w:hAnsi="Verdana"/>
          <w:b/>
          <w:bCs/>
          <w:sz w:val="20"/>
          <w:szCs w:val="20"/>
        </w:rPr>
        <w:t>Table 27: Exposure and risk characterisation in drinking water</w:t>
      </w:r>
    </w:p>
    <w:tbl>
      <w:tblPr>
        <w:tblStyle w:val="TableauGrille4-Accentuation3"/>
        <w:tblW w:w="6147" w:type="pct"/>
        <w:tblInd w:w="-289" w:type="dxa"/>
        <w:tblLook w:val="04A0" w:firstRow="1" w:lastRow="0" w:firstColumn="1" w:lastColumn="0" w:noHBand="0" w:noVBand="1"/>
      </w:tblPr>
      <w:tblGrid>
        <w:gridCol w:w="1453"/>
        <w:gridCol w:w="1745"/>
        <w:gridCol w:w="1639"/>
        <w:gridCol w:w="974"/>
        <w:gridCol w:w="1135"/>
        <w:gridCol w:w="992"/>
        <w:gridCol w:w="1292"/>
        <w:gridCol w:w="976"/>
      </w:tblGrid>
      <w:tr w:rsidR="00BC1D4B" w14:paraId="0E6AB143" w14:textId="77777777" w:rsidTr="00BC1D4B">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71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69A7D3" w14:textId="77777777" w:rsidR="00BC1D4B" w:rsidRDefault="00ED1F84">
            <w:pPr>
              <w:jc w:val="center"/>
              <w:rPr>
                <w:rFonts w:ascii="Verdana" w:eastAsia="Times New Roman" w:hAnsi="Verdana"/>
                <w:sz w:val="18"/>
                <w:szCs w:val="18"/>
                <w:lang w:val="en-US"/>
              </w:rPr>
            </w:pPr>
            <w:r>
              <w:rPr>
                <w:rFonts w:ascii="Verdana" w:eastAsia="Times New Roman" w:hAnsi="Verdana"/>
                <w:b w:val="0"/>
                <w:bCs w:val="0"/>
                <w:color w:val="auto"/>
                <w:sz w:val="18"/>
                <w:szCs w:val="18"/>
                <w:lang w:val="en-US"/>
              </w:rPr>
              <w:t>Publications</w:t>
            </w:r>
          </w:p>
        </w:tc>
        <w:tc>
          <w:tcPr>
            <w:tcW w:w="8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8425D" w14:textId="77777777" w:rsidR="00BC1D4B" w:rsidRDefault="00ED1F8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b w:val="0"/>
                <w:bCs w:val="0"/>
                <w:color w:val="auto"/>
                <w:sz w:val="18"/>
                <w:szCs w:val="18"/>
                <w:lang w:val="en-US"/>
              </w:rPr>
              <w:t>Concentrations of DPG (</w:t>
            </w:r>
            <w:r>
              <w:rPr>
                <w:rFonts w:ascii="Verdana" w:eastAsia="Times New Roman" w:hAnsi="Verdana" w:cstheme="minorHAnsi"/>
                <w:b w:val="0"/>
                <w:bCs w:val="0"/>
                <w:color w:val="auto"/>
                <w:sz w:val="18"/>
                <w:szCs w:val="18"/>
                <w:lang w:val="en-US"/>
              </w:rPr>
              <w:t>µ</w:t>
            </w:r>
            <w:r>
              <w:rPr>
                <w:rFonts w:ascii="Verdana" w:eastAsia="Times New Roman" w:hAnsi="Verdana"/>
                <w:b w:val="0"/>
                <w:bCs w:val="0"/>
                <w:color w:val="auto"/>
                <w:sz w:val="18"/>
                <w:szCs w:val="18"/>
                <w:lang w:val="en-US"/>
              </w:rPr>
              <w:t>g/L)</w:t>
            </w:r>
          </w:p>
        </w:tc>
        <w:tc>
          <w:tcPr>
            <w:tcW w:w="8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F6B53C" w14:textId="77777777" w:rsidR="00BC1D4B" w:rsidRDefault="00ED1F8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b w:val="0"/>
                <w:bCs w:val="0"/>
                <w:color w:val="auto"/>
                <w:sz w:val="18"/>
                <w:szCs w:val="18"/>
                <w:lang w:val="en-US"/>
              </w:rPr>
              <w:t>Concentration type</w:t>
            </w:r>
          </w:p>
        </w:tc>
        <w:tc>
          <w:tcPr>
            <w:tcW w:w="103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93BBA1" w14:textId="77777777" w:rsidR="00BC1D4B" w:rsidRDefault="00ED1F8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b w:val="0"/>
                <w:bCs w:val="0"/>
                <w:color w:val="auto"/>
                <w:sz w:val="18"/>
                <w:szCs w:val="18"/>
                <w:lang w:val="en-US"/>
              </w:rPr>
              <w:t>Exposure (</w:t>
            </w:r>
            <w:r>
              <w:rPr>
                <w:rFonts w:ascii="Verdana" w:eastAsia="Times New Roman" w:hAnsi="Verdana"/>
                <w:bCs w:val="0"/>
                <w:color w:val="auto"/>
                <w:sz w:val="18"/>
                <w:szCs w:val="18"/>
                <w:lang w:val="en-US"/>
              </w:rPr>
              <w:t>µg/kg bw/d)</w:t>
            </w:r>
          </w:p>
        </w:tc>
        <w:tc>
          <w:tcPr>
            <w:tcW w:w="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91DAA4" w14:textId="77777777" w:rsidR="00BC1D4B" w:rsidRDefault="00ED1F8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b w:val="0"/>
                <w:bCs w:val="0"/>
                <w:color w:val="auto"/>
                <w:sz w:val="18"/>
                <w:szCs w:val="18"/>
                <w:lang w:val="en-US"/>
              </w:rPr>
              <w:t>DNEL</w:t>
            </w:r>
            <w:r>
              <w:rPr>
                <w:rFonts w:ascii="Verdana" w:eastAsia="Times New Roman" w:hAnsi="Verdana"/>
                <w:b w:val="0"/>
                <w:bCs w:val="0"/>
                <w:color w:val="auto"/>
                <w:sz w:val="18"/>
                <w:szCs w:val="18"/>
                <w:vertAlign w:val="subscript"/>
                <w:lang w:val="en-US"/>
              </w:rPr>
              <w:t>oral</w:t>
            </w:r>
            <w:r>
              <w:rPr>
                <w:rFonts w:ascii="Verdana" w:eastAsia="Times New Roman" w:hAnsi="Verdana"/>
                <w:b w:val="0"/>
                <w:bCs w:val="0"/>
                <w:color w:val="auto"/>
                <w:sz w:val="18"/>
                <w:szCs w:val="18"/>
                <w:lang w:val="en-US"/>
              </w:rPr>
              <w:t xml:space="preserve"> (</w:t>
            </w:r>
            <w:r>
              <w:rPr>
                <w:rFonts w:ascii="Verdana" w:eastAsia="Calibri" w:hAnsi="Verdana" w:cs="Calibri"/>
                <w:b w:val="0"/>
                <w:bCs w:val="0"/>
                <w:color w:val="auto"/>
                <w:sz w:val="18"/>
                <w:szCs w:val="18"/>
                <w:lang w:val="en-US"/>
              </w:rPr>
              <w:t>µ</w:t>
            </w:r>
            <w:r>
              <w:rPr>
                <w:rFonts w:ascii="Verdana" w:eastAsia="Calibri" w:hAnsi="Verdana"/>
                <w:b w:val="0"/>
                <w:bCs w:val="0"/>
                <w:color w:val="auto"/>
                <w:sz w:val="18"/>
                <w:szCs w:val="18"/>
                <w:lang w:val="en-US"/>
              </w:rPr>
              <w:t>g/kg bw/d)</w:t>
            </w:r>
          </w:p>
        </w:tc>
        <w:tc>
          <w:tcPr>
            <w:tcW w:w="111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7DA689" w14:textId="77777777" w:rsidR="00BC1D4B" w:rsidRDefault="00ED1F8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b w:val="0"/>
                <w:bCs w:val="0"/>
                <w:color w:val="auto"/>
                <w:sz w:val="18"/>
                <w:szCs w:val="18"/>
                <w:lang w:val="en-US"/>
              </w:rPr>
              <w:t>Risk characterization</w:t>
            </w:r>
          </w:p>
        </w:tc>
      </w:tr>
      <w:tr w:rsidR="00BC1D4B" w14:paraId="32DECC1F" w14:textId="77777777" w:rsidTr="00BC1D4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F0280" w14:textId="77777777" w:rsidR="00BC1D4B" w:rsidRDefault="00ED1F84">
            <w:pPr>
              <w:jc w:val="center"/>
              <w:rPr>
                <w:rFonts w:ascii="Verdana" w:eastAsia="Times New Roman" w:hAnsi="Verdana"/>
                <w:sz w:val="18"/>
                <w:szCs w:val="18"/>
                <w:lang w:val="en-US"/>
              </w:rPr>
            </w:pPr>
            <w:r>
              <w:rPr>
                <w:rFonts w:ascii="Verdana" w:eastAsia="Times New Roman" w:hAnsi="Verdana"/>
                <w:b w:val="0"/>
                <w:bCs w:val="0"/>
                <w:sz w:val="18"/>
                <w:szCs w:val="18"/>
                <w:lang w:val="en-US"/>
              </w:rPr>
              <w:t>Gollong et al. 2022</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FB3F3"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4.10</w:t>
            </w:r>
            <w:r>
              <w:rPr>
                <w:rFonts w:ascii="Verdana" w:eastAsia="Times New Roman" w:hAnsi="Verdana"/>
                <w:sz w:val="18"/>
                <w:szCs w:val="18"/>
                <w:vertAlign w:val="superscript"/>
                <w:lang w:val="en-US"/>
              </w:rPr>
              <w:t>-3</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76E1B"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Median concentration</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7F353"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Adults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E981C"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1.33.10</w:t>
            </w:r>
            <w:r>
              <w:rPr>
                <w:rFonts w:ascii="Verdana" w:eastAsia="Times New Roman" w:hAnsi="Verdana"/>
                <w:sz w:val="18"/>
                <w:szCs w:val="18"/>
                <w:vertAlign w:val="superscript"/>
                <w:lang w:val="en-US"/>
              </w:rPr>
              <w:t>-4</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E45A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10</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335E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Adults</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843D4"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1.33.10</w:t>
            </w:r>
            <w:r>
              <w:rPr>
                <w:rFonts w:ascii="Verdana" w:eastAsia="Times New Roman" w:hAnsi="Verdana"/>
                <w:sz w:val="18"/>
                <w:szCs w:val="18"/>
                <w:vertAlign w:val="superscript"/>
                <w:lang w:val="en-US"/>
              </w:rPr>
              <w:t>-5</w:t>
            </w:r>
          </w:p>
        </w:tc>
      </w:tr>
      <w:tr w:rsidR="00BC1D4B" w14:paraId="196383CF" w14:textId="77777777" w:rsidTr="00BC1D4B">
        <w:trPr>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98C44" w14:textId="77777777" w:rsidR="00BC1D4B" w:rsidRDefault="00BC1D4B">
            <w:pPr>
              <w:jc w:val="center"/>
              <w:rPr>
                <w:rFonts w:ascii="Verdana" w:eastAsia="Times New Roman"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6DFBA"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19FF0"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18AF6"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Children</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CD1DD"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4.10</w:t>
            </w:r>
            <w:r>
              <w:rPr>
                <w:rFonts w:ascii="Verdana" w:eastAsia="Times New Roman" w:hAnsi="Verdana"/>
                <w:sz w:val="18"/>
                <w:szCs w:val="18"/>
                <w:vertAlign w:val="superscript"/>
                <w:lang w:val="en-US"/>
              </w:rPr>
              <w:t>-4</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E49A" w14:textId="77777777" w:rsidR="00BC1D4B" w:rsidRDefault="00BC1D4B">
            <w:pPr>
              <w:spacing w:after="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DAF35"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Children</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72DC5"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4.10</w:t>
            </w:r>
            <w:r>
              <w:rPr>
                <w:rFonts w:ascii="Verdana" w:eastAsia="Times New Roman" w:hAnsi="Verdana"/>
                <w:sz w:val="18"/>
                <w:szCs w:val="18"/>
                <w:vertAlign w:val="superscript"/>
                <w:lang w:val="en-US"/>
              </w:rPr>
              <w:t>-5</w:t>
            </w:r>
          </w:p>
        </w:tc>
      </w:tr>
      <w:tr w:rsidR="00BC1D4B" w14:paraId="570A69B8" w14:textId="77777777" w:rsidTr="00BC1D4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45A3E" w14:textId="77777777" w:rsidR="00BC1D4B" w:rsidRDefault="00BC1D4B">
            <w:pPr>
              <w:jc w:val="center"/>
              <w:rPr>
                <w:rFonts w:ascii="Verdana" w:eastAsia="Times New Roman"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6BF49"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5274B"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11E92"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Infants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E94F7"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6.10</w:t>
            </w:r>
            <w:r>
              <w:rPr>
                <w:rFonts w:ascii="Verdana" w:eastAsia="Times New Roman" w:hAnsi="Verdana"/>
                <w:sz w:val="18"/>
                <w:szCs w:val="18"/>
                <w:vertAlign w:val="superscript"/>
                <w:lang w:val="en-US"/>
              </w:rPr>
              <w:t>-4</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59DF9" w14:textId="77777777" w:rsidR="00BC1D4B" w:rsidRDefault="00BC1D4B">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A35E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Infants</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357C1"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6.10</w:t>
            </w:r>
            <w:r>
              <w:rPr>
                <w:rFonts w:ascii="Verdana" w:eastAsia="Times New Roman" w:hAnsi="Verdana"/>
                <w:sz w:val="18"/>
                <w:szCs w:val="18"/>
                <w:vertAlign w:val="superscript"/>
                <w:lang w:val="en-US"/>
              </w:rPr>
              <w:t>-5</w:t>
            </w:r>
          </w:p>
        </w:tc>
      </w:tr>
      <w:tr w:rsidR="00BC1D4B" w14:paraId="6D5F9EAA" w14:textId="77777777" w:rsidTr="00BC1D4B">
        <w:trPr>
          <w:trHeight w:val="225"/>
        </w:trPr>
        <w:tc>
          <w:tcPr>
            <w:cnfStyle w:val="001000000000" w:firstRow="0" w:lastRow="0" w:firstColumn="1" w:lastColumn="0" w:oddVBand="0" w:evenVBand="0" w:oddHBand="0" w:evenHBand="0" w:firstRowFirstColumn="0" w:firstRowLastColumn="0" w:lastRowFirstColumn="0" w:lastRowLastColumn="0"/>
            <w:tcW w:w="7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6932E" w14:textId="77777777" w:rsidR="00BC1D4B" w:rsidRDefault="00ED1F84">
            <w:pPr>
              <w:jc w:val="center"/>
              <w:rPr>
                <w:rFonts w:ascii="Verdana" w:eastAsia="Times New Roman" w:hAnsi="Verdana"/>
                <w:sz w:val="18"/>
                <w:szCs w:val="18"/>
                <w:lang w:val="en-US"/>
              </w:rPr>
            </w:pPr>
            <w:r>
              <w:rPr>
                <w:rFonts w:ascii="Verdana" w:eastAsia="Times New Roman" w:hAnsi="Verdana"/>
                <w:b w:val="0"/>
                <w:bCs w:val="0"/>
                <w:sz w:val="18"/>
                <w:szCs w:val="18"/>
                <w:lang w:val="en-US"/>
              </w:rPr>
              <w:t>Tang et al. 2015</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935A9"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470</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C6818"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Maximal concentration</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21012"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Adults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F7AF4"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15.67</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A088"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75C99"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Adults</w:t>
            </w:r>
          </w:p>
        </w:tc>
        <w:tc>
          <w:tcPr>
            <w:tcW w:w="477" w:type="pct"/>
            <w:tcBorders>
              <w:top w:val="single" w:sz="4" w:space="0" w:color="auto"/>
              <w:left w:val="single" w:sz="4" w:space="0" w:color="auto"/>
              <w:bottom w:val="single" w:sz="4" w:space="0" w:color="auto"/>
              <w:right w:val="single" w:sz="4" w:space="0" w:color="auto"/>
            </w:tcBorders>
            <w:shd w:val="clear" w:color="auto" w:fill="FF0000"/>
            <w:vAlign w:val="center"/>
          </w:tcPr>
          <w:p w14:paraId="0578263D"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1.567</w:t>
            </w:r>
          </w:p>
        </w:tc>
      </w:tr>
      <w:tr w:rsidR="00BC1D4B" w14:paraId="47A261FA" w14:textId="77777777" w:rsidTr="00BC1D4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6DBEB" w14:textId="77777777" w:rsidR="00BC1D4B" w:rsidRDefault="00BC1D4B">
            <w:pPr>
              <w:jc w:val="center"/>
              <w:rPr>
                <w:rFonts w:ascii="Verdana" w:eastAsia="Times New Roman"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791A"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8CCD"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74A59"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Children</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C02D0"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47</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4AE2B"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A81D6"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Children</w:t>
            </w:r>
          </w:p>
        </w:tc>
        <w:tc>
          <w:tcPr>
            <w:tcW w:w="477" w:type="pct"/>
            <w:tcBorders>
              <w:top w:val="single" w:sz="4" w:space="0" w:color="auto"/>
              <w:left w:val="single" w:sz="4" w:space="0" w:color="auto"/>
              <w:bottom w:val="single" w:sz="4" w:space="0" w:color="auto"/>
              <w:right w:val="single" w:sz="4" w:space="0" w:color="auto"/>
            </w:tcBorders>
            <w:shd w:val="clear" w:color="auto" w:fill="FF0000"/>
            <w:vAlign w:val="center"/>
          </w:tcPr>
          <w:p w14:paraId="5EF3BCE4"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4.7</w:t>
            </w:r>
          </w:p>
        </w:tc>
      </w:tr>
      <w:tr w:rsidR="00BC1D4B" w14:paraId="24E06ECA" w14:textId="77777777" w:rsidTr="00BC1D4B">
        <w:trPr>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583EB" w14:textId="77777777" w:rsidR="00BC1D4B" w:rsidRDefault="00BC1D4B">
            <w:pPr>
              <w:jc w:val="center"/>
              <w:rPr>
                <w:rFonts w:ascii="Verdana" w:eastAsia="Times New Roman"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2AEE0"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BC5C8"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F4D9D"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Infants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7692"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70.5</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EA684"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6E9F3"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Infants</w:t>
            </w:r>
          </w:p>
        </w:tc>
        <w:tc>
          <w:tcPr>
            <w:tcW w:w="477" w:type="pct"/>
            <w:tcBorders>
              <w:top w:val="single" w:sz="4" w:space="0" w:color="auto"/>
              <w:left w:val="single" w:sz="4" w:space="0" w:color="auto"/>
              <w:bottom w:val="single" w:sz="4" w:space="0" w:color="auto"/>
              <w:right w:val="single" w:sz="4" w:space="0" w:color="auto"/>
            </w:tcBorders>
            <w:shd w:val="clear" w:color="auto" w:fill="FF0000"/>
            <w:vAlign w:val="center"/>
          </w:tcPr>
          <w:p w14:paraId="3219DA82"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7.05</w:t>
            </w:r>
          </w:p>
        </w:tc>
      </w:tr>
      <w:tr w:rsidR="00BC1D4B" w14:paraId="013E9606" w14:textId="77777777" w:rsidTr="00BC1D4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712C0" w14:textId="77777777" w:rsidR="00BC1D4B" w:rsidRDefault="00ED1F84">
            <w:pPr>
              <w:jc w:val="center"/>
              <w:rPr>
                <w:rFonts w:ascii="Verdana" w:eastAsia="Times New Roman" w:hAnsi="Verdana"/>
                <w:sz w:val="18"/>
                <w:szCs w:val="18"/>
                <w:lang w:val="en-US"/>
              </w:rPr>
            </w:pPr>
            <w:r>
              <w:rPr>
                <w:rFonts w:ascii="Verdana" w:eastAsia="Times New Roman" w:hAnsi="Verdana"/>
                <w:b w:val="0"/>
                <w:bCs w:val="0"/>
                <w:sz w:val="18"/>
                <w:szCs w:val="18"/>
                <w:lang w:val="en-US"/>
              </w:rPr>
              <w:t>Neuwald et al. 2022</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721A6"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1.7.10</w:t>
            </w:r>
            <w:r>
              <w:rPr>
                <w:rFonts w:ascii="Verdana" w:eastAsia="Times New Roman" w:hAnsi="Verdana"/>
                <w:sz w:val="18"/>
                <w:szCs w:val="18"/>
                <w:vertAlign w:val="superscript"/>
                <w:lang w:val="en-US"/>
              </w:rPr>
              <w:t>-4</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2A53C"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Median concentration</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9D706"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Adults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ACE0E"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5.67.10</w:t>
            </w:r>
            <w:r>
              <w:rPr>
                <w:rFonts w:ascii="Verdana" w:eastAsia="Times New Roman" w:hAnsi="Verdana"/>
                <w:sz w:val="18"/>
                <w:szCs w:val="18"/>
                <w:vertAlign w:val="superscript"/>
                <w:lang w:val="en-US"/>
              </w:rPr>
              <w:t>-6</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FD6DD"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2A5B6"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Adults</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C379F"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5.67.10</w:t>
            </w:r>
            <w:r>
              <w:rPr>
                <w:rFonts w:ascii="Verdana" w:eastAsia="Times New Roman" w:hAnsi="Verdana"/>
                <w:sz w:val="18"/>
                <w:szCs w:val="18"/>
                <w:vertAlign w:val="superscript"/>
                <w:lang w:val="en-US"/>
              </w:rPr>
              <w:t>-7</w:t>
            </w:r>
          </w:p>
        </w:tc>
      </w:tr>
      <w:tr w:rsidR="00BC1D4B" w14:paraId="28F5AD63" w14:textId="77777777" w:rsidTr="00BC1D4B">
        <w:trPr>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E0DB0" w14:textId="77777777" w:rsidR="00BC1D4B" w:rsidRDefault="00BC1D4B">
            <w:pPr>
              <w:jc w:val="center"/>
              <w:rPr>
                <w:rFonts w:ascii="Verdana" w:eastAsia="Times New Roman"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00AE8"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F2FC9"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91320"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Children</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F9C0C"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1.7.10</w:t>
            </w:r>
            <w:r>
              <w:rPr>
                <w:rFonts w:ascii="Verdana" w:eastAsia="Times New Roman" w:hAnsi="Verdana"/>
                <w:sz w:val="18"/>
                <w:szCs w:val="18"/>
                <w:vertAlign w:val="superscript"/>
                <w:lang w:val="en-US"/>
              </w:rPr>
              <w:t>-5</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26801" w14:textId="77777777" w:rsidR="00BC1D4B" w:rsidRDefault="00BC1D4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CBAB8" w14:textId="77777777" w:rsidR="00BC1D4B" w:rsidRDefault="00ED1F84">
            <w:pPr>
              <w:spacing w:after="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Children</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3DBD8" w14:textId="77777777" w:rsidR="00BC1D4B" w:rsidRDefault="00ED1F8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1.7.10</w:t>
            </w:r>
            <w:r>
              <w:rPr>
                <w:rFonts w:ascii="Verdana" w:eastAsia="Times New Roman" w:hAnsi="Verdana"/>
                <w:sz w:val="18"/>
                <w:szCs w:val="18"/>
                <w:vertAlign w:val="superscript"/>
                <w:lang w:val="en-US"/>
              </w:rPr>
              <w:t>-6</w:t>
            </w:r>
          </w:p>
        </w:tc>
      </w:tr>
      <w:tr w:rsidR="00BC1D4B" w14:paraId="6D68DF2E" w14:textId="77777777" w:rsidTr="00BC1D4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96DC5" w14:textId="77777777" w:rsidR="00BC1D4B" w:rsidRDefault="00BC1D4B">
            <w:pPr>
              <w:jc w:val="center"/>
              <w:rPr>
                <w:rFonts w:ascii="Verdana" w:eastAsia="Times New Roman" w:hAnsi="Verdana"/>
                <w:sz w:val="18"/>
                <w:szCs w:val="18"/>
                <w:lang w:val="en-US"/>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51F25"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89C98"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C3800"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Infants</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4E76"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2.55.10</w:t>
            </w:r>
            <w:r>
              <w:rPr>
                <w:rFonts w:ascii="Verdana" w:eastAsia="Times New Roman" w:hAnsi="Verdana"/>
                <w:sz w:val="18"/>
                <w:szCs w:val="18"/>
                <w:vertAlign w:val="superscript"/>
                <w:lang w:val="en-US"/>
              </w:rPr>
              <w:t>-5</w:t>
            </w: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7E561" w14:textId="77777777" w:rsidR="00BC1D4B" w:rsidRDefault="00BC1D4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76BEB" w14:textId="77777777" w:rsidR="00BC1D4B" w:rsidRDefault="00ED1F84">
            <w:pPr>
              <w:spacing w:after="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lang w:val="en-US"/>
              </w:rPr>
            </w:pPr>
            <w:r>
              <w:rPr>
                <w:rFonts w:ascii="Verdana" w:eastAsia="Times New Roman" w:hAnsi="Verdana"/>
                <w:sz w:val="18"/>
                <w:szCs w:val="18"/>
                <w:lang w:val="en-US"/>
              </w:rPr>
              <w:t>Infants</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3DA42" w14:textId="77777777" w:rsidR="00BC1D4B" w:rsidRDefault="00ED1F8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18"/>
                <w:szCs w:val="18"/>
                <w:vertAlign w:val="superscript"/>
                <w:lang w:val="en-US"/>
              </w:rPr>
            </w:pPr>
            <w:r>
              <w:rPr>
                <w:rFonts w:ascii="Verdana" w:eastAsia="Times New Roman" w:hAnsi="Verdana"/>
                <w:sz w:val="18"/>
                <w:szCs w:val="18"/>
                <w:lang w:val="en-US"/>
              </w:rPr>
              <w:t>2.55.10</w:t>
            </w:r>
            <w:r>
              <w:rPr>
                <w:rFonts w:ascii="Verdana" w:eastAsia="Times New Roman" w:hAnsi="Verdana"/>
                <w:sz w:val="18"/>
                <w:szCs w:val="18"/>
                <w:vertAlign w:val="superscript"/>
                <w:lang w:val="en-US"/>
              </w:rPr>
              <w:t>-6</w:t>
            </w:r>
          </w:p>
        </w:tc>
      </w:tr>
    </w:tbl>
    <w:p w14:paraId="6B46D34E" w14:textId="77777777" w:rsidR="00BC1D4B" w:rsidRDefault="00BC1D4B">
      <w:pPr>
        <w:spacing w:after="240"/>
        <w:jc w:val="both"/>
        <w:rPr>
          <w:rFonts w:ascii="Verdana" w:hAnsi="Verdana"/>
          <w:sz w:val="20"/>
          <w:lang w:val="en-US"/>
        </w:rPr>
      </w:pPr>
    </w:p>
    <w:p w14:paraId="1725513F" w14:textId="77777777" w:rsidR="00BC1D4B" w:rsidRDefault="00ED1F84">
      <w:pPr>
        <w:spacing w:after="240"/>
        <w:jc w:val="both"/>
        <w:rPr>
          <w:rFonts w:ascii="Verdana" w:hAnsi="Verdana"/>
          <w:sz w:val="20"/>
          <w:lang w:val="en-US"/>
        </w:rPr>
      </w:pPr>
      <w:r>
        <w:rPr>
          <w:rFonts w:ascii="Verdana" w:hAnsi="Verdana"/>
          <w:sz w:val="20"/>
          <w:lang w:val="en-US"/>
        </w:rPr>
        <w:t xml:space="preserve">Overall, risks were highlighted when the maximal DPG concentration from the Tang </w:t>
      </w:r>
      <w:r>
        <w:rPr>
          <w:rFonts w:ascii="Verdana" w:hAnsi="Verdana"/>
          <w:i/>
          <w:sz w:val="20"/>
          <w:lang w:val="en-US"/>
        </w:rPr>
        <w:t>et al</w:t>
      </w:r>
      <w:r>
        <w:rPr>
          <w:rFonts w:ascii="Verdana" w:hAnsi="Verdana"/>
          <w:sz w:val="20"/>
          <w:lang w:val="en-US"/>
        </w:rPr>
        <w:t xml:space="preserve">. (2015) study was considered. In this study, DPG is found to be migrating from high density polyethylene (HDPE) pipe material used for water distribution. It is important to note that there are significant disparities in DPG concentrations between the different publications. </w:t>
      </w:r>
    </w:p>
    <w:p w14:paraId="0DAAA5BF" w14:textId="77777777" w:rsidR="00BC1D4B" w:rsidRDefault="00ED1F84">
      <w:pPr>
        <w:spacing w:after="240"/>
        <w:jc w:val="both"/>
        <w:rPr>
          <w:rFonts w:ascii="Verdana" w:hAnsi="Verdana"/>
          <w:b/>
          <w:sz w:val="20"/>
          <w:lang w:val="en-US"/>
        </w:rPr>
      </w:pPr>
      <w:r>
        <w:rPr>
          <w:rFonts w:ascii="Verdana" w:hAnsi="Verdana"/>
          <w:b/>
          <w:sz w:val="20"/>
          <w:lang w:val="en-US"/>
        </w:rPr>
        <w:t xml:space="preserve">Dust ingestion: </w:t>
      </w:r>
    </w:p>
    <w:p w14:paraId="66A54B47" w14:textId="77777777" w:rsidR="00BC1D4B" w:rsidRDefault="00ED1F84">
      <w:pPr>
        <w:spacing w:after="240"/>
        <w:jc w:val="both"/>
        <w:rPr>
          <w:rFonts w:ascii="Verdana" w:hAnsi="Verdana"/>
          <w:sz w:val="20"/>
          <w:lang w:val="en-US"/>
        </w:rPr>
      </w:pPr>
      <w:r>
        <w:rPr>
          <w:rFonts w:ascii="Verdana" w:hAnsi="Verdana"/>
          <w:sz w:val="20"/>
          <w:lang w:val="en-US"/>
        </w:rPr>
        <w:t>Risk estimation was performed for the publication below in where an exposure assessment to DPG was conducted.</w:t>
      </w:r>
    </w:p>
    <w:p w14:paraId="6E45DA27" w14:textId="77777777" w:rsidR="00BC1D4B" w:rsidRDefault="00ED1F84">
      <w:pPr>
        <w:spacing w:after="240"/>
        <w:jc w:val="both"/>
        <w:rPr>
          <w:rFonts w:ascii="Verdana" w:hAnsi="Verdana"/>
          <w:sz w:val="20"/>
          <w:lang w:val="en-US"/>
        </w:rPr>
      </w:pPr>
      <w:r>
        <w:rPr>
          <w:rFonts w:ascii="Verdana" w:hAnsi="Verdana"/>
          <w:sz w:val="20"/>
          <w:lang w:val="en-US"/>
        </w:rPr>
        <w:t xml:space="preserve">Li &amp; Kannan (2023) assessed human exposure to DPG through dust ingestion and the following ranges were 0.07−4.40, 0.09−5.20, 0.03−1.70, 0.02−1.04, and 0.01−0.87 ng/kg body weight (BW)/day for infants, toddlers, children, teenagers, </w:t>
      </w:r>
      <w:r>
        <w:rPr>
          <w:rFonts w:ascii="Verdana" w:hAnsi="Verdana"/>
          <w:sz w:val="20"/>
          <w:lang w:val="en-US"/>
        </w:rPr>
        <w:lastRenderedPageBreak/>
        <w:t xml:space="preserve">and adults, respectively. These exposure are all below the DNEL recommended by aMSCA. Concentrations reported in other studies (Tan </w:t>
      </w:r>
      <w:r>
        <w:rPr>
          <w:rFonts w:ascii="Verdana" w:hAnsi="Verdana"/>
          <w:i/>
          <w:sz w:val="20"/>
          <w:lang w:val="en-US"/>
        </w:rPr>
        <w:t>et al</w:t>
      </w:r>
      <w:r>
        <w:rPr>
          <w:rFonts w:ascii="Verdana" w:hAnsi="Verdana"/>
          <w:sz w:val="20"/>
          <w:lang w:val="en-US"/>
        </w:rPr>
        <w:t xml:space="preserve">., 2021 and Shin </w:t>
      </w:r>
      <w:r>
        <w:rPr>
          <w:rFonts w:ascii="Verdana" w:hAnsi="Verdana"/>
          <w:i/>
          <w:sz w:val="20"/>
          <w:lang w:val="en-US"/>
        </w:rPr>
        <w:t>et al</w:t>
      </w:r>
      <w:r>
        <w:rPr>
          <w:rFonts w:ascii="Verdana" w:hAnsi="Verdana"/>
          <w:sz w:val="20"/>
          <w:lang w:val="en-US"/>
        </w:rPr>
        <w:t xml:space="preserve">., 2020) were in the same range of concentrations. </w:t>
      </w:r>
    </w:p>
    <w:p w14:paraId="08CEF193" w14:textId="77777777" w:rsidR="00BC1D4B" w:rsidRDefault="00ED1F84">
      <w:pPr>
        <w:pStyle w:val="Corpsdetexte"/>
        <w:jc w:val="both"/>
        <w:rPr>
          <w:rFonts w:ascii="Verdana" w:hAnsi="Verdana"/>
          <w:sz w:val="20"/>
          <w:lang w:val="en-US"/>
        </w:rPr>
      </w:pPr>
      <w:r>
        <w:rPr>
          <w:rFonts w:ascii="Verdana" w:hAnsi="Verdana"/>
          <w:sz w:val="20"/>
          <w:lang w:val="en-US"/>
        </w:rPr>
        <w:t xml:space="preserve"> </w:t>
      </w:r>
    </w:p>
    <w:p w14:paraId="06163AFF" w14:textId="77777777" w:rsidR="00BC1D4B" w:rsidRDefault="00ED1F84">
      <w:pPr>
        <w:spacing w:after="200" w:line="276" w:lineRule="auto"/>
        <w:rPr>
          <w:rFonts w:ascii="Verdana" w:hAnsi="Verdana" w:cs="Arial"/>
          <w:b/>
          <w:color w:val="0046AD"/>
          <w:szCs w:val="22"/>
        </w:rPr>
      </w:pPr>
      <w:r>
        <w:br w:type="page" w:clear="all"/>
      </w:r>
    </w:p>
    <w:p w14:paraId="1DE1EAA8" w14:textId="77777777" w:rsidR="00BC1D4B" w:rsidRDefault="00ED1F84">
      <w:pPr>
        <w:pStyle w:val="Titre2"/>
        <w:tabs>
          <w:tab w:val="clear" w:pos="1077"/>
          <w:tab w:val="num" w:pos="284"/>
        </w:tabs>
        <w:ind w:left="0" w:firstLine="0"/>
      </w:pPr>
      <w:bookmarkStart w:id="76" w:name="_Toc137044505"/>
      <w:r>
        <w:lastRenderedPageBreak/>
        <w:t>Environmental risk assessment based on exposure scenarios of the registration dossier</w:t>
      </w:r>
      <w:bookmarkEnd w:id="76"/>
    </w:p>
    <w:p w14:paraId="7EF3F456" w14:textId="77777777" w:rsidR="00BC1D4B" w:rsidRDefault="00ED1F84">
      <w:pPr>
        <w:pStyle w:val="Corpsdetexte"/>
        <w:jc w:val="both"/>
        <w:rPr>
          <w:rFonts w:ascii="Verdana" w:hAnsi="Verdana"/>
          <w:caps/>
          <w:sz w:val="20"/>
          <w:szCs w:val="20"/>
          <w:u w:val="single"/>
        </w:rPr>
      </w:pPr>
      <w:r>
        <w:rPr>
          <w:rFonts w:ascii="Verdana" w:hAnsi="Verdana"/>
          <w:caps/>
          <w:sz w:val="20"/>
          <w:szCs w:val="20"/>
          <w:u w:val="single"/>
        </w:rPr>
        <w:t>LOCAL assessment</w:t>
      </w:r>
    </w:p>
    <w:p w14:paraId="6FF1881E" w14:textId="77777777" w:rsidR="00BC1D4B" w:rsidRDefault="00ED1F84">
      <w:pPr>
        <w:jc w:val="both"/>
        <w:rPr>
          <w:rFonts w:ascii="Verdana" w:hAnsi="Verdana"/>
          <w:sz w:val="20"/>
          <w:szCs w:val="20"/>
        </w:rPr>
      </w:pPr>
      <w:r>
        <w:rPr>
          <w:rFonts w:ascii="Verdana" w:hAnsi="Verdana"/>
          <w:sz w:val="20"/>
          <w:szCs w:val="20"/>
        </w:rPr>
        <w:t>The local Predicted Exposure Concentrations (PECs) reported for each contributing scenario correspond to the sum of the local concentrations (Clocal) and the regional concentrations (PEC regional). The table below presents the aMSCA’s conclusion of the environmental risk assessment for each exposure scenario.</w:t>
      </w:r>
    </w:p>
    <w:p w14:paraId="1FFFD0ED" w14:textId="77777777" w:rsidR="00BC1D4B" w:rsidRDefault="00ED1F84">
      <w:pPr>
        <w:jc w:val="both"/>
        <w:rPr>
          <w:rFonts w:ascii="Verdana" w:hAnsi="Verdana"/>
          <w:sz w:val="20"/>
          <w:szCs w:val="20"/>
        </w:rPr>
      </w:pPr>
      <w:r>
        <w:rPr>
          <w:rFonts w:ascii="Verdana" w:hAnsi="Verdana"/>
          <w:b/>
          <w:sz w:val="20"/>
          <w:szCs w:val="20"/>
        </w:rPr>
        <w:t>Table 28: Environmental risk assessment and conclusion</w:t>
      </w:r>
    </w:p>
    <w:tbl>
      <w:tblPr>
        <w:tblStyle w:val="Grilledutableau"/>
        <w:tblW w:w="9016" w:type="dxa"/>
        <w:tblLayout w:type="fixed"/>
        <w:tblLook w:val="04A0" w:firstRow="1" w:lastRow="0" w:firstColumn="1" w:lastColumn="0" w:noHBand="0" w:noVBand="1"/>
      </w:tblPr>
      <w:tblGrid>
        <w:gridCol w:w="1838"/>
        <w:gridCol w:w="1985"/>
        <w:gridCol w:w="2551"/>
        <w:gridCol w:w="2642"/>
      </w:tblGrid>
      <w:tr w:rsidR="00BC1D4B" w14:paraId="690B7B23" w14:textId="77777777">
        <w:trPr>
          <w:trHeight w:val="950"/>
        </w:trPr>
        <w:tc>
          <w:tcPr>
            <w:tcW w:w="1838" w:type="dxa"/>
            <w:shd w:val="clear" w:color="auto" w:fill="FFFFFF" w:themeFill="background1"/>
            <w:vAlign w:val="center"/>
          </w:tcPr>
          <w:p w14:paraId="33FEC879" w14:textId="77777777" w:rsidR="00BC1D4B" w:rsidRDefault="00ED1F84">
            <w:pPr>
              <w:pStyle w:val="Corpsdetexte"/>
              <w:spacing w:after="0"/>
              <w:rPr>
                <w:rFonts w:ascii="Verdana" w:hAnsi="Verdana"/>
                <w:b/>
                <w:sz w:val="18"/>
                <w:szCs w:val="18"/>
              </w:rPr>
            </w:pPr>
            <w:r>
              <w:rPr>
                <w:rFonts w:ascii="Verdana" w:hAnsi="Verdana"/>
                <w:b/>
                <w:sz w:val="18"/>
                <w:szCs w:val="18"/>
              </w:rPr>
              <w:t>ENV compartment</w:t>
            </w:r>
          </w:p>
        </w:tc>
        <w:tc>
          <w:tcPr>
            <w:tcW w:w="1985" w:type="dxa"/>
            <w:shd w:val="clear" w:color="auto" w:fill="FFFFFF" w:themeFill="background1"/>
            <w:vAlign w:val="center"/>
          </w:tcPr>
          <w:p w14:paraId="505DA286" w14:textId="77777777" w:rsidR="00BC1D4B" w:rsidRDefault="00ED1F84">
            <w:pPr>
              <w:pStyle w:val="Corpsdetexte"/>
              <w:spacing w:after="0"/>
              <w:rPr>
                <w:rFonts w:ascii="Verdana" w:hAnsi="Verdana"/>
                <w:b/>
                <w:sz w:val="18"/>
                <w:szCs w:val="18"/>
              </w:rPr>
            </w:pPr>
            <w:r>
              <w:rPr>
                <w:rFonts w:ascii="Verdana" w:hAnsi="Verdana"/>
                <w:b/>
                <w:sz w:val="18"/>
                <w:szCs w:val="18"/>
              </w:rPr>
              <w:t>Local Predicted Exposure concentration (PEC)</w:t>
            </w:r>
          </w:p>
        </w:tc>
        <w:tc>
          <w:tcPr>
            <w:tcW w:w="2551" w:type="dxa"/>
            <w:shd w:val="clear" w:color="auto" w:fill="FFFFFF" w:themeFill="background1"/>
            <w:vAlign w:val="center"/>
          </w:tcPr>
          <w:p w14:paraId="3330BCFB" w14:textId="77777777" w:rsidR="00BC1D4B" w:rsidRDefault="00ED1F84">
            <w:pPr>
              <w:pStyle w:val="Corpsdetexte"/>
              <w:spacing w:after="0"/>
              <w:jc w:val="both"/>
              <w:rPr>
                <w:rFonts w:ascii="Verdana" w:hAnsi="Verdana"/>
                <w:b/>
                <w:sz w:val="18"/>
                <w:szCs w:val="18"/>
              </w:rPr>
            </w:pPr>
            <w:r>
              <w:rPr>
                <w:rFonts w:ascii="Verdana" w:hAnsi="Verdana"/>
                <w:b/>
                <w:sz w:val="18"/>
                <w:szCs w:val="18"/>
              </w:rPr>
              <w:t>RCR value</w:t>
            </w:r>
          </w:p>
        </w:tc>
        <w:tc>
          <w:tcPr>
            <w:tcW w:w="2642" w:type="dxa"/>
            <w:shd w:val="clear" w:color="auto" w:fill="FFFFFF" w:themeFill="background1"/>
            <w:vAlign w:val="center"/>
          </w:tcPr>
          <w:p w14:paraId="6FCEBBE7" w14:textId="77777777" w:rsidR="00BC1D4B" w:rsidRDefault="00ED1F84">
            <w:pPr>
              <w:pStyle w:val="Corpsdetexte"/>
              <w:spacing w:after="0"/>
              <w:jc w:val="both"/>
              <w:rPr>
                <w:rFonts w:ascii="Verdana" w:hAnsi="Verdana"/>
                <w:b/>
                <w:sz w:val="18"/>
                <w:szCs w:val="18"/>
              </w:rPr>
            </w:pPr>
            <w:r>
              <w:rPr>
                <w:rFonts w:ascii="Verdana" w:hAnsi="Verdana"/>
                <w:b/>
                <w:sz w:val="18"/>
                <w:szCs w:val="18"/>
              </w:rPr>
              <w:t>Conclusion</w:t>
            </w:r>
          </w:p>
        </w:tc>
      </w:tr>
      <w:tr w:rsidR="00BC1D4B" w14:paraId="04EF6E96" w14:textId="77777777">
        <w:trPr>
          <w:trHeight w:val="454"/>
        </w:trPr>
        <w:tc>
          <w:tcPr>
            <w:tcW w:w="1838" w:type="dxa"/>
            <w:shd w:val="clear" w:color="auto" w:fill="DBE5F1" w:themeFill="accent1" w:themeFillTint="33"/>
            <w:vAlign w:val="center"/>
          </w:tcPr>
          <w:p w14:paraId="787FCF0B" w14:textId="77777777" w:rsidR="00BC1D4B" w:rsidRDefault="00ED1F84">
            <w:pPr>
              <w:pStyle w:val="Corpsdetexte"/>
              <w:spacing w:after="0"/>
              <w:rPr>
                <w:rFonts w:ascii="Verdana" w:hAnsi="Verdana"/>
                <w:b/>
                <w:sz w:val="18"/>
                <w:szCs w:val="18"/>
              </w:rPr>
            </w:pPr>
            <w:r>
              <w:rPr>
                <w:rFonts w:ascii="Verdana" w:hAnsi="Verdana"/>
                <w:b/>
                <w:sz w:val="18"/>
                <w:szCs w:val="18"/>
              </w:rPr>
              <w:t>ES 1a</w:t>
            </w:r>
          </w:p>
        </w:tc>
        <w:tc>
          <w:tcPr>
            <w:tcW w:w="7178" w:type="dxa"/>
            <w:gridSpan w:val="3"/>
            <w:shd w:val="clear" w:color="auto" w:fill="DBE5F1" w:themeFill="accent1" w:themeFillTint="33"/>
            <w:vAlign w:val="center"/>
          </w:tcPr>
          <w:p w14:paraId="5A36D753" w14:textId="3DA4E867" w:rsidR="00BC1D4B" w:rsidRDefault="00ED1F84" w:rsidP="00253C01">
            <w:pPr>
              <w:pStyle w:val="Corpsdetexte"/>
              <w:spacing w:after="0"/>
              <w:jc w:val="both"/>
              <w:rPr>
                <w:rFonts w:ascii="Verdana" w:hAnsi="Verdana"/>
                <w:b/>
                <w:sz w:val="18"/>
                <w:szCs w:val="18"/>
              </w:rPr>
            </w:pPr>
            <w:r>
              <w:rPr>
                <w:rFonts w:ascii="Verdana" w:hAnsi="Verdana"/>
                <w:sz w:val="18"/>
                <w:szCs w:val="18"/>
              </w:rPr>
              <w:t xml:space="preserve">M - Manufacture </w:t>
            </w:r>
            <w:r w:rsidR="00253C01">
              <w:rPr>
                <w:rFonts w:ascii="Verdana" w:hAnsi="Verdana"/>
                <w:sz w:val="18"/>
                <w:szCs w:val="18"/>
              </w:rPr>
              <w:t>of the substance – Registrant 1</w:t>
            </w:r>
          </w:p>
        </w:tc>
      </w:tr>
      <w:tr w:rsidR="00BC1D4B" w14:paraId="0132DA13" w14:textId="77777777">
        <w:trPr>
          <w:trHeight w:val="454"/>
        </w:trPr>
        <w:tc>
          <w:tcPr>
            <w:tcW w:w="1838" w:type="dxa"/>
            <w:vAlign w:val="center"/>
          </w:tcPr>
          <w:p w14:paraId="70722564"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6611504E"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551" w:type="dxa"/>
            <w:vAlign w:val="center"/>
          </w:tcPr>
          <w:p w14:paraId="4142BE97"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3896832B"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r>
      <w:tr w:rsidR="00BC1D4B" w14:paraId="2C740D02" w14:textId="77777777">
        <w:trPr>
          <w:trHeight w:val="454"/>
        </w:trPr>
        <w:tc>
          <w:tcPr>
            <w:tcW w:w="1838" w:type="dxa"/>
            <w:vAlign w:val="center"/>
          </w:tcPr>
          <w:p w14:paraId="16E4A907"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5D3525C5" w14:textId="77777777" w:rsidR="00BC1D4B" w:rsidRDefault="00ED1F84">
            <w:pPr>
              <w:pStyle w:val="Corpsdetexte"/>
              <w:spacing w:after="0"/>
              <w:jc w:val="center"/>
              <w:rPr>
                <w:rFonts w:ascii="Verdana" w:hAnsi="Verdana"/>
                <w:sz w:val="18"/>
                <w:szCs w:val="18"/>
              </w:rPr>
            </w:pPr>
            <w:r>
              <w:rPr>
                <w:rFonts w:ascii="Verdana" w:hAnsi="Verdana"/>
                <w:sz w:val="18"/>
                <w:szCs w:val="18"/>
              </w:rPr>
              <w:t>1.15E-01mg.l</w:t>
            </w:r>
            <w:r>
              <w:rPr>
                <w:rFonts w:ascii="Verdana" w:hAnsi="Verdana"/>
                <w:sz w:val="18"/>
                <w:szCs w:val="18"/>
                <w:vertAlign w:val="superscript"/>
              </w:rPr>
              <w:t>-1</w:t>
            </w:r>
          </w:p>
        </w:tc>
        <w:tc>
          <w:tcPr>
            <w:tcW w:w="2551" w:type="dxa"/>
            <w:vAlign w:val="center"/>
          </w:tcPr>
          <w:p w14:paraId="5AF6CCB2" w14:textId="77777777" w:rsidR="00BC1D4B" w:rsidRDefault="00ED1F84">
            <w:pPr>
              <w:pStyle w:val="Corpsdetexte"/>
              <w:spacing w:after="0"/>
              <w:jc w:val="center"/>
              <w:rPr>
                <w:rFonts w:ascii="Verdana" w:hAnsi="Verdana"/>
                <w:b/>
                <w:sz w:val="18"/>
                <w:szCs w:val="18"/>
              </w:rPr>
            </w:pPr>
            <w:r>
              <w:rPr>
                <w:rFonts w:ascii="Verdana" w:hAnsi="Verdana"/>
                <w:b/>
                <w:sz w:val="18"/>
                <w:szCs w:val="18"/>
              </w:rPr>
              <w:t>RCR = 3.83</w:t>
            </w:r>
          </w:p>
        </w:tc>
        <w:tc>
          <w:tcPr>
            <w:tcW w:w="2642" w:type="dxa"/>
            <w:vAlign w:val="center"/>
          </w:tcPr>
          <w:p w14:paraId="4917ADD1" w14:textId="77777777" w:rsidR="00BC1D4B" w:rsidRDefault="00ED1F84">
            <w:pPr>
              <w:pStyle w:val="Corpsdetexte"/>
              <w:spacing w:after="0"/>
              <w:jc w:val="center"/>
              <w:rPr>
                <w:rFonts w:ascii="Verdana" w:hAnsi="Verdana"/>
                <w:sz w:val="18"/>
                <w:szCs w:val="18"/>
              </w:rPr>
            </w:pPr>
            <w:r>
              <w:rPr>
                <w:rFonts w:ascii="Verdana" w:hAnsi="Verdana"/>
                <w:b/>
                <w:sz w:val="18"/>
                <w:szCs w:val="18"/>
              </w:rPr>
              <w:t>Unacceptable</w:t>
            </w:r>
          </w:p>
        </w:tc>
      </w:tr>
      <w:tr w:rsidR="00BC1D4B" w14:paraId="43B3780F" w14:textId="77777777">
        <w:trPr>
          <w:trHeight w:val="454"/>
        </w:trPr>
        <w:tc>
          <w:tcPr>
            <w:tcW w:w="1838" w:type="dxa"/>
            <w:vAlign w:val="center"/>
          </w:tcPr>
          <w:p w14:paraId="7B23D6A5"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28EE7EBD" w14:textId="07F58A16" w:rsidR="00BC1D4B" w:rsidRDefault="00ED1F84">
            <w:pPr>
              <w:pStyle w:val="Corpsdetexte"/>
              <w:spacing w:after="0"/>
              <w:jc w:val="center"/>
              <w:rPr>
                <w:rFonts w:ascii="Verdana" w:hAnsi="Verdana"/>
                <w:sz w:val="18"/>
                <w:szCs w:val="18"/>
              </w:rPr>
            </w:pPr>
            <w:r>
              <w:rPr>
                <w:rFonts w:ascii="Verdana" w:hAnsi="Verdana"/>
                <w:sz w:val="18"/>
                <w:szCs w:val="18"/>
              </w:rPr>
              <w:t>2.1</w:t>
            </w:r>
            <w:r w:rsidR="000E38C5">
              <w:rPr>
                <w:rFonts w:ascii="Verdana" w:hAnsi="Verdana"/>
                <w:sz w:val="18"/>
                <w:szCs w:val="18"/>
              </w:rPr>
              <w:t xml:space="preserve">1 </w:t>
            </w:r>
            <w:r>
              <w:rPr>
                <w:rFonts w:ascii="Verdana" w:hAnsi="Verdana"/>
                <w:sz w:val="18"/>
                <w:szCs w:val="18"/>
              </w:rPr>
              <w:t>mg.kg</w:t>
            </w:r>
            <w:r>
              <w:rPr>
                <w:rFonts w:ascii="Verdana" w:hAnsi="Verdana"/>
                <w:sz w:val="18"/>
                <w:szCs w:val="18"/>
                <w:vertAlign w:val="superscript"/>
              </w:rPr>
              <w:t>-1</w:t>
            </w:r>
          </w:p>
        </w:tc>
        <w:tc>
          <w:tcPr>
            <w:tcW w:w="2551" w:type="dxa"/>
            <w:vAlign w:val="center"/>
          </w:tcPr>
          <w:p w14:paraId="6080E9CE" w14:textId="77777777" w:rsidR="00BC1D4B" w:rsidRDefault="00ED1F84">
            <w:pPr>
              <w:pStyle w:val="Corpsdetexte"/>
              <w:spacing w:after="0"/>
              <w:jc w:val="center"/>
              <w:rPr>
                <w:rFonts w:ascii="Verdana" w:hAnsi="Verdana"/>
                <w:b/>
                <w:sz w:val="18"/>
                <w:szCs w:val="18"/>
              </w:rPr>
            </w:pPr>
            <w:r>
              <w:rPr>
                <w:rFonts w:ascii="Verdana" w:hAnsi="Verdana"/>
                <w:b/>
                <w:sz w:val="18"/>
                <w:szCs w:val="18"/>
              </w:rPr>
              <w:t>RCR = 3.86</w:t>
            </w:r>
          </w:p>
        </w:tc>
        <w:tc>
          <w:tcPr>
            <w:tcW w:w="2642" w:type="dxa"/>
            <w:vAlign w:val="center"/>
          </w:tcPr>
          <w:p w14:paraId="4C96792C" w14:textId="77777777" w:rsidR="00BC1D4B" w:rsidRDefault="00ED1F84">
            <w:pPr>
              <w:pStyle w:val="Corpsdetexte"/>
              <w:spacing w:after="0"/>
              <w:jc w:val="center"/>
              <w:rPr>
                <w:rFonts w:ascii="Verdana" w:hAnsi="Verdana"/>
                <w:sz w:val="18"/>
                <w:szCs w:val="18"/>
                <w:highlight w:val="yellow"/>
                <w:lang w:val="en-US"/>
              </w:rPr>
            </w:pPr>
            <w:r>
              <w:rPr>
                <w:rFonts w:ascii="Verdana" w:hAnsi="Verdana"/>
                <w:b/>
                <w:sz w:val="18"/>
                <w:szCs w:val="18"/>
              </w:rPr>
              <w:t>Unacceptable</w:t>
            </w:r>
          </w:p>
        </w:tc>
      </w:tr>
      <w:tr w:rsidR="00BC1D4B" w14:paraId="4C3F36E6" w14:textId="77777777">
        <w:trPr>
          <w:trHeight w:val="454"/>
        </w:trPr>
        <w:tc>
          <w:tcPr>
            <w:tcW w:w="1838" w:type="dxa"/>
            <w:vAlign w:val="center"/>
          </w:tcPr>
          <w:p w14:paraId="5711A094" w14:textId="6200EEAB" w:rsidR="00BC1D4B" w:rsidRDefault="00027B1F">
            <w:pPr>
              <w:pStyle w:val="Corpsdetexte"/>
              <w:spacing w:after="0"/>
              <w:rPr>
                <w:rFonts w:ascii="Verdana" w:hAnsi="Verdana"/>
                <w:sz w:val="18"/>
                <w:szCs w:val="18"/>
                <w:lang w:val="en-US"/>
              </w:rPr>
            </w:pPr>
            <w:r w:rsidRPr="00027B1F">
              <w:rPr>
                <w:rFonts w:ascii="Verdana" w:hAnsi="Verdana"/>
                <w:sz w:val="18"/>
                <w:szCs w:val="18"/>
                <w:lang w:val="en-US"/>
              </w:rPr>
              <w:t>Agricultural soil</w:t>
            </w:r>
          </w:p>
        </w:tc>
        <w:tc>
          <w:tcPr>
            <w:tcW w:w="1985" w:type="dxa"/>
            <w:vAlign w:val="center"/>
          </w:tcPr>
          <w:p w14:paraId="5A4A3265" w14:textId="77631C44" w:rsidR="00BC1D4B" w:rsidRDefault="00027B1F">
            <w:pPr>
              <w:pStyle w:val="Corpsdetexte"/>
              <w:spacing w:after="0"/>
              <w:jc w:val="center"/>
              <w:rPr>
                <w:rFonts w:ascii="Verdana" w:hAnsi="Verdana"/>
                <w:bCs/>
                <w:sz w:val="18"/>
                <w:szCs w:val="18"/>
                <w:lang w:val="en-US" w:eastAsia="fr-FR"/>
              </w:rPr>
            </w:pPr>
            <w:r>
              <w:rPr>
                <w:rFonts w:ascii="Verdana" w:hAnsi="Verdana"/>
                <w:sz w:val="18"/>
                <w:szCs w:val="18"/>
                <w:lang w:val="en-US"/>
              </w:rPr>
              <w:t>NR</w:t>
            </w:r>
          </w:p>
        </w:tc>
        <w:tc>
          <w:tcPr>
            <w:tcW w:w="2551" w:type="dxa"/>
            <w:vAlign w:val="center"/>
          </w:tcPr>
          <w:p w14:paraId="6B7C245B" w14:textId="1A160697" w:rsidR="00BC1D4B" w:rsidRDefault="00027B1F">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148BA4D5" w14:textId="53217A2A" w:rsidR="00BC1D4B" w:rsidRDefault="00027B1F">
            <w:pPr>
              <w:pStyle w:val="Corpsdetexte"/>
              <w:spacing w:after="0"/>
              <w:jc w:val="center"/>
              <w:rPr>
                <w:rFonts w:ascii="Verdana" w:hAnsi="Verdana"/>
                <w:sz w:val="18"/>
                <w:szCs w:val="18"/>
              </w:rPr>
            </w:pPr>
            <w:r>
              <w:rPr>
                <w:rFonts w:ascii="Verdana" w:hAnsi="Verdana"/>
                <w:sz w:val="18"/>
                <w:szCs w:val="18"/>
              </w:rPr>
              <w:t>NR</w:t>
            </w:r>
          </w:p>
        </w:tc>
      </w:tr>
      <w:tr w:rsidR="00BC1D4B" w14:paraId="04305E6C" w14:textId="77777777">
        <w:trPr>
          <w:trHeight w:val="454"/>
        </w:trPr>
        <w:tc>
          <w:tcPr>
            <w:tcW w:w="1838" w:type="dxa"/>
            <w:vAlign w:val="center"/>
          </w:tcPr>
          <w:p w14:paraId="302A0640" w14:textId="4DB52ADB"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573E7FEB" w14:textId="51C555A1" w:rsidR="00BC1D4B" w:rsidRDefault="00E74509">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NR</w:t>
            </w:r>
          </w:p>
        </w:tc>
        <w:tc>
          <w:tcPr>
            <w:tcW w:w="5193" w:type="dxa"/>
            <w:gridSpan w:val="2"/>
            <w:vAlign w:val="center"/>
          </w:tcPr>
          <w:p w14:paraId="13BE3CD4" w14:textId="77777777" w:rsidR="00BC1D4B" w:rsidRDefault="00BC1D4B">
            <w:pPr>
              <w:pStyle w:val="Corpsdetexte"/>
              <w:spacing w:after="0"/>
              <w:jc w:val="center"/>
              <w:rPr>
                <w:rFonts w:ascii="Verdana" w:hAnsi="Verdana"/>
                <w:sz w:val="18"/>
                <w:szCs w:val="18"/>
              </w:rPr>
            </w:pPr>
          </w:p>
        </w:tc>
      </w:tr>
      <w:tr w:rsidR="00BC1D4B" w14:paraId="719F6837" w14:textId="77777777">
        <w:trPr>
          <w:trHeight w:val="454"/>
        </w:trPr>
        <w:tc>
          <w:tcPr>
            <w:tcW w:w="1838" w:type="dxa"/>
            <w:shd w:val="clear" w:color="auto" w:fill="DBE5F1" w:themeFill="accent1" w:themeFillTint="33"/>
            <w:vAlign w:val="center"/>
          </w:tcPr>
          <w:p w14:paraId="4EA2FAB3" w14:textId="77777777" w:rsidR="00BC1D4B" w:rsidRDefault="00ED1F84">
            <w:pPr>
              <w:pStyle w:val="Corpsdetexte"/>
              <w:spacing w:after="0"/>
              <w:rPr>
                <w:rFonts w:ascii="Verdana" w:hAnsi="Verdana"/>
                <w:b/>
                <w:sz w:val="18"/>
                <w:szCs w:val="18"/>
              </w:rPr>
            </w:pPr>
            <w:r>
              <w:rPr>
                <w:rFonts w:ascii="Verdana" w:hAnsi="Verdana"/>
                <w:b/>
                <w:sz w:val="18"/>
                <w:szCs w:val="18"/>
              </w:rPr>
              <w:t>ES 1b</w:t>
            </w:r>
          </w:p>
        </w:tc>
        <w:tc>
          <w:tcPr>
            <w:tcW w:w="7178" w:type="dxa"/>
            <w:gridSpan w:val="3"/>
            <w:shd w:val="clear" w:color="auto" w:fill="DBE5F1" w:themeFill="accent1" w:themeFillTint="33"/>
            <w:vAlign w:val="center"/>
          </w:tcPr>
          <w:p w14:paraId="5D7877F9" w14:textId="149EBE9E" w:rsidR="00BC1D4B" w:rsidRDefault="00ED1F84" w:rsidP="00253C01">
            <w:pPr>
              <w:pStyle w:val="Corpsdetexte"/>
              <w:spacing w:after="0"/>
              <w:jc w:val="both"/>
              <w:rPr>
                <w:rFonts w:ascii="Verdana" w:hAnsi="Verdana"/>
                <w:b/>
                <w:sz w:val="18"/>
                <w:szCs w:val="18"/>
              </w:rPr>
            </w:pPr>
            <w:r>
              <w:rPr>
                <w:rFonts w:ascii="Verdana" w:hAnsi="Verdana"/>
                <w:sz w:val="18"/>
                <w:szCs w:val="18"/>
              </w:rPr>
              <w:t xml:space="preserve">M - Manufacture </w:t>
            </w:r>
            <w:r w:rsidR="00253C01" w:rsidRPr="00253C01">
              <w:rPr>
                <w:rFonts w:ascii="Verdana" w:hAnsi="Verdana"/>
                <w:sz w:val="18"/>
                <w:szCs w:val="18"/>
              </w:rPr>
              <w:t xml:space="preserve">of the substance – Registrant </w:t>
            </w:r>
            <w:r w:rsidR="00253C01">
              <w:rPr>
                <w:rFonts w:ascii="Verdana" w:hAnsi="Verdana"/>
                <w:sz w:val="18"/>
                <w:szCs w:val="18"/>
              </w:rPr>
              <w:t>2</w:t>
            </w:r>
          </w:p>
        </w:tc>
      </w:tr>
      <w:tr w:rsidR="00BC1D4B" w14:paraId="4CD90DEB" w14:textId="77777777">
        <w:trPr>
          <w:trHeight w:val="454"/>
        </w:trPr>
        <w:tc>
          <w:tcPr>
            <w:tcW w:w="1838" w:type="dxa"/>
            <w:vAlign w:val="center"/>
          </w:tcPr>
          <w:p w14:paraId="0B6E013E"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1632535C" w14:textId="24E50C22" w:rsidR="00BC1D4B" w:rsidRDefault="00ED1F84">
            <w:pPr>
              <w:pStyle w:val="Corpsdetexte"/>
              <w:spacing w:after="0"/>
              <w:jc w:val="center"/>
              <w:rPr>
                <w:rFonts w:ascii="Verdana" w:hAnsi="Verdana"/>
                <w:sz w:val="18"/>
                <w:szCs w:val="18"/>
              </w:rPr>
            </w:pPr>
            <w:r>
              <w:rPr>
                <w:rFonts w:ascii="Verdana" w:hAnsi="Verdana"/>
                <w:sz w:val="18"/>
                <w:szCs w:val="18"/>
              </w:rPr>
              <w:t xml:space="preserve"> </w:t>
            </w:r>
            <w:r w:rsidR="00E74509">
              <w:rPr>
                <w:rFonts w:ascii="Verdana" w:hAnsi="Verdana"/>
                <w:sz w:val="18"/>
                <w:szCs w:val="18"/>
              </w:rPr>
              <w:t>7.07E-01</w:t>
            </w:r>
            <w:r>
              <w:rPr>
                <w:rFonts w:ascii="Verdana" w:hAnsi="Verdana"/>
                <w:sz w:val="18"/>
                <w:szCs w:val="18"/>
              </w:rPr>
              <w:t xml:space="preserve"> mg.l</w:t>
            </w:r>
            <w:r>
              <w:rPr>
                <w:rFonts w:ascii="Verdana" w:hAnsi="Verdana"/>
                <w:sz w:val="18"/>
                <w:szCs w:val="18"/>
                <w:vertAlign w:val="superscript"/>
              </w:rPr>
              <w:t>-1</w:t>
            </w:r>
          </w:p>
        </w:tc>
        <w:tc>
          <w:tcPr>
            <w:tcW w:w="2551" w:type="dxa"/>
            <w:vAlign w:val="center"/>
          </w:tcPr>
          <w:p w14:paraId="23B4ADDD" w14:textId="266B57FD" w:rsidR="00BC1D4B" w:rsidRDefault="00ED1F84">
            <w:pPr>
              <w:pStyle w:val="Corpsdetexte"/>
              <w:spacing w:after="0"/>
              <w:jc w:val="center"/>
              <w:rPr>
                <w:rFonts w:ascii="Verdana" w:hAnsi="Verdana"/>
                <w:sz w:val="18"/>
                <w:szCs w:val="18"/>
              </w:rPr>
            </w:pPr>
            <w:r>
              <w:rPr>
                <w:rFonts w:ascii="Verdana" w:hAnsi="Verdana"/>
                <w:sz w:val="18"/>
                <w:szCs w:val="18"/>
              </w:rPr>
              <w:t>RCR =</w:t>
            </w:r>
            <w:r w:rsidR="0062241E">
              <w:rPr>
                <w:rFonts w:ascii="Verdana" w:hAnsi="Verdana"/>
                <w:sz w:val="18"/>
                <w:szCs w:val="18"/>
              </w:rPr>
              <w:t xml:space="preserve"> </w:t>
            </w:r>
            <w:r w:rsidR="00E74509">
              <w:rPr>
                <w:rFonts w:ascii="Verdana" w:hAnsi="Verdana"/>
                <w:sz w:val="18"/>
                <w:szCs w:val="18"/>
              </w:rPr>
              <w:t>4.81E-01</w:t>
            </w:r>
          </w:p>
        </w:tc>
        <w:tc>
          <w:tcPr>
            <w:tcW w:w="2642" w:type="dxa"/>
            <w:vAlign w:val="center"/>
          </w:tcPr>
          <w:p w14:paraId="657ECF06"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4E7A7032" w14:textId="77777777">
        <w:trPr>
          <w:trHeight w:val="454"/>
        </w:trPr>
        <w:tc>
          <w:tcPr>
            <w:tcW w:w="1838" w:type="dxa"/>
            <w:vAlign w:val="center"/>
          </w:tcPr>
          <w:p w14:paraId="3DF7CA10"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660F8B8C" w14:textId="4197A65B" w:rsidR="00BC1D4B" w:rsidRDefault="00E74509">
            <w:pPr>
              <w:pStyle w:val="Corpsdetexte"/>
              <w:spacing w:after="0"/>
              <w:jc w:val="center"/>
              <w:rPr>
                <w:rFonts w:ascii="Verdana" w:hAnsi="Verdana"/>
                <w:sz w:val="18"/>
                <w:szCs w:val="18"/>
              </w:rPr>
            </w:pPr>
            <w:r>
              <w:rPr>
                <w:rFonts w:ascii="Verdana" w:hAnsi="Verdana"/>
                <w:sz w:val="18"/>
                <w:szCs w:val="18"/>
              </w:rPr>
              <w:t>7.17</w:t>
            </w:r>
            <w:r w:rsidR="00ED1F84">
              <w:rPr>
                <w:rFonts w:ascii="Verdana" w:hAnsi="Verdana"/>
                <w:sz w:val="18"/>
                <w:szCs w:val="18"/>
              </w:rPr>
              <w:t>E-0</w:t>
            </w:r>
            <w:r>
              <w:rPr>
                <w:rFonts w:ascii="Verdana" w:hAnsi="Verdana"/>
                <w:sz w:val="18"/>
                <w:szCs w:val="18"/>
              </w:rPr>
              <w:t>4</w:t>
            </w:r>
            <w:r w:rsidR="00ED1F84">
              <w:rPr>
                <w:rFonts w:ascii="Verdana" w:hAnsi="Verdana"/>
                <w:sz w:val="18"/>
                <w:szCs w:val="18"/>
              </w:rPr>
              <w:t xml:space="preserve"> mg.l</w:t>
            </w:r>
            <w:r w:rsidR="00ED1F84">
              <w:rPr>
                <w:rFonts w:ascii="Verdana" w:hAnsi="Verdana"/>
                <w:sz w:val="18"/>
                <w:szCs w:val="18"/>
                <w:vertAlign w:val="superscript"/>
              </w:rPr>
              <w:t>-1</w:t>
            </w:r>
          </w:p>
        </w:tc>
        <w:tc>
          <w:tcPr>
            <w:tcW w:w="2551" w:type="dxa"/>
            <w:vAlign w:val="center"/>
          </w:tcPr>
          <w:p w14:paraId="7D695B7D" w14:textId="3E1D30EC"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E74509">
              <w:rPr>
                <w:rFonts w:ascii="Verdana" w:hAnsi="Verdana"/>
                <w:sz w:val="18"/>
                <w:szCs w:val="18"/>
              </w:rPr>
              <w:t>2.39</w:t>
            </w:r>
            <w:r>
              <w:rPr>
                <w:rFonts w:ascii="Verdana" w:hAnsi="Verdana"/>
                <w:sz w:val="18"/>
                <w:szCs w:val="18"/>
              </w:rPr>
              <w:t>E-02</w:t>
            </w:r>
          </w:p>
        </w:tc>
        <w:tc>
          <w:tcPr>
            <w:tcW w:w="2642" w:type="dxa"/>
            <w:vAlign w:val="center"/>
          </w:tcPr>
          <w:p w14:paraId="4DE7BE40"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38130DE8" w14:textId="77777777">
        <w:trPr>
          <w:trHeight w:val="454"/>
        </w:trPr>
        <w:tc>
          <w:tcPr>
            <w:tcW w:w="1838" w:type="dxa"/>
            <w:vAlign w:val="center"/>
          </w:tcPr>
          <w:p w14:paraId="4A2F0AED"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09C2FAFF" w14:textId="7A383382" w:rsidR="00BC1D4B" w:rsidRDefault="00E74509">
            <w:pPr>
              <w:pStyle w:val="Corpsdetexte"/>
              <w:spacing w:after="0"/>
              <w:jc w:val="center"/>
              <w:rPr>
                <w:rFonts w:ascii="Verdana" w:hAnsi="Verdana"/>
                <w:sz w:val="18"/>
                <w:szCs w:val="18"/>
              </w:rPr>
            </w:pPr>
            <w:r>
              <w:rPr>
                <w:rFonts w:ascii="Verdana" w:hAnsi="Verdana"/>
                <w:sz w:val="18"/>
                <w:szCs w:val="18"/>
              </w:rPr>
              <w:t>1.74</w:t>
            </w:r>
            <w:r w:rsidR="00ED1F84">
              <w:rPr>
                <w:rFonts w:ascii="Verdana" w:hAnsi="Verdana"/>
                <w:sz w:val="18"/>
                <w:szCs w:val="18"/>
              </w:rPr>
              <w:t>E-02 mg.kg-1</w:t>
            </w:r>
          </w:p>
        </w:tc>
        <w:tc>
          <w:tcPr>
            <w:tcW w:w="2551" w:type="dxa"/>
            <w:vAlign w:val="center"/>
          </w:tcPr>
          <w:p w14:paraId="1823B466" w14:textId="0B67285D"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E74509">
              <w:rPr>
                <w:rFonts w:ascii="Verdana" w:hAnsi="Verdana"/>
                <w:sz w:val="18"/>
                <w:szCs w:val="18"/>
              </w:rPr>
              <w:t>3.19</w:t>
            </w:r>
            <w:r>
              <w:rPr>
                <w:rFonts w:ascii="Verdana" w:hAnsi="Verdana"/>
                <w:sz w:val="18"/>
                <w:szCs w:val="18"/>
              </w:rPr>
              <w:t>E-02</w:t>
            </w:r>
          </w:p>
        </w:tc>
        <w:tc>
          <w:tcPr>
            <w:tcW w:w="2642" w:type="dxa"/>
            <w:vAlign w:val="center"/>
          </w:tcPr>
          <w:p w14:paraId="2CCC6387"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5C1CFBB4" w14:textId="77777777">
        <w:trPr>
          <w:trHeight w:val="454"/>
        </w:trPr>
        <w:tc>
          <w:tcPr>
            <w:tcW w:w="1838" w:type="dxa"/>
            <w:vAlign w:val="center"/>
          </w:tcPr>
          <w:p w14:paraId="4E094B48"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5599E65E" w14:textId="41C0DDD2"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2.</w:t>
            </w:r>
            <w:r w:rsidR="00E74509">
              <w:rPr>
                <w:rFonts w:ascii="Verdana" w:hAnsi="Verdana"/>
                <w:bCs/>
                <w:sz w:val="18"/>
                <w:szCs w:val="18"/>
                <w:lang w:val="en-US" w:eastAsia="fr-FR"/>
              </w:rPr>
              <w:t>47</w:t>
            </w:r>
            <w:r>
              <w:rPr>
                <w:rFonts w:ascii="Verdana" w:hAnsi="Verdana"/>
                <w:bCs/>
                <w:sz w:val="18"/>
                <w:szCs w:val="18"/>
                <w:lang w:val="en-US" w:eastAsia="fr-FR"/>
              </w:rPr>
              <w:t xml:space="preserve"> mg.kg-1</w:t>
            </w:r>
          </w:p>
        </w:tc>
        <w:tc>
          <w:tcPr>
            <w:tcW w:w="2551" w:type="dxa"/>
            <w:vAlign w:val="center"/>
          </w:tcPr>
          <w:p w14:paraId="0C277C7E" w14:textId="7094BA03" w:rsidR="00BC1D4B" w:rsidRDefault="00ED1F84">
            <w:pPr>
              <w:pStyle w:val="Corpsdetexte"/>
              <w:spacing w:after="0"/>
              <w:jc w:val="center"/>
              <w:rPr>
                <w:rFonts w:ascii="Verdana" w:hAnsi="Verdana"/>
                <w:b/>
                <w:sz w:val="18"/>
                <w:szCs w:val="18"/>
              </w:rPr>
            </w:pPr>
            <w:r>
              <w:rPr>
                <w:rFonts w:ascii="Verdana" w:hAnsi="Verdana"/>
                <w:b/>
                <w:sz w:val="18"/>
                <w:szCs w:val="18"/>
              </w:rPr>
              <w:t>RCR =6.9</w:t>
            </w:r>
            <w:r w:rsidR="008312E8">
              <w:rPr>
                <w:rFonts w:ascii="Verdana" w:hAnsi="Verdana"/>
                <w:b/>
                <w:sz w:val="18"/>
                <w:szCs w:val="18"/>
              </w:rPr>
              <w:t>1</w:t>
            </w:r>
          </w:p>
        </w:tc>
        <w:tc>
          <w:tcPr>
            <w:tcW w:w="2642" w:type="dxa"/>
            <w:vAlign w:val="center"/>
          </w:tcPr>
          <w:p w14:paraId="61DFA72B" w14:textId="77777777" w:rsidR="00BC1D4B" w:rsidRDefault="00ED1F84">
            <w:pPr>
              <w:pStyle w:val="Corpsdetexte"/>
              <w:spacing w:after="0"/>
              <w:rPr>
                <w:rFonts w:ascii="Verdana" w:hAnsi="Verdana"/>
                <w:b/>
                <w:sz w:val="18"/>
                <w:szCs w:val="18"/>
              </w:rPr>
            </w:pPr>
            <w:r>
              <w:rPr>
                <w:rFonts w:ascii="Verdana" w:hAnsi="Verdana"/>
                <w:b/>
                <w:sz w:val="18"/>
                <w:szCs w:val="18"/>
              </w:rPr>
              <w:t>The registrant mentioned that no application of the STP sludge is made on agricultural soil</w:t>
            </w:r>
          </w:p>
        </w:tc>
      </w:tr>
      <w:tr w:rsidR="00BC1D4B" w14:paraId="64DDE2DD" w14:textId="77777777">
        <w:trPr>
          <w:trHeight w:val="454"/>
        </w:trPr>
        <w:tc>
          <w:tcPr>
            <w:tcW w:w="1838" w:type="dxa"/>
            <w:vAlign w:val="center"/>
          </w:tcPr>
          <w:p w14:paraId="5EF1157C"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61D221DE" w14:textId="4F19D942" w:rsidR="00BC1D4B" w:rsidRDefault="00ED1F84">
            <w:pPr>
              <w:pStyle w:val="Corpsdetexte"/>
              <w:spacing w:after="0"/>
              <w:jc w:val="center"/>
              <w:rPr>
                <w:rFonts w:ascii="Verdana" w:hAnsi="Verdana"/>
                <w:b/>
                <w:bCs/>
                <w:sz w:val="18"/>
                <w:szCs w:val="18"/>
                <w:lang w:val="en-US" w:eastAsia="fr-FR"/>
              </w:rPr>
            </w:pPr>
            <w:r>
              <w:rPr>
                <w:rFonts w:ascii="Verdana" w:hAnsi="Verdana"/>
                <w:b/>
                <w:bCs/>
                <w:sz w:val="18"/>
                <w:szCs w:val="18"/>
                <w:lang w:val="en-US" w:eastAsia="fr-FR"/>
              </w:rPr>
              <w:t>56.</w:t>
            </w:r>
            <w:r w:rsidR="00E74509">
              <w:rPr>
                <w:rFonts w:ascii="Verdana" w:hAnsi="Verdana"/>
                <w:b/>
                <w:bCs/>
                <w:sz w:val="18"/>
                <w:szCs w:val="18"/>
                <w:lang w:val="en-US" w:eastAsia="fr-FR"/>
              </w:rPr>
              <w:t>3</w:t>
            </w:r>
            <w:r>
              <w:rPr>
                <w:rFonts w:ascii="Verdana" w:hAnsi="Verdana"/>
                <w:b/>
                <w:bCs/>
                <w:sz w:val="18"/>
                <w:szCs w:val="18"/>
                <w:lang w:val="en-US" w:eastAsia="fr-FR"/>
              </w:rPr>
              <w:t xml:space="preserve"> µg/l</w:t>
            </w:r>
          </w:p>
        </w:tc>
        <w:tc>
          <w:tcPr>
            <w:tcW w:w="5193" w:type="dxa"/>
            <w:gridSpan w:val="2"/>
            <w:vAlign w:val="center"/>
          </w:tcPr>
          <w:p w14:paraId="556A2A19" w14:textId="77777777" w:rsidR="00BC1D4B" w:rsidRDefault="00ED1F84">
            <w:pPr>
              <w:pStyle w:val="Corpsdetexte"/>
              <w:spacing w:after="0"/>
              <w:jc w:val="center"/>
              <w:rPr>
                <w:rFonts w:ascii="Verdana" w:hAnsi="Verdana"/>
                <w:sz w:val="18"/>
                <w:szCs w:val="18"/>
              </w:rPr>
            </w:pPr>
            <w:r>
              <w:rPr>
                <w:rFonts w:ascii="Verdana" w:hAnsi="Verdana"/>
                <w:b/>
                <w:sz w:val="18"/>
                <w:szCs w:val="18"/>
              </w:rPr>
              <w:t>NR if</w:t>
            </w:r>
            <w:r>
              <w:rPr>
                <w:b/>
              </w:rPr>
              <w:t xml:space="preserve"> </w:t>
            </w:r>
            <w:r>
              <w:rPr>
                <w:rFonts w:ascii="Verdana" w:hAnsi="Verdana"/>
                <w:b/>
                <w:sz w:val="18"/>
                <w:szCs w:val="18"/>
              </w:rPr>
              <w:t>no application of the STP sludge is made on agricultural soil.</w:t>
            </w:r>
          </w:p>
        </w:tc>
      </w:tr>
      <w:tr w:rsidR="00BC1D4B" w14:paraId="7FA817B3" w14:textId="77777777">
        <w:trPr>
          <w:trHeight w:val="454"/>
        </w:trPr>
        <w:tc>
          <w:tcPr>
            <w:tcW w:w="1838" w:type="dxa"/>
            <w:shd w:val="clear" w:color="auto" w:fill="DBE5F1" w:themeFill="accent1" w:themeFillTint="33"/>
            <w:vAlign w:val="center"/>
          </w:tcPr>
          <w:p w14:paraId="2F5513B3" w14:textId="77777777" w:rsidR="00BC1D4B" w:rsidRDefault="00ED1F84">
            <w:pPr>
              <w:pStyle w:val="Corpsdetexte"/>
              <w:spacing w:after="0"/>
              <w:rPr>
                <w:rFonts w:ascii="Verdana" w:hAnsi="Verdana"/>
                <w:b/>
                <w:sz w:val="18"/>
                <w:szCs w:val="18"/>
              </w:rPr>
            </w:pPr>
            <w:r>
              <w:rPr>
                <w:rFonts w:ascii="Verdana" w:hAnsi="Verdana"/>
                <w:b/>
                <w:sz w:val="18"/>
                <w:szCs w:val="18"/>
              </w:rPr>
              <w:t>ES 2</w:t>
            </w:r>
          </w:p>
        </w:tc>
        <w:tc>
          <w:tcPr>
            <w:tcW w:w="7178" w:type="dxa"/>
            <w:gridSpan w:val="3"/>
            <w:shd w:val="clear" w:color="auto" w:fill="DBE5F1" w:themeFill="accent1" w:themeFillTint="33"/>
            <w:vAlign w:val="center"/>
          </w:tcPr>
          <w:p w14:paraId="6DE18494" w14:textId="4AC723A3" w:rsidR="00BC1D4B" w:rsidRDefault="00ED1F84" w:rsidP="00253C01">
            <w:pPr>
              <w:pStyle w:val="Corpsdetexte"/>
              <w:spacing w:after="0"/>
              <w:jc w:val="both"/>
              <w:rPr>
                <w:rFonts w:ascii="Verdana" w:hAnsi="Verdana"/>
                <w:b/>
                <w:sz w:val="18"/>
                <w:szCs w:val="18"/>
              </w:rPr>
            </w:pPr>
            <w:r>
              <w:rPr>
                <w:rFonts w:ascii="Verdana" w:hAnsi="Verdana"/>
                <w:sz w:val="18"/>
                <w:szCs w:val="18"/>
              </w:rPr>
              <w:t>F - Formulation or re-packing – Masterbatches manufacturel- Mixland</w:t>
            </w:r>
          </w:p>
        </w:tc>
      </w:tr>
      <w:tr w:rsidR="00BC1D4B" w14:paraId="53A0223F" w14:textId="77777777">
        <w:trPr>
          <w:trHeight w:val="454"/>
        </w:trPr>
        <w:tc>
          <w:tcPr>
            <w:tcW w:w="1838" w:type="dxa"/>
            <w:vAlign w:val="center"/>
          </w:tcPr>
          <w:p w14:paraId="6EA22AA1"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5E4A6563"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551" w:type="dxa"/>
            <w:vAlign w:val="center"/>
          </w:tcPr>
          <w:p w14:paraId="67206D64"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62117AC7"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r>
      <w:tr w:rsidR="00BC1D4B" w14:paraId="74C14263" w14:textId="77777777">
        <w:trPr>
          <w:trHeight w:val="454"/>
        </w:trPr>
        <w:tc>
          <w:tcPr>
            <w:tcW w:w="1838" w:type="dxa"/>
            <w:vAlign w:val="center"/>
          </w:tcPr>
          <w:p w14:paraId="414EB1B0"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03038EDF" w14:textId="2CA4472B" w:rsidR="00BC1D4B" w:rsidRDefault="008312E8">
            <w:pPr>
              <w:pStyle w:val="Corpsdetexte"/>
              <w:spacing w:after="0"/>
              <w:jc w:val="center"/>
              <w:rPr>
                <w:rFonts w:ascii="Verdana" w:hAnsi="Verdana"/>
                <w:sz w:val="18"/>
                <w:szCs w:val="18"/>
              </w:rPr>
            </w:pPr>
            <w:r>
              <w:rPr>
                <w:rFonts w:ascii="Verdana" w:hAnsi="Verdana"/>
                <w:sz w:val="18"/>
                <w:szCs w:val="18"/>
              </w:rPr>
              <w:t>1.28</w:t>
            </w:r>
            <w:r w:rsidR="00ED1F84">
              <w:rPr>
                <w:rFonts w:ascii="Verdana" w:hAnsi="Verdana"/>
                <w:sz w:val="18"/>
                <w:szCs w:val="18"/>
              </w:rPr>
              <w:t xml:space="preserve"> mg.l</w:t>
            </w:r>
            <w:r w:rsidR="00ED1F84">
              <w:rPr>
                <w:rFonts w:ascii="Verdana" w:hAnsi="Verdana"/>
                <w:sz w:val="18"/>
                <w:szCs w:val="18"/>
                <w:vertAlign w:val="superscript"/>
              </w:rPr>
              <w:t>-1</w:t>
            </w:r>
          </w:p>
        </w:tc>
        <w:tc>
          <w:tcPr>
            <w:tcW w:w="2551" w:type="dxa"/>
            <w:vAlign w:val="center"/>
          </w:tcPr>
          <w:p w14:paraId="3A8CC400" w14:textId="186D323F" w:rsidR="00BC1D4B" w:rsidRDefault="00ED1F84">
            <w:pPr>
              <w:pStyle w:val="Corpsdetexte"/>
              <w:spacing w:after="0"/>
              <w:jc w:val="center"/>
              <w:rPr>
                <w:rFonts w:ascii="Verdana" w:hAnsi="Verdana"/>
                <w:b/>
                <w:sz w:val="18"/>
                <w:szCs w:val="18"/>
              </w:rPr>
            </w:pPr>
            <w:r>
              <w:rPr>
                <w:rFonts w:ascii="Verdana" w:hAnsi="Verdana"/>
                <w:b/>
                <w:sz w:val="18"/>
                <w:szCs w:val="18"/>
              </w:rPr>
              <w:t>RCR =</w:t>
            </w:r>
            <w:r w:rsidR="008312E8">
              <w:rPr>
                <w:rFonts w:ascii="Verdana" w:hAnsi="Verdana"/>
                <w:b/>
                <w:sz w:val="18"/>
                <w:szCs w:val="18"/>
              </w:rPr>
              <w:t>42.6</w:t>
            </w:r>
          </w:p>
        </w:tc>
        <w:tc>
          <w:tcPr>
            <w:tcW w:w="2642" w:type="dxa"/>
            <w:vAlign w:val="center"/>
          </w:tcPr>
          <w:p w14:paraId="4547F650" w14:textId="77777777" w:rsidR="00BC1D4B" w:rsidRDefault="00ED1F84">
            <w:pPr>
              <w:pStyle w:val="Corpsdetexte"/>
              <w:spacing w:after="0"/>
              <w:jc w:val="center"/>
              <w:rPr>
                <w:rFonts w:ascii="Verdana" w:hAnsi="Verdana"/>
                <w:b/>
                <w:sz w:val="18"/>
                <w:szCs w:val="18"/>
              </w:rPr>
            </w:pPr>
            <w:r>
              <w:rPr>
                <w:rFonts w:ascii="Verdana" w:hAnsi="Verdana"/>
                <w:b/>
                <w:sz w:val="18"/>
                <w:szCs w:val="18"/>
              </w:rPr>
              <w:t>Unacceptable</w:t>
            </w:r>
          </w:p>
        </w:tc>
      </w:tr>
      <w:tr w:rsidR="00BC1D4B" w14:paraId="61953E6C" w14:textId="77777777">
        <w:trPr>
          <w:trHeight w:val="454"/>
        </w:trPr>
        <w:tc>
          <w:tcPr>
            <w:tcW w:w="1838" w:type="dxa"/>
            <w:vAlign w:val="center"/>
          </w:tcPr>
          <w:p w14:paraId="351CBC50"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2A7115B7" w14:textId="7CD69447" w:rsidR="00BC1D4B" w:rsidRDefault="008312E8">
            <w:pPr>
              <w:pStyle w:val="Corpsdetexte"/>
              <w:spacing w:after="0"/>
              <w:jc w:val="center"/>
              <w:rPr>
                <w:rFonts w:ascii="Verdana" w:hAnsi="Verdana"/>
                <w:sz w:val="18"/>
                <w:szCs w:val="18"/>
              </w:rPr>
            </w:pPr>
            <w:r>
              <w:rPr>
                <w:rFonts w:ascii="Verdana" w:hAnsi="Verdana"/>
                <w:sz w:val="18"/>
                <w:szCs w:val="18"/>
              </w:rPr>
              <w:t>23.4</w:t>
            </w:r>
            <w:r w:rsidR="00ED1F84">
              <w:t xml:space="preserve"> </w:t>
            </w:r>
            <w:r w:rsidR="00ED1F84">
              <w:rPr>
                <w:rFonts w:ascii="Verdana" w:hAnsi="Verdana"/>
                <w:sz w:val="18"/>
                <w:szCs w:val="18"/>
              </w:rPr>
              <w:t>mg.kg</w:t>
            </w:r>
            <w:r w:rsidR="00ED1F84">
              <w:rPr>
                <w:rFonts w:ascii="Verdana" w:hAnsi="Verdana"/>
                <w:sz w:val="18"/>
                <w:szCs w:val="18"/>
                <w:vertAlign w:val="superscript"/>
              </w:rPr>
              <w:t>-1</w:t>
            </w:r>
          </w:p>
        </w:tc>
        <w:tc>
          <w:tcPr>
            <w:tcW w:w="2551" w:type="dxa"/>
            <w:vAlign w:val="center"/>
          </w:tcPr>
          <w:p w14:paraId="4F5AE05A" w14:textId="454BBDCE" w:rsidR="00BC1D4B" w:rsidRDefault="00ED1F84">
            <w:pPr>
              <w:pStyle w:val="Corpsdetexte"/>
              <w:spacing w:after="0"/>
              <w:jc w:val="center"/>
              <w:rPr>
                <w:rFonts w:ascii="Verdana" w:hAnsi="Verdana"/>
                <w:b/>
                <w:sz w:val="18"/>
                <w:szCs w:val="18"/>
              </w:rPr>
            </w:pPr>
            <w:r>
              <w:rPr>
                <w:rFonts w:ascii="Verdana" w:hAnsi="Verdana"/>
                <w:b/>
                <w:sz w:val="18"/>
                <w:szCs w:val="18"/>
              </w:rPr>
              <w:t xml:space="preserve">RCR= </w:t>
            </w:r>
            <w:r w:rsidR="008312E8">
              <w:rPr>
                <w:rFonts w:ascii="Verdana" w:hAnsi="Verdana"/>
                <w:b/>
                <w:sz w:val="18"/>
                <w:szCs w:val="18"/>
              </w:rPr>
              <w:t>42.9</w:t>
            </w:r>
          </w:p>
        </w:tc>
        <w:tc>
          <w:tcPr>
            <w:tcW w:w="2642" w:type="dxa"/>
            <w:vAlign w:val="center"/>
          </w:tcPr>
          <w:p w14:paraId="6C5DB27C" w14:textId="77777777" w:rsidR="00BC1D4B" w:rsidRDefault="00ED1F84">
            <w:pPr>
              <w:pStyle w:val="Corpsdetexte"/>
              <w:spacing w:after="0"/>
              <w:jc w:val="center"/>
              <w:rPr>
                <w:rFonts w:ascii="Verdana" w:hAnsi="Verdana"/>
                <w:b/>
                <w:sz w:val="18"/>
                <w:szCs w:val="18"/>
                <w:lang w:val="en-US"/>
              </w:rPr>
            </w:pPr>
            <w:r>
              <w:rPr>
                <w:rFonts w:ascii="Verdana" w:hAnsi="Verdana"/>
                <w:b/>
                <w:sz w:val="18"/>
                <w:szCs w:val="18"/>
              </w:rPr>
              <w:t>Unacceptable</w:t>
            </w:r>
          </w:p>
        </w:tc>
      </w:tr>
      <w:tr w:rsidR="00BC1D4B" w14:paraId="7015A348" w14:textId="77777777">
        <w:trPr>
          <w:trHeight w:val="454"/>
        </w:trPr>
        <w:tc>
          <w:tcPr>
            <w:tcW w:w="1838" w:type="dxa"/>
            <w:vAlign w:val="center"/>
          </w:tcPr>
          <w:p w14:paraId="3588AD58" w14:textId="7235E885" w:rsidR="00BC1D4B" w:rsidRDefault="00027B1F">
            <w:pPr>
              <w:pStyle w:val="Corpsdetexte"/>
              <w:spacing w:after="0"/>
              <w:rPr>
                <w:rFonts w:ascii="Verdana" w:hAnsi="Verdana"/>
                <w:sz w:val="18"/>
                <w:szCs w:val="18"/>
              </w:rPr>
            </w:pPr>
            <w:r w:rsidRPr="00027B1F">
              <w:rPr>
                <w:rFonts w:ascii="Verdana" w:hAnsi="Verdana"/>
                <w:sz w:val="18"/>
                <w:szCs w:val="18"/>
              </w:rPr>
              <w:t>Agricultural soil</w:t>
            </w:r>
          </w:p>
        </w:tc>
        <w:tc>
          <w:tcPr>
            <w:tcW w:w="1985" w:type="dxa"/>
            <w:vAlign w:val="center"/>
          </w:tcPr>
          <w:p w14:paraId="576EE953" w14:textId="096B82E9" w:rsidR="00BC1D4B" w:rsidRDefault="00027B1F">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NR</w:t>
            </w:r>
          </w:p>
        </w:tc>
        <w:tc>
          <w:tcPr>
            <w:tcW w:w="2551" w:type="dxa"/>
            <w:vAlign w:val="center"/>
          </w:tcPr>
          <w:p w14:paraId="54FA059E" w14:textId="6751266E" w:rsidR="00BC1D4B" w:rsidRDefault="00027B1F">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16B670E4" w14:textId="026F9E14" w:rsidR="00BC1D4B" w:rsidRDefault="00027B1F">
            <w:pPr>
              <w:pStyle w:val="Corpsdetexte"/>
              <w:spacing w:after="0"/>
              <w:jc w:val="center"/>
              <w:rPr>
                <w:rFonts w:ascii="Verdana" w:hAnsi="Verdana"/>
                <w:sz w:val="18"/>
                <w:szCs w:val="18"/>
              </w:rPr>
            </w:pPr>
            <w:r>
              <w:rPr>
                <w:rFonts w:ascii="Verdana" w:hAnsi="Verdana"/>
                <w:sz w:val="18"/>
                <w:szCs w:val="18"/>
              </w:rPr>
              <w:t>NR</w:t>
            </w:r>
          </w:p>
        </w:tc>
      </w:tr>
      <w:tr w:rsidR="00BC1D4B" w14:paraId="2B67417B" w14:textId="77777777">
        <w:trPr>
          <w:trHeight w:val="454"/>
        </w:trPr>
        <w:tc>
          <w:tcPr>
            <w:tcW w:w="1838" w:type="dxa"/>
            <w:vAlign w:val="center"/>
          </w:tcPr>
          <w:p w14:paraId="0925F3CD" w14:textId="3DCF3D14"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1006AFA8" w14:textId="0E7973E1" w:rsidR="00BC1D4B" w:rsidRDefault="00E74509">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NR</w:t>
            </w:r>
          </w:p>
        </w:tc>
        <w:tc>
          <w:tcPr>
            <w:tcW w:w="5193" w:type="dxa"/>
            <w:gridSpan w:val="2"/>
            <w:vAlign w:val="center"/>
          </w:tcPr>
          <w:p w14:paraId="6B8D6BA3" w14:textId="77777777" w:rsidR="00BC1D4B" w:rsidRDefault="00BC1D4B">
            <w:pPr>
              <w:pStyle w:val="Corpsdetexte"/>
              <w:spacing w:after="0"/>
              <w:jc w:val="center"/>
              <w:rPr>
                <w:rFonts w:ascii="Verdana" w:hAnsi="Verdana"/>
                <w:sz w:val="18"/>
                <w:szCs w:val="18"/>
              </w:rPr>
            </w:pPr>
          </w:p>
        </w:tc>
      </w:tr>
      <w:tr w:rsidR="00BC1D4B" w14:paraId="6FD6FDF9" w14:textId="77777777">
        <w:trPr>
          <w:trHeight w:val="454"/>
        </w:trPr>
        <w:tc>
          <w:tcPr>
            <w:tcW w:w="1838" w:type="dxa"/>
            <w:shd w:val="clear" w:color="auto" w:fill="DBE5F1" w:themeFill="accent1" w:themeFillTint="33"/>
            <w:vAlign w:val="center"/>
          </w:tcPr>
          <w:p w14:paraId="3347C980" w14:textId="77777777" w:rsidR="00BC1D4B" w:rsidRDefault="00ED1F84">
            <w:pPr>
              <w:pStyle w:val="Corpsdetexte"/>
              <w:spacing w:after="0"/>
              <w:rPr>
                <w:rFonts w:ascii="Verdana" w:hAnsi="Verdana"/>
                <w:b/>
                <w:sz w:val="18"/>
                <w:szCs w:val="18"/>
              </w:rPr>
            </w:pPr>
            <w:r>
              <w:rPr>
                <w:rFonts w:ascii="Verdana" w:hAnsi="Verdana"/>
                <w:b/>
                <w:sz w:val="18"/>
                <w:szCs w:val="18"/>
              </w:rPr>
              <w:t>ES 3</w:t>
            </w:r>
          </w:p>
        </w:tc>
        <w:tc>
          <w:tcPr>
            <w:tcW w:w="7178" w:type="dxa"/>
            <w:gridSpan w:val="3"/>
            <w:shd w:val="clear" w:color="auto" w:fill="DBE5F1" w:themeFill="accent1" w:themeFillTint="33"/>
            <w:vAlign w:val="center"/>
          </w:tcPr>
          <w:p w14:paraId="640A07B8" w14:textId="77777777" w:rsidR="00BC1D4B" w:rsidRDefault="00ED1F84">
            <w:pPr>
              <w:pStyle w:val="Corpsdetexte"/>
              <w:spacing w:after="0"/>
              <w:jc w:val="both"/>
              <w:rPr>
                <w:rFonts w:ascii="Verdana" w:hAnsi="Verdana"/>
                <w:b/>
                <w:sz w:val="18"/>
                <w:szCs w:val="18"/>
              </w:rPr>
            </w:pPr>
            <w:r>
              <w:rPr>
                <w:rFonts w:ascii="Verdana" w:hAnsi="Verdana"/>
                <w:sz w:val="18"/>
                <w:szCs w:val="18"/>
              </w:rPr>
              <w:t>F - Formulation or re-packing - Masterbatch production - internal mixture from grad C</w:t>
            </w:r>
          </w:p>
        </w:tc>
      </w:tr>
      <w:tr w:rsidR="00BC1D4B" w14:paraId="555C5A90" w14:textId="77777777">
        <w:trPr>
          <w:trHeight w:val="454"/>
        </w:trPr>
        <w:tc>
          <w:tcPr>
            <w:tcW w:w="1838" w:type="dxa"/>
            <w:vAlign w:val="center"/>
          </w:tcPr>
          <w:p w14:paraId="25DA3B62"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4024F73E"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551" w:type="dxa"/>
            <w:vAlign w:val="center"/>
          </w:tcPr>
          <w:p w14:paraId="652DDACA"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2B2F6C59"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r>
      <w:tr w:rsidR="00BC1D4B" w14:paraId="7F67DE98" w14:textId="77777777">
        <w:trPr>
          <w:trHeight w:val="454"/>
        </w:trPr>
        <w:tc>
          <w:tcPr>
            <w:tcW w:w="1838" w:type="dxa"/>
            <w:vAlign w:val="center"/>
          </w:tcPr>
          <w:p w14:paraId="530B240C" w14:textId="77777777" w:rsidR="00BC1D4B" w:rsidRDefault="00ED1F84">
            <w:pPr>
              <w:pStyle w:val="Corpsdetexte"/>
              <w:spacing w:after="0"/>
              <w:rPr>
                <w:rFonts w:ascii="Verdana" w:hAnsi="Verdana"/>
                <w:sz w:val="18"/>
                <w:szCs w:val="18"/>
              </w:rPr>
            </w:pPr>
            <w:r>
              <w:rPr>
                <w:rFonts w:ascii="Verdana" w:hAnsi="Verdana"/>
                <w:sz w:val="18"/>
                <w:szCs w:val="18"/>
              </w:rPr>
              <w:lastRenderedPageBreak/>
              <w:t>Fresh water</w:t>
            </w:r>
          </w:p>
        </w:tc>
        <w:tc>
          <w:tcPr>
            <w:tcW w:w="1985" w:type="dxa"/>
            <w:vAlign w:val="center"/>
          </w:tcPr>
          <w:p w14:paraId="6D72C31D" w14:textId="2C5F4F2F" w:rsidR="00BC1D4B" w:rsidRDefault="0062112B">
            <w:pPr>
              <w:pStyle w:val="Corpsdetexte"/>
              <w:spacing w:after="0"/>
              <w:jc w:val="center"/>
              <w:rPr>
                <w:rFonts w:ascii="Verdana" w:hAnsi="Verdana"/>
                <w:sz w:val="18"/>
                <w:szCs w:val="18"/>
              </w:rPr>
            </w:pPr>
            <w:r>
              <w:rPr>
                <w:rFonts w:ascii="Verdana" w:hAnsi="Verdana"/>
                <w:sz w:val="18"/>
                <w:szCs w:val="18"/>
              </w:rPr>
              <w:t>1.79</w:t>
            </w:r>
            <w:r w:rsidR="00ED1F84">
              <w:rPr>
                <w:rFonts w:ascii="Verdana" w:hAnsi="Verdana"/>
                <w:sz w:val="18"/>
                <w:szCs w:val="18"/>
              </w:rPr>
              <w:t xml:space="preserve"> mg.l</w:t>
            </w:r>
            <w:r w:rsidR="00ED1F84">
              <w:rPr>
                <w:rFonts w:ascii="Verdana" w:hAnsi="Verdana"/>
                <w:sz w:val="18"/>
                <w:szCs w:val="18"/>
                <w:vertAlign w:val="superscript"/>
              </w:rPr>
              <w:t>-1</w:t>
            </w:r>
          </w:p>
        </w:tc>
        <w:tc>
          <w:tcPr>
            <w:tcW w:w="2551" w:type="dxa"/>
            <w:vAlign w:val="center"/>
          </w:tcPr>
          <w:p w14:paraId="66B418CF" w14:textId="4654A44E" w:rsidR="00BC1D4B" w:rsidRDefault="00ED1F84">
            <w:pPr>
              <w:pStyle w:val="Corpsdetexte"/>
              <w:spacing w:after="0"/>
              <w:jc w:val="center"/>
              <w:rPr>
                <w:rFonts w:ascii="Verdana" w:hAnsi="Verdana"/>
                <w:b/>
                <w:sz w:val="18"/>
                <w:szCs w:val="18"/>
              </w:rPr>
            </w:pPr>
            <w:r>
              <w:rPr>
                <w:rFonts w:ascii="Verdana" w:hAnsi="Verdana"/>
                <w:b/>
                <w:sz w:val="18"/>
                <w:szCs w:val="18"/>
              </w:rPr>
              <w:t>RCR =</w:t>
            </w:r>
            <w:r w:rsidR="0062112B">
              <w:rPr>
                <w:rFonts w:ascii="Verdana" w:hAnsi="Verdana"/>
                <w:b/>
                <w:sz w:val="18"/>
                <w:szCs w:val="18"/>
              </w:rPr>
              <w:t>59.7</w:t>
            </w:r>
          </w:p>
        </w:tc>
        <w:tc>
          <w:tcPr>
            <w:tcW w:w="2642" w:type="dxa"/>
            <w:vAlign w:val="center"/>
          </w:tcPr>
          <w:p w14:paraId="26289EFC" w14:textId="77777777" w:rsidR="00BC1D4B" w:rsidRDefault="00ED1F84">
            <w:pPr>
              <w:pStyle w:val="Corpsdetexte"/>
              <w:spacing w:after="0"/>
              <w:jc w:val="center"/>
              <w:rPr>
                <w:rFonts w:ascii="Verdana" w:hAnsi="Verdana"/>
                <w:b/>
                <w:sz w:val="18"/>
                <w:szCs w:val="18"/>
              </w:rPr>
            </w:pPr>
            <w:r>
              <w:rPr>
                <w:rFonts w:ascii="Verdana" w:hAnsi="Verdana"/>
                <w:b/>
                <w:sz w:val="18"/>
                <w:szCs w:val="18"/>
              </w:rPr>
              <w:t>Unacceptable</w:t>
            </w:r>
          </w:p>
        </w:tc>
      </w:tr>
      <w:tr w:rsidR="00BC1D4B" w14:paraId="4A97C8CC" w14:textId="77777777">
        <w:trPr>
          <w:trHeight w:val="454"/>
        </w:trPr>
        <w:tc>
          <w:tcPr>
            <w:tcW w:w="1838" w:type="dxa"/>
            <w:vAlign w:val="center"/>
          </w:tcPr>
          <w:p w14:paraId="4ED35E23"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1DCF345E" w14:textId="21B67FFB" w:rsidR="00BC1D4B" w:rsidRDefault="0062112B">
            <w:pPr>
              <w:pStyle w:val="Corpsdetexte"/>
              <w:spacing w:after="0"/>
              <w:jc w:val="center"/>
              <w:rPr>
                <w:rFonts w:ascii="Verdana" w:hAnsi="Verdana"/>
                <w:sz w:val="18"/>
                <w:szCs w:val="18"/>
              </w:rPr>
            </w:pPr>
            <w:r>
              <w:rPr>
                <w:rFonts w:ascii="Verdana" w:hAnsi="Verdana"/>
                <w:sz w:val="18"/>
                <w:szCs w:val="18"/>
              </w:rPr>
              <w:t>32.8</w:t>
            </w:r>
            <w:r w:rsidR="00ED1F84">
              <w:t xml:space="preserve"> </w:t>
            </w:r>
            <w:r w:rsidR="00ED1F84">
              <w:rPr>
                <w:rFonts w:ascii="Verdana" w:hAnsi="Verdana"/>
                <w:sz w:val="18"/>
                <w:szCs w:val="18"/>
              </w:rPr>
              <w:t>mg.kg</w:t>
            </w:r>
            <w:r w:rsidR="00ED1F84">
              <w:rPr>
                <w:rFonts w:ascii="Verdana" w:hAnsi="Verdana"/>
                <w:sz w:val="18"/>
                <w:szCs w:val="18"/>
                <w:vertAlign w:val="superscript"/>
              </w:rPr>
              <w:t>-1</w:t>
            </w:r>
          </w:p>
        </w:tc>
        <w:tc>
          <w:tcPr>
            <w:tcW w:w="2551" w:type="dxa"/>
            <w:vAlign w:val="center"/>
          </w:tcPr>
          <w:p w14:paraId="3118B0D9" w14:textId="3D9535C2" w:rsidR="00BC1D4B" w:rsidRDefault="00ED1F84">
            <w:pPr>
              <w:pStyle w:val="Corpsdetexte"/>
              <w:spacing w:after="0"/>
              <w:jc w:val="center"/>
              <w:rPr>
                <w:rFonts w:ascii="Verdana" w:hAnsi="Verdana"/>
                <w:b/>
                <w:sz w:val="18"/>
                <w:szCs w:val="18"/>
              </w:rPr>
            </w:pPr>
            <w:r>
              <w:rPr>
                <w:rFonts w:ascii="Verdana" w:hAnsi="Verdana"/>
                <w:b/>
                <w:sz w:val="18"/>
                <w:szCs w:val="18"/>
              </w:rPr>
              <w:t xml:space="preserve">RCR = </w:t>
            </w:r>
            <w:r w:rsidR="0062112B">
              <w:rPr>
                <w:rFonts w:ascii="Verdana" w:hAnsi="Verdana"/>
                <w:b/>
                <w:sz w:val="18"/>
                <w:szCs w:val="18"/>
              </w:rPr>
              <w:t>60.1</w:t>
            </w:r>
          </w:p>
        </w:tc>
        <w:tc>
          <w:tcPr>
            <w:tcW w:w="2642" w:type="dxa"/>
            <w:vAlign w:val="center"/>
          </w:tcPr>
          <w:p w14:paraId="1B453F3D" w14:textId="77777777" w:rsidR="00BC1D4B" w:rsidRDefault="00ED1F84">
            <w:pPr>
              <w:pStyle w:val="Corpsdetexte"/>
              <w:spacing w:after="0"/>
              <w:jc w:val="center"/>
              <w:rPr>
                <w:rFonts w:ascii="Verdana" w:hAnsi="Verdana"/>
                <w:b/>
                <w:sz w:val="18"/>
                <w:szCs w:val="18"/>
                <w:lang w:val="en-US"/>
              </w:rPr>
            </w:pPr>
            <w:r>
              <w:rPr>
                <w:rFonts w:ascii="Verdana" w:hAnsi="Verdana"/>
                <w:b/>
                <w:sz w:val="18"/>
                <w:szCs w:val="18"/>
              </w:rPr>
              <w:t>Unacceptable</w:t>
            </w:r>
          </w:p>
        </w:tc>
      </w:tr>
      <w:tr w:rsidR="00BC1D4B" w14:paraId="0A2CD73A" w14:textId="77777777">
        <w:trPr>
          <w:trHeight w:val="454"/>
        </w:trPr>
        <w:tc>
          <w:tcPr>
            <w:tcW w:w="1838" w:type="dxa"/>
            <w:vAlign w:val="center"/>
          </w:tcPr>
          <w:p w14:paraId="3BFF1872" w14:textId="116A1F49" w:rsidR="00BC1D4B" w:rsidRDefault="00027B1F">
            <w:pPr>
              <w:pStyle w:val="Corpsdetexte"/>
              <w:spacing w:after="0"/>
              <w:rPr>
                <w:rFonts w:ascii="Verdana" w:hAnsi="Verdana"/>
                <w:sz w:val="18"/>
                <w:szCs w:val="18"/>
              </w:rPr>
            </w:pPr>
            <w:r w:rsidRPr="00027B1F">
              <w:rPr>
                <w:rFonts w:ascii="Verdana" w:hAnsi="Verdana"/>
                <w:sz w:val="18"/>
                <w:szCs w:val="18"/>
              </w:rPr>
              <w:t>Agricultural soil</w:t>
            </w:r>
          </w:p>
        </w:tc>
        <w:tc>
          <w:tcPr>
            <w:tcW w:w="1985" w:type="dxa"/>
            <w:vAlign w:val="center"/>
          </w:tcPr>
          <w:p w14:paraId="44599B31" w14:textId="018BC364" w:rsidR="00BC1D4B" w:rsidRDefault="00027B1F">
            <w:pPr>
              <w:pStyle w:val="Corpsdetexte"/>
              <w:spacing w:after="0"/>
              <w:jc w:val="center"/>
              <w:rPr>
                <w:rFonts w:ascii="Verdana" w:hAnsi="Verdana"/>
                <w:bCs/>
                <w:sz w:val="18"/>
                <w:szCs w:val="18"/>
                <w:lang w:val="en-US" w:eastAsia="fr-FR"/>
              </w:rPr>
            </w:pPr>
            <w:r>
              <w:rPr>
                <w:rFonts w:ascii="Verdana" w:hAnsi="Verdana"/>
                <w:sz w:val="18"/>
                <w:szCs w:val="18"/>
              </w:rPr>
              <w:t>NR</w:t>
            </w:r>
          </w:p>
        </w:tc>
        <w:tc>
          <w:tcPr>
            <w:tcW w:w="2551" w:type="dxa"/>
            <w:vAlign w:val="center"/>
          </w:tcPr>
          <w:p w14:paraId="3CA36F1B" w14:textId="56D98C48" w:rsidR="00BC1D4B" w:rsidRDefault="00027B1F">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64EA4383" w14:textId="071A4E80" w:rsidR="00BC1D4B" w:rsidRDefault="00027B1F">
            <w:pPr>
              <w:pStyle w:val="Corpsdetexte"/>
              <w:spacing w:after="0"/>
              <w:jc w:val="center"/>
              <w:rPr>
                <w:rFonts w:ascii="Verdana" w:hAnsi="Verdana"/>
                <w:sz w:val="18"/>
                <w:szCs w:val="18"/>
              </w:rPr>
            </w:pPr>
            <w:r>
              <w:rPr>
                <w:rFonts w:ascii="Verdana" w:hAnsi="Verdana"/>
                <w:sz w:val="18"/>
                <w:szCs w:val="18"/>
              </w:rPr>
              <w:t>NR</w:t>
            </w:r>
          </w:p>
        </w:tc>
      </w:tr>
      <w:tr w:rsidR="00BC1D4B" w14:paraId="748F13FC" w14:textId="77777777">
        <w:trPr>
          <w:trHeight w:val="454"/>
        </w:trPr>
        <w:tc>
          <w:tcPr>
            <w:tcW w:w="1838" w:type="dxa"/>
            <w:vAlign w:val="center"/>
          </w:tcPr>
          <w:p w14:paraId="75498F5A" w14:textId="710B8063"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220D743F" w14:textId="47958A22" w:rsidR="00BC1D4B" w:rsidRDefault="00E74509">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NR</w:t>
            </w:r>
          </w:p>
        </w:tc>
        <w:tc>
          <w:tcPr>
            <w:tcW w:w="5193" w:type="dxa"/>
            <w:gridSpan w:val="2"/>
            <w:vAlign w:val="center"/>
          </w:tcPr>
          <w:p w14:paraId="793154CC" w14:textId="77777777" w:rsidR="00BC1D4B" w:rsidRDefault="00BC1D4B">
            <w:pPr>
              <w:pStyle w:val="Corpsdetexte"/>
              <w:spacing w:after="0"/>
              <w:jc w:val="center"/>
              <w:rPr>
                <w:rFonts w:ascii="Verdana" w:hAnsi="Verdana"/>
                <w:sz w:val="18"/>
                <w:szCs w:val="18"/>
              </w:rPr>
            </w:pPr>
          </w:p>
        </w:tc>
      </w:tr>
      <w:tr w:rsidR="00BC1D4B" w14:paraId="241C54C0" w14:textId="77777777">
        <w:trPr>
          <w:trHeight w:val="454"/>
        </w:trPr>
        <w:tc>
          <w:tcPr>
            <w:tcW w:w="1838" w:type="dxa"/>
            <w:shd w:val="clear" w:color="auto" w:fill="DBE5F1" w:themeFill="accent1" w:themeFillTint="33"/>
            <w:vAlign w:val="center"/>
          </w:tcPr>
          <w:p w14:paraId="2FFEB0BF" w14:textId="77777777" w:rsidR="00BC1D4B" w:rsidRDefault="00ED1F84">
            <w:pPr>
              <w:pStyle w:val="Corpsdetexte"/>
              <w:spacing w:after="0"/>
              <w:rPr>
                <w:rFonts w:ascii="Verdana" w:hAnsi="Verdana"/>
                <w:b/>
                <w:sz w:val="18"/>
                <w:szCs w:val="18"/>
              </w:rPr>
            </w:pPr>
            <w:r>
              <w:rPr>
                <w:rFonts w:ascii="Verdana" w:hAnsi="Verdana"/>
                <w:b/>
                <w:sz w:val="18"/>
                <w:szCs w:val="18"/>
              </w:rPr>
              <w:t>ES 4</w:t>
            </w:r>
          </w:p>
        </w:tc>
        <w:tc>
          <w:tcPr>
            <w:tcW w:w="7178" w:type="dxa"/>
            <w:gridSpan w:val="3"/>
            <w:shd w:val="clear" w:color="auto" w:fill="DBE5F1" w:themeFill="accent1" w:themeFillTint="33"/>
            <w:vAlign w:val="center"/>
          </w:tcPr>
          <w:p w14:paraId="58CF4F26" w14:textId="77777777" w:rsidR="00BC1D4B" w:rsidRDefault="00ED1F84">
            <w:pPr>
              <w:pStyle w:val="Corpsdetexte"/>
              <w:spacing w:after="0"/>
              <w:jc w:val="both"/>
              <w:rPr>
                <w:rFonts w:ascii="Verdana" w:hAnsi="Verdana"/>
                <w:b/>
                <w:sz w:val="18"/>
                <w:szCs w:val="18"/>
              </w:rPr>
            </w:pPr>
            <w:r>
              <w:rPr>
                <w:rFonts w:ascii="Verdana" w:hAnsi="Verdana"/>
                <w:sz w:val="18"/>
                <w:szCs w:val="18"/>
              </w:rPr>
              <w:t>F - Formulation or re-packing - Formulation and repackaging (grad PD or C)</w:t>
            </w:r>
          </w:p>
        </w:tc>
      </w:tr>
      <w:tr w:rsidR="00BC1D4B" w14:paraId="70803928" w14:textId="77777777">
        <w:trPr>
          <w:trHeight w:val="454"/>
        </w:trPr>
        <w:tc>
          <w:tcPr>
            <w:tcW w:w="1838" w:type="dxa"/>
            <w:vAlign w:val="center"/>
          </w:tcPr>
          <w:p w14:paraId="6DEC0B76"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1380932C"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551" w:type="dxa"/>
            <w:vAlign w:val="center"/>
          </w:tcPr>
          <w:p w14:paraId="469AC8A4"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3B100442"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r>
      <w:tr w:rsidR="00BC1D4B" w14:paraId="5045A49F" w14:textId="77777777">
        <w:trPr>
          <w:trHeight w:val="454"/>
        </w:trPr>
        <w:tc>
          <w:tcPr>
            <w:tcW w:w="1838" w:type="dxa"/>
            <w:vAlign w:val="center"/>
          </w:tcPr>
          <w:p w14:paraId="021DA3EE"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46268042" w14:textId="6FD9FB85" w:rsidR="00BC1D4B" w:rsidRDefault="00A22FD9">
            <w:pPr>
              <w:pStyle w:val="Corpsdetexte"/>
              <w:spacing w:after="0"/>
              <w:jc w:val="center"/>
              <w:rPr>
                <w:rFonts w:ascii="Verdana" w:hAnsi="Verdana"/>
                <w:sz w:val="18"/>
                <w:szCs w:val="18"/>
              </w:rPr>
            </w:pPr>
            <w:r>
              <w:rPr>
                <w:rFonts w:ascii="Verdana" w:hAnsi="Verdana"/>
                <w:sz w:val="18"/>
                <w:szCs w:val="18"/>
              </w:rPr>
              <w:t>15.3</w:t>
            </w:r>
            <w:r w:rsidR="00ED1F84">
              <w:rPr>
                <w:rFonts w:ascii="Verdana" w:hAnsi="Verdana"/>
                <w:sz w:val="18"/>
                <w:szCs w:val="18"/>
              </w:rPr>
              <w:t xml:space="preserve"> mg.l</w:t>
            </w:r>
            <w:r w:rsidR="00ED1F84">
              <w:rPr>
                <w:rFonts w:ascii="Verdana" w:hAnsi="Verdana"/>
                <w:sz w:val="18"/>
                <w:szCs w:val="18"/>
                <w:vertAlign w:val="superscript"/>
              </w:rPr>
              <w:t>-1</w:t>
            </w:r>
          </w:p>
        </w:tc>
        <w:tc>
          <w:tcPr>
            <w:tcW w:w="2551" w:type="dxa"/>
            <w:vAlign w:val="center"/>
          </w:tcPr>
          <w:p w14:paraId="4E13308E" w14:textId="5D551149" w:rsidR="00BC1D4B" w:rsidRDefault="00ED1F84">
            <w:pPr>
              <w:pStyle w:val="Corpsdetexte"/>
              <w:spacing w:after="0"/>
              <w:jc w:val="center"/>
              <w:rPr>
                <w:rFonts w:ascii="Verdana" w:hAnsi="Verdana"/>
                <w:b/>
                <w:sz w:val="18"/>
                <w:szCs w:val="18"/>
              </w:rPr>
            </w:pPr>
            <w:r>
              <w:rPr>
                <w:rFonts w:ascii="Verdana" w:hAnsi="Verdana"/>
                <w:b/>
                <w:sz w:val="18"/>
                <w:szCs w:val="18"/>
              </w:rPr>
              <w:t>RCR =</w:t>
            </w:r>
            <w:r w:rsidR="00A22FD9">
              <w:rPr>
                <w:rFonts w:ascii="Verdana" w:hAnsi="Verdana"/>
                <w:b/>
                <w:sz w:val="18"/>
                <w:szCs w:val="18"/>
              </w:rPr>
              <w:t>511.4</w:t>
            </w:r>
          </w:p>
        </w:tc>
        <w:tc>
          <w:tcPr>
            <w:tcW w:w="2642" w:type="dxa"/>
            <w:vAlign w:val="center"/>
          </w:tcPr>
          <w:p w14:paraId="513A9A7E" w14:textId="77777777" w:rsidR="00BC1D4B" w:rsidRDefault="00ED1F84">
            <w:pPr>
              <w:pStyle w:val="Corpsdetexte"/>
              <w:spacing w:after="0"/>
              <w:jc w:val="center"/>
              <w:rPr>
                <w:rFonts w:ascii="Verdana" w:hAnsi="Verdana"/>
                <w:b/>
                <w:sz w:val="18"/>
                <w:szCs w:val="18"/>
              </w:rPr>
            </w:pPr>
            <w:r>
              <w:rPr>
                <w:rFonts w:ascii="Verdana" w:hAnsi="Verdana"/>
                <w:b/>
                <w:sz w:val="18"/>
                <w:szCs w:val="18"/>
              </w:rPr>
              <w:t>Unacceptable</w:t>
            </w:r>
          </w:p>
        </w:tc>
      </w:tr>
      <w:tr w:rsidR="00BC1D4B" w14:paraId="47239E94" w14:textId="77777777">
        <w:trPr>
          <w:trHeight w:val="454"/>
        </w:trPr>
        <w:tc>
          <w:tcPr>
            <w:tcW w:w="1838" w:type="dxa"/>
            <w:vAlign w:val="center"/>
          </w:tcPr>
          <w:p w14:paraId="1AC9413B"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35D82344" w14:textId="4FF041B3" w:rsidR="00BC1D4B" w:rsidRDefault="00A22FD9">
            <w:pPr>
              <w:pStyle w:val="Corpsdetexte"/>
              <w:spacing w:after="0"/>
              <w:jc w:val="center"/>
              <w:rPr>
                <w:rFonts w:ascii="Verdana" w:hAnsi="Verdana"/>
                <w:sz w:val="18"/>
                <w:szCs w:val="18"/>
              </w:rPr>
            </w:pPr>
            <w:r>
              <w:rPr>
                <w:rFonts w:ascii="Verdana" w:hAnsi="Verdana"/>
                <w:sz w:val="18"/>
                <w:szCs w:val="18"/>
              </w:rPr>
              <w:t>2.81</w:t>
            </w:r>
            <w:r w:rsidR="00ED1F84">
              <w:rPr>
                <w:rFonts w:ascii="Verdana" w:hAnsi="Verdana"/>
                <w:sz w:val="18"/>
                <w:szCs w:val="18"/>
              </w:rPr>
              <w:t>E+02 mg.kg</w:t>
            </w:r>
            <w:r w:rsidR="00ED1F84">
              <w:rPr>
                <w:rFonts w:ascii="Verdana" w:hAnsi="Verdana"/>
                <w:sz w:val="18"/>
                <w:szCs w:val="18"/>
                <w:vertAlign w:val="superscript"/>
              </w:rPr>
              <w:t>-1</w:t>
            </w:r>
          </w:p>
        </w:tc>
        <w:tc>
          <w:tcPr>
            <w:tcW w:w="2551" w:type="dxa"/>
            <w:vAlign w:val="center"/>
          </w:tcPr>
          <w:p w14:paraId="3FCDAF56" w14:textId="109DF7E0" w:rsidR="00BC1D4B" w:rsidRDefault="00ED1F84">
            <w:pPr>
              <w:pStyle w:val="Corpsdetexte"/>
              <w:spacing w:after="0"/>
              <w:jc w:val="center"/>
              <w:rPr>
                <w:rFonts w:ascii="Verdana" w:hAnsi="Verdana"/>
                <w:b/>
                <w:sz w:val="18"/>
                <w:szCs w:val="18"/>
              </w:rPr>
            </w:pPr>
            <w:r>
              <w:rPr>
                <w:rFonts w:ascii="Verdana" w:hAnsi="Verdana"/>
                <w:b/>
                <w:sz w:val="18"/>
                <w:szCs w:val="18"/>
              </w:rPr>
              <w:t xml:space="preserve">RCR = </w:t>
            </w:r>
            <w:r w:rsidR="00A22FD9">
              <w:rPr>
                <w:rFonts w:ascii="Verdana" w:hAnsi="Verdana"/>
                <w:b/>
                <w:sz w:val="18"/>
                <w:szCs w:val="18"/>
              </w:rPr>
              <w:t>515.2</w:t>
            </w:r>
          </w:p>
        </w:tc>
        <w:tc>
          <w:tcPr>
            <w:tcW w:w="2642" w:type="dxa"/>
            <w:vAlign w:val="center"/>
          </w:tcPr>
          <w:p w14:paraId="50CC4298" w14:textId="77777777" w:rsidR="00BC1D4B" w:rsidRDefault="00ED1F84">
            <w:pPr>
              <w:pStyle w:val="Corpsdetexte"/>
              <w:spacing w:after="0"/>
              <w:jc w:val="center"/>
              <w:rPr>
                <w:rFonts w:ascii="Verdana" w:hAnsi="Verdana"/>
                <w:b/>
                <w:sz w:val="18"/>
                <w:szCs w:val="18"/>
                <w:lang w:val="en-US"/>
              </w:rPr>
            </w:pPr>
            <w:r>
              <w:rPr>
                <w:rFonts w:ascii="Verdana" w:hAnsi="Verdana"/>
                <w:b/>
                <w:sz w:val="18"/>
                <w:szCs w:val="18"/>
              </w:rPr>
              <w:t>Unacceptable</w:t>
            </w:r>
          </w:p>
        </w:tc>
      </w:tr>
      <w:tr w:rsidR="00BC1D4B" w14:paraId="5D29CE7E" w14:textId="77777777">
        <w:trPr>
          <w:trHeight w:val="454"/>
        </w:trPr>
        <w:tc>
          <w:tcPr>
            <w:tcW w:w="1838" w:type="dxa"/>
            <w:vAlign w:val="center"/>
          </w:tcPr>
          <w:p w14:paraId="3C877A0B" w14:textId="54840E6F" w:rsidR="00BC1D4B" w:rsidRDefault="00027B1F">
            <w:pPr>
              <w:pStyle w:val="Corpsdetexte"/>
              <w:spacing w:after="0"/>
              <w:rPr>
                <w:rFonts w:ascii="Verdana" w:hAnsi="Verdana"/>
                <w:sz w:val="18"/>
                <w:szCs w:val="18"/>
              </w:rPr>
            </w:pPr>
            <w:r w:rsidRPr="00027B1F">
              <w:rPr>
                <w:rFonts w:ascii="Verdana" w:hAnsi="Verdana"/>
                <w:sz w:val="18"/>
                <w:szCs w:val="18"/>
              </w:rPr>
              <w:t>Agricultural soil</w:t>
            </w:r>
          </w:p>
        </w:tc>
        <w:tc>
          <w:tcPr>
            <w:tcW w:w="1985" w:type="dxa"/>
            <w:vAlign w:val="center"/>
          </w:tcPr>
          <w:p w14:paraId="3461CF83" w14:textId="66349038" w:rsidR="00BC1D4B" w:rsidRDefault="00027B1F">
            <w:pPr>
              <w:pStyle w:val="Corpsdetexte"/>
              <w:spacing w:after="0"/>
              <w:jc w:val="center"/>
              <w:rPr>
                <w:rFonts w:ascii="Verdana" w:hAnsi="Verdana"/>
                <w:bCs/>
                <w:sz w:val="18"/>
                <w:szCs w:val="18"/>
                <w:lang w:val="en-US" w:eastAsia="fr-FR"/>
              </w:rPr>
            </w:pPr>
            <w:r>
              <w:rPr>
                <w:rFonts w:ascii="Verdana" w:hAnsi="Verdana"/>
                <w:sz w:val="18"/>
                <w:szCs w:val="18"/>
              </w:rPr>
              <w:t>NR</w:t>
            </w:r>
          </w:p>
        </w:tc>
        <w:tc>
          <w:tcPr>
            <w:tcW w:w="2551" w:type="dxa"/>
            <w:vAlign w:val="center"/>
          </w:tcPr>
          <w:p w14:paraId="2762B46D" w14:textId="6AD1FE0B" w:rsidR="00BC1D4B" w:rsidRDefault="00027B1F">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10B0794A" w14:textId="6122A553" w:rsidR="00BC1D4B" w:rsidRDefault="00027B1F">
            <w:pPr>
              <w:pStyle w:val="Corpsdetexte"/>
              <w:spacing w:after="0"/>
              <w:jc w:val="center"/>
              <w:rPr>
                <w:rFonts w:ascii="Verdana" w:hAnsi="Verdana"/>
                <w:sz w:val="18"/>
                <w:szCs w:val="18"/>
              </w:rPr>
            </w:pPr>
            <w:r>
              <w:rPr>
                <w:rFonts w:ascii="Verdana" w:hAnsi="Verdana"/>
                <w:sz w:val="18"/>
                <w:szCs w:val="18"/>
              </w:rPr>
              <w:t>NR</w:t>
            </w:r>
          </w:p>
        </w:tc>
      </w:tr>
      <w:tr w:rsidR="00BC1D4B" w14:paraId="6FD17D57" w14:textId="77777777">
        <w:trPr>
          <w:trHeight w:val="454"/>
        </w:trPr>
        <w:tc>
          <w:tcPr>
            <w:tcW w:w="1838" w:type="dxa"/>
            <w:vAlign w:val="center"/>
          </w:tcPr>
          <w:p w14:paraId="27E3A3F9" w14:textId="54FDC42C"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63164605" w14:textId="757F5CB7" w:rsidR="00BC1D4B" w:rsidRDefault="00E74509">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NR</w:t>
            </w:r>
          </w:p>
        </w:tc>
        <w:tc>
          <w:tcPr>
            <w:tcW w:w="5193" w:type="dxa"/>
            <w:gridSpan w:val="2"/>
            <w:vAlign w:val="center"/>
          </w:tcPr>
          <w:p w14:paraId="6889215B" w14:textId="77777777" w:rsidR="00BC1D4B" w:rsidRDefault="00BC1D4B">
            <w:pPr>
              <w:pStyle w:val="Corpsdetexte"/>
              <w:spacing w:after="0"/>
              <w:jc w:val="center"/>
              <w:rPr>
                <w:rFonts w:ascii="Verdana" w:hAnsi="Verdana"/>
                <w:sz w:val="18"/>
                <w:szCs w:val="18"/>
              </w:rPr>
            </w:pPr>
          </w:p>
        </w:tc>
      </w:tr>
      <w:tr w:rsidR="00BC1D4B" w14:paraId="04C8B66C" w14:textId="77777777">
        <w:trPr>
          <w:trHeight w:val="454"/>
        </w:trPr>
        <w:tc>
          <w:tcPr>
            <w:tcW w:w="1838" w:type="dxa"/>
            <w:shd w:val="clear" w:color="auto" w:fill="DBE5F1" w:themeFill="accent1" w:themeFillTint="33"/>
            <w:vAlign w:val="center"/>
          </w:tcPr>
          <w:p w14:paraId="52C27847" w14:textId="77777777" w:rsidR="00BC1D4B" w:rsidRDefault="00ED1F84">
            <w:pPr>
              <w:pStyle w:val="Corpsdetexte"/>
              <w:spacing w:after="0"/>
              <w:rPr>
                <w:rFonts w:ascii="Verdana" w:hAnsi="Verdana"/>
                <w:b/>
                <w:sz w:val="18"/>
                <w:szCs w:val="18"/>
              </w:rPr>
            </w:pPr>
            <w:r>
              <w:rPr>
                <w:rFonts w:ascii="Verdana" w:hAnsi="Verdana"/>
                <w:b/>
                <w:sz w:val="18"/>
                <w:szCs w:val="18"/>
              </w:rPr>
              <w:t>ES 5</w:t>
            </w:r>
          </w:p>
        </w:tc>
        <w:tc>
          <w:tcPr>
            <w:tcW w:w="7178" w:type="dxa"/>
            <w:gridSpan w:val="3"/>
            <w:shd w:val="clear" w:color="auto" w:fill="DBE5F1" w:themeFill="accent1" w:themeFillTint="33"/>
            <w:vAlign w:val="center"/>
          </w:tcPr>
          <w:p w14:paraId="098D176F" w14:textId="77777777" w:rsidR="00BC1D4B" w:rsidRDefault="00ED1F84">
            <w:pPr>
              <w:pStyle w:val="Corpsdetexte"/>
              <w:spacing w:after="0"/>
              <w:jc w:val="both"/>
              <w:rPr>
                <w:rFonts w:ascii="Verdana" w:hAnsi="Verdana"/>
                <w:sz w:val="18"/>
                <w:szCs w:val="18"/>
              </w:rPr>
            </w:pPr>
            <w:r>
              <w:rPr>
                <w:rFonts w:ascii="Verdana" w:hAnsi="Verdana"/>
                <w:sz w:val="18"/>
                <w:szCs w:val="18"/>
              </w:rPr>
              <w:t>M - Manufacture of General Rubber Goods (Grad PD, C, GC &amp; Mixland)</w:t>
            </w:r>
          </w:p>
        </w:tc>
      </w:tr>
      <w:tr w:rsidR="00BC1D4B" w14:paraId="1B4CA8A5" w14:textId="77777777">
        <w:trPr>
          <w:trHeight w:val="454"/>
        </w:trPr>
        <w:tc>
          <w:tcPr>
            <w:tcW w:w="1838" w:type="dxa"/>
            <w:vAlign w:val="center"/>
          </w:tcPr>
          <w:p w14:paraId="230B1072"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7A82BCA1" w14:textId="4EBF98F8" w:rsidR="00BC1D4B" w:rsidRDefault="00727259">
            <w:pPr>
              <w:pStyle w:val="Corpsdetexte"/>
              <w:spacing w:after="0"/>
              <w:jc w:val="center"/>
              <w:rPr>
                <w:rFonts w:ascii="Verdana" w:hAnsi="Verdana"/>
                <w:sz w:val="18"/>
                <w:szCs w:val="18"/>
              </w:rPr>
            </w:pPr>
            <w:r>
              <w:rPr>
                <w:rFonts w:ascii="Verdana" w:hAnsi="Verdana"/>
                <w:sz w:val="18"/>
                <w:szCs w:val="18"/>
              </w:rPr>
              <w:t>7.54E-04</w:t>
            </w:r>
            <w:r w:rsidR="00ED1F84">
              <w:rPr>
                <w:rFonts w:ascii="Verdana" w:hAnsi="Verdana"/>
                <w:sz w:val="18"/>
                <w:szCs w:val="18"/>
              </w:rPr>
              <w:t xml:space="preserve"> mg.l</w:t>
            </w:r>
            <w:r w:rsidR="00ED1F84">
              <w:rPr>
                <w:rFonts w:ascii="Verdana" w:hAnsi="Verdana"/>
                <w:sz w:val="18"/>
                <w:szCs w:val="18"/>
                <w:vertAlign w:val="superscript"/>
              </w:rPr>
              <w:t>-1</w:t>
            </w:r>
          </w:p>
        </w:tc>
        <w:tc>
          <w:tcPr>
            <w:tcW w:w="2551" w:type="dxa"/>
            <w:vAlign w:val="center"/>
          </w:tcPr>
          <w:p w14:paraId="048B56D1" w14:textId="449411DF"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727259">
              <w:rPr>
                <w:rFonts w:ascii="Verdana" w:hAnsi="Verdana"/>
                <w:sz w:val="18"/>
                <w:szCs w:val="18"/>
              </w:rPr>
              <w:t>5.13</w:t>
            </w:r>
            <w:r>
              <w:rPr>
                <w:rFonts w:ascii="Verdana" w:hAnsi="Verdana"/>
                <w:sz w:val="18"/>
                <w:szCs w:val="18"/>
              </w:rPr>
              <w:t>E-04</w:t>
            </w:r>
          </w:p>
        </w:tc>
        <w:tc>
          <w:tcPr>
            <w:tcW w:w="2642" w:type="dxa"/>
            <w:vAlign w:val="center"/>
          </w:tcPr>
          <w:p w14:paraId="708E39CF"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5BDFE845" w14:textId="77777777">
        <w:trPr>
          <w:trHeight w:val="454"/>
        </w:trPr>
        <w:tc>
          <w:tcPr>
            <w:tcW w:w="1838" w:type="dxa"/>
            <w:vAlign w:val="center"/>
          </w:tcPr>
          <w:p w14:paraId="66EE91E3"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695FAA66" w14:textId="28BA4228" w:rsidR="00BC1D4B" w:rsidRDefault="00ED1F84">
            <w:pPr>
              <w:pStyle w:val="Corpsdetexte"/>
              <w:spacing w:after="0"/>
              <w:jc w:val="center"/>
              <w:rPr>
                <w:rFonts w:ascii="Verdana" w:hAnsi="Verdana"/>
                <w:sz w:val="18"/>
                <w:szCs w:val="18"/>
              </w:rPr>
            </w:pPr>
            <w:r>
              <w:rPr>
                <w:rFonts w:ascii="Verdana" w:hAnsi="Verdana"/>
                <w:sz w:val="18"/>
                <w:szCs w:val="18"/>
              </w:rPr>
              <w:t>1.</w:t>
            </w:r>
            <w:r w:rsidR="00727259">
              <w:rPr>
                <w:rFonts w:ascii="Verdana" w:hAnsi="Verdana"/>
                <w:sz w:val="18"/>
                <w:szCs w:val="18"/>
              </w:rPr>
              <w:t>41</w:t>
            </w:r>
            <w:r>
              <w:rPr>
                <w:rFonts w:ascii="Verdana" w:hAnsi="Verdana"/>
                <w:sz w:val="18"/>
                <w:szCs w:val="18"/>
              </w:rPr>
              <w:t>E-04 mg.l</w:t>
            </w:r>
            <w:r>
              <w:rPr>
                <w:rFonts w:ascii="Verdana" w:hAnsi="Verdana"/>
                <w:sz w:val="18"/>
                <w:szCs w:val="18"/>
                <w:vertAlign w:val="superscript"/>
              </w:rPr>
              <w:t>-1</w:t>
            </w:r>
          </w:p>
        </w:tc>
        <w:tc>
          <w:tcPr>
            <w:tcW w:w="2551" w:type="dxa"/>
            <w:vAlign w:val="center"/>
          </w:tcPr>
          <w:p w14:paraId="1618EB57" w14:textId="5F056D48"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727259">
              <w:rPr>
                <w:rFonts w:ascii="Verdana" w:hAnsi="Verdana"/>
                <w:sz w:val="18"/>
                <w:szCs w:val="18"/>
              </w:rPr>
              <w:t>4.69</w:t>
            </w:r>
            <w:r>
              <w:rPr>
                <w:rFonts w:ascii="Verdana" w:hAnsi="Verdana"/>
                <w:sz w:val="18"/>
                <w:szCs w:val="18"/>
              </w:rPr>
              <w:t>E-03</w:t>
            </w:r>
          </w:p>
        </w:tc>
        <w:tc>
          <w:tcPr>
            <w:tcW w:w="2642" w:type="dxa"/>
            <w:vAlign w:val="center"/>
          </w:tcPr>
          <w:p w14:paraId="55092BBE"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2F61B694" w14:textId="77777777">
        <w:trPr>
          <w:trHeight w:val="454"/>
        </w:trPr>
        <w:tc>
          <w:tcPr>
            <w:tcW w:w="1838" w:type="dxa"/>
            <w:vAlign w:val="center"/>
          </w:tcPr>
          <w:p w14:paraId="37DE8D83"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6FE7AA63" w14:textId="3445BFEA" w:rsidR="00BC1D4B" w:rsidRDefault="00727259">
            <w:pPr>
              <w:pStyle w:val="Corpsdetexte"/>
              <w:spacing w:after="0"/>
              <w:jc w:val="center"/>
              <w:rPr>
                <w:rFonts w:ascii="Verdana" w:hAnsi="Verdana"/>
                <w:sz w:val="18"/>
                <w:szCs w:val="18"/>
              </w:rPr>
            </w:pPr>
            <w:r>
              <w:rPr>
                <w:rFonts w:ascii="Verdana" w:hAnsi="Verdana"/>
                <w:sz w:val="18"/>
                <w:szCs w:val="18"/>
              </w:rPr>
              <w:t>6.84</w:t>
            </w:r>
            <w:r w:rsidR="00ED1F84">
              <w:rPr>
                <w:rFonts w:ascii="Verdana" w:hAnsi="Verdana"/>
                <w:sz w:val="18"/>
                <w:szCs w:val="18"/>
              </w:rPr>
              <w:t>E-03 mg.kg</w:t>
            </w:r>
            <w:r w:rsidR="00ED1F84">
              <w:rPr>
                <w:rFonts w:ascii="Verdana" w:hAnsi="Verdana"/>
                <w:sz w:val="18"/>
                <w:szCs w:val="18"/>
                <w:vertAlign w:val="superscript"/>
              </w:rPr>
              <w:t>-1</w:t>
            </w:r>
          </w:p>
        </w:tc>
        <w:tc>
          <w:tcPr>
            <w:tcW w:w="2551" w:type="dxa"/>
            <w:vAlign w:val="center"/>
          </w:tcPr>
          <w:p w14:paraId="258082F7" w14:textId="1357D66E" w:rsidR="00BC1D4B" w:rsidRDefault="00ED1F84">
            <w:pPr>
              <w:pStyle w:val="Corpsdetexte"/>
              <w:spacing w:after="0"/>
              <w:jc w:val="center"/>
              <w:rPr>
                <w:rFonts w:ascii="Verdana" w:hAnsi="Verdana"/>
                <w:sz w:val="18"/>
                <w:szCs w:val="18"/>
              </w:rPr>
            </w:pPr>
            <w:r>
              <w:rPr>
                <w:rFonts w:ascii="Verdana" w:hAnsi="Verdana"/>
                <w:sz w:val="18"/>
                <w:szCs w:val="18"/>
              </w:rPr>
              <w:t>RCR = 1.</w:t>
            </w:r>
            <w:r w:rsidR="00727259">
              <w:rPr>
                <w:rFonts w:ascii="Verdana" w:hAnsi="Verdana"/>
                <w:sz w:val="18"/>
                <w:szCs w:val="18"/>
              </w:rPr>
              <w:t>25</w:t>
            </w:r>
            <w:r>
              <w:rPr>
                <w:rFonts w:ascii="Verdana" w:hAnsi="Verdana"/>
                <w:sz w:val="18"/>
                <w:szCs w:val="18"/>
              </w:rPr>
              <w:t>E-02</w:t>
            </w:r>
          </w:p>
        </w:tc>
        <w:tc>
          <w:tcPr>
            <w:tcW w:w="2642" w:type="dxa"/>
            <w:vAlign w:val="center"/>
          </w:tcPr>
          <w:p w14:paraId="4E2CFFE4"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1A9DC4B3" w14:textId="77777777">
        <w:trPr>
          <w:trHeight w:val="454"/>
        </w:trPr>
        <w:tc>
          <w:tcPr>
            <w:tcW w:w="1838" w:type="dxa"/>
            <w:vAlign w:val="center"/>
          </w:tcPr>
          <w:p w14:paraId="52A6230E"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4A9BC161" w14:textId="16D5D3E3"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1.9</w:t>
            </w:r>
            <w:r w:rsidR="00727259">
              <w:rPr>
                <w:rFonts w:ascii="Verdana" w:hAnsi="Verdana"/>
                <w:sz w:val="18"/>
                <w:szCs w:val="18"/>
              </w:rPr>
              <w:t>6</w:t>
            </w:r>
            <w:r>
              <w:rPr>
                <w:rFonts w:ascii="Verdana" w:hAnsi="Verdana"/>
                <w:sz w:val="18"/>
                <w:szCs w:val="18"/>
              </w:rPr>
              <w:t>E-03 mg.kg</w:t>
            </w:r>
            <w:r>
              <w:rPr>
                <w:rFonts w:ascii="Verdana" w:hAnsi="Verdana"/>
                <w:sz w:val="18"/>
                <w:szCs w:val="18"/>
                <w:vertAlign w:val="superscript"/>
              </w:rPr>
              <w:t>-1</w:t>
            </w:r>
          </w:p>
        </w:tc>
        <w:tc>
          <w:tcPr>
            <w:tcW w:w="2551" w:type="dxa"/>
            <w:vAlign w:val="center"/>
          </w:tcPr>
          <w:p w14:paraId="5456724A" w14:textId="747B659D" w:rsidR="00BC1D4B" w:rsidRDefault="00ED1F84">
            <w:pPr>
              <w:pStyle w:val="Corpsdetexte"/>
              <w:spacing w:after="0"/>
              <w:jc w:val="center"/>
              <w:rPr>
                <w:rFonts w:ascii="Verdana" w:hAnsi="Verdana"/>
                <w:sz w:val="18"/>
                <w:szCs w:val="18"/>
              </w:rPr>
            </w:pPr>
            <w:r>
              <w:rPr>
                <w:rFonts w:ascii="Verdana" w:hAnsi="Verdana"/>
                <w:sz w:val="18"/>
                <w:szCs w:val="18"/>
              </w:rPr>
              <w:t>RCR = 5.</w:t>
            </w:r>
            <w:r w:rsidR="00727259">
              <w:rPr>
                <w:rFonts w:ascii="Verdana" w:hAnsi="Verdana"/>
                <w:sz w:val="18"/>
                <w:szCs w:val="18"/>
              </w:rPr>
              <w:t>48</w:t>
            </w:r>
            <w:r>
              <w:rPr>
                <w:rFonts w:ascii="Verdana" w:hAnsi="Verdana"/>
                <w:sz w:val="18"/>
                <w:szCs w:val="18"/>
              </w:rPr>
              <w:t>E-03</w:t>
            </w:r>
          </w:p>
        </w:tc>
        <w:tc>
          <w:tcPr>
            <w:tcW w:w="2642" w:type="dxa"/>
            <w:vAlign w:val="center"/>
          </w:tcPr>
          <w:p w14:paraId="136B68BD"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33CFADEE" w14:textId="77777777">
        <w:trPr>
          <w:trHeight w:val="454"/>
        </w:trPr>
        <w:tc>
          <w:tcPr>
            <w:tcW w:w="1838" w:type="dxa"/>
            <w:vAlign w:val="center"/>
          </w:tcPr>
          <w:p w14:paraId="318FB6AF"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71601F21" w14:textId="08E1F958"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4.</w:t>
            </w:r>
            <w:r w:rsidR="00727259">
              <w:rPr>
                <w:rFonts w:ascii="Verdana" w:hAnsi="Verdana"/>
                <w:bCs/>
                <w:sz w:val="18"/>
                <w:szCs w:val="18"/>
                <w:lang w:val="en-US" w:eastAsia="fr-FR"/>
              </w:rPr>
              <w:t>17</w:t>
            </w:r>
            <w:r>
              <w:rPr>
                <w:rFonts w:ascii="Verdana" w:hAnsi="Verdana"/>
                <w:bCs/>
                <w:sz w:val="18"/>
                <w:szCs w:val="18"/>
                <w:lang w:val="en-US" w:eastAsia="fr-FR"/>
              </w:rPr>
              <w:t>E-02 µg/l</w:t>
            </w:r>
          </w:p>
        </w:tc>
        <w:tc>
          <w:tcPr>
            <w:tcW w:w="5193" w:type="dxa"/>
            <w:gridSpan w:val="2"/>
            <w:vAlign w:val="center"/>
          </w:tcPr>
          <w:p w14:paraId="0F9720BD" w14:textId="77777777" w:rsidR="00BC1D4B" w:rsidRDefault="00BC1D4B">
            <w:pPr>
              <w:pStyle w:val="Corpsdetexte"/>
              <w:spacing w:after="0"/>
              <w:jc w:val="center"/>
              <w:rPr>
                <w:rFonts w:ascii="Verdana" w:hAnsi="Verdana"/>
                <w:sz w:val="18"/>
                <w:szCs w:val="18"/>
              </w:rPr>
            </w:pPr>
          </w:p>
        </w:tc>
      </w:tr>
      <w:tr w:rsidR="00BC1D4B" w14:paraId="7CE0675E" w14:textId="77777777">
        <w:trPr>
          <w:trHeight w:val="454"/>
        </w:trPr>
        <w:tc>
          <w:tcPr>
            <w:tcW w:w="1838" w:type="dxa"/>
            <w:shd w:val="clear" w:color="auto" w:fill="DBE5F1" w:themeFill="accent1" w:themeFillTint="33"/>
            <w:vAlign w:val="center"/>
          </w:tcPr>
          <w:p w14:paraId="415050F0" w14:textId="77777777" w:rsidR="00BC1D4B" w:rsidRDefault="00ED1F84">
            <w:pPr>
              <w:pStyle w:val="Corpsdetexte"/>
              <w:spacing w:after="0"/>
              <w:rPr>
                <w:rFonts w:ascii="Verdana" w:hAnsi="Verdana"/>
                <w:b/>
                <w:sz w:val="18"/>
                <w:szCs w:val="18"/>
              </w:rPr>
            </w:pPr>
            <w:r>
              <w:rPr>
                <w:rFonts w:ascii="Verdana" w:hAnsi="Verdana"/>
                <w:b/>
                <w:sz w:val="18"/>
                <w:szCs w:val="18"/>
              </w:rPr>
              <w:t>ES 6</w:t>
            </w:r>
          </w:p>
        </w:tc>
        <w:tc>
          <w:tcPr>
            <w:tcW w:w="7178" w:type="dxa"/>
            <w:gridSpan w:val="3"/>
            <w:shd w:val="clear" w:color="auto" w:fill="DBE5F1" w:themeFill="accent1" w:themeFillTint="33"/>
            <w:vAlign w:val="center"/>
          </w:tcPr>
          <w:p w14:paraId="413DD9FC" w14:textId="77777777" w:rsidR="00BC1D4B" w:rsidRDefault="00ED1F84">
            <w:pPr>
              <w:pStyle w:val="Corpsdetexte"/>
              <w:spacing w:after="0"/>
              <w:jc w:val="both"/>
              <w:rPr>
                <w:rFonts w:ascii="Verdana" w:hAnsi="Verdana"/>
                <w:sz w:val="18"/>
                <w:szCs w:val="18"/>
              </w:rPr>
            </w:pPr>
            <w:r>
              <w:rPr>
                <w:rFonts w:ascii="Verdana" w:hAnsi="Verdana"/>
                <w:sz w:val="18"/>
                <w:szCs w:val="18"/>
              </w:rPr>
              <w:t>SL (professional worker) - GRG articles - conveyor belt</w:t>
            </w:r>
          </w:p>
        </w:tc>
      </w:tr>
      <w:tr w:rsidR="00BC1D4B" w14:paraId="2004739D" w14:textId="77777777">
        <w:trPr>
          <w:trHeight w:val="454"/>
        </w:trPr>
        <w:tc>
          <w:tcPr>
            <w:tcW w:w="1838" w:type="dxa"/>
            <w:vAlign w:val="center"/>
          </w:tcPr>
          <w:p w14:paraId="47EA84A6"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0AEFA5C1" w14:textId="0B04B7B3" w:rsidR="00BC1D4B" w:rsidRDefault="001C0F24">
            <w:pPr>
              <w:pStyle w:val="Corpsdetexte"/>
              <w:spacing w:after="0"/>
              <w:jc w:val="center"/>
              <w:rPr>
                <w:rFonts w:ascii="Verdana" w:hAnsi="Verdana"/>
                <w:sz w:val="18"/>
                <w:szCs w:val="18"/>
              </w:rPr>
            </w:pPr>
            <w:r>
              <w:rPr>
                <w:rFonts w:ascii="Verdana" w:hAnsi="Verdana"/>
                <w:sz w:val="18"/>
                <w:szCs w:val="18"/>
              </w:rPr>
              <w:t>5.24</w:t>
            </w:r>
            <w:r w:rsidR="00ED1F84">
              <w:rPr>
                <w:rFonts w:ascii="Verdana" w:hAnsi="Verdana"/>
                <w:sz w:val="18"/>
                <w:szCs w:val="18"/>
              </w:rPr>
              <w:t>E-06 mg.l</w:t>
            </w:r>
            <w:r w:rsidR="00ED1F84">
              <w:rPr>
                <w:rFonts w:ascii="Verdana" w:hAnsi="Verdana"/>
                <w:sz w:val="18"/>
                <w:szCs w:val="18"/>
                <w:vertAlign w:val="superscript"/>
              </w:rPr>
              <w:t>-1</w:t>
            </w:r>
          </w:p>
        </w:tc>
        <w:tc>
          <w:tcPr>
            <w:tcW w:w="2551" w:type="dxa"/>
            <w:vAlign w:val="center"/>
          </w:tcPr>
          <w:p w14:paraId="26B6A19A" w14:textId="3AA653E0"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1C0F24">
              <w:rPr>
                <w:rFonts w:ascii="Verdana" w:hAnsi="Verdana"/>
                <w:sz w:val="18"/>
                <w:szCs w:val="18"/>
              </w:rPr>
              <w:t>3.57</w:t>
            </w:r>
            <w:r>
              <w:rPr>
                <w:rFonts w:ascii="Verdana" w:hAnsi="Verdana"/>
                <w:sz w:val="18"/>
                <w:szCs w:val="18"/>
              </w:rPr>
              <w:t>E-06</w:t>
            </w:r>
          </w:p>
        </w:tc>
        <w:tc>
          <w:tcPr>
            <w:tcW w:w="2642" w:type="dxa"/>
            <w:vAlign w:val="center"/>
          </w:tcPr>
          <w:p w14:paraId="4762452C"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66EEF856" w14:textId="77777777">
        <w:trPr>
          <w:trHeight w:val="454"/>
        </w:trPr>
        <w:tc>
          <w:tcPr>
            <w:tcW w:w="1838" w:type="dxa"/>
            <w:vAlign w:val="center"/>
          </w:tcPr>
          <w:p w14:paraId="65D42493"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168C13BD" w14:textId="2110F14C" w:rsidR="00BC1D4B" w:rsidRDefault="00ED1F84">
            <w:pPr>
              <w:pStyle w:val="Corpsdetexte"/>
              <w:spacing w:after="0"/>
              <w:jc w:val="center"/>
              <w:rPr>
                <w:rFonts w:ascii="Verdana" w:hAnsi="Verdana"/>
                <w:sz w:val="18"/>
                <w:szCs w:val="18"/>
              </w:rPr>
            </w:pPr>
            <w:r>
              <w:rPr>
                <w:rFonts w:ascii="Verdana" w:hAnsi="Verdana"/>
                <w:sz w:val="18"/>
                <w:szCs w:val="18"/>
              </w:rPr>
              <w:t>6.6</w:t>
            </w:r>
            <w:r w:rsidR="001C0F24">
              <w:rPr>
                <w:rFonts w:ascii="Verdana" w:hAnsi="Verdana"/>
                <w:sz w:val="18"/>
                <w:szCs w:val="18"/>
              </w:rPr>
              <w:t>0</w:t>
            </w:r>
            <w:r>
              <w:rPr>
                <w:rFonts w:ascii="Verdana" w:hAnsi="Verdana"/>
                <w:sz w:val="18"/>
                <w:szCs w:val="18"/>
              </w:rPr>
              <w:t>E-05 mg.l</w:t>
            </w:r>
            <w:r>
              <w:rPr>
                <w:rFonts w:ascii="Verdana" w:hAnsi="Verdana"/>
                <w:sz w:val="18"/>
                <w:szCs w:val="18"/>
                <w:vertAlign w:val="superscript"/>
              </w:rPr>
              <w:t>-1</w:t>
            </w:r>
          </w:p>
        </w:tc>
        <w:tc>
          <w:tcPr>
            <w:tcW w:w="2551" w:type="dxa"/>
            <w:vAlign w:val="center"/>
          </w:tcPr>
          <w:p w14:paraId="16DE0890" w14:textId="104E323A" w:rsidR="00BC1D4B" w:rsidRDefault="00ED1F84">
            <w:pPr>
              <w:pStyle w:val="Corpsdetexte"/>
              <w:spacing w:after="0"/>
              <w:jc w:val="center"/>
              <w:rPr>
                <w:rFonts w:ascii="Verdana" w:hAnsi="Verdana"/>
                <w:sz w:val="18"/>
                <w:szCs w:val="18"/>
              </w:rPr>
            </w:pPr>
            <w:r>
              <w:rPr>
                <w:rFonts w:ascii="Verdana" w:hAnsi="Verdana"/>
                <w:sz w:val="18"/>
                <w:szCs w:val="18"/>
              </w:rPr>
              <w:t>RCR = 2.2</w:t>
            </w:r>
            <w:r w:rsidR="001C0F24">
              <w:rPr>
                <w:rFonts w:ascii="Verdana" w:hAnsi="Verdana"/>
                <w:sz w:val="18"/>
                <w:szCs w:val="18"/>
              </w:rPr>
              <w:t>0</w:t>
            </w:r>
            <w:r>
              <w:rPr>
                <w:rFonts w:ascii="Verdana" w:hAnsi="Verdana"/>
                <w:sz w:val="18"/>
                <w:szCs w:val="18"/>
              </w:rPr>
              <w:t>E-03</w:t>
            </w:r>
          </w:p>
        </w:tc>
        <w:tc>
          <w:tcPr>
            <w:tcW w:w="2642" w:type="dxa"/>
            <w:vAlign w:val="center"/>
          </w:tcPr>
          <w:p w14:paraId="5EFB3A0D"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21821207" w14:textId="77777777">
        <w:trPr>
          <w:trHeight w:val="454"/>
        </w:trPr>
        <w:tc>
          <w:tcPr>
            <w:tcW w:w="1838" w:type="dxa"/>
            <w:vAlign w:val="center"/>
          </w:tcPr>
          <w:p w14:paraId="78B9DF7E"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0DBFE654" w14:textId="5E27B469" w:rsidR="00BC1D4B" w:rsidRDefault="00ED1F84">
            <w:pPr>
              <w:pStyle w:val="Corpsdetexte"/>
              <w:spacing w:after="0"/>
              <w:jc w:val="center"/>
              <w:rPr>
                <w:rFonts w:ascii="Verdana" w:hAnsi="Verdana"/>
                <w:sz w:val="18"/>
                <w:szCs w:val="18"/>
              </w:rPr>
            </w:pPr>
            <w:r>
              <w:rPr>
                <w:rFonts w:ascii="Verdana" w:hAnsi="Verdana"/>
                <w:sz w:val="18"/>
                <w:szCs w:val="18"/>
              </w:rPr>
              <w:t>5.4</w:t>
            </w:r>
            <w:r w:rsidR="001C0F24">
              <w:rPr>
                <w:rFonts w:ascii="Verdana" w:hAnsi="Verdana"/>
                <w:sz w:val="18"/>
                <w:szCs w:val="18"/>
              </w:rPr>
              <w:t>7</w:t>
            </w:r>
            <w:r>
              <w:rPr>
                <w:rFonts w:ascii="Verdana" w:hAnsi="Verdana"/>
                <w:sz w:val="18"/>
                <w:szCs w:val="18"/>
              </w:rPr>
              <w:t>E-03 mg.kg</w:t>
            </w:r>
            <w:r>
              <w:rPr>
                <w:rFonts w:ascii="Verdana" w:hAnsi="Verdana"/>
                <w:sz w:val="18"/>
                <w:szCs w:val="18"/>
                <w:vertAlign w:val="superscript"/>
              </w:rPr>
              <w:t>-1</w:t>
            </w:r>
          </w:p>
        </w:tc>
        <w:tc>
          <w:tcPr>
            <w:tcW w:w="2551" w:type="dxa"/>
            <w:vAlign w:val="center"/>
          </w:tcPr>
          <w:p w14:paraId="15F3DA3E" w14:textId="77777777" w:rsidR="00BC1D4B" w:rsidRDefault="00ED1F84">
            <w:pPr>
              <w:pStyle w:val="Corpsdetexte"/>
              <w:spacing w:after="0"/>
              <w:jc w:val="center"/>
              <w:rPr>
                <w:rFonts w:ascii="Verdana" w:hAnsi="Verdana"/>
                <w:sz w:val="18"/>
                <w:szCs w:val="18"/>
              </w:rPr>
            </w:pPr>
            <w:r>
              <w:rPr>
                <w:rFonts w:ascii="Verdana" w:hAnsi="Verdana"/>
                <w:sz w:val="18"/>
                <w:szCs w:val="18"/>
              </w:rPr>
              <w:t>RCR = 1.00E-02</w:t>
            </w:r>
          </w:p>
        </w:tc>
        <w:tc>
          <w:tcPr>
            <w:tcW w:w="2642" w:type="dxa"/>
            <w:vAlign w:val="center"/>
          </w:tcPr>
          <w:p w14:paraId="47083911"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5F6E8AEF" w14:textId="77777777">
        <w:trPr>
          <w:trHeight w:val="454"/>
        </w:trPr>
        <w:tc>
          <w:tcPr>
            <w:tcW w:w="1838" w:type="dxa"/>
            <w:vAlign w:val="center"/>
          </w:tcPr>
          <w:p w14:paraId="15FA49A6"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3DE81423" w14:textId="77777777"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1.41E-04 mg.kg</w:t>
            </w:r>
            <w:r>
              <w:rPr>
                <w:rFonts w:ascii="Verdana" w:hAnsi="Verdana"/>
                <w:sz w:val="18"/>
                <w:szCs w:val="18"/>
                <w:vertAlign w:val="superscript"/>
              </w:rPr>
              <w:t>-1</w:t>
            </w:r>
          </w:p>
        </w:tc>
        <w:tc>
          <w:tcPr>
            <w:tcW w:w="2551" w:type="dxa"/>
            <w:vAlign w:val="center"/>
          </w:tcPr>
          <w:p w14:paraId="0B594A5A" w14:textId="77777777" w:rsidR="00BC1D4B" w:rsidRDefault="00ED1F84">
            <w:pPr>
              <w:pStyle w:val="Corpsdetexte"/>
              <w:spacing w:after="0"/>
              <w:jc w:val="center"/>
              <w:rPr>
                <w:rFonts w:ascii="Verdana" w:hAnsi="Verdana"/>
                <w:sz w:val="18"/>
                <w:szCs w:val="18"/>
              </w:rPr>
            </w:pPr>
            <w:r>
              <w:rPr>
                <w:rFonts w:ascii="Verdana" w:hAnsi="Verdana"/>
                <w:sz w:val="18"/>
                <w:szCs w:val="18"/>
              </w:rPr>
              <w:t>RCR = 3.94E-04</w:t>
            </w:r>
          </w:p>
        </w:tc>
        <w:tc>
          <w:tcPr>
            <w:tcW w:w="2642" w:type="dxa"/>
            <w:vAlign w:val="center"/>
          </w:tcPr>
          <w:p w14:paraId="7B8604AE"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526CACFC" w14:textId="77777777">
        <w:trPr>
          <w:trHeight w:val="454"/>
        </w:trPr>
        <w:tc>
          <w:tcPr>
            <w:tcW w:w="1838" w:type="dxa"/>
            <w:vAlign w:val="center"/>
          </w:tcPr>
          <w:p w14:paraId="2ED4D941"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369F51B4" w14:textId="186D80E9"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2.9</w:t>
            </w:r>
            <w:r w:rsidR="001C0F24">
              <w:rPr>
                <w:rFonts w:ascii="Verdana" w:hAnsi="Verdana"/>
                <w:bCs/>
                <w:sz w:val="18"/>
                <w:szCs w:val="18"/>
                <w:lang w:val="en-US" w:eastAsia="fr-FR"/>
              </w:rPr>
              <w:t>0</w:t>
            </w:r>
            <w:r>
              <w:rPr>
                <w:rFonts w:ascii="Verdana" w:hAnsi="Verdana"/>
                <w:bCs/>
                <w:sz w:val="18"/>
                <w:szCs w:val="18"/>
                <w:lang w:val="en-US" w:eastAsia="fr-FR"/>
              </w:rPr>
              <w:t>E-04 µg/l</w:t>
            </w:r>
          </w:p>
        </w:tc>
        <w:tc>
          <w:tcPr>
            <w:tcW w:w="5193" w:type="dxa"/>
            <w:gridSpan w:val="2"/>
            <w:vAlign w:val="center"/>
          </w:tcPr>
          <w:p w14:paraId="190E3DFC" w14:textId="77777777" w:rsidR="00BC1D4B" w:rsidRDefault="00BC1D4B">
            <w:pPr>
              <w:pStyle w:val="Corpsdetexte"/>
              <w:spacing w:after="0"/>
              <w:jc w:val="center"/>
              <w:rPr>
                <w:rFonts w:ascii="Verdana" w:hAnsi="Verdana"/>
                <w:sz w:val="18"/>
                <w:szCs w:val="18"/>
              </w:rPr>
            </w:pPr>
          </w:p>
        </w:tc>
      </w:tr>
      <w:tr w:rsidR="00BC1D4B" w14:paraId="36D53ECC" w14:textId="77777777">
        <w:trPr>
          <w:trHeight w:val="454"/>
        </w:trPr>
        <w:tc>
          <w:tcPr>
            <w:tcW w:w="1838" w:type="dxa"/>
            <w:shd w:val="clear" w:color="auto" w:fill="DBE5F1" w:themeFill="accent1" w:themeFillTint="33"/>
            <w:vAlign w:val="center"/>
          </w:tcPr>
          <w:p w14:paraId="2E35217B" w14:textId="77777777" w:rsidR="00BC1D4B" w:rsidRDefault="00ED1F84">
            <w:pPr>
              <w:pStyle w:val="Corpsdetexte"/>
              <w:spacing w:after="0"/>
              <w:rPr>
                <w:rFonts w:ascii="Verdana" w:hAnsi="Verdana"/>
                <w:b/>
                <w:sz w:val="18"/>
                <w:szCs w:val="18"/>
              </w:rPr>
            </w:pPr>
            <w:r>
              <w:rPr>
                <w:rFonts w:ascii="Verdana" w:hAnsi="Verdana"/>
                <w:b/>
                <w:sz w:val="18"/>
                <w:szCs w:val="18"/>
              </w:rPr>
              <w:t>ES 7</w:t>
            </w:r>
          </w:p>
        </w:tc>
        <w:tc>
          <w:tcPr>
            <w:tcW w:w="7178" w:type="dxa"/>
            <w:gridSpan w:val="3"/>
            <w:shd w:val="clear" w:color="auto" w:fill="DBE5F1" w:themeFill="accent1" w:themeFillTint="33"/>
            <w:vAlign w:val="center"/>
          </w:tcPr>
          <w:p w14:paraId="47522EAB" w14:textId="77777777" w:rsidR="00BC1D4B" w:rsidRDefault="00ED1F84">
            <w:pPr>
              <w:pStyle w:val="Corpsdetexte"/>
              <w:spacing w:after="0"/>
              <w:jc w:val="both"/>
              <w:rPr>
                <w:rFonts w:ascii="Verdana" w:hAnsi="Verdana"/>
                <w:sz w:val="18"/>
                <w:szCs w:val="18"/>
              </w:rPr>
            </w:pPr>
            <w:r>
              <w:rPr>
                <w:rFonts w:ascii="Verdana" w:hAnsi="Verdana"/>
                <w:sz w:val="18"/>
                <w:szCs w:val="18"/>
              </w:rPr>
              <w:t>SL (consumers) - GRG articles - balloons</w:t>
            </w:r>
          </w:p>
        </w:tc>
      </w:tr>
      <w:tr w:rsidR="00BC1D4B" w14:paraId="3E3DC339" w14:textId="77777777">
        <w:trPr>
          <w:trHeight w:val="454"/>
        </w:trPr>
        <w:tc>
          <w:tcPr>
            <w:tcW w:w="1838" w:type="dxa"/>
            <w:vAlign w:val="center"/>
          </w:tcPr>
          <w:p w14:paraId="2DD6E86F"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289FB960" w14:textId="05A402A3" w:rsidR="00BC1D4B" w:rsidRDefault="001C0F24">
            <w:pPr>
              <w:pStyle w:val="Corpsdetexte"/>
              <w:spacing w:after="0"/>
              <w:jc w:val="center"/>
              <w:rPr>
                <w:rFonts w:ascii="Verdana" w:hAnsi="Verdana"/>
                <w:sz w:val="18"/>
                <w:szCs w:val="18"/>
              </w:rPr>
            </w:pPr>
            <w:r>
              <w:rPr>
                <w:rFonts w:ascii="Verdana" w:hAnsi="Verdana"/>
                <w:sz w:val="18"/>
                <w:szCs w:val="18"/>
              </w:rPr>
              <w:t>3.35</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1297638E" w14:textId="48BD7AD8"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1C0F24">
              <w:rPr>
                <w:rFonts w:ascii="Verdana" w:hAnsi="Verdana"/>
                <w:sz w:val="18"/>
                <w:szCs w:val="18"/>
              </w:rPr>
              <w:t>2.28</w:t>
            </w:r>
            <w:r>
              <w:rPr>
                <w:rFonts w:ascii="Verdana" w:hAnsi="Verdana"/>
                <w:sz w:val="18"/>
                <w:szCs w:val="18"/>
              </w:rPr>
              <w:t>E-04</w:t>
            </w:r>
          </w:p>
        </w:tc>
        <w:tc>
          <w:tcPr>
            <w:tcW w:w="2642" w:type="dxa"/>
            <w:vAlign w:val="center"/>
          </w:tcPr>
          <w:p w14:paraId="54D30398"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5C614FF3" w14:textId="77777777">
        <w:trPr>
          <w:trHeight w:val="454"/>
        </w:trPr>
        <w:tc>
          <w:tcPr>
            <w:tcW w:w="1838" w:type="dxa"/>
            <w:vAlign w:val="center"/>
          </w:tcPr>
          <w:p w14:paraId="627735DA"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1259C55D" w14:textId="313AD0FC" w:rsidR="00BC1D4B" w:rsidRDefault="001C0F24">
            <w:pPr>
              <w:pStyle w:val="Corpsdetexte"/>
              <w:spacing w:after="0"/>
              <w:jc w:val="center"/>
              <w:rPr>
                <w:rFonts w:ascii="Verdana" w:hAnsi="Verdana"/>
                <w:sz w:val="18"/>
                <w:szCs w:val="18"/>
              </w:rPr>
            </w:pPr>
            <w:r>
              <w:rPr>
                <w:rFonts w:ascii="Verdana" w:hAnsi="Verdana"/>
                <w:sz w:val="18"/>
                <w:szCs w:val="18"/>
              </w:rPr>
              <w:t>9.90</w:t>
            </w:r>
            <w:r w:rsidR="00ED1F84">
              <w:rPr>
                <w:rFonts w:ascii="Verdana" w:hAnsi="Verdana"/>
                <w:sz w:val="18"/>
                <w:szCs w:val="18"/>
              </w:rPr>
              <w:t>E-05 mg.l</w:t>
            </w:r>
            <w:r w:rsidR="00ED1F84">
              <w:rPr>
                <w:rFonts w:ascii="Verdana" w:hAnsi="Verdana"/>
                <w:sz w:val="18"/>
                <w:szCs w:val="18"/>
                <w:vertAlign w:val="superscript"/>
              </w:rPr>
              <w:t>-1</w:t>
            </w:r>
          </w:p>
        </w:tc>
        <w:tc>
          <w:tcPr>
            <w:tcW w:w="2551" w:type="dxa"/>
            <w:vAlign w:val="center"/>
          </w:tcPr>
          <w:p w14:paraId="18F53A1C" w14:textId="36569A39" w:rsidR="00BC1D4B" w:rsidRDefault="00ED1F84">
            <w:pPr>
              <w:pStyle w:val="Corpsdetexte"/>
              <w:spacing w:after="0"/>
              <w:jc w:val="center"/>
              <w:rPr>
                <w:rFonts w:ascii="Verdana" w:hAnsi="Verdana"/>
                <w:sz w:val="18"/>
                <w:szCs w:val="18"/>
              </w:rPr>
            </w:pPr>
            <w:r>
              <w:rPr>
                <w:rFonts w:ascii="Verdana" w:hAnsi="Verdana"/>
                <w:sz w:val="18"/>
                <w:szCs w:val="18"/>
              </w:rPr>
              <w:t>RCR = 3.</w:t>
            </w:r>
            <w:r w:rsidR="001C0F24">
              <w:rPr>
                <w:rFonts w:ascii="Verdana" w:hAnsi="Verdana"/>
                <w:sz w:val="18"/>
                <w:szCs w:val="18"/>
              </w:rPr>
              <w:t>30</w:t>
            </w:r>
            <w:r>
              <w:rPr>
                <w:rFonts w:ascii="Verdana" w:hAnsi="Verdana"/>
                <w:sz w:val="18"/>
                <w:szCs w:val="18"/>
              </w:rPr>
              <w:t>E-03</w:t>
            </w:r>
          </w:p>
        </w:tc>
        <w:tc>
          <w:tcPr>
            <w:tcW w:w="2642" w:type="dxa"/>
            <w:vAlign w:val="center"/>
          </w:tcPr>
          <w:p w14:paraId="12C2F5ED"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4C74D3E7" w14:textId="77777777">
        <w:trPr>
          <w:trHeight w:val="454"/>
        </w:trPr>
        <w:tc>
          <w:tcPr>
            <w:tcW w:w="1838" w:type="dxa"/>
            <w:vAlign w:val="center"/>
          </w:tcPr>
          <w:p w14:paraId="1C4508BA"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1F6C8D2E" w14:textId="11E4E2F8" w:rsidR="00BC1D4B" w:rsidRDefault="00ED1F84">
            <w:pPr>
              <w:pStyle w:val="Corpsdetexte"/>
              <w:spacing w:after="0"/>
              <w:jc w:val="center"/>
              <w:rPr>
                <w:rFonts w:ascii="Verdana" w:hAnsi="Verdana"/>
                <w:sz w:val="18"/>
                <w:szCs w:val="18"/>
              </w:rPr>
            </w:pPr>
            <w:r>
              <w:rPr>
                <w:rFonts w:ascii="Verdana" w:hAnsi="Verdana"/>
                <w:sz w:val="18"/>
                <w:szCs w:val="18"/>
              </w:rPr>
              <w:t>6.</w:t>
            </w:r>
            <w:r w:rsidR="001C0F24">
              <w:rPr>
                <w:rFonts w:ascii="Verdana" w:hAnsi="Verdana"/>
                <w:sz w:val="18"/>
                <w:szCs w:val="18"/>
              </w:rPr>
              <w:t>07</w:t>
            </w:r>
            <w:r>
              <w:rPr>
                <w:rFonts w:ascii="Verdana" w:hAnsi="Verdana"/>
                <w:sz w:val="18"/>
                <w:szCs w:val="18"/>
              </w:rPr>
              <w:t>E-03 mg.kg</w:t>
            </w:r>
            <w:r>
              <w:rPr>
                <w:rFonts w:ascii="Verdana" w:hAnsi="Verdana"/>
                <w:sz w:val="18"/>
                <w:szCs w:val="18"/>
                <w:vertAlign w:val="superscript"/>
              </w:rPr>
              <w:t>-1</w:t>
            </w:r>
          </w:p>
        </w:tc>
        <w:tc>
          <w:tcPr>
            <w:tcW w:w="2551" w:type="dxa"/>
            <w:vAlign w:val="center"/>
          </w:tcPr>
          <w:p w14:paraId="2270EDBD" w14:textId="007D20A3" w:rsidR="00BC1D4B" w:rsidRDefault="00ED1F84">
            <w:pPr>
              <w:pStyle w:val="Corpsdetexte"/>
              <w:spacing w:after="0"/>
              <w:jc w:val="center"/>
              <w:rPr>
                <w:rFonts w:ascii="Verdana" w:hAnsi="Verdana"/>
                <w:sz w:val="18"/>
                <w:szCs w:val="18"/>
              </w:rPr>
            </w:pPr>
            <w:r>
              <w:rPr>
                <w:rFonts w:ascii="Verdana" w:hAnsi="Verdana"/>
                <w:sz w:val="18"/>
                <w:szCs w:val="18"/>
              </w:rPr>
              <w:t>RCR = 1.1</w:t>
            </w:r>
            <w:r w:rsidR="001C0F24">
              <w:rPr>
                <w:rFonts w:ascii="Verdana" w:hAnsi="Verdana"/>
                <w:sz w:val="18"/>
                <w:szCs w:val="18"/>
              </w:rPr>
              <w:t>1</w:t>
            </w:r>
            <w:r>
              <w:rPr>
                <w:rFonts w:ascii="Verdana" w:hAnsi="Verdana"/>
                <w:sz w:val="18"/>
                <w:szCs w:val="18"/>
              </w:rPr>
              <w:t>E-02</w:t>
            </w:r>
          </w:p>
        </w:tc>
        <w:tc>
          <w:tcPr>
            <w:tcW w:w="2642" w:type="dxa"/>
            <w:vAlign w:val="center"/>
          </w:tcPr>
          <w:p w14:paraId="615D1ED6" w14:textId="77777777" w:rsidR="00BC1D4B" w:rsidRDefault="00ED1F84">
            <w:pPr>
              <w:pStyle w:val="Corpsdetexte"/>
              <w:spacing w:after="0"/>
              <w:jc w:val="center"/>
              <w:rPr>
                <w:rFonts w:ascii="Verdana" w:hAnsi="Verdana"/>
                <w:sz w:val="18"/>
                <w:szCs w:val="18"/>
                <w:lang w:val="en-US"/>
              </w:rPr>
            </w:pPr>
            <w:r>
              <w:rPr>
                <w:rFonts w:ascii="Verdana" w:hAnsi="Verdana"/>
                <w:sz w:val="18"/>
                <w:szCs w:val="18"/>
                <w:lang w:val="en-US"/>
              </w:rPr>
              <w:t>Acceptable</w:t>
            </w:r>
          </w:p>
        </w:tc>
      </w:tr>
      <w:tr w:rsidR="00BC1D4B" w14:paraId="7C13820B" w14:textId="77777777">
        <w:trPr>
          <w:trHeight w:val="454"/>
        </w:trPr>
        <w:tc>
          <w:tcPr>
            <w:tcW w:w="1838" w:type="dxa"/>
            <w:vAlign w:val="center"/>
          </w:tcPr>
          <w:p w14:paraId="38F22ECB"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3DF9EE79" w14:textId="1683B241"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9.</w:t>
            </w:r>
            <w:r w:rsidR="001C0F24">
              <w:rPr>
                <w:rFonts w:ascii="Verdana" w:hAnsi="Verdana"/>
                <w:sz w:val="18"/>
                <w:szCs w:val="18"/>
              </w:rPr>
              <w:t>42</w:t>
            </w:r>
            <w:r>
              <w:rPr>
                <w:rFonts w:ascii="Verdana" w:hAnsi="Verdana"/>
                <w:sz w:val="18"/>
                <w:szCs w:val="18"/>
              </w:rPr>
              <w:t>E-04 mg.kg</w:t>
            </w:r>
            <w:r>
              <w:rPr>
                <w:rFonts w:ascii="Verdana" w:hAnsi="Verdana"/>
                <w:sz w:val="18"/>
                <w:szCs w:val="18"/>
                <w:vertAlign w:val="superscript"/>
              </w:rPr>
              <w:t>-1</w:t>
            </w:r>
          </w:p>
        </w:tc>
        <w:tc>
          <w:tcPr>
            <w:tcW w:w="2551" w:type="dxa"/>
            <w:vAlign w:val="center"/>
          </w:tcPr>
          <w:p w14:paraId="383E71CC" w14:textId="48FB16CC" w:rsidR="00BC1D4B" w:rsidRDefault="00ED1F84">
            <w:pPr>
              <w:pStyle w:val="Corpsdetexte"/>
              <w:spacing w:after="0"/>
              <w:jc w:val="center"/>
              <w:rPr>
                <w:rFonts w:ascii="Verdana" w:hAnsi="Verdana"/>
                <w:sz w:val="18"/>
                <w:szCs w:val="18"/>
              </w:rPr>
            </w:pPr>
            <w:r>
              <w:rPr>
                <w:rFonts w:ascii="Verdana" w:hAnsi="Verdana"/>
                <w:sz w:val="18"/>
                <w:szCs w:val="18"/>
              </w:rPr>
              <w:t>RCR = 2.6</w:t>
            </w:r>
            <w:r w:rsidR="001C0F24">
              <w:rPr>
                <w:rFonts w:ascii="Verdana" w:hAnsi="Verdana"/>
                <w:sz w:val="18"/>
                <w:szCs w:val="18"/>
              </w:rPr>
              <w:t>3</w:t>
            </w:r>
            <w:r>
              <w:rPr>
                <w:rFonts w:ascii="Verdana" w:hAnsi="Verdana"/>
                <w:sz w:val="18"/>
                <w:szCs w:val="18"/>
              </w:rPr>
              <w:t>E-03</w:t>
            </w:r>
          </w:p>
        </w:tc>
        <w:tc>
          <w:tcPr>
            <w:tcW w:w="2642" w:type="dxa"/>
            <w:vAlign w:val="center"/>
          </w:tcPr>
          <w:p w14:paraId="4EA070C8"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155DE52C" w14:textId="77777777">
        <w:trPr>
          <w:trHeight w:val="454"/>
        </w:trPr>
        <w:tc>
          <w:tcPr>
            <w:tcW w:w="1838" w:type="dxa"/>
            <w:vAlign w:val="center"/>
          </w:tcPr>
          <w:p w14:paraId="1370D496"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6A984A3E" w14:textId="1184F2D3"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1.8</w:t>
            </w:r>
            <w:r w:rsidR="001C0F24">
              <w:rPr>
                <w:rFonts w:ascii="Verdana" w:hAnsi="Verdana"/>
                <w:bCs/>
                <w:sz w:val="18"/>
                <w:szCs w:val="18"/>
                <w:lang w:val="en-US" w:eastAsia="fr-FR"/>
              </w:rPr>
              <w:t>5</w:t>
            </w:r>
            <w:r>
              <w:rPr>
                <w:rFonts w:ascii="Verdana" w:hAnsi="Verdana"/>
                <w:bCs/>
                <w:sz w:val="18"/>
                <w:szCs w:val="18"/>
                <w:lang w:val="en-US" w:eastAsia="fr-FR"/>
              </w:rPr>
              <w:t>E-02 µg/l</w:t>
            </w:r>
          </w:p>
        </w:tc>
        <w:tc>
          <w:tcPr>
            <w:tcW w:w="5193" w:type="dxa"/>
            <w:gridSpan w:val="2"/>
            <w:vAlign w:val="center"/>
          </w:tcPr>
          <w:p w14:paraId="6F651EDD" w14:textId="77777777" w:rsidR="00BC1D4B" w:rsidRDefault="00BC1D4B">
            <w:pPr>
              <w:pStyle w:val="Corpsdetexte"/>
              <w:spacing w:after="0"/>
              <w:jc w:val="center"/>
              <w:rPr>
                <w:rFonts w:ascii="Verdana" w:hAnsi="Verdana"/>
                <w:sz w:val="18"/>
                <w:szCs w:val="18"/>
              </w:rPr>
            </w:pPr>
          </w:p>
        </w:tc>
      </w:tr>
      <w:tr w:rsidR="00BC1D4B" w14:paraId="4F376F2D" w14:textId="77777777">
        <w:trPr>
          <w:trHeight w:val="454"/>
        </w:trPr>
        <w:tc>
          <w:tcPr>
            <w:tcW w:w="1838" w:type="dxa"/>
            <w:shd w:val="clear" w:color="auto" w:fill="DBE5F1" w:themeFill="accent1" w:themeFillTint="33"/>
            <w:vAlign w:val="center"/>
          </w:tcPr>
          <w:p w14:paraId="4E2D7737" w14:textId="77777777" w:rsidR="00BC1D4B" w:rsidRDefault="00ED1F84">
            <w:pPr>
              <w:pStyle w:val="Corpsdetexte"/>
              <w:spacing w:after="0"/>
              <w:rPr>
                <w:rFonts w:ascii="Verdana" w:hAnsi="Verdana"/>
                <w:b/>
                <w:sz w:val="18"/>
                <w:szCs w:val="18"/>
              </w:rPr>
            </w:pPr>
            <w:r>
              <w:rPr>
                <w:rFonts w:ascii="Verdana" w:hAnsi="Verdana"/>
                <w:b/>
                <w:sz w:val="18"/>
                <w:szCs w:val="18"/>
              </w:rPr>
              <w:t>ES 8</w:t>
            </w:r>
          </w:p>
        </w:tc>
        <w:tc>
          <w:tcPr>
            <w:tcW w:w="7178" w:type="dxa"/>
            <w:gridSpan w:val="3"/>
            <w:shd w:val="clear" w:color="auto" w:fill="DBE5F1" w:themeFill="accent1" w:themeFillTint="33"/>
            <w:vAlign w:val="center"/>
          </w:tcPr>
          <w:p w14:paraId="41435598" w14:textId="77777777" w:rsidR="00BC1D4B" w:rsidRDefault="00ED1F84">
            <w:pPr>
              <w:pStyle w:val="Corpsdetexte"/>
              <w:spacing w:after="0"/>
              <w:jc w:val="both"/>
              <w:rPr>
                <w:rFonts w:ascii="Verdana" w:hAnsi="Verdana"/>
                <w:sz w:val="18"/>
                <w:szCs w:val="18"/>
              </w:rPr>
            </w:pPr>
            <w:r>
              <w:rPr>
                <w:rFonts w:ascii="Verdana" w:hAnsi="Verdana"/>
                <w:sz w:val="18"/>
                <w:szCs w:val="18"/>
              </w:rPr>
              <w:t>IS - pre-step tyre - manufacturing and handling of DPG grad GC</w:t>
            </w:r>
          </w:p>
        </w:tc>
      </w:tr>
      <w:tr w:rsidR="00BC1D4B" w14:paraId="67CA8477" w14:textId="77777777">
        <w:trPr>
          <w:trHeight w:val="454"/>
        </w:trPr>
        <w:tc>
          <w:tcPr>
            <w:tcW w:w="1838" w:type="dxa"/>
            <w:vAlign w:val="center"/>
          </w:tcPr>
          <w:p w14:paraId="1CB0EBB7" w14:textId="77777777" w:rsidR="00BC1D4B" w:rsidRDefault="00ED1F84">
            <w:pPr>
              <w:pStyle w:val="Corpsdetexte"/>
              <w:spacing w:after="0"/>
              <w:rPr>
                <w:rFonts w:ascii="Verdana" w:hAnsi="Verdana"/>
                <w:sz w:val="18"/>
                <w:szCs w:val="18"/>
              </w:rPr>
            </w:pPr>
            <w:r>
              <w:rPr>
                <w:rFonts w:ascii="Verdana" w:hAnsi="Verdana"/>
                <w:sz w:val="18"/>
                <w:szCs w:val="18"/>
              </w:rPr>
              <w:lastRenderedPageBreak/>
              <w:t>Sewage Treatment Plant</w:t>
            </w:r>
          </w:p>
        </w:tc>
        <w:tc>
          <w:tcPr>
            <w:tcW w:w="1985" w:type="dxa"/>
            <w:vAlign w:val="center"/>
          </w:tcPr>
          <w:p w14:paraId="4A4F8134" w14:textId="5C365083" w:rsidR="00BC1D4B" w:rsidRDefault="001C0F24">
            <w:pPr>
              <w:pStyle w:val="Corpsdetexte"/>
              <w:spacing w:after="0"/>
              <w:jc w:val="center"/>
              <w:rPr>
                <w:rFonts w:ascii="Verdana" w:hAnsi="Verdana"/>
                <w:sz w:val="18"/>
                <w:szCs w:val="18"/>
              </w:rPr>
            </w:pPr>
            <w:r>
              <w:rPr>
                <w:rFonts w:ascii="Verdana" w:hAnsi="Verdana"/>
                <w:sz w:val="18"/>
                <w:szCs w:val="18"/>
              </w:rPr>
              <w:t>2.64</w:t>
            </w:r>
            <w:r w:rsidR="00ED1F84">
              <w:rPr>
                <w:rFonts w:ascii="Verdana" w:hAnsi="Verdana"/>
                <w:sz w:val="18"/>
                <w:szCs w:val="18"/>
              </w:rPr>
              <w:t>E-03 mg.l</w:t>
            </w:r>
            <w:r w:rsidR="00ED1F84">
              <w:rPr>
                <w:rFonts w:ascii="Verdana" w:hAnsi="Verdana"/>
                <w:sz w:val="18"/>
                <w:szCs w:val="18"/>
                <w:vertAlign w:val="superscript"/>
              </w:rPr>
              <w:t>-1</w:t>
            </w:r>
          </w:p>
        </w:tc>
        <w:tc>
          <w:tcPr>
            <w:tcW w:w="2551" w:type="dxa"/>
            <w:vAlign w:val="center"/>
          </w:tcPr>
          <w:p w14:paraId="671C8ACB" w14:textId="63D90B45"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1C0F24">
              <w:rPr>
                <w:rFonts w:ascii="Verdana" w:hAnsi="Verdana"/>
                <w:sz w:val="18"/>
                <w:szCs w:val="18"/>
              </w:rPr>
              <w:t>1.80</w:t>
            </w:r>
            <w:r>
              <w:rPr>
                <w:rFonts w:ascii="Verdana" w:hAnsi="Verdana"/>
                <w:sz w:val="18"/>
                <w:szCs w:val="18"/>
              </w:rPr>
              <w:t>E-03</w:t>
            </w:r>
          </w:p>
        </w:tc>
        <w:tc>
          <w:tcPr>
            <w:tcW w:w="2642" w:type="dxa"/>
            <w:vAlign w:val="center"/>
          </w:tcPr>
          <w:p w14:paraId="4D0584F5"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66384270" w14:textId="77777777">
        <w:trPr>
          <w:trHeight w:val="454"/>
        </w:trPr>
        <w:tc>
          <w:tcPr>
            <w:tcW w:w="1838" w:type="dxa"/>
            <w:vAlign w:val="center"/>
          </w:tcPr>
          <w:p w14:paraId="5F48C4C9"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05B24105" w14:textId="5B5F6630" w:rsidR="00BC1D4B" w:rsidRDefault="001C0F24">
            <w:pPr>
              <w:pStyle w:val="Corpsdetexte"/>
              <w:spacing w:after="0"/>
              <w:jc w:val="center"/>
              <w:rPr>
                <w:rFonts w:ascii="Verdana" w:hAnsi="Verdana"/>
                <w:sz w:val="18"/>
                <w:szCs w:val="18"/>
              </w:rPr>
            </w:pPr>
            <w:r>
              <w:rPr>
                <w:rFonts w:ascii="Verdana" w:hAnsi="Verdana"/>
                <w:sz w:val="18"/>
                <w:szCs w:val="18"/>
              </w:rPr>
              <w:t>3.29</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227502CF" w14:textId="5D96F793" w:rsidR="00BC1D4B" w:rsidRDefault="00ED1F84">
            <w:pPr>
              <w:pStyle w:val="Corpsdetexte"/>
              <w:spacing w:after="0"/>
              <w:jc w:val="center"/>
              <w:rPr>
                <w:rFonts w:ascii="Verdana" w:hAnsi="Verdana"/>
                <w:sz w:val="18"/>
                <w:szCs w:val="18"/>
              </w:rPr>
            </w:pPr>
            <w:r>
              <w:rPr>
                <w:rFonts w:ascii="Verdana" w:hAnsi="Verdana"/>
                <w:sz w:val="18"/>
                <w:szCs w:val="18"/>
              </w:rPr>
              <w:t>RCR = 1.</w:t>
            </w:r>
            <w:r w:rsidR="001C0F24">
              <w:rPr>
                <w:rFonts w:ascii="Verdana" w:hAnsi="Verdana"/>
                <w:sz w:val="18"/>
                <w:szCs w:val="18"/>
              </w:rPr>
              <w:t>10</w:t>
            </w:r>
            <w:r>
              <w:rPr>
                <w:rFonts w:ascii="Verdana" w:hAnsi="Verdana"/>
                <w:sz w:val="18"/>
                <w:szCs w:val="18"/>
              </w:rPr>
              <w:t>E-02</w:t>
            </w:r>
          </w:p>
        </w:tc>
        <w:tc>
          <w:tcPr>
            <w:tcW w:w="2642" w:type="dxa"/>
            <w:vAlign w:val="center"/>
          </w:tcPr>
          <w:p w14:paraId="7DF97631"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35ACE9C5" w14:textId="77777777">
        <w:trPr>
          <w:trHeight w:val="454"/>
        </w:trPr>
        <w:tc>
          <w:tcPr>
            <w:tcW w:w="1838" w:type="dxa"/>
            <w:vAlign w:val="center"/>
          </w:tcPr>
          <w:p w14:paraId="1759C0A5"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69403A61" w14:textId="6539E1E9" w:rsidR="00BC1D4B" w:rsidRDefault="00ED1F84">
            <w:pPr>
              <w:pStyle w:val="Corpsdetexte"/>
              <w:spacing w:after="0"/>
              <w:jc w:val="center"/>
              <w:rPr>
                <w:rFonts w:ascii="Verdana" w:hAnsi="Verdana"/>
                <w:sz w:val="18"/>
                <w:szCs w:val="18"/>
              </w:rPr>
            </w:pPr>
            <w:r>
              <w:rPr>
                <w:rFonts w:ascii="Verdana" w:hAnsi="Verdana"/>
                <w:sz w:val="18"/>
                <w:szCs w:val="18"/>
              </w:rPr>
              <w:t>1.</w:t>
            </w:r>
            <w:r w:rsidR="001C0F24">
              <w:rPr>
                <w:rFonts w:ascii="Verdana" w:hAnsi="Verdana"/>
                <w:sz w:val="18"/>
                <w:szCs w:val="18"/>
              </w:rPr>
              <w:t>03</w:t>
            </w:r>
            <w:r>
              <w:rPr>
                <w:rFonts w:ascii="Verdana" w:hAnsi="Verdana"/>
                <w:sz w:val="18"/>
                <w:szCs w:val="18"/>
              </w:rPr>
              <w:t>E-02 mg.kg</w:t>
            </w:r>
            <w:r>
              <w:rPr>
                <w:rFonts w:ascii="Verdana" w:hAnsi="Verdana"/>
                <w:sz w:val="18"/>
                <w:szCs w:val="18"/>
                <w:vertAlign w:val="superscript"/>
              </w:rPr>
              <w:t>-1</w:t>
            </w:r>
          </w:p>
        </w:tc>
        <w:tc>
          <w:tcPr>
            <w:tcW w:w="2551" w:type="dxa"/>
            <w:vAlign w:val="center"/>
          </w:tcPr>
          <w:p w14:paraId="600C7D2B" w14:textId="6E735576"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1C0F24">
              <w:rPr>
                <w:rFonts w:ascii="Verdana" w:hAnsi="Verdana"/>
                <w:sz w:val="18"/>
                <w:szCs w:val="18"/>
              </w:rPr>
              <w:t>1.89</w:t>
            </w:r>
            <w:r>
              <w:rPr>
                <w:rFonts w:ascii="Verdana" w:hAnsi="Verdana"/>
                <w:sz w:val="18"/>
                <w:szCs w:val="18"/>
              </w:rPr>
              <w:t>E-02</w:t>
            </w:r>
          </w:p>
        </w:tc>
        <w:tc>
          <w:tcPr>
            <w:tcW w:w="2642" w:type="dxa"/>
            <w:vAlign w:val="center"/>
          </w:tcPr>
          <w:p w14:paraId="5A2AC3F8"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7BB3E7BD" w14:textId="77777777">
        <w:trPr>
          <w:trHeight w:val="454"/>
        </w:trPr>
        <w:tc>
          <w:tcPr>
            <w:tcW w:w="1838" w:type="dxa"/>
            <w:vAlign w:val="center"/>
          </w:tcPr>
          <w:p w14:paraId="4590FAE4"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65F5CBE0" w14:textId="3D27CC27"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6.</w:t>
            </w:r>
            <w:r w:rsidR="001C0F24">
              <w:rPr>
                <w:rFonts w:ascii="Verdana" w:hAnsi="Verdana"/>
                <w:sz w:val="18"/>
                <w:szCs w:val="18"/>
              </w:rPr>
              <w:t>53</w:t>
            </w:r>
            <w:r>
              <w:rPr>
                <w:rFonts w:ascii="Verdana" w:hAnsi="Verdana"/>
                <w:sz w:val="18"/>
                <w:szCs w:val="18"/>
              </w:rPr>
              <w:t>E-03 mg.kg</w:t>
            </w:r>
            <w:r>
              <w:rPr>
                <w:rFonts w:ascii="Verdana" w:hAnsi="Verdana"/>
                <w:sz w:val="18"/>
                <w:szCs w:val="18"/>
                <w:vertAlign w:val="superscript"/>
              </w:rPr>
              <w:t>-1</w:t>
            </w:r>
          </w:p>
        </w:tc>
        <w:tc>
          <w:tcPr>
            <w:tcW w:w="2551" w:type="dxa"/>
            <w:vAlign w:val="center"/>
          </w:tcPr>
          <w:p w14:paraId="219B426B" w14:textId="1CDEC9DF" w:rsidR="00BC1D4B" w:rsidRDefault="00ED1F84">
            <w:pPr>
              <w:pStyle w:val="Corpsdetexte"/>
              <w:spacing w:after="0"/>
              <w:jc w:val="center"/>
              <w:rPr>
                <w:rFonts w:ascii="Verdana" w:hAnsi="Verdana"/>
                <w:sz w:val="18"/>
                <w:szCs w:val="18"/>
              </w:rPr>
            </w:pPr>
            <w:r>
              <w:rPr>
                <w:rFonts w:ascii="Verdana" w:hAnsi="Verdana"/>
                <w:sz w:val="18"/>
                <w:szCs w:val="18"/>
              </w:rPr>
              <w:t>RCR = 1.8</w:t>
            </w:r>
            <w:r w:rsidR="001C0F24">
              <w:rPr>
                <w:rFonts w:ascii="Verdana" w:hAnsi="Verdana"/>
                <w:sz w:val="18"/>
                <w:szCs w:val="18"/>
              </w:rPr>
              <w:t>3</w:t>
            </w:r>
            <w:r>
              <w:rPr>
                <w:rFonts w:ascii="Verdana" w:hAnsi="Verdana"/>
                <w:sz w:val="18"/>
                <w:szCs w:val="18"/>
              </w:rPr>
              <w:t>E-02</w:t>
            </w:r>
          </w:p>
        </w:tc>
        <w:tc>
          <w:tcPr>
            <w:tcW w:w="2642" w:type="dxa"/>
            <w:vAlign w:val="center"/>
          </w:tcPr>
          <w:p w14:paraId="5C4FC7E1"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024EB367" w14:textId="77777777">
        <w:trPr>
          <w:trHeight w:val="454"/>
        </w:trPr>
        <w:tc>
          <w:tcPr>
            <w:tcW w:w="1838" w:type="dxa"/>
            <w:vAlign w:val="center"/>
          </w:tcPr>
          <w:p w14:paraId="3FCE382B"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654DA2DC" w14:textId="77777777" w:rsidR="00BC1D4B" w:rsidRDefault="00ED1F84">
            <w:pPr>
              <w:pStyle w:val="Corpsdetexte"/>
              <w:spacing w:after="0"/>
              <w:jc w:val="center"/>
              <w:rPr>
                <w:rFonts w:ascii="Verdana" w:hAnsi="Verdana"/>
                <w:b/>
                <w:bCs/>
                <w:sz w:val="18"/>
                <w:szCs w:val="18"/>
                <w:lang w:val="en-US" w:eastAsia="fr-FR"/>
              </w:rPr>
            </w:pPr>
            <w:r>
              <w:rPr>
                <w:rFonts w:ascii="Verdana" w:hAnsi="Verdana"/>
                <w:b/>
                <w:bCs/>
                <w:sz w:val="18"/>
                <w:szCs w:val="18"/>
                <w:lang w:val="en-US" w:eastAsia="fr-FR"/>
              </w:rPr>
              <w:t>0.15 µg/l</w:t>
            </w:r>
          </w:p>
        </w:tc>
        <w:tc>
          <w:tcPr>
            <w:tcW w:w="5193" w:type="dxa"/>
            <w:gridSpan w:val="2"/>
            <w:vAlign w:val="center"/>
          </w:tcPr>
          <w:p w14:paraId="6E6DB892" w14:textId="77777777" w:rsidR="00BC1D4B" w:rsidRDefault="00BC1D4B">
            <w:pPr>
              <w:pStyle w:val="Corpsdetexte"/>
              <w:spacing w:after="0"/>
              <w:jc w:val="center"/>
              <w:rPr>
                <w:rFonts w:ascii="Verdana" w:hAnsi="Verdana"/>
                <w:b/>
                <w:sz w:val="18"/>
                <w:szCs w:val="18"/>
              </w:rPr>
            </w:pPr>
          </w:p>
        </w:tc>
      </w:tr>
      <w:tr w:rsidR="00BC1D4B" w14:paraId="658F5AE3" w14:textId="77777777">
        <w:trPr>
          <w:trHeight w:val="454"/>
        </w:trPr>
        <w:tc>
          <w:tcPr>
            <w:tcW w:w="1838" w:type="dxa"/>
            <w:shd w:val="clear" w:color="auto" w:fill="DBE5F1" w:themeFill="accent1" w:themeFillTint="33"/>
            <w:vAlign w:val="center"/>
          </w:tcPr>
          <w:p w14:paraId="20451B5C" w14:textId="77777777" w:rsidR="00BC1D4B" w:rsidRDefault="00ED1F84">
            <w:pPr>
              <w:pStyle w:val="Corpsdetexte"/>
              <w:spacing w:after="0"/>
              <w:rPr>
                <w:rFonts w:ascii="Verdana" w:hAnsi="Verdana"/>
                <w:b/>
                <w:sz w:val="18"/>
                <w:szCs w:val="18"/>
              </w:rPr>
            </w:pPr>
            <w:r>
              <w:rPr>
                <w:rFonts w:ascii="Verdana" w:hAnsi="Verdana"/>
                <w:b/>
                <w:sz w:val="18"/>
                <w:szCs w:val="18"/>
              </w:rPr>
              <w:t>ES 9</w:t>
            </w:r>
          </w:p>
        </w:tc>
        <w:tc>
          <w:tcPr>
            <w:tcW w:w="7178" w:type="dxa"/>
            <w:gridSpan w:val="3"/>
            <w:shd w:val="clear" w:color="auto" w:fill="DBE5F1" w:themeFill="accent1" w:themeFillTint="33"/>
            <w:vAlign w:val="center"/>
          </w:tcPr>
          <w:p w14:paraId="163760F5" w14:textId="77777777" w:rsidR="00BC1D4B" w:rsidRDefault="00ED1F84">
            <w:pPr>
              <w:pStyle w:val="Corpsdetexte"/>
              <w:spacing w:after="0"/>
              <w:jc w:val="both"/>
              <w:rPr>
                <w:rFonts w:ascii="Verdana" w:hAnsi="Verdana"/>
                <w:sz w:val="18"/>
                <w:szCs w:val="18"/>
              </w:rPr>
            </w:pPr>
            <w:r>
              <w:rPr>
                <w:rFonts w:ascii="Verdana" w:hAnsi="Verdana"/>
                <w:sz w:val="18"/>
                <w:szCs w:val="18"/>
              </w:rPr>
              <w:t>IS - Manufacture of Tyres - Production and Retreading</w:t>
            </w:r>
          </w:p>
        </w:tc>
      </w:tr>
      <w:tr w:rsidR="00BC1D4B" w14:paraId="67CB7962" w14:textId="77777777">
        <w:trPr>
          <w:trHeight w:val="454"/>
        </w:trPr>
        <w:tc>
          <w:tcPr>
            <w:tcW w:w="1838" w:type="dxa"/>
            <w:vAlign w:val="center"/>
          </w:tcPr>
          <w:p w14:paraId="479EA608"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2C546C81" w14:textId="2FA9448E" w:rsidR="00BC1D4B" w:rsidRDefault="001C0F24">
            <w:pPr>
              <w:pStyle w:val="Corpsdetexte"/>
              <w:spacing w:after="0"/>
              <w:jc w:val="center"/>
              <w:rPr>
                <w:rFonts w:ascii="Verdana" w:hAnsi="Verdana"/>
                <w:sz w:val="18"/>
                <w:szCs w:val="18"/>
              </w:rPr>
            </w:pPr>
            <w:r>
              <w:rPr>
                <w:rFonts w:ascii="Verdana" w:hAnsi="Verdana"/>
                <w:sz w:val="18"/>
                <w:szCs w:val="18"/>
              </w:rPr>
              <w:t>2.64</w:t>
            </w:r>
            <w:r w:rsidR="00ED1F84">
              <w:rPr>
                <w:rFonts w:ascii="Verdana" w:hAnsi="Verdana"/>
                <w:sz w:val="18"/>
                <w:szCs w:val="18"/>
              </w:rPr>
              <w:t>E-03 mg.l</w:t>
            </w:r>
            <w:r w:rsidR="00ED1F84">
              <w:rPr>
                <w:rFonts w:ascii="Verdana" w:hAnsi="Verdana"/>
                <w:sz w:val="18"/>
                <w:szCs w:val="18"/>
                <w:vertAlign w:val="superscript"/>
              </w:rPr>
              <w:t>-1</w:t>
            </w:r>
          </w:p>
        </w:tc>
        <w:tc>
          <w:tcPr>
            <w:tcW w:w="2551" w:type="dxa"/>
            <w:vAlign w:val="center"/>
          </w:tcPr>
          <w:p w14:paraId="3DD36469" w14:textId="2DA5897B"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1C0F24">
              <w:rPr>
                <w:rFonts w:ascii="Verdana" w:hAnsi="Verdana"/>
                <w:sz w:val="18"/>
                <w:szCs w:val="18"/>
              </w:rPr>
              <w:t>1.80</w:t>
            </w:r>
            <w:r>
              <w:rPr>
                <w:rFonts w:ascii="Verdana" w:hAnsi="Verdana"/>
                <w:sz w:val="18"/>
                <w:szCs w:val="18"/>
              </w:rPr>
              <w:t>E-03</w:t>
            </w:r>
          </w:p>
        </w:tc>
        <w:tc>
          <w:tcPr>
            <w:tcW w:w="2642" w:type="dxa"/>
            <w:vAlign w:val="center"/>
          </w:tcPr>
          <w:p w14:paraId="71BFD7EC"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3DB19400" w14:textId="77777777">
        <w:trPr>
          <w:trHeight w:val="454"/>
        </w:trPr>
        <w:tc>
          <w:tcPr>
            <w:tcW w:w="1838" w:type="dxa"/>
            <w:vAlign w:val="center"/>
          </w:tcPr>
          <w:p w14:paraId="03FCA02A"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0D990C88" w14:textId="301D0368" w:rsidR="00BC1D4B" w:rsidRDefault="001C0F24">
            <w:pPr>
              <w:pStyle w:val="Corpsdetexte"/>
              <w:spacing w:after="0"/>
              <w:jc w:val="center"/>
              <w:rPr>
                <w:rFonts w:ascii="Verdana" w:hAnsi="Verdana"/>
                <w:sz w:val="18"/>
                <w:szCs w:val="18"/>
              </w:rPr>
            </w:pPr>
            <w:r>
              <w:rPr>
                <w:rFonts w:ascii="Verdana" w:hAnsi="Verdana"/>
                <w:sz w:val="18"/>
                <w:szCs w:val="18"/>
              </w:rPr>
              <w:t>3.29</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43826365" w14:textId="6B6C5D77" w:rsidR="00BC1D4B" w:rsidRDefault="00ED1F84">
            <w:pPr>
              <w:pStyle w:val="Corpsdetexte"/>
              <w:spacing w:after="0"/>
              <w:jc w:val="center"/>
              <w:rPr>
                <w:rFonts w:ascii="Verdana" w:hAnsi="Verdana"/>
                <w:sz w:val="18"/>
                <w:szCs w:val="18"/>
              </w:rPr>
            </w:pPr>
            <w:r>
              <w:rPr>
                <w:rFonts w:ascii="Verdana" w:hAnsi="Verdana"/>
                <w:sz w:val="18"/>
                <w:szCs w:val="18"/>
              </w:rPr>
              <w:t>RCR = 1.</w:t>
            </w:r>
            <w:r w:rsidR="001C0F24">
              <w:rPr>
                <w:rFonts w:ascii="Verdana" w:hAnsi="Verdana"/>
                <w:sz w:val="18"/>
                <w:szCs w:val="18"/>
              </w:rPr>
              <w:t>10</w:t>
            </w:r>
            <w:r>
              <w:rPr>
                <w:rFonts w:ascii="Verdana" w:hAnsi="Verdana"/>
                <w:sz w:val="18"/>
                <w:szCs w:val="18"/>
              </w:rPr>
              <w:t>E-02</w:t>
            </w:r>
          </w:p>
        </w:tc>
        <w:tc>
          <w:tcPr>
            <w:tcW w:w="2642" w:type="dxa"/>
            <w:vAlign w:val="center"/>
          </w:tcPr>
          <w:p w14:paraId="7C2BF70C"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07146F29" w14:textId="77777777">
        <w:trPr>
          <w:trHeight w:val="454"/>
        </w:trPr>
        <w:tc>
          <w:tcPr>
            <w:tcW w:w="1838" w:type="dxa"/>
            <w:vAlign w:val="center"/>
          </w:tcPr>
          <w:p w14:paraId="60879B97"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4D68D6A8" w14:textId="13670FF6" w:rsidR="00BC1D4B" w:rsidRDefault="00ED1F84">
            <w:pPr>
              <w:pStyle w:val="Corpsdetexte"/>
              <w:spacing w:after="0"/>
              <w:jc w:val="center"/>
              <w:rPr>
                <w:rFonts w:ascii="Verdana" w:hAnsi="Verdana"/>
                <w:sz w:val="18"/>
                <w:szCs w:val="18"/>
              </w:rPr>
            </w:pPr>
            <w:r>
              <w:rPr>
                <w:rFonts w:ascii="Verdana" w:hAnsi="Verdana"/>
                <w:sz w:val="18"/>
                <w:szCs w:val="18"/>
              </w:rPr>
              <w:t>1.</w:t>
            </w:r>
            <w:r w:rsidR="001C0F24">
              <w:rPr>
                <w:rFonts w:ascii="Verdana" w:hAnsi="Verdana"/>
                <w:sz w:val="18"/>
                <w:szCs w:val="18"/>
              </w:rPr>
              <w:t>03</w:t>
            </w:r>
            <w:r>
              <w:rPr>
                <w:rFonts w:ascii="Verdana" w:hAnsi="Verdana"/>
                <w:sz w:val="18"/>
                <w:szCs w:val="18"/>
              </w:rPr>
              <w:t>E-02 mg.kg</w:t>
            </w:r>
            <w:r>
              <w:rPr>
                <w:rFonts w:ascii="Verdana" w:hAnsi="Verdana"/>
                <w:sz w:val="18"/>
                <w:szCs w:val="18"/>
                <w:vertAlign w:val="superscript"/>
              </w:rPr>
              <w:t>-1</w:t>
            </w:r>
          </w:p>
        </w:tc>
        <w:tc>
          <w:tcPr>
            <w:tcW w:w="2551" w:type="dxa"/>
            <w:vAlign w:val="center"/>
          </w:tcPr>
          <w:p w14:paraId="49FFCCF6" w14:textId="334C369D"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1C0F24">
              <w:rPr>
                <w:rFonts w:ascii="Verdana" w:hAnsi="Verdana"/>
                <w:sz w:val="18"/>
                <w:szCs w:val="18"/>
              </w:rPr>
              <w:t>1.89</w:t>
            </w:r>
            <w:r>
              <w:rPr>
                <w:rFonts w:ascii="Verdana" w:hAnsi="Verdana"/>
                <w:sz w:val="18"/>
                <w:szCs w:val="18"/>
              </w:rPr>
              <w:t>E-02</w:t>
            </w:r>
          </w:p>
        </w:tc>
        <w:tc>
          <w:tcPr>
            <w:tcW w:w="2642" w:type="dxa"/>
            <w:vAlign w:val="center"/>
          </w:tcPr>
          <w:p w14:paraId="7566E2B7"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3169EFC4" w14:textId="77777777">
        <w:trPr>
          <w:trHeight w:val="454"/>
        </w:trPr>
        <w:tc>
          <w:tcPr>
            <w:tcW w:w="1838" w:type="dxa"/>
            <w:vAlign w:val="center"/>
          </w:tcPr>
          <w:p w14:paraId="35F921EE"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31977D7B" w14:textId="42F6C8BA"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6.</w:t>
            </w:r>
            <w:r w:rsidR="001C0F24">
              <w:rPr>
                <w:rFonts w:ascii="Verdana" w:hAnsi="Verdana"/>
                <w:sz w:val="18"/>
                <w:szCs w:val="18"/>
              </w:rPr>
              <w:t>53</w:t>
            </w:r>
            <w:r>
              <w:rPr>
                <w:rFonts w:ascii="Verdana" w:hAnsi="Verdana"/>
                <w:sz w:val="18"/>
                <w:szCs w:val="18"/>
              </w:rPr>
              <w:t>E-03 mg.kg</w:t>
            </w:r>
            <w:r>
              <w:rPr>
                <w:rFonts w:ascii="Verdana" w:hAnsi="Verdana"/>
                <w:sz w:val="18"/>
                <w:szCs w:val="18"/>
                <w:vertAlign w:val="superscript"/>
              </w:rPr>
              <w:t>-1</w:t>
            </w:r>
          </w:p>
        </w:tc>
        <w:tc>
          <w:tcPr>
            <w:tcW w:w="2551" w:type="dxa"/>
            <w:vAlign w:val="center"/>
          </w:tcPr>
          <w:p w14:paraId="1BB59F3E" w14:textId="6FC6FC22" w:rsidR="00BC1D4B" w:rsidRDefault="00ED1F84">
            <w:pPr>
              <w:pStyle w:val="Corpsdetexte"/>
              <w:spacing w:after="0"/>
              <w:jc w:val="center"/>
              <w:rPr>
                <w:rFonts w:ascii="Verdana" w:hAnsi="Verdana"/>
                <w:sz w:val="18"/>
                <w:szCs w:val="18"/>
              </w:rPr>
            </w:pPr>
            <w:r>
              <w:rPr>
                <w:rFonts w:ascii="Verdana" w:hAnsi="Verdana"/>
                <w:sz w:val="18"/>
                <w:szCs w:val="18"/>
              </w:rPr>
              <w:t>RCR = 1.8</w:t>
            </w:r>
            <w:r w:rsidR="001C0F24">
              <w:rPr>
                <w:rFonts w:ascii="Verdana" w:hAnsi="Verdana"/>
                <w:sz w:val="18"/>
                <w:szCs w:val="18"/>
              </w:rPr>
              <w:t>3</w:t>
            </w:r>
            <w:r>
              <w:rPr>
                <w:rFonts w:ascii="Verdana" w:hAnsi="Verdana"/>
                <w:sz w:val="18"/>
                <w:szCs w:val="18"/>
              </w:rPr>
              <w:t>E-02</w:t>
            </w:r>
          </w:p>
        </w:tc>
        <w:tc>
          <w:tcPr>
            <w:tcW w:w="2642" w:type="dxa"/>
            <w:vAlign w:val="center"/>
          </w:tcPr>
          <w:p w14:paraId="21AAD2E9"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33A518A5" w14:textId="77777777">
        <w:trPr>
          <w:trHeight w:val="454"/>
        </w:trPr>
        <w:tc>
          <w:tcPr>
            <w:tcW w:w="1838" w:type="dxa"/>
            <w:vAlign w:val="center"/>
          </w:tcPr>
          <w:p w14:paraId="481FF1BE"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0C89E111" w14:textId="77777777" w:rsidR="00BC1D4B" w:rsidRDefault="00ED1F84">
            <w:pPr>
              <w:pStyle w:val="Corpsdetexte"/>
              <w:spacing w:after="0"/>
              <w:jc w:val="center"/>
              <w:rPr>
                <w:rFonts w:ascii="Verdana" w:hAnsi="Verdana"/>
                <w:b/>
                <w:bCs/>
                <w:sz w:val="18"/>
                <w:szCs w:val="18"/>
                <w:lang w:val="en-US" w:eastAsia="fr-FR"/>
              </w:rPr>
            </w:pPr>
            <w:r>
              <w:rPr>
                <w:rFonts w:ascii="Verdana" w:hAnsi="Verdana"/>
                <w:b/>
                <w:bCs/>
                <w:sz w:val="18"/>
                <w:szCs w:val="18"/>
                <w:lang w:val="en-US" w:eastAsia="fr-FR"/>
              </w:rPr>
              <w:t>0.15 µg/l</w:t>
            </w:r>
          </w:p>
        </w:tc>
        <w:tc>
          <w:tcPr>
            <w:tcW w:w="5193" w:type="dxa"/>
            <w:gridSpan w:val="2"/>
            <w:vAlign w:val="center"/>
          </w:tcPr>
          <w:p w14:paraId="208BF0E4" w14:textId="77777777" w:rsidR="00BC1D4B" w:rsidRDefault="00BC1D4B">
            <w:pPr>
              <w:pStyle w:val="Corpsdetexte"/>
              <w:spacing w:after="0"/>
              <w:jc w:val="center"/>
              <w:rPr>
                <w:rFonts w:ascii="Verdana" w:hAnsi="Verdana"/>
                <w:b/>
                <w:sz w:val="18"/>
                <w:szCs w:val="18"/>
              </w:rPr>
            </w:pPr>
          </w:p>
        </w:tc>
      </w:tr>
      <w:tr w:rsidR="00BC1D4B" w14:paraId="0500AF1C" w14:textId="77777777">
        <w:trPr>
          <w:trHeight w:val="454"/>
        </w:trPr>
        <w:tc>
          <w:tcPr>
            <w:tcW w:w="1838" w:type="dxa"/>
            <w:shd w:val="clear" w:color="auto" w:fill="DBE5F1" w:themeFill="accent1" w:themeFillTint="33"/>
            <w:vAlign w:val="center"/>
          </w:tcPr>
          <w:p w14:paraId="5FAF4629" w14:textId="77777777" w:rsidR="00BC1D4B" w:rsidRDefault="00ED1F84">
            <w:pPr>
              <w:pStyle w:val="Corpsdetexte"/>
              <w:spacing w:after="0"/>
              <w:rPr>
                <w:rFonts w:ascii="Verdana" w:hAnsi="Verdana"/>
                <w:b/>
                <w:sz w:val="18"/>
                <w:szCs w:val="18"/>
              </w:rPr>
            </w:pPr>
            <w:r>
              <w:rPr>
                <w:rFonts w:ascii="Verdana" w:hAnsi="Verdana"/>
                <w:b/>
                <w:sz w:val="18"/>
                <w:szCs w:val="18"/>
              </w:rPr>
              <w:t>ES 10</w:t>
            </w:r>
          </w:p>
        </w:tc>
        <w:tc>
          <w:tcPr>
            <w:tcW w:w="7178" w:type="dxa"/>
            <w:gridSpan w:val="3"/>
            <w:shd w:val="clear" w:color="auto" w:fill="DBE5F1" w:themeFill="accent1" w:themeFillTint="33"/>
            <w:vAlign w:val="center"/>
          </w:tcPr>
          <w:p w14:paraId="62237307" w14:textId="77777777" w:rsidR="00BC1D4B" w:rsidRDefault="00ED1F84">
            <w:pPr>
              <w:pStyle w:val="Corpsdetexte"/>
              <w:spacing w:after="0"/>
              <w:jc w:val="both"/>
              <w:rPr>
                <w:rFonts w:ascii="Verdana" w:hAnsi="Verdana"/>
                <w:sz w:val="18"/>
                <w:szCs w:val="18"/>
              </w:rPr>
            </w:pPr>
            <w:r>
              <w:rPr>
                <w:rFonts w:ascii="Verdana" w:hAnsi="Verdana"/>
                <w:sz w:val="18"/>
                <w:szCs w:val="18"/>
              </w:rPr>
              <w:t>SL (professional worker) - Garage owner - tyres change</w:t>
            </w:r>
          </w:p>
        </w:tc>
      </w:tr>
      <w:tr w:rsidR="00BC1D4B" w14:paraId="3A1F5373" w14:textId="77777777">
        <w:trPr>
          <w:trHeight w:val="454"/>
        </w:trPr>
        <w:tc>
          <w:tcPr>
            <w:tcW w:w="1838" w:type="dxa"/>
            <w:vAlign w:val="center"/>
          </w:tcPr>
          <w:p w14:paraId="064A774E"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71CF8C4D" w14:textId="4FA6DF60" w:rsidR="00BC1D4B" w:rsidRDefault="00687879">
            <w:pPr>
              <w:pStyle w:val="Corpsdetexte"/>
              <w:spacing w:after="0"/>
              <w:jc w:val="center"/>
              <w:rPr>
                <w:rFonts w:ascii="Verdana" w:hAnsi="Verdana"/>
                <w:sz w:val="18"/>
                <w:szCs w:val="18"/>
              </w:rPr>
            </w:pPr>
            <w:r>
              <w:rPr>
                <w:rFonts w:ascii="Verdana" w:hAnsi="Verdana"/>
                <w:sz w:val="18"/>
                <w:szCs w:val="18"/>
              </w:rPr>
              <w:t>1.27</w:t>
            </w:r>
            <w:r w:rsidR="00ED1F84">
              <w:rPr>
                <w:rFonts w:ascii="Verdana" w:hAnsi="Verdana"/>
                <w:sz w:val="18"/>
                <w:szCs w:val="18"/>
              </w:rPr>
              <w:t>E-03 mg.l</w:t>
            </w:r>
            <w:r w:rsidR="00ED1F84">
              <w:rPr>
                <w:rFonts w:ascii="Verdana" w:hAnsi="Verdana"/>
                <w:sz w:val="18"/>
                <w:szCs w:val="18"/>
                <w:vertAlign w:val="superscript"/>
              </w:rPr>
              <w:t>-1</w:t>
            </w:r>
          </w:p>
        </w:tc>
        <w:tc>
          <w:tcPr>
            <w:tcW w:w="2551" w:type="dxa"/>
            <w:vAlign w:val="center"/>
          </w:tcPr>
          <w:p w14:paraId="4246632E" w14:textId="70C1ECCD"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687879">
              <w:rPr>
                <w:rFonts w:ascii="Verdana" w:hAnsi="Verdana"/>
                <w:sz w:val="18"/>
                <w:szCs w:val="18"/>
              </w:rPr>
              <w:t>8.62</w:t>
            </w:r>
            <w:r>
              <w:rPr>
                <w:rFonts w:ascii="Verdana" w:hAnsi="Verdana"/>
                <w:sz w:val="18"/>
                <w:szCs w:val="18"/>
              </w:rPr>
              <w:t>E-0</w:t>
            </w:r>
            <w:r w:rsidR="00687879">
              <w:rPr>
                <w:rFonts w:ascii="Verdana" w:hAnsi="Verdana"/>
                <w:sz w:val="18"/>
                <w:szCs w:val="18"/>
              </w:rPr>
              <w:t>4</w:t>
            </w:r>
          </w:p>
        </w:tc>
        <w:tc>
          <w:tcPr>
            <w:tcW w:w="2642" w:type="dxa"/>
            <w:vAlign w:val="center"/>
          </w:tcPr>
          <w:p w14:paraId="2157A345"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0F602D55" w14:textId="77777777">
        <w:trPr>
          <w:trHeight w:val="454"/>
        </w:trPr>
        <w:tc>
          <w:tcPr>
            <w:tcW w:w="1838" w:type="dxa"/>
            <w:vAlign w:val="center"/>
          </w:tcPr>
          <w:p w14:paraId="5ED14442"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1D347DE2" w14:textId="12F62057" w:rsidR="00BC1D4B" w:rsidRDefault="00687879">
            <w:pPr>
              <w:pStyle w:val="Corpsdetexte"/>
              <w:spacing w:after="0"/>
              <w:jc w:val="center"/>
              <w:rPr>
                <w:rFonts w:ascii="Verdana" w:hAnsi="Verdana"/>
                <w:sz w:val="18"/>
                <w:szCs w:val="18"/>
              </w:rPr>
            </w:pPr>
            <w:r>
              <w:rPr>
                <w:rFonts w:ascii="Verdana" w:hAnsi="Verdana"/>
                <w:sz w:val="18"/>
                <w:szCs w:val="18"/>
              </w:rPr>
              <w:t>1.92</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01CDFBC8" w14:textId="43199771"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687879">
              <w:rPr>
                <w:rFonts w:ascii="Verdana" w:hAnsi="Verdana"/>
                <w:sz w:val="18"/>
                <w:szCs w:val="18"/>
              </w:rPr>
              <w:t>6.40</w:t>
            </w:r>
            <w:r>
              <w:rPr>
                <w:rFonts w:ascii="Verdana" w:hAnsi="Verdana"/>
                <w:sz w:val="18"/>
                <w:szCs w:val="18"/>
              </w:rPr>
              <w:t>E-03</w:t>
            </w:r>
          </w:p>
        </w:tc>
        <w:tc>
          <w:tcPr>
            <w:tcW w:w="2642" w:type="dxa"/>
            <w:vAlign w:val="center"/>
          </w:tcPr>
          <w:p w14:paraId="5640CF5E"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0E935088" w14:textId="77777777">
        <w:trPr>
          <w:trHeight w:val="454"/>
        </w:trPr>
        <w:tc>
          <w:tcPr>
            <w:tcW w:w="1838" w:type="dxa"/>
            <w:vAlign w:val="center"/>
          </w:tcPr>
          <w:p w14:paraId="77B7DABC"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634F5BBA" w14:textId="090D8490" w:rsidR="00BC1D4B" w:rsidRDefault="00687879">
            <w:pPr>
              <w:pStyle w:val="Corpsdetexte"/>
              <w:spacing w:after="0"/>
              <w:jc w:val="center"/>
              <w:rPr>
                <w:rFonts w:ascii="Verdana" w:hAnsi="Verdana"/>
                <w:sz w:val="18"/>
                <w:szCs w:val="18"/>
              </w:rPr>
            </w:pPr>
            <w:r>
              <w:rPr>
                <w:rFonts w:ascii="Verdana" w:hAnsi="Verdana"/>
                <w:sz w:val="18"/>
                <w:szCs w:val="18"/>
              </w:rPr>
              <w:t>7.78</w:t>
            </w:r>
            <w:r w:rsidR="00ED1F84">
              <w:rPr>
                <w:rFonts w:ascii="Verdana" w:hAnsi="Verdana"/>
                <w:sz w:val="18"/>
                <w:szCs w:val="18"/>
              </w:rPr>
              <w:t>E-03 mg.kg</w:t>
            </w:r>
            <w:r w:rsidR="00ED1F84">
              <w:rPr>
                <w:rFonts w:ascii="Verdana" w:hAnsi="Verdana"/>
                <w:sz w:val="18"/>
                <w:szCs w:val="18"/>
                <w:vertAlign w:val="superscript"/>
              </w:rPr>
              <w:t>-1</w:t>
            </w:r>
          </w:p>
        </w:tc>
        <w:tc>
          <w:tcPr>
            <w:tcW w:w="2551" w:type="dxa"/>
            <w:vAlign w:val="center"/>
          </w:tcPr>
          <w:p w14:paraId="767ECB1B" w14:textId="36480762" w:rsidR="00BC1D4B" w:rsidRDefault="00ED1F84">
            <w:pPr>
              <w:pStyle w:val="Corpsdetexte"/>
              <w:spacing w:after="0"/>
              <w:jc w:val="center"/>
              <w:rPr>
                <w:rFonts w:ascii="Verdana" w:hAnsi="Verdana"/>
                <w:sz w:val="18"/>
                <w:szCs w:val="18"/>
              </w:rPr>
            </w:pPr>
            <w:r>
              <w:rPr>
                <w:rFonts w:ascii="Verdana" w:hAnsi="Verdana"/>
                <w:sz w:val="18"/>
                <w:szCs w:val="18"/>
              </w:rPr>
              <w:t>RCR = 1.</w:t>
            </w:r>
            <w:r w:rsidR="00687879">
              <w:rPr>
                <w:rFonts w:ascii="Verdana" w:hAnsi="Verdana"/>
                <w:sz w:val="18"/>
                <w:szCs w:val="18"/>
              </w:rPr>
              <w:t>43</w:t>
            </w:r>
            <w:r>
              <w:rPr>
                <w:rFonts w:ascii="Verdana" w:hAnsi="Verdana"/>
                <w:sz w:val="18"/>
                <w:szCs w:val="18"/>
              </w:rPr>
              <w:t>E-02</w:t>
            </w:r>
          </w:p>
        </w:tc>
        <w:tc>
          <w:tcPr>
            <w:tcW w:w="2642" w:type="dxa"/>
            <w:vAlign w:val="center"/>
          </w:tcPr>
          <w:p w14:paraId="7942B128"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5D50B36E" w14:textId="77777777">
        <w:trPr>
          <w:trHeight w:val="454"/>
        </w:trPr>
        <w:tc>
          <w:tcPr>
            <w:tcW w:w="1838" w:type="dxa"/>
            <w:vAlign w:val="center"/>
          </w:tcPr>
          <w:p w14:paraId="448534C4"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4546285B" w14:textId="149F9D2D"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3</w:t>
            </w:r>
            <w:r w:rsidR="00687879">
              <w:rPr>
                <w:rFonts w:ascii="Verdana" w:hAnsi="Verdana"/>
                <w:sz w:val="18"/>
                <w:szCs w:val="18"/>
              </w:rPr>
              <w:t>.20</w:t>
            </w:r>
            <w:r>
              <w:rPr>
                <w:rFonts w:ascii="Verdana" w:hAnsi="Verdana"/>
                <w:sz w:val="18"/>
                <w:szCs w:val="18"/>
              </w:rPr>
              <w:t>E-03 mg.kg</w:t>
            </w:r>
            <w:r>
              <w:rPr>
                <w:rFonts w:ascii="Verdana" w:hAnsi="Verdana"/>
                <w:sz w:val="18"/>
                <w:szCs w:val="18"/>
                <w:vertAlign w:val="superscript"/>
              </w:rPr>
              <w:t>-1</w:t>
            </w:r>
          </w:p>
        </w:tc>
        <w:tc>
          <w:tcPr>
            <w:tcW w:w="2551" w:type="dxa"/>
            <w:vAlign w:val="center"/>
          </w:tcPr>
          <w:p w14:paraId="2F870D24" w14:textId="2B4739D4"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687879">
              <w:rPr>
                <w:rFonts w:ascii="Verdana" w:hAnsi="Verdana"/>
                <w:sz w:val="18"/>
                <w:szCs w:val="18"/>
              </w:rPr>
              <w:t>8.95</w:t>
            </w:r>
            <w:r>
              <w:rPr>
                <w:rFonts w:ascii="Verdana" w:hAnsi="Verdana"/>
                <w:sz w:val="18"/>
                <w:szCs w:val="18"/>
              </w:rPr>
              <w:t>E-03</w:t>
            </w:r>
          </w:p>
        </w:tc>
        <w:tc>
          <w:tcPr>
            <w:tcW w:w="2642" w:type="dxa"/>
            <w:vAlign w:val="center"/>
          </w:tcPr>
          <w:p w14:paraId="6B0FEF00"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3DB803A4" w14:textId="77777777">
        <w:trPr>
          <w:trHeight w:val="454"/>
        </w:trPr>
        <w:tc>
          <w:tcPr>
            <w:tcW w:w="1838" w:type="dxa"/>
            <w:vAlign w:val="center"/>
          </w:tcPr>
          <w:p w14:paraId="7C007A78"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396742EF" w14:textId="229306EB"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7.0</w:t>
            </w:r>
            <w:r w:rsidR="00687879">
              <w:rPr>
                <w:rFonts w:ascii="Verdana" w:hAnsi="Verdana"/>
                <w:bCs/>
                <w:sz w:val="18"/>
                <w:szCs w:val="18"/>
                <w:lang w:val="en-US" w:eastAsia="fr-FR"/>
              </w:rPr>
              <w:t>1</w:t>
            </w:r>
            <w:r>
              <w:rPr>
                <w:rFonts w:ascii="Verdana" w:hAnsi="Verdana"/>
                <w:bCs/>
                <w:sz w:val="18"/>
                <w:szCs w:val="18"/>
                <w:lang w:val="en-US" w:eastAsia="fr-FR"/>
              </w:rPr>
              <w:t>E-02 µg/l</w:t>
            </w:r>
          </w:p>
        </w:tc>
        <w:tc>
          <w:tcPr>
            <w:tcW w:w="5193" w:type="dxa"/>
            <w:gridSpan w:val="2"/>
            <w:vAlign w:val="center"/>
          </w:tcPr>
          <w:p w14:paraId="497F8FAF" w14:textId="77777777" w:rsidR="00BC1D4B" w:rsidRDefault="00BC1D4B">
            <w:pPr>
              <w:pStyle w:val="Corpsdetexte"/>
              <w:spacing w:after="0"/>
              <w:jc w:val="center"/>
              <w:rPr>
                <w:rFonts w:ascii="Verdana" w:hAnsi="Verdana"/>
                <w:sz w:val="18"/>
                <w:szCs w:val="18"/>
              </w:rPr>
            </w:pPr>
          </w:p>
        </w:tc>
      </w:tr>
      <w:tr w:rsidR="00BC1D4B" w14:paraId="171E942C" w14:textId="77777777">
        <w:trPr>
          <w:trHeight w:val="454"/>
        </w:trPr>
        <w:tc>
          <w:tcPr>
            <w:tcW w:w="1838" w:type="dxa"/>
            <w:shd w:val="clear" w:color="auto" w:fill="DBE5F1" w:themeFill="accent1" w:themeFillTint="33"/>
            <w:vAlign w:val="center"/>
          </w:tcPr>
          <w:p w14:paraId="577086F7" w14:textId="77777777" w:rsidR="00BC1D4B" w:rsidRDefault="00ED1F84">
            <w:pPr>
              <w:pStyle w:val="Corpsdetexte"/>
              <w:spacing w:after="0"/>
              <w:rPr>
                <w:rFonts w:ascii="Verdana" w:hAnsi="Verdana"/>
                <w:b/>
                <w:sz w:val="18"/>
                <w:szCs w:val="18"/>
              </w:rPr>
            </w:pPr>
            <w:r>
              <w:rPr>
                <w:rFonts w:ascii="Verdana" w:hAnsi="Verdana"/>
                <w:b/>
                <w:sz w:val="18"/>
                <w:szCs w:val="18"/>
              </w:rPr>
              <w:t>ES 11</w:t>
            </w:r>
          </w:p>
        </w:tc>
        <w:tc>
          <w:tcPr>
            <w:tcW w:w="7178" w:type="dxa"/>
            <w:gridSpan w:val="3"/>
            <w:shd w:val="clear" w:color="auto" w:fill="DBE5F1" w:themeFill="accent1" w:themeFillTint="33"/>
            <w:vAlign w:val="center"/>
          </w:tcPr>
          <w:p w14:paraId="12F68A26" w14:textId="77777777" w:rsidR="00BC1D4B" w:rsidRDefault="00ED1F84">
            <w:pPr>
              <w:pStyle w:val="Corpsdetexte"/>
              <w:spacing w:after="0"/>
              <w:jc w:val="both"/>
              <w:rPr>
                <w:rFonts w:ascii="Verdana" w:hAnsi="Verdana"/>
                <w:b/>
                <w:sz w:val="18"/>
                <w:szCs w:val="18"/>
              </w:rPr>
            </w:pPr>
            <w:r>
              <w:rPr>
                <w:rFonts w:ascii="Verdana" w:hAnsi="Verdana"/>
                <w:sz w:val="18"/>
                <w:szCs w:val="18"/>
              </w:rPr>
              <w:t>SL (consumers) - Consumer use of tyres (vehicles)</w:t>
            </w:r>
          </w:p>
        </w:tc>
      </w:tr>
      <w:tr w:rsidR="00BC1D4B" w14:paraId="0F9D0692" w14:textId="77777777">
        <w:trPr>
          <w:trHeight w:val="454"/>
        </w:trPr>
        <w:tc>
          <w:tcPr>
            <w:tcW w:w="1838" w:type="dxa"/>
            <w:vAlign w:val="center"/>
          </w:tcPr>
          <w:p w14:paraId="0B271096"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74B41199" w14:textId="427A31DF" w:rsidR="00BC1D4B" w:rsidRDefault="00687879">
            <w:pPr>
              <w:pStyle w:val="Corpsdetexte"/>
              <w:spacing w:after="0"/>
              <w:jc w:val="center"/>
              <w:rPr>
                <w:rFonts w:ascii="Verdana" w:hAnsi="Verdana"/>
                <w:sz w:val="18"/>
                <w:szCs w:val="18"/>
              </w:rPr>
            </w:pPr>
            <w:r>
              <w:rPr>
                <w:rFonts w:ascii="Verdana" w:hAnsi="Verdana"/>
                <w:sz w:val="18"/>
                <w:szCs w:val="18"/>
              </w:rPr>
              <w:t>1.27</w:t>
            </w:r>
            <w:r w:rsidR="00ED1F84">
              <w:rPr>
                <w:rFonts w:ascii="Verdana" w:hAnsi="Verdana"/>
                <w:sz w:val="18"/>
                <w:szCs w:val="18"/>
              </w:rPr>
              <w:t>E-03 mg.l</w:t>
            </w:r>
            <w:r w:rsidR="00ED1F84">
              <w:rPr>
                <w:rFonts w:ascii="Verdana" w:hAnsi="Verdana"/>
                <w:sz w:val="18"/>
                <w:szCs w:val="18"/>
                <w:vertAlign w:val="superscript"/>
              </w:rPr>
              <w:t>-1</w:t>
            </w:r>
          </w:p>
        </w:tc>
        <w:tc>
          <w:tcPr>
            <w:tcW w:w="2551" w:type="dxa"/>
            <w:vAlign w:val="center"/>
          </w:tcPr>
          <w:p w14:paraId="3B1402E2" w14:textId="46042458"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687879">
              <w:rPr>
                <w:rFonts w:ascii="Verdana" w:hAnsi="Verdana"/>
                <w:sz w:val="18"/>
                <w:szCs w:val="18"/>
              </w:rPr>
              <w:t>8.62</w:t>
            </w:r>
            <w:r>
              <w:rPr>
                <w:rFonts w:ascii="Verdana" w:hAnsi="Verdana"/>
                <w:sz w:val="18"/>
                <w:szCs w:val="18"/>
              </w:rPr>
              <w:t>E-0</w:t>
            </w:r>
            <w:r w:rsidR="00687879">
              <w:rPr>
                <w:rFonts w:ascii="Verdana" w:hAnsi="Verdana"/>
                <w:sz w:val="18"/>
                <w:szCs w:val="18"/>
              </w:rPr>
              <w:t>4</w:t>
            </w:r>
          </w:p>
        </w:tc>
        <w:tc>
          <w:tcPr>
            <w:tcW w:w="2642" w:type="dxa"/>
            <w:vAlign w:val="center"/>
          </w:tcPr>
          <w:p w14:paraId="09BF6BF3"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73D1EC6C" w14:textId="77777777">
        <w:trPr>
          <w:trHeight w:val="454"/>
        </w:trPr>
        <w:tc>
          <w:tcPr>
            <w:tcW w:w="1838" w:type="dxa"/>
            <w:vAlign w:val="center"/>
          </w:tcPr>
          <w:p w14:paraId="1611D8D9"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45B8AD16" w14:textId="7B7C91BA" w:rsidR="00BC1D4B" w:rsidRDefault="00687879">
            <w:pPr>
              <w:pStyle w:val="Corpsdetexte"/>
              <w:spacing w:after="0"/>
              <w:jc w:val="center"/>
              <w:rPr>
                <w:rFonts w:ascii="Verdana" w:hAnsi="Verdana"/>
                <w:sz w:val="18"/>
                <w:szCs w:val="18"/>
              </w:rPr>
            </w:pPr>
            <w:r>
              <w:rPr>
                <w:rFonts w:ascii="Verdana" w:hAnsi="Verdana"/>
                <w:sz w:val="18"/>
                <w:szCs w:val="18"/>
              </w:rPr>
              <w:t>1.92</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58D4FDEE" w14:textId="669C5404"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687879">
              <w:rPr>
                <w:rFonts w:ascii="Verdana" w:hAnsi="Verdana"/>
                <w:sz w:val="18"/>
                <w:szCs w:val="18"/>
              </w:rPr>
              <w:t>6.40</w:t>
            </w:r>
            <w:r>
              <w:rPr>
                <w:rFonts w:ascii="Verdana" w:hAnsi="Verdana"/>
                <w:sz w:val="18"/>
                <w:szCs w:val="18"/>
              </w:rPr>
              <w:t>E-03</w:t>
            </w:r>
          </w:p>
        </w:tc>
        <w:tc>
          <w:tcPr>
            <w:tcW w:w="2642" w:type="dxa"/>
            <w:vAlign w:val="center"/>
          </w:tcPr>
          <w:p w14:paraId="7E1E8499"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6ABDDC5F" w14:textId="77777777">
        <w:trPr>
          <w:trHeight w:val="454"/>
        </w:trPr>
        <w:tc>
          <w:tcPr>
            <w:tcW w:w="1838" w:type="dxa"/>
            <w:vAlign w:val="center"/>
          </w:tcPr>
          <w:p w14:paraId="5767DB67"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4658D51C" w14:textId="18BD66FE" w:rsidR="00BC1D4B" w:rsidRDefault="00687879">
            <w:pPr>
              <w:pStyle w:val="Corpsdetexte"/>
              <w:spacing w:after="0"/>
              <w:jc w:val="center"/>
              <w:rPr>
                <w:rFonts w:ascii="Verdana" w:hAnsi="Verdana"/>
                <w:sz w:val="18"/>
                <w:szCs w:val="18"/>
              </w:rPr>
            </w:pPr>
            <w:r>
              <w:rPr>
                <w:rFonts w:ascii="Verdana" w:hAnsi="Verdana"/>
                <w:sz w:val="18"/>
                <w:szCs w:val="18"/>
              </w:rPr>
              <w:t>7.78</w:t>
            </w:r>
            <w:r w:rsidR="00ED1F84">
              <w:rPr>
                <w:rFonts w:ascii="Verdana" w:hAnsi="Verdana"/>
                <w:sz w:val="18"/>
                <w:szCs w:val="18"/>
              </w:rPr>
              <w:t>E-03 mg.kg</w:t>
            </w:r>
            <w:r w:rsidR="00ED1F84">
              <w:rPr>
                <w:rFonts w:ascii="Verdana" w:hAnsi="Verdana"/>
                <w:sz w:val="18"/>
                <w:szCs w:val="18"/>
                <w:vertAlign w:val="superscript"/>
              </w:rPr>
              <w:t>-1</w:t>
            </w:r>
          </w:p>
        </w:tc>
        <w:tc>
          <w:tcPr>
            <w:tcW w:w="2551" w:type="dxa"/>
            <w:vAlign w:val="center"/>
          </w:tcPr>
          <w:p w14:paraId="58F47314" w14:textId="148A19D4" w:rsidR="00BC1D4B" w:rsidRDefault="00ED1F84">
            <w:pPr>
              <w:pStyle w:val="Corpsdetexte"/>
              <w:spacing w:after="0"/>
              <w:jc w:val="center"/>
              <w:rPr>
                <w:rFonts w:ascii="Verdana" w:hAnsi="Verdana"/>
                <w:sz w:val="18"/>
                <w:szCs w:val="18"/>
              </w:rPr>
            </w:pPr>
            <w:r>
              <w:rPr>
                <w:rFonts w:ascii="Verdana" w:hAnsi="Verdana"/>
                <w:sz w:val="18"/>
                <w:szCs w:val="18"/>
              </w:rPr>
              <w:t>RCR = 1.</w:t>
            </w:r>
            <w:r w:rsidR="00687879">
              <w:rPr>
                <w:rFonts w:ascii="Verdana" w:hAnsi="Verdana"/>
                <w:sz w:val="18"/>
                <w:szCs w:val="18"/>
              </w:rPr>
              <w:t>43</w:t>
            </w:r>
            <w:r>
              <w:rPr>
                <w:rFonts w:ascii="Verdana" w:hAnsi="Verdana"/>
                <w:sz w:val="18"/>
                <w:szCs w:val="18"/>
              </w:rPr>
              <w:t>E-02</w:t>
            </w:r>
          </w:p>
        </w:tc>
        <w:tc>
          <w:tcPr>
            <w:tcW w:w="2642" w:type="dxa"/>
            <w:vAlign w:val="center"/>
          </w:tcPr>
          <w:p w14:paraId="34EFB34A"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5016C293" w14:textId="77777777">
        <w:trPr>
          <w:trHeight w:val="454"/>
        </w:trPr>
        <w:tc>
          <w:tcPr>
            <w:tcW w:w="1838" w:type="dxa"/>
            <w:vAlign w:val="center"/>
          </w:tcPr>
          <w:p w14:paraId="10BC1516"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1A81A80A" w14:textId="1B853542"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3.2</w:t>
            </w:r>
            <w:r w:rsidR="00687879">
              <w:rPr>
                <w:rFonts w:ascii="Verdana" w:hAnsi="Verdana"/>
                <w:sz w:val="18"/>
                <w:szCs w:val="18"/>
              </w:rPr>
              <w:t>0</w:t>
            </w:r>
            <w:r>
              <w:rPr>
                <w:rFonts w:ascii="Verdana" w:hAnsi="Verdana"/>
                <w:sz w:val="18"/>
                <w:szCs w:val="18"/>
              </w:rPr>
              <w:t>E-03 mg.kg</w:t>
            </w:r>
            <w:r>
              <w:rPr>
                <w:rFonts w:ascii="Verdana" w:hAnsi="Verdana"/>
                <w:sz w:val="18"/>
                <w:szCs w:val="18"/>
                <w:vertAlign w:val="superscript"/>
              </w:rPr>
              <w:t>-1</w:t>
            </w:r>
          </w:p>
        </w:tc>
        <w:tc>
          <w:tcPr>
            <w:tcW w:w="2551" w:type="dxa"/>
            <w:vAlign w:val="center"/>
          </w:tcPr>
          <w:p w14:paraId="7B184033" w14:textId="62BD3397"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687879">
              <w:rPr>
                <w:rFonts w:ascii="Verdana" w:hAnsi="Verdana"/>
                <w:sz w:val="18"/>
                <w:szCs w:val="18"/>
              </w:rPr>
              <w:t>8.95</w:t>
            </w:r>
            <w:r>
              <w:rPr>
                <w:rFonts w:ascii="Verdana" w:hAnsi="Verdana"/>
                <w:sz w:val="18"/>
                <w:szCs w:val="18"/>
              </w:rPr>
              <w:t>E-03</w:t>
            </w:r>
          </w:p>
        </w:tc>
        <w:tc>
          <w:tcPr>
            <w:tcW w:w="2642" w:type="dxa"/>
            <w:vAlign w:val="center"/>
          </w:tcPr>
          <w:p w14:paraId="6C63EA0C"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28D4976D" w14:textId="77777777">
        <w:trPr>
          <w:trHeight w:val="454"/>
        </w:trPr>
        <w:tc>
          <w:tcPr>
            <w:tcW w:w="1838" w:type="dxa"/>
            <w:vAlign w:val="center"/>
          </w:tcPr>
          <w:p w14:paraId="143350C1"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0FADBD4E" w14:textId="771F3E8E"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7.0</w:t>
            </w:r>
            <w:r w:rsidR="00687879">
              <w:rPr>
                <w:rFonts w:ascii="Verdana" w:hAnsi="Verdana"/>
                <w:bCs/>
                <w:sz w:val="18"/>
                <w:szCs w:val="18"/>
                <w:lang w:val="en-US" w:eastAsia="fr-FR"/>
              </w:rPr>
              <w:t>1</w:t>
            </w:r>
            <w:r>
              <w:rPr>
                <w:rFonts w:ascii="Verdana" w:hAnsi="Verdana"/>
                <w:bCs/>
                <w:sz w:val="18"/>
                <w:szCs w:val="18"/>
                <w:lang w:val="en-US" w:eastAsia="fr-FR"/>
              </w:rPr>
              <w:t>E-02 µg/l</w:t>
            </w:r>
          </w:p>
        </w:tc>
        <w:tc>
          <w:tcPr>
            <w:tcW w:w="5193" w:type="dxa"/>
            <w:gridSpan w:val="2"/>
            <w:vAlign w:val="center"/>
          </w:tcPr>
          <w:p w14:paraId="17440DDD" w14:textId="77777777" w:rsidR="00BC1D4B" w:rsidRDefault="00BC1D4B">
            <w:pPr>
              <w:pStyle w:val="Corpsdetexte"/>
              <w:spacing w:after="0"/>
              <w:jc w:val="center"/>
              <w:rPr>
                <w:rFonts w:ascii="Verdana" w:hAnsi="Verdana"/>
                <w:sz w:val="18"/>
                <w:szCs w:val="18"/>
              </w:rPr>
            </w:pPr>
          </w:p>
        </w:tc>
      </w:tr>
      <w:tr w:rsidR="00BC1D4B" w14:paraId="5ED63BD3" w14:textId="77777777">
        <w:trPr>
          <w:trHeight w:val="454"/>
        </w:trPr>
        <w:tc>
          <w:tcPr>
            <w:tcW w:w="1838" w:type="dxa"/>
            <w:shd w:val="clear" w:color="auto" w:fill="DBE5F1" w:themeFill="accent1" w:themeFillTint="33"/>
            <w:vAlign w:val="center"/>
          </w:tcPr>
          <w:p w14:paraId="7EC1F6A7" w14:textId="77777777" w:rsidR="00BC1D4B" w:rsidRDefault="00ED1F84">
            <w:pPr>
              <w:pStyle w:val="Corpsdetexte"/>
              <w:spacing w:after="0"/>
              <w:rPr>
                <w:rFonts w:ascii="Verdana" w:hAnsi="Verdana"/>
                <w:b/>
                <w:sz w:val="18"/>
                <w:szCs w:val="18"/>
              </w:rPr>
            </w:pPr>
            <w:r>
              <w:rPr>
                <w:rFonts w:ascii="Verdana" w:hAnsi="Verdana"/>
                <w:b/>
                <w:sz w:val="18"/>
                <w:szCs w:val="18"/>
              </w:rPr>
              <w:t>ES 12</w:t>
            </w:r>
          </w:p>
        </w:tc>
        <w:tc>
          <w:tcPr>
            <w:tcW w:w="7178" w:type="dxa"/>
            <w:gridSpan w:val="3"/>
            <w:shd w:val="clear" w:color="auto" w:fill="DBE5F1" w:themeFill="accent1" w:themeFillTint="33"/>
            <w:vAlign w:val="center"/>
          </w:tcPr>
          <w:p w14:paraId="72205E80" w14:textId="77777777" w:rsidR="00BC1D4B" w:rsidRDefault="00ED1F84">
            <w:pPr>
              <w:pStyle w:val="Corpsdetexte"/>
              <w:spacing w:after="0"/>
              <w:jc w:val="both"/>
              <w:rPr>
                <w:rFonts w:ascii="Verdana" w:hAnsi="Verdana"/>
                <w:b/>
                <w:sz w:val="18"/>
                <w:szCs w:val="18"/>
              </w:rPr>
            </w:pPr>
            <w:r>
              <w:rPr>
                <w:rFonts w:ascii="Verdana" w:hAnsi="Verdana"/>
                <w:sz w:val="18"/>
                <w:szCs w:val="18"/>
              </w:rPr>
              <w:t>SL (professional worker) - End of Life Tyre: ELT pre-processing storage</w:t>
            </w:r>
          </w:p>
        </w:tc>
      </w:tr>
      <w:tr w:rsidR="00BC1D4B" w14:paraId="7856A213" w14:textId="77777777">
        <w:trPr>
          <w:trHeight w:val="454"/>
        </w:trPr>
        <w:tc>
          <w:tcPr>
            <w:tcW w:w="1838" w:type="dxa"/>
            <w:vAlign w:val="center"/>
          </w:tcPr>
          <w:p w14:paraId="5BC1FA12"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3BA37E60" w14:textId="770B85F7" w:rsidR="00BC1D4B" w:rsidRDefault="00687879">
            <w:pPr>
              <w:pStyle w:val="Corpsdetexte"/>
              <w:spacing w:after="0"/>
              <w:jc w:val="center"/>
              <w:rPr>
                <w:rFonts w:ascii="Verdana" w:hAnsi="Verdana"/>
                <w:sz w:val="18"/>
                <w:szCs w:val="18"/>
              </w:rPr>
            </w:pPr>
            <w:r>
              <w:rPr>
                <w:rFonts w:ascii="Verdana" w:hAnsi="Verdana"/>
                <w:sz w:val="18"/>
                <w:szCs w:val="18"/>
              </w:rPr>
              <w:t>3.49</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0A33E9B1" w14:textId="211025B7" w:rsidR="00BC1D4B" w:rsidRDefault="00ED1F84">
            <w:pPr>
              <w:pStyle w:val="Corpsdetexte"/>
              <w:spacing w:after="0"/>
              <w:jc w:val="center"/>
              <w:rPr>
                <w:rFonts w:ascii="Verdana" w:hAnsi="Verdana"/>
                <w:sz w:val="18"/>
                <w:szCs w:val="18"/>
              </w:rPr>
            </w:pPr>
            <w:r>
              <w:rPr>
                <w:rFonts w:ascii="Verdana" w:hAnsi="Verdana"/>
                <w:sz w:val="18"/>
                <w:szCs w:val="18"/>
              </w:rPr>
              <w:t>RCR =</w:t>
            </w:r>
            <w:r w:rsidR="00687879">
              <w:rPr>
                <w:rFonts w:ascii="Verdana" w:hAnsi="Verdana"/>
                <w:sz w:val="18"/>
                <w:szCs w:val="18"/>
              </w:rPr>
              <w:t>2.37</w:t>
            </w:r>
            <w:r>
              <w:rPr>
                <w:rFonts w:ascii="Verdana" w:hAnsi="Verdana"/>
                <w:sz w:val="18"/>
                <w:szCs w:val="18"/>
              </w:rPr>
              <w:t>E-04</w:t>
            </w:r>
          </w:p>
        </w:tc>
        <w:tc>
          <w:tcPr>
            <w:tcW w:w="2642" w:type="dxa"/>
            <w:vAlign w:val="center"/>
          </w:tcPr>
          <w:p w14:paraId="0498E35A"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7FAFE381" w14:textId="77777777">
        <w:trPr>
          <w:trHeight w:val="454"/>
        </w:trPr>
        <w:tc>
          <w:tcPr>
            <w:tcW w:w="1838" w:type="dxa"/>
            <w:vAlign w:val="center"/>
          </w:tcPr>
          <w:p w14:paraId="2E949D74"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16692A02" w14:textId="3DC08F0D" w:rsidR="00BC1D4B" w:rsidRDefault="00ED1F84">
            <w:pPr>
              <w:pStyle w:val="Corpsdetexte"/>
              <w:spacing w:after="0"/>
              <w:jc w:val="center"/>
              <w:rPr>
                <w:rFonts w:ascii="Verdana" w:hAnsi="Verdana"/>
                <w:sz w:val="18"/>
                <w:szCs w:val="18"/>
              </w:rPr>
            </w:pPr>
            <w:r>
              <w:rPr>
                <w:rFonts w:ascii="Verdana" w:hAnsi="Verdana"/>
                <w:sz w:val="18"/>
                <w:szCs w:val="18"/>
              </w:rPr>
              <w:t>1.</w:t>
            </w:r>
            <w:r w:rsidR="00687879">
              <w:rPr>
                <w:rFonts w:ascii="Verdana" w:hAnsi="Verdana"/>
                <w:sz w:val="18"/>
                <w:szCs w:val="18"/>
              </w:rPr>
              <w:t>00</w:t>
            </w:r>
            <w:r>
              <w:rPr>
                <w:rFonts w:ascii="Verdana" w:hAnsi="Verdana"/>
                <w:sz w:val="18"/>
                <w:szCs w:val="18"/>
              </w:rPr>
              <w:t>E-04 mg.l</w:t>
            </w:r>
            <w:r>
              <w:rPr>
                <w:rFonts w:ascii="Verdana" w:hAnsi="Verdana"/>
                <w:sz w:val="18"/>
                <w:szCs w:val="18"/>
                <w:vertAlign w:val="superscript"/>
              </w:rPr>
              <w:t>-1</w:t>
            </w:r>
          </w:p>
        </w:tc>
        <w:tc>
          <w:tcPr>
            <w:tcW w:w="2551" w:type="dxa"/>
            <w:vAlign w:val="center"/>
          </w:tcPr>
          <w:p w14:paraId="5B7D5169" w14:textId="187F4F6F"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687879">
              <w:rPr>
                <w:rFonts w:ascii="Verdana" w:hAnsi="Verdana"/>
                <w:sz w:val="18"/>
                <w:szCs w:val="18"/>
              </w:rPr>
              <w:t>3.34</w:t>
            </w:r>
            <w:r>
              <w:rPr>
                <w:rFonts w:ascii="Verdana" w:hAnsi="Verdana"/>
                <w:sz w:val="18"/>
                <w:szCs w:val="18"/>
              </w:rPr>
              <w:t>E-03</w:t>
            </w:r>
          </w:p>
        </w:tc>
        <w:tc>
          <w:tcPr>
            <w:tcW w:w="2642" w:type="dxa"/>
            <w:vAlign w:val="center"/>
          </w:tcPr>
          <w:p w14:paraId="71A91C4E"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795F1743" w14:textId="77777777">
        <w:trPr>
          <w:trHeight w:val="454"/>
        </w:trPr>
        <w:tc>
          <w:tcPr>
            <w:tcW w:w="1838" w:type="dxa"/>
            <w:vAlign w:val="center"/>
          </w:tcPr>
          <w:p w14:paraId="19B7BFC8"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39450F22" w14:textId="5502F6B2" w:rsidR="00BC1D4B" w:rsidRDefault="00ED1F84">
            <w:pPr>
              <w:pStyle w:val="Corpsdetexte"/>
              <w:spacing w:after="0"/>
              <w:jc w:val="center"/>
              <w:rPr>
                <w:rFonts w:ascii="Verdana" w:hAnsi="Verdana"/>
                <w:sz w:val="18"/>
                <w:szCs w:val="18"/>
              </w:rPr>
            </w:pPr>
            <w:r>
              <w:rPr>
                <w:rFonts w:ascii="Verdana" w:hAnsi="Verdana"/>
                <w:sz w:val="18"/>
                <w:szCs w:val="18"/>
              </w:rPr>
              <w:t>6.</w:t>
            </w:r>
            <w:r w:rsidR="00687879">
              <w:rPr>
                <w:rFonts w:ascii="Verdana" w:hAnsi="Verdana"/>
                <w:sz w:val="18"/>
                <w:szCs w:val="18"/>
              </w:rPr>
              <w:t>10</w:t>
            </w:r>
            <w:r>
              <w:rPr>
                <w:rFonts w:ascii="Verdana" w:hAnsi="Verdana"/>
                <w:sz w:val="18"/>
                <w:szCs w:val="18"/>
              </w:rPr>
              <w:t>E-03 mg.kg</w:t>
            </w:r>
            <w:r>
              <w:rPr>
                <w:rFonts w:ascii="Verdana" w:hAnsi="Verdana"/>
                <w:sz w:val="18"/>
                <w:szCs w:val="18"/>
                <w:vertAlign w:val="superscript"/>
              </w:rPr>
              <w:t>-1</w:t>
            </w:r>
          </w:p>
        </w:tc>
        <w:tc>
          <w:tcPr>
            <w:tcW w:w="2551" w:type="dxa"/>
            <w:vAlign w:val="center"/>
          </w:tcPr>
          <w:p w14:paraId="29625D06" w14:textId="22F90FEE" w:rsidR="00BC1D4B" w:rsidRDefault="00ED1F84">
            <w:pPr>
              <w:pStyle w:val="Corpsdetexte"/>
              <w:spacing w:after="0"/>
              <w:jc w:val="center"/>
              <w:rPr>
                <w:rFonts w:ascii="Verdana" w:hAnsi="Verdana"/>
                <w:sz w:val="18"/>
                <w:szCs w:val="18"/>
              </w:rPr>
            </w:pPr>
            <w:r>
              <w:rPr>
                <w:rFonts w:ascii="Verdana" w:hAnsi="Verdana"/>
                <w:sz w:val="18"/>
                <w:szCs w:val="18"/>
              </w:rPr>
              <w:t>RCR = 1.1</w:t>
            </w:r>
            <w:r w:rsidR="00687879">
              <w:rPr>
                <w:rFonts w:ascii="Verdana" w:hAnsi="Verdana"/>
                <w:sz w:val="18"/>
                <w:szCs w:val="18"/>
              </w:rPr>
              <w:t>2</w:t>
            </w:r>
            <w:r>
              <w:rPr>
                <w:rFonts w:ascii="Verdana" w:hAnsi="Verdana"/>
                <w:sz w:val="18"/>
                <w:szCs w:val="18"/>
              </w:rPr>
              <w:t>E-02</w:t>
            </w:r>
          </w:p>
        </w:tc>
        <w:tc>
          <w:tcPr>
            <w:tcW w:w="2642" w:type="dxa"/>
            <w:vAlign w:val="center"/>
          </w:tcPr>
          <w:p w14:paraId="3D978892"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1B5C4903" w14:textId="77777777">
        <w:trPr>
          <w:trHeight w:val="454"/>
        </w:trPr>
        <w:tc>
          <w:tcPr>
            <w:tcW w:w="1838" w:type="dxa"/>
            <w:vAlign w:val="center"/>
          </w:tcPr>
          <w:p w14:paraId="500C5774"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0483EF8F" w14:textId="2B5D88F0"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9.</w:t>
            </w:r>
            <w:r w:rsidR="00687879">
              <w:rPr>
                <w:rFonts w:ascii="Verdana" w:hAnsi="Verdana"/>
                <w:sz w:val="18"/>
                <w:szCs w:val="18"/>
              </w:rPr>
              <w:t>74</w:t>
            </w:r>
            <w:r>
              <w:rPr>
                <w:rFonts w:ascii="Verdana" w:hAnsi="Verdana"/>
                <w:sz w:val="18"/>
                <w:szCs w:val="18"/>
              </w:rPr>
              <w:t>E-04 mg.kg</w:t>
            </w:r>
            <w:r>
              <w:rPr>
                <w:rFonts w:ascii="Verdana" w:hAnsi="Verdana"/>
                <w:sz w:val="18"/>
                <w:szCs w:val="18"/>
                <w:vertAlign w:val="superscript"/>
              </w:rPr>
              <w:t>-1</w:t>
            </w:r>
          </w:p>
        </w:tc>
        <w:tc>
          <w:tcPr>
            <w:tcW w:w="2551" w:type="dxa"/>
            <w:vAlign w:val="center"/>
          </w:tcPr>
          <w:p w14:paraId="548A0270" w14:textId="74C50E23" w:rsidR="00BC1D4B" w:rsidRDefault="00ED1F84">
            <w:pPr>
              <w:pStyle w:val="Corpsdetexte"/>
              <w:spacing w:after="0"/>
              <w:jc w:val="center"/>
              <w:rPr>
                <w:rFonts w:ascii="Verdana" w:hAnsi="Verdana"/>
                <w:sz w:val="18"/>
                <w:szCs w:val="18"/>
              </w:rPr>
            </w:pPr>
            <w:r>
              <w:rPr>
                <w:rFonts w:ascii="Verdana" w:hAnsi="Verdana"/>
                <w:sz w:val="18"/>
                <w:szCs w:val="18"/>
              </w:rPr>
              <w:t>RCR = 2.7</w:t>
            </w:r>
            <w:r w:rsidR="00687879">
              <w:rPr>
                <w:rFonts w:ascii="Verdana" w:hAnsi="Verdana"/>
                <w:sz w:val="18"/>
                <w:szCs w:val="18"/>
              </w:rPr>
              <w:t>2</w:t>
            </w:r>
            <w:r>
              <w:rPr>
                <w:rFonts w:ascii="Verdana" w:hAnsi="Verdana"/>
                <w:sz w:val="18"/>
                <w:szCs w:val="18"/>
              </w:rPr>
              <w:t>E-03</w:t>
            </w:r>
          </w:p>
        </w:tc>
        <w:tc>
          <w:tcPr>
            <w:tcW w:w="2642" w:type="dxa"/>
            <w:vAlign w:val="center"/>
          </w:tcPr>
          <w:p w14:paraId="4D8C5316"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44ADD3D9" w14:textId="77777777">
        <w:trPr>
          <w:trHeight w:val="454"/>
        </w:trPr>
        <w:tc>
          <w:tcPr>
            <w:tcW w:w="1838" w:type="dxa"/>
            <w:vAlign w:val="center"/>
          </w:tcPr>
          <w:p w14:paraId="3E69BFA6"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79EA08AF" w14:textId="45E07894"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1.9</w:t>
            </w:r>
            <w:r w:rsidR="00687879">
              <w:rPr>
                <w:rFonts w:ascii="Verdana" w:hAnsi="Verdana"/>
                <w:bCs/>
                <w:sz w:val="18"/>
                <w:szCs w:val="18"/>
                <w:lang w:val="en-US" w:eastAsia="fr-FR"/>
              </w:rPr>
              <w:t>3</w:t>
            </w:r>
            <w:r>
              <w:rPr>
                <w:rFonts w:ascii="Verdana" w:hAnsi="Verdana"/>
                <w:bCs/>
                <w:sz w:val="18"/>
                <w:szCs w:val="18"/>
                <w:lang w:val="en-US" w:eastAsia="fr-FR"/>
              </w:rPr>
              <w:t>E-02 µg/l</w:t>
            </w:r>
          </w:p>
        </w:tc>
        <w:tc>
          <w:tcPr>
            <w:tcW w:w="5193" w:type="dxa"/>
            <w:gridSpan w:val="2"/>
            <w:vAlign w:val="center"/>
          </w:tcPr>
          <w:p w14:paraId="225C296C" w14:textId="77777777" w:rsidR="00BC1D4B" w:rsidRDefault="00BC1D4B">
            <w:pPr>
              <w:pStyle w:val="Corpsdetexte"/>
              <w:spacing w:after="0"/>
              <w:jc w:val="center"/>
              <w:rPr>
                <w:rFonts w:ascii="Verdana" w:hAnsi="Verdana"/>
                <w:sz w:val="18"/>
                <w:szCs w:val="18"/>
              </w:rPr>
            </w:pPr>
          </w:p>
        </w:tc>
      </w:tr>
      <w:tr w:rsidR="00BC1D4B" w14:paraId="2AE51301" w14:textId="77777777">
        <w:trPr>
          <w:trHeight w:val="454"/>
        </w:trPr>
        <w:tc>
          <w:tcPr>
            <w:tcW w:w="1838" w:type="dxa"/>
            <w:shd w:val="clear" w:color="auto" w:fill="DBE5F1" w:themeFill="accent1" w:themeFillTint="33"/>
            <w:vAlign w:val="center"/>
          </w:tcPr>
          <w:p w14:paraId="5BA50DD6" w14:textId="5A4E7E34" w:rsidR="00BC1D4B" w:rsidRDefault="00ED1F84">
            <w:pPr>
              <w:pStyle w:val="Corpsdetexte"/>
              <w:spacing w:after="0"/>
              <w:rPr>
                <w:rFonts w:ascii="Verdana" w:hAnsi="Verdana"/>
                <w:b/>
                <w:sz w:val="18"/>
                <w:szCs w:val="18"/>
              </w:rPr>
            </w:pPr>
            <w:r>
              <w:rPr>
                <w:rFonts w:ascii="Verdana" w:hAnsi="Verdana"/>
                <w:b/>
                <w:sz w:val="18"/>
                <w:szCs w:val="18"/>
              </w:rPr>
              <w:lastRenderedPageBreak/>
              <w:t>ES 13</w:t>
            </w:r>
          </w:p>
        </w:tc>
        <w:tc>
          <w:tcPr>
            <w:tcW w:w="7178" w:type="dxa"/>
            <w:gridSpan w:val="3"/>
            <w:shd w:val="clear" w:color="auto" w:fill="DBE5F1" w:themeFill="accent1" w:themeFillTint="33"/>
            <w:vAlign w:val="center"/>
          </w:tcPr>
          <w:p w14:paraId="6610BB0F" w14:textId="77777777" w:rsidR="00BC1D4B" w:rsidRDefault="00ED1F84">
            <w:pPr>
              <w:pStyle w:val="Corpsdetexte"/>
              <w:spacing w:after="0"/>
              <w:jc w:val="both"/>
              <w:rPr>
                <w:rFonts w:ascii="Verdana" w:hAnsi="Verdana"/>
                <w:b/>
                <w:sz w:val="18"/>
                <w:szCs w:val="18"/>
              </w:rPr>
            </w:pPr>
            <w:r>
              <w:rPr>
                <w:rFonts w:ascii="Verdana" w:hAnsi="Verdana"/>
                <w:sz w:val="18"/>
                <w:szCs w:val="18"/>
              </w:rPr>
              <w:t>F - End of Life tyre: Coarse shredding</w:t>
            </w:r>
          </w:p>
        </w:tc>
      </w:tr>
      <w:tr w:rsidR="00BC1D4B" w14:paraId="22E65923" w14:textId="77777777">
        <w:trPr>
          <w:trHeight w:val="454"/>
        </w:trPr>
        <w:tc>
          <w:tcPr>
            <w:tcW w:w="1838" w:type="dxa"/>
            <w:vAlign w:val="center"/>
          </w:tcPr>
          <w:p w14:paraId="3116DE10"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5551D757"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551" w:type="dxa"/>
            <w:vAlign w:val="center"/>
          </w:tcPr>
          <w:p w14:paraId="3FBF020B"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1DBE26E1"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r>
      <w:tr w:rsidR="00BC1D4B" w14:paraId="0159F0D5" w14:textId="77777777">
        <w:trPr>
          <w:trHeight w:val="454"/>
        </w:trPr>
        <w:tc>
          <w:tcPr>
            <w:tcW w:w="1838" w:type="dxa"/>
            <w:vAlign w:val="center"/>
          </w:tcPr>
          <w:p w14:paraId="79F64D8E"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790A497A" w14:textId="77777777" w:rsidR="00BC1D4B" w:rsidRDefault="00ED1F84">
            <w:pPr>
              <w:pStyle w:val="Corpsdetexte"/>
              <w:spacing w:after="0"/>
              <w:jc w:val="center"/>
              <w:rPr>
                <w:rFonts w:ascii="Verdana" w:hAnsi="Verdana"/>
                <w:sz w:val="18"/>
                <w:szCs w:val="18"/>
              </w:rPr>
            </w:pPr>
            <w:r>
              <w:rPr>
                <w:rFonts w:ascii="Verdana" w:hAnsi="Verdana"/>
                <w:sz w:val="18"/>
                <w:szCs w:val="18"/>
              </w:rPr>
              <w:t>6.55E-05 mg.l</w:t>
            </w:r>
            <w:r>
              <w:rPr>
                <w:rFonts w:ascii="Verdana" w:hAnsi="Verdana"/>
                <w:sz w:val="18"/>
                <w:szCs w:val="18"/>
                <w:vertAlign w:val="superscript"/>
              </w:rPr>
              <w:t>-1</w:t>
            </w:r>
          </w:p>
        </w:tc>
        <w:tc>
          <w:tcPr>
            <w:tcW w:w="2551" w:type="dxa"/>
            <w:vAlign w:val="center"/>
          </w:tcPr>
          <w:p w14:paraId="1AB1C821" w14:textId="77777777" w:rsidR="00BC1D4B" w:rsidRDefault="00ED1F84">
            <w:pPr>
              <w:pStyle w:val="Corpsdetexte"/>
              <w:spacing w:after="0"/>
              <w:jc w:val="center"/>
              <w:rPr>
                <w:rFonts w:ascii="Verdana" w:hAnsi="Verdana"/>
                <w:sz w:val="18"/>
                <w:szCs w:val="18"/>
              </w:rPr>
            </w:pPr>
            <w:r>
              <w:rPr>
                <w:rFonts w:ascii="Verdana" w:hAnsi="Verdana"/>
                <w:sz w:val="18"/>
                <w:szCs w:val="18"/>
              </w:rPr>
              <w:t>RCR = 2.18E-03</w:t>
            </w:r>
          </w:p>
        </w:tc>
        <w:tc>
          <w:tcPr>
            <w:tcW w:w="2642" w:type="dxa"/>
            <w:vAlign w:val="center"/>
          </w:tcPr>
          <w:p w14:paraId="315768BD"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56FA3440" w14:textId="77777777">
        <w:trPr>
          <w:trHeight w:val="454"/>
        </w:trPr>
        <w:tc>
          <w:tcPr>
            <w:tcW w:w="1838" w:type="dxa"/>
            <w:vAlign w:val="center"/>
          </w:tcPr>
          <w:p w14:paraId="7278CA82"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1EFDC0BC" w14:textId="77777777" w:rsidR="00BC1D4B" w:rsidRDefault="00ED1F84">
            <w:pPr>
              <w:pStyle w:val="Corpsdetexte"/>
              <w:spacing w:after="0"/>
              <w:jc w:val="center"/>
              <w:rPr>
                <w:rFonts w:ascii="Verdana" w:hAnsi="Verdana"/>
                <w:sz w:val="18"/>
                <w:szCs w:val="18"/>
              </w:rPr>
            </w:pPr>
            <w:r>
              <w:rPr>
                <w:rFonts w:ascii="Verdana" w:hAnsi="Verdana"/>
                <w:sz w:val="18"/>
                <w:szCs w:val="18"/>
              </w:rPr>
              <w:t>5.46E-03 mg.kg</w:t>
            </w:r>
            <w:r>
              <w:rPr>
                <w:rFonts w:ascii="Verdana" w:hAnsi="Verdana"/>
                <w:sz w:val="18"/>
                <w:szCs w:val="18"/>
                <w:vertAlign w:val="superscript"/>
              </w:rPr>
              <w:t>-1</w:t>
            </w:r>
          </w:p>
        </w:tc>
        <w:tc>
          <w:tcPr>
            <w:tcW w:w="2551" w:type="dxa"/>
            <w:vAlign w:val="center"/>
          </w:tcPr>
          <w:p w14:paraId="07D7B3B5" w14:textId="77777777" w:rsidR="00BC1D4B" w:rsidRDefault="00ED1F84">
            <w:pPr>
              <w:pStyle w:val="Corpsdetexte"/>
              <w:spacing w:after="0"/>
              <w:jc w:val="center"/>
              <w:rPr>
                <w:rFonts w:ascii="Verdana" w:hAnsi="Verdana"/>
                <w:sz w:val="18"/>
                <w:szCs w:val="18"/>
              </w:rPr>
            </w:pPr>
            <w:r>
              <w:rPr>
                <w:rFonts w:ascii="Verdana" w:hAnsi="Verdana"/>
                <w:sz w:val="18"/>
                <w:szCs w:val="18"/>
              </w:rPr>
              <w:t>RCR= 1.00E-02</w:t>
            </w:r>
          </w:p>
        </w:tc>
        <w:tc>
          <w:tcPr>
            <w:tcW w:w="2642" w:type="dxa"/>
            <w:vAlign w:val="center"/>
          </w:tcPr>
          <w:p w14:paraId="7915DE33"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26D8E791" w14:textId="77777777">
        <w:trPr>
          <w:trHeight w:val="454"/>
        </w:trPr>
        <w:tc>
          <w:tcPr>
            <w:tcW w:w="1838" w:type="dxa"/>
            <w:vAlign w:val="center"/>
          </w:tcPr>
          <w:p w14:paraId="57B3607A"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1789115F" w14:textId="7E871081"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1.2</w:t>
            </w:r>
            <w:r w:rsidR="006D31C8">
              <w:rPr>
                <w:rFonts w:ascii="Verdana" w:hAnsi="Verdana"/>
                <w:sz w:val="18"/>
                <w:szCs w:val="18"/>
              </w:rPr>
              <w:t>8</w:t>
            </w:r>
            <w:r>
              <w:rPr>
                <w:rFonts w:ascii="Verdana" w:hAnsi="Verdana"/>
                <w:sz w:val="18"/>
                <w:szCs w:val="18"/>
              </w:rPr>
              <w:t>E-04 mg.kg</w:t>
            </w:r>
            <w:r>
              <w:rPr>
                <w:rFonts w:ascii="Verdana" w:hAnsi="Verdana"/>
                <w:sz w:val="18"/>
                <w:szCs w:val="18"/>
                <w:vertAlign w:val="superscript"/>
              </w:rPr>
              <w:t>-1</w:t>
            </w:r>
          </w:p>
        </w:tc>
        <w:tc>
          <w:tcPr>
            <w:tcW w:w="2551" w:type="dxa"/>
            <w:vAlign w:val="center"/>
          </w:tcPr>
          <w:p w14:paraId="006C3651" w14:textId="05BE056C" w:rsidR="00BC1D4B" w:rsidRDefault="00ED1F84">
            <w:pPr>
              <w:pStyle w:val="Corpsdetexte"/>
              <w:spacing w:after="0"/>
              <w:jc w:val="center"/>
              <w:rPr>
                <w:rFonts w:ascii="Verdana" w:hAnsi="Verdana"/>
                <w:sz w:val="18"/>
                <w:szCs w:val="18"/>
              </w:rPr>
            </w:pPr>
            <w:r>
              <w:rPr>
                <w:rFonts w:ascii="Verdana" w:hAnsi="Verdana"/>
                <w:sz w:val="18"/>
                <w:szCs w:val="18"/>
              </w:rPr>
              <w:t>RCR =3.</w:t>
            </w:r>
            <w:r w:rsidR="00282FF9">
              <w:rPr>
                <w:rFonts w:ascii="Verdana" w:hAnsi="Verdana"/>
                <w:sz w:val="18"/>
                <w:szCs w:val="18"/>
              </w:rPr>
              <w:t>58</w:t>
            </w:r>
            <w:r>
              <w:rPr>
                <w:rFonts w:ascii="Verdana" w:hAnsi="Verdana"/>
                <w:sz w:val="18"/>
                <w:szCs w:val="18"/>
              </w:rPr>
              <w:t>E-04</w:t>
            </w:r>
          </w:p>
        </w:tc>
        <w:tc>
          <w:tcPr>
            <w:tcW w:w="2642" w:type="dxa"/>
            <w:vAlign w:val="center"/>
          </w:tcPr>
          <w:p w14:paraId="526C7BDE" w14:textId="0ADB0D39"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3362102F" w14:textId="77777777">
        <w:trPr>
          <w:trHeight w:val="454"/>
        </w:trPr>
        <w:tc>
          <w:tcPr>
            <w:tcW w:w="1838" w:type="dxa"/>
            <w:vAlign w:val="center"/>
          </w:tcPr>
          <w:p w14:paraId="6A38648A"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1075EB2F" w14:textId="63CA558E" w:rsidR="00BC1D4B" w:rsidRDefault="006D31C8">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8.92</w:t>
            </w:r>
            <w:r w:rsidR="00ED1F84">
              <w:rPr>
                <w:rFonts w:ascii="Verdana" w:hAnsi="Verdana"/>
                <w:bCs/>
                <w:sz w:val="18"/>
                <w:szCs w:val="18"/>
                <w:lang w:val="en-US" w:eastAsia="fr-FR"/>
              </w:rPr>
              <w:t>E-0</w:t>
            </w:r>
            <w:r>
              <w:rPr>
                <w:rFonts w:ascii="Verdana" w:hAnsi="Verdana"/>
                <w:bCs/>
                <w:sz w:val="18"/>
                <w:szCs w:val="18"/>
                <w:lang w:val="en-US" w:eastAsia="fr-FR"/>
              </w:rPr>
              <w:t>3</w:t>
            </w:r>
            <w:r w:rsidR="00ED1F84">
              <w:rPr>
                <w:rFonts w:ascii="Verdana" w:hAnsi="Verdana"/>
                <w:bCs/>
                <w:sz w:val="18"/>
                <w:szCs w:val="18"/>
                <w:lang w:val="en-US" w:eastAsia="fr-FR"/>
              </w:rPr>
              <w:t xml:space="preserve"> µg/l</w:t>
            </w:r>
          </w:p>
        </w:tc>
        <w:tc>
          <w:tcPr>
            <w:tcW w:w="5193" w:type="dxa"/>
            <w:gridSpan w:val="2"/>
            <w:vAlign w:val="center"/>
          </w:tcPr>
          <w:p w14:paraId="16CC36E1" w14:textId="77777777" w:rsidR="00BC1D4B" w:rsidRDefault="00BC1D4B">
            <w:pPr>
              <w:pStyle w:val="Corpsdetexte"/>
              <w:spacing w:after="0"/>
              <w:jc w:val="center"/>
              <w:rPr>
                <w:rFonts w:ascii="Verdana" w:hAnsi="Verdana"/>
                <w:sz w:val="18"/>
                <w:szCs w:val="18"/>
              </w:rPr>
            </w:pPr>
          </w:p>
        </w:tc>
      </w:tr>
      <w:tr w:rsidR="00BC1D4B" w14:paraId="4D588488" w14:textId="77777777">
        <w:trPr>
          <w:trHeight w:val="454"/>
        </w:trPr>
        <w:tc>
          <w:tcPr>
            <w:tcW w:w="1838" w:type="dxa"/>
            <w:shd w:val="clear" w:color="auto" w:fill="DBE5F1" w:themeFill="accent1" w:themeFillTint="33"/>
            <w:vAlign w:val="center"/>
          </w:tcPr>
          <w:p w14:paraId="5413A8A0" w14:textId="780D67C3" w:rsidR="00BC1D4B" w:rsidRDefault="00ED1F84">
            <w:pPr>
              <w:pStyle w:val="Corpsdetexte"/>
              <w:spacing w:after="0"/>
              <w:rPr>
                <w:rFonts w:ascii="Verdana" w:hAnsi="Verdana"/>
                <w:b/>
                <w:sz w:val="18"/>
                <w:szCs w:val="18"/>
              </w:rPr>
            </w:pPr>
            <w:r>
              <w:rPr>
                <w:rFonts w:ascii="Verdana" w:hAnsi="Verdana"/>
                <w:b/>
                <w:sz w:val="18"/>
                <w:szCs w:val="18"/>
              </w:rPr>
              <w:t>ES 14</w:t>
            </w:r>
          </w:p>
        </w:tc>
        <w:tc>
          <w:tcPr>
            <w:tcW w:w="7178" w:type="dxa"/>
            <w:gridSpan w:val="3"/>
            <w:shd w:val="clear" w:color="auto" w:fill="DBE5F1" w:themeFill="accent1" w:themeFillTint="33"/>
            <w:vAlign w:val="center"/>
          </w:tcPr>
          <w:p w14:paraId="1138DBE4" w14:textId="77777777" w:rsidR="00BC1D4B" w:rsidRDefault="00ED1F84">
            <w:pPr>
              <w:pStyle w:val="Corpsdetexte"/>
              <w:spacing w:after="0"/>
              <w:jc w:val="both"/>
              <w:rPr>
                <w:rFonts w:ascii="Verdana" w:hAnsi="Verdana"/>
                <w:b/>
                <w:sz w:val="18"/>
                <w:szCs w:val="18"/>
              </w:rPr>
            </w:pPr>
            <w:r>
              <w:rPr>
                <w:rFonts w:ascii="Verdana" w:hAnsi="Verdana"/>
                <w:sz w:val="18"/>
                <w:szCs w:val="18"/>
              </w:rPr>
              <w:t>F - End of life Tyre: Grinding (ambiant)</w:t>
            </w:r>
          </w:p>
        </w:tc>
      </w:tr>
      <w:tr w:rsidR="00BC1D4B" w14:paraId="2D5D32F4" w14:textId="77777777">
        <w:trPr>
          <w:trHeight w:val="454"/>
        </w:trPr>
        <w:tc>
          <w:tcPr>
            <w:tcW w:w="1838" w:type="dxa"/>
            <w:vAlign w:val="center"/>
          </w:tcPr>
          <w:p w14:paraId="57E132EA"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756B2F38"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551" w:type="dxa"/>
            <w:vAlign w:val="center"/>
          </w:tcPr>
          <w:p w14:paraId="2BFF6CFC"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0104B9EC"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r>
      <w:tr w:rsidR="00BC1D4B" w14:paraId="0DB5BE1D" w14:textId="77777777">
        <w:trPr>
          <w:trHeight w:val="454"/>
        </w:trPr>
        <w:tc>
          <w:tcPr>
            <w:tcW w:w="1838" w:type="dxa"/>
            <w:vAlign w:val="center"/>
          </w:tcPr>
          <w:p w14:paraId="6B789886"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0C8048E0" w14:textId="77777777" w:rsidR="00BC1D4B" w:rsidRDefault="00ED1F84">
            <w:pPr>
              <w:pStyle w:val="Corpsdetexte"/>
              <w:spacing w:after="0"/>
              <w:jc w:val="center"/>
              <w:rPr>
                <w:rFonts w:ascii="Verdana" w:hAnsi="Verdana"/>
                <w:sz w:val="18"/>
                <w:szCs w:val="18"/>
              </w:rPr>
            </w:pPr>
            <w:r>
              <w:rPr>
                <w:rFonts w:ascii="Verdana" w:hAnsi="Verdana"/>
                <w:sz w:val="18"/>
                <w:szCs w:val="18"/>
              </w:rPr>
              <w:t>6.55E-05 mg.l</w:t>
            </w:r>
            <w:r>
              <w:rPr>
                <w:rFonts w:ascii="Verdana" w:hAnsi="Verdana"/>
                <w:sz w:val="18"/>
                <w:szCs w:val="18"/>
                <w:vertAlign w:val="superscript"/>
              </w:rPr>
              <w:t>-1</w:t>
            </w:r>
          </w:p>
        </w:tc>
        <w:tc>
          <w:tcPr>
            <w:tcW w:w="2551" w:type="dxa"/>
            <w:vAlign w:val="center"/>
          </w:tcPr>
          <w:p w14:paraId="307882BB" w14:textId="77777777" w:rsidR="00BC1D4B" w:rsidRDefault="00ED1F84">
            <w:pPr>
              <w:pStyle w:val="Corpsdetexte"/>
              <w:spacing w:after="0"/>
              <w:jc w:val="center"/>
              <w:rPr>
                <w:rFonts w:ascii="Verdana" w:hAnsi="Verdana"/>
                <w:sz w:val="18"/>
                <w:szCs w:val="18"/>
              </w:rPr>
            </w:pPr>
            <w:r>
              <w:rPr>
                <w:rFonts w:ascii="Verdana" w:hAnsi="Verdana"/>
                <w:sz w:val="18"/>
                <w:szCs w:val="18"/>
              </w:rPr>
              <w:t>RCR = 2.18E-03</w:t>
            </w:r>
          </w:p>
        </w:tc>
        <w:tc>
          <w:tcPr>
            <w:tcW w:w="2642" w:type="dxa"/>
            <w:vAlign w:val="center"/>
          </w:tcPr>
          <w:p w14:paraId="1A3C131B"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72499ED5" w14:textId="77777777">
        <w:trPr>
          <w:trHeight w:val="454"/>
        </w:trPr>
        <w:tc>
          <w:tcPr>
            <w:tcW w:w="1838" w:type="dxa"/>
            <w:vAlign w:val="center"/>
          </w:tcPr>
          <w:p w14:paraId="104B2712"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2E268A6C" w14:textId="77777777" w:rsidR="00BC1D4B" w:rsidRDefault="00ED1F84">
            <w:pPr>
              <w:pStyle w:val="Corpsdetexte"/>
              <w:spacing w:after="0"/>
              <w:jc w:val="center"/>
              <w:rPr>
                <w:rFonts w:ascii="Verdana" w:hAnsi="Verdana"/>
                <w:sz w:val="18"/>
                <w:szCs w:val="18"/>
              </w:rPr>
            </w:pPr>
            <w:r>
              <w:rPr>
                <w:rFonts w:ascii="Verdana" w:hAnsi="Verdana"/>
                <w:sz w:val="18"/>
                <w:szCs w:val="18"/>
              </w:rPr>
              <w:t>5.46E-03 mg.kg</w:t>
            </w:r>
            <w:r>
              <w:rPr>
                <w:rFonts w:ascii="Verdana" w:hAnsi="Verdana"/>
                <w:sz w:val="18"/>
                <w:szCs w:val="18"/>
                <w:vertAlign w:val="superscript"/>
              </w:rPr>
              <w:t>-1</w:t>
            </w:r>
          </w:p>
        </w:tc>
        <w:tc>
          <w:tcPr>
            <w:tcW w:w="2551" w:type="dxa"/>
            <w:vAlign w:val="center"/>
          </w:tcPr>
          <w:p w14:paraId="17992382" w14:textId="77777777" w:rsidR="00BC1D4B" w:rsidRDefault="00ED1F84">
            <w:pPr>
              <w:pStyle w:val="Corpsdetexte"/>
              <w:spacing w:after="0"/>
              <w:jc w:val="center"/>
              <w:rPr>
                <w:rFonts w:ascii="Verdana" w:hAnsi="Verdana"/>
                <w:sz w:val="18"/>
                <w:szCs w:val="18"/>
              </w:rPr>
            </w:pPr>
            <w:r>
              <w:rPr>
                <w:rFonts w:ascii="Verdana" w:hAnsi="Verdana"/>
                <w:sz w:val="18"/>
                <w:szCs w:val="18"/>
              </w:rPr>
              <w:t>RCR= 1.00E-02</w:t>
            </w:r>
          </w:p>
        </w:tc>
        <w:tc>
          <w:tcPr>
            <w:tcW w:w="2642" w:type="dxa"/>
            <w:vAlign w:val="center"/>
          </w:tcPr>
          <w:p w14:paraId="68F3F6A2"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0868A9F0" w14:textId="77777777">
        <w:trPr>
          <w:trHeight w:val="454"/>
        </w:trPr>
        <w:tc>
          <w:tcPr>
            <w:tcW w:w="1838" w:type="dxa"/>
            <w:vAlign w:val="center"/>
          </w:tcPr>
          <w:p w14:paraId="0D5F467F"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1B202605" w14:textId="18B9532F"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1.2</w:t>
            </w:r>
            <w:r w:rsidR="006D31C8">
              <w:rPr>
                <w:rFonts w:ascii="Verdana" w:hAnsi="Verdana"/>
                <w:sz w:val="18"/>
                <w:szCs w:val="18"/>
              </w:rPr>
              <w:t>8</w:t>
            </w:r>
            <w:r>
              <w:rPr>
                <w:rFonts w:ascii="Verdana" w:hAnsi="Verdana"/>
                <w:sz w:val="18"/>
                <w:szCs w:val="18"/>
              </w:rPr>
              <w:t>E-04 mg.kg</w:t>
            </w:r>
            <w:r>
              <w:rPr>
                <w:rFonts w:ascii="Verdana" w:hAnsi="Verdana"/>
                <w:sz w:val="18"/>
                <w:szCs w:val="18"/>
                <w:vertAlign w:val="superscript"/>
              </w:rPr>
              <w:t>-1</w:t>
            </w:r>
          </w:p>
        </w:tc>
        <w:tc>
          <w:tcPr>
            <w:tcW w:w="2551" w:type="dxa"/>
            <w:vAlign w:val="center"/>
          </w:tcPr>
          <w:p w14:paraId="3B5F43EA" w14:textId="39764CCA" w:rsidR="00BC1D4B" w:rsidRDefault="00ED1F84">
            <w:pPr>
              <w:pStyle w:val="Corpsdetexte"/>
              <w:spacing w:after="0"/>
              <w:jc w:val="center"/>
              <w:rPr>
                <w:rFonts w:ascii="Verdana" w:hAnsi="Verdana"/>
                <w:sz w:val="18"/>
                <w:szCs w:val="18"/>
              </w:rPr>
            </w:pPr>
            <w:r>
              <w:rPr>
                <w:rFonts w:ascii="Verdana" w:hAnsi="Verdana"/>
                <w:sz w:val="18"/>
                <w:szCs w:val="18"/>
              </w:rPr>
              <w:t>RCR =3.</w:t>
            </w:r>
            <w:r w:rsidR="00282FF9">
              <w:rPr>
                <w:rFonts w:ascii="Verdana" w:hAnsi="Verdana"/>
                <w:sz w:val="18"/>
                <w:szCs w:val="18"/>
              </w:rPr>
              <w:t>58</w:t>
            </w:r>
            <w:r>
              <w:rPr>
                <w:rFonts w:ascii="Verdana" w:hAnsi="Verdana"/>
                <w:sz w:val="18"/>
                <w:szCs w:val="18"/>
              </w:rPr>
              <w:t>E-04</w:t>
            </w:r>
          </w:p>
        </w:tc>
        <w:tc>
          <w:tcPr>
            <w:tcW w:w="2642" w:type="dxa"/>
            <w:vAlign w:val="center"/>
          </w:tcPr>
          <w:p w14:paraId="50BD4764" w14:textId="7CD48F8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60FA9DF9" w14:textId="77777777">
        <w:trPr>
          <w:trHeight w:val="454"/>
        </w:trPr>
        <w:tc>
          <w:tcPr>
            <w:tcW w:w="1838" w:type="dxa"/>
            <w:vAlign w:val="center"/>
          </w:tcPr>
          <w:p w14:paraId="324C112A"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2B3B3BD8" w14:textId="203C8DF7" w:rsidR="00BC1D4B" w:rsidRDefault="006D31C8">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8.92</w:t>
            </w:r>
            <w:r w:rsidR="00ED1F84">
              <w:rPr>
                <w:rFonts w:ascii="Verdana" w:hAnsi="Verdana"/>
                <w:bCs/>
                <w:sz w:val="18"/>
                <w:szCs w:val="18"/>
                <w:lang w:val="en-US" w:eastAsia="fr-FR"/>
              </w:rPr>
              <w:t>E-0</w:t>
            </w:r>
            <w:r>
              <w:rPr>
                <w:rFonts w:ascii="Verdana" w:hAnsi="Verdana"/>
                <w:bCs/>
                <w:sz w:val="18"/>
                <w:szCs w:val="18"/>
                <w:lang w:val="en-US" w:eastAsia="fr-FR"/>
              </w:rPr>
              <w:t>3</w:t>
            </w:r>
            <w:r w:rsidR="00ED1F84">
              <w:rPr>
                <w:rFonts w:ascii="Verdana" w:hAnsi="Verdana"/>
                <w:bCs/>
                <w:sz w:val="18"/>
                <w:szCs w:val="18"/>
                <w:lang w:val="en-US" w:eastAsia="fr-FR"/>
              </w:rPr>
              <w:t xml:space="preserve"> µg/l</w:t>
            </w:r>
          </w:p>
        </w:tc>
        <w:tc>
          <w:tcPr>
            <w:tcW w:w="5193" w:type="dxa"/>
            <w:gridSpan w:val="2"/>
            <w:vAlign w:val="center"/>
          </w:tcPr>
          <w:p w14:paraId="1A73A12B" w14:textId="77777777" w:rsidR="00BC1D4B" w:rsidRDefault="00BC1D4B">
            <w:pPr>
              <w:pStyle w:val="Corpsdetexte"/>
              <w:spacing w:after="0"/>
              <w:jc w:val="center"/>
              <w:rPr>
                <w:rFonts w:ascii="Verdana" w:hAnsi="Verdana"/>
                <w:sz w:val="18"/>
                <w:szCs w:val="18"/>
              </w:rPr>
            </w:pPr>
          </w:p>
        </w:tc>
      </w:tr>
      <w:tr w:rsidR="00BC1D4B" w14:paraId="1AEBB2F0" w14:textId="77777777">
        <w:trPr>
          <w:trHeight w:val="454"/>
        </w:trPr>
        <w:tc>
          <w:tcPr>
            <w:tcW w:w="1838" w:type="dxa"/>
            <w:shd w:val="clear" w:color="auto" w:fill="DBE5F1" w:themeFill="accent1" w:themeFillTint="33"/>
            <w:vAlign w:val="center"/>
          </w:tcPr>
          <w:p w14:paraId="098B51DF" w14:textId="77777777" w:rsidR="00BC1D4B" w:rsidRDefault="00ED1F84">
            <w:pPr>
              <w:pStyle w:val="Corpsdetexte"/>
              <w:spacing w:after="0"/>
              <w:rPr>
                <w:rFonts w:ascii="Verdana" w:hAnsi="Verdana"/>
                <w:b/>
                <w:sz w:val="18"/>
                <w:szCs w:val="18"/>
              </w:rPr>
            </w:pPr>
            <w:r>
              <w:rPr>
                <w:rFonts w:ascii="Verdana" w:hAnsi="Verdana"/>
                <w:b/>
                <w:sz w:val="18"/>
                <w:szCs w:val="18"/>
              </w:rPr>
              <w:t>ES 15</w:t>
            </w:r>
          </w:p>
        </w:tc>
        <w:tc>
          <w:tcPr>
            <w:tcW w:w="7178" w:type="dxa"/>
            <w:gridSpan w:val="3"/>
            <w:shd w:val="clear" w:color="auto" w:fill="DBE5F1" w:themeFill="accent1" w:themeFillTint="33"/>
            <w:vAlign w:val="center"/>
          </w:tcPr>
          <w:p w14:paraId="40D08784" w14:textId="77777777" w:rsidR="00BC1D4B" w:rsidRDefault="00ED1F84">
            <w:pPr>
              <w:pStyle w:val="Corpsdetexte"/>
              <w:spacing w:after="0"/>
              <w:jc w:val="both"/>
              <w:rPr>
                <w:rFonts w:ascii="Verdana" w:hAnsi="Verdana"/>
                <w:b/>
                <w:sz w:val="18"/>
                <w:szCs w:val="18"/>
              </w:rPr>
            </w:pPr>
            <w:r>
              <w:rPr>
                <w:rFonts w:ascii="Verdana" w:hAnsi="Verdana"/>
                <w:sz w:val="18"/>
                <w:szCs w:val="18"/>
              </w:rPr>
              <w:t>F - End of Life Tyre: Grinding cryogenic</w:t>
            </w:r>
          </w:p>
        </w:tc>
      </w:tr>
      <w:tr w:rsidR="00BC1D4B" w14:paraId="0A2B6F58" w14:textId="77777777">
        <w:trPr>
          <w:trHeight w:val="454"/>
        </w:trPr>
        <w:tc>
          <w:tcPr>
            <w:tcW w:w="1838" w:type="dxa"/>
            <w:vAlign w:val="center"/>
          </w:tcPr>
          <w:p w14:paraId="5F3C6ED0"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2C74024C" w14:textId="2E62AF6C" w:rsidR="00BC1D4B" w:rsidRDefault="006D31C8">
            <w:pPr>
              <w:pStyle w:val="Corpsdetexte"/>
              <w:spacing w:after="0"/>
              <w:jc w:val="center"/>
              <w:rPr>
                <w:rFonts w:ascii="Verdana" w:hAnsi="Verdana"/>
                <w:sz w:val="18"/>
                <w:szCs w:val="18"/>
              </w:rPr>
            </w:pPr>
            <w:r>
              <w:rPr>
                <w:rFonts w:ascii="Verdana" w:hAnsi="Verdana"/>
                <w:sz w:val="18"/>
                <w:szCs w:val="18"/>
              </w:rPr>
              <w:t>1.28</w:t>
            </w:r>
            <w:r w:rsidR="00ED1F84">
              <w:rPr>
                <w:rFonts w:ascii="Verdana" w:hAnsi="Verdana"/>
                <w:sz w:val="18"/>
                <w:szCs w:val="18"/>
              </w:rPr>
              <w:t>E-03 mg.l</w:t>
            </w:r>
            <w:r w:rsidR="00ED1F84">
              <w:rPr>
                <w:rFonts w:ascii="Verdana" w:hAnsi="Verdana"/>
                <w:sz w:val="18"/>
                <w:szCs w:val="18"/>
                <w:vertAlign w:val="superscript"/>
              </w:rPr>
              <w:t>-1</w:t>
            </w:r>
          </w:p>
        </w:tc>
        <w:tc>
          <w:tcPr>
            <w:tcW w:w="2551" w:type="dxa"/>
            <w:vAlign w:val="center"/>
          </w:tcPr>
          <w:p w14:paraId="7988E430" w14:textId="0C8B8933"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404A04">
              <w:rPr>
                <w:rFonts w:ascii="Verdana" w:hAnsi="Verdana"/>
                <w:sz w:val="18"/>
                <w:szCs w:val="18"/>
              </w:rPr>
              <w:t>8.72</w:t>
            </w:r>
            <w:r>
              <w:rPr>
                <w:rFonts w:ascii="Verdana" w:hAnsi="Verdana"/>
                <w:sz w:val="18"/>
                <w:szCs w:val="18"/>
              </w:rPr>
              <w:t>E-0</w:t>
            </w:r>
            <w:r w:rsidR="00404A04">
              <w:rPr>
                <w:rFonts w:ascii="Verdana" w:hAnsi="Verdana"/>
                <w:sz w:val="18"/>
                <w:szCs w:val="18"/>
              </w:rPr>
              <w:t>4</w:t>
            </w:r>
          </w:p>
        </w:tc>
        <w:tc>
          <w:tcPr>
            <w:tcW w:w="2642" w:type="dxa"/>
            <w:vAlign w:val="center"/>
          </w:tcPr>
          <w:p w14:paraId="13A709B0"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28B2A083" w14:textId="77777777">
        <w:trPr>
          <w:trHeight w:val="454"/>
        </w:trPr>
        <w:tc>
          <w:tcPr>
            <w:tcW w:w="1838" w:type="dxa"/>
            <w:vAlign w:val="center"/>
          </w:tcPr>
          <w:p w14:paraId="3F5B449B"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2B63CCA5" w14:textId="700C642B" w:rsidR="00BC1D4B" w:rsidRDefault="006D31C8">
            <w:pPr>
              <w:pStyle w:val="Corpsdetexte"/>
              <w:spacing w:after="0"/>
              <w:jc w:val="center"/>
              <w:rPr>
                <w:rFonts w:ascii="Verdana" w:hAnsi="Verdana"/>
                <w:sz w:val="18"/>
                <w:szCs w:val="18"/>
              </w:rPr>
            </w:pPr>
            <w:r>
              <w:rPr>
                <w:rFonts w:ascii="Verdana" w:hAnsi="Verdana"/>
                <w:sz w:val="18"/>
                <w:szCs w:val="18"/>
              </w:rPr>
              <w:t>1.94</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2EAEA3B8" w14:textId="77777777" w:rsidR="00BC1D4B" w:rsidRDefault="00ED1F84">
            <w:pPr>
              <w:pStyle w:val="Corpsdetexte"/>
              <w:spacing w:after="0"/>
              <w:jc w:val="center"/>
              <w:rPr>
                <w:rFonts w:ascii="Verdana" w:hAnsi="Verdana"/>
                <w:sz w:val="18"/>
                <w:szCs w:val="18"/>
              </w:rPr>
            </w:pPr>
            <w:r>
              <w:rPr>
                <w:rFonts w:ascii="Verdana" w:hAnsi="Verdana"/>
                <w:sz w:val="18"/>
                <w:szCs w:val="18"/>
              </w:rPr>
              <w:t>RCR = 6.52E-02</w:t>
            </w:r>
          </w:p>
        </w:tc>
        <w:tc>
          <w:tcPr>
            <w:tcW w:w="2642" w:type="dxa"/>
            <w:vAlign w:val="center"/>
          </w:tcPr>
          <w:p w14:paraId="7CCB9225"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4DAA7010" w14:textId="77777777">
        <w:trPr>
          <w:trHeight w:val="454"/>
        </w:trPr>
        <w:tc>
          <w:tcPr>
            <w:tcW w:w="1838" w:type="dxa"/>
            <w:vAlign w:val="center"/>
          </w:tcPr>
          <w:p w14:paraId="67C479DC"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7783D691" w14:textId="3EA2C08A" w:rsidR="00BC1D4B" w:rsidRDefault="006D31C8">
            <w:pPr>
              <w:pStyle w:val="Corpsdetexte"/>
              <w:spacing w:after="0"/>
              <w:jc w:val="center"/>
              <w:rPr>
                <w:rFonts w:ascii="Verdana" w:hAnsi="Verdana"/>
                <w:sz w:val="18"/>
                <w:szCs w:val="18"/>
              </w:rPr>
            </w:pPr>
            <w:r>
              <w:rPr>
                <w:rFonts w:ascii="Verdana" w:hAnsi="Verdana"/>
                <w:sz w:val="18"/>
                <w:szCs w:val="18"/>
              </w:rPr>
              <w:t>7.81</w:t>
            </w:r>
            <w:r w:rsidR="00ED1F84">
              <w:rPr>
                <w:rFonts w:ascii="Verdana" w:hAnsi="Verdana"/>
                <w:sz w:val="18"/>
                <w:szCs w:val="18"/>
              </w:rPr>
              <w:t>E-03 mg.kg</w:t>
            </w:r>
            <w:r w:rsidR="00ED1F84">
              <w:rPr>
                <w:rFonts w:ascii="Verdana" w:hAnsi="Verdana"/>
                <w:sz w:val="18"/>
                <w:szCs w:val="18"/>
                <w:vertAlign w:val="superscript"/>
              </w:rPr>
              <w:t>-1</w:t>
            </w:r>
          </w:p>
        </w:tc>
        <w:tc>
          <w:tcPr>
            <w:tcW w:w="2551" w:type="dxa"/>
            <w:vAlign w:val="center"/>
          </w:tcPr>
          <w:p w14:paraId="17CB7D3A" w14:textId="77777777" w:rsidR="00BC1D4B" w:rsidRDefault="00ED1F84">
            <w:pPr>
              <w:pStyle w:val="Corpsdetexte"/>
              <w:spacing w:after="0"/>
              <w:jc w:val="center"/>
              <w:rPr>
                <w:rFonts w:ascii="Verdana" w:hAnsi="Verdana"/>
                <w:sz w:val="18"/>
                <w:szCs w:val="18"/>
              </w:rPr>
            </w:pPr>
            <w:r>
              <w:rPr>
                <w:rFonts w:ascii="Verdana" w:hAnsi="Verdana"/>
                <w:sz w:val="18"/>
                <w:szCs w:val="18"/>
              </w:rPr>
              <w:t>RCR = 7.35E-02</w:t>
            </w:r>
          </w:p>
        </w:tc>
        <w:tc>
          <w:tcPr>
            <w:tcW w:w="2642" w:type="dxa"/>
            <w:vAlign w:val="center"/>
          </w:tcPr>
          <w:p w14:paraId="748FD9FB"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0E107490" w14:textId="77777777">
        <w:trPr>
          <w:trHeight w:val="454"/>
        </w:trPr>
        <w:tc>
          <w:tcPr>
            <w:tcW w:w="1838" w:type="dxa"/>
            <w:vAlign w:val="center"/>
          </w:tcPr>
          <w:p w14:paraId="1E99F5A6"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1371A0FF" w14:textId="1293D38D"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3.2</w:t>
            </w:r>
            <w:r w:rsidR="006D31C8">
              <w:rPr>
                <w:rFonts w:ascii="Verdana" w:hAnsi="Verdana"/>
                <w:sz w:val="18"/>
                <w:szCs w:val="18"/>
              </w:rPr>
              <w:t>4</w:t>
            </w:r>
            <w:r>
              <w:rPr>
                <w:rFonts w:ascii="Verdana" w:hAnsi="Verdana"/>
                <w:sz w:val="18"/>
                <w:szCs w:val="18"/>
              </w:rPr>
              <w:t>E-03 mg.kg</w:t>
            </w:r>
            <w:r>
              <w:rPr>
                <w:rFonts w:ascii="Verdana" w:hAnsi="Verdana"/>
                <w:sz w:val="18"/>
                <w:szCs w:val="18"/>
                <w:vertAlign w:val="superscript"/>
              </w:rPr>
              <w:t>-1</w:t>
            </w:r>
          </w:p>
        </w:tc>
        <w:tc>
          <w:tcPr>
            <w:tcW w:w="2551" w:type="dxa"/>
            <w:vAlign w:val="center"/>
          </w:tcPr>
          <w:p w14:paraId="093A1940" w14:textId="21D0FDB4"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282FF9">
              <w:rPr>
                <w:rFonts w:ascii="Verdana" w:hAnsi="Verdana"/>
                <w:sz w:val="18"/>
                <w:szCs w:val="18"/>
              </w:rPr>
              <w:t>9.06</w:t>
            </w:r>
            <w:r>
              <w:rPr>
                <w:rFonts w:ascii="Verdana" w:hAnsi="Verdana"/>
                <w:sz w:val="18"/>
                <w:szCs w:val="18"/>
              </w:rPr>
              <w:t>E-0</w:t>
            </w:r>
            <w:r w:rsidR="00404A04">
              <w:rPr>
                <w:rFonts w:ascii="Verdana" w:hAnsi="Verdana"/>
                <w:sz w:val="18"/>
                <w:szCs w:val="18"/>
              </w:rPr>
              <w:t>3</w:t>
            </w:r>
          </w:p>
        </w:tc>
        <w:tc>
          <w:tcPr>
            <w:tcW w:w="2642" w:type="dxa"/>
            <w:vAlign w:val="center"/>
          </w:tcPr>
          <w:p w14:paraId="14E77216"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36263447" w14:textId="77777777">
        <w:trPr>
          <w:trHeight w:val="454"/>
        </w:trPr>
        <w:tc>
          <w:tcPr>
            <w:tcW w:w="1838" w:type="dxa"/>
            <w:vAlign w:val="center"/>
          </w:tcPr>
          <w:p w14:paraId="28545F21"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47D22BE9" w14:textId="5DD847A9"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7.</w:t>
            </w:r>
            <w:r w:rsidR="006D31C8">
              <w:rPr>
                <w:rFonts w:ascii="Verdana" w:hAnsi="Verdana"/>
                <w:bCs/>
                <w:sz w:val="18"/>
                <w:szCs w:val="18"/>
                <w:lang w:val="en-US" w:eastAsia="fr-FR"/>
              </w:rPr>
              <w:t>09</w:t>
            </w:r>
            <w:r>
              <w:rPr>
                <w:rFonts w:ascii="Verdana" w:hAnsi="Verdana"/>
                <w:bCs/>
                <w:sz w:val="18"/>
                <w:szCs w:val="18"/>
                <w:lang w:val="en-US" w:eastAsia="fr-FR"/>
              </w:rPr>
              <w:t>E-02 µg/l</w:t>
            </w:r>
          </w:p>
        </w:tc>
        <w:tc>
          <w:tcPr>
            <w:tcW w:w="5193" w:type="dxa"/>
            <w:gridSpan w:val="2"/>
            <w:vAlign w:val="center"/>
          </w:tcPr>
          <w:p w14:paraId="64EB68F4" w14:textId="77777777" w:rsidR="00BC1D4B" w:rsidRDefault="00BC1D4B">
            <w:pPr>
              <w:pStyle w:val="Corpsdetexte"/>
              <w:spacing w:after="0"/>
              <w:jc w:val="center"/>
              <w:rPr>
                <w:rFonts w:ascii="Verdana" w:hAnsi="Verdana"/>
                <w:sz w:val="18"/>
                <w:szCs w:val="18"/>
              </w:rPr>
            </w:pPr>
          </w:p>
        </w:tc>
      </w:tr>
      <w:tr w:rsidR="00BC1D4B" w14:paraId="6AE4D4F1" w14:textId="77777777">
        <w:trPr>
          <w:trHeight w:val="454"/>
        </w:trPr>
        <w:tc>
          <w:tcPr>
            <w:tcW w:w="1838" w:type="dxa"/>
            <w:shd w:val="clear" w:color="auto" w:fill="DBE5F1" w:themeFill="accent1" w:themeFillTint="33"/>
            <w:vAlign w:val="center"/>
          </w:tcPr>
          <w:p w14:paraId="72B06740" w14:textId="77777777" w:rsidR="00BC1D4B" w:rsidRDefault="00ED1F84">
            <w:pPr>
              <w:pStyle w:val="Corpsdetexte"/>
              <w:spacing w:after="0"/>
              <w:rPr>
                <w:rFonts w:ascii="Verdana" w:hAnsi="Verdana"/>
                <w:b/>
                <w:sz w:val="18"/>
                <w:szCs w:val="18"/>
              </w:rPr>
            </w:pPr>
            <w:r>
              <w:rPr>
                <w:rFonts w:ascii="Verdana" w:hAnsi="Verdana"/>
                <w:b/>
                <w:sz w:val="18"/>
                <w:szCs w:val="18"/>
              </w:rPr>
              <w:t>ES 16</w:t>
            </w:r>
          </w:p>
        </w:tc>
        <w:tc>
          <w:tcPr>
            <w:tcW w:w="7178" w:type="dxa"/>
            <w:gridSpan w:val="3"/>
            <w:shd w:val="clear" w:color="auto" w:fill="DBE5F1" w:themeFill="accent1" w:themeFillTint="33"/>
            <w:vAlign w:val="center"/>
          </w:tcPr>
          <w:p w14:paraId="7475EBD2" w14:textId="77777777" w:rsidR="00BC1D4B" w:rsidRDefault="00ED1F84">
            <w:pPr>
              <w:pStyle w:val="Corpsdetexte"/>
              <w:spacing w:after="0"/>
              <w:jc w:val="both"/>
              <w:rPr>
                <w:rFonts w:ascii="Verdana" w:hAnsi="Verdana"/>
                <w:b/>
                <w:sz w:val="18"/>
                <w:szCs w:val="18"/>
              </w:rPr>
            </w:pPr>
            <w:r>
              <w:rPr>
                <w:rFonts w:ascii="Verdana" w:hAnsi="Verdana"/>
                <w:sz w:val="18"/>
                <w:szCs w:val="18"/>
              </w:rPr>
              <w:t>F - End of Life Tyre: Pyrolysis</w:t>
            </w:r>
          </w:p>
        </w:tc>
      </w:tr>
      <w:tr w:rsidR="00BC1D4B" w14:paraId="43744168" w14:textId="77777777">
        <w:trPr>
          <w:trHeight w:val="454"/>
        </w:trPr>
        <w:tc>
          <w:tcPr>
            <w:tcW w:w="1838" w:type="dxa"/>
            <w:vAlign w:val="center"/>
          </w:tcPr>
          <w:p w14:paraId="67CA12EA"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4E449477" w14:textId="69EAEDDD" w:rsidR="00BC1D4B" w:rsidRDefault="00404A04">
            <w:pPr>
              <w:pStyle w:val="Corpsdetexte"/>
              <w:spacing w:after="0"/>
              <w:jc w:val="center"/>
              <w:rPr>
                <w:rFonts w:ascii="Verdana" w:hAnsi="Verdana"/>
                <w:sz w:val="18"/>
                <w:szCs w:val="18"/>
              </w:rPr>
            </w:pPr>
            <w:r>
              <w:rPr>
                <w:rFonts w:ascii="Verdana" w:hAnsi="Verdana"/>
                <w:sz w:val="18"/>
                <w:szCs w:val="18"/>
              </w:rPr>
              <w:t>3.77</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380083EE" w14:textId="3BE5E6D3"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404A04">
              <w:rPr>
                <w:rFonts w:ascii="Verdana" w:hAnsi="Verdana"/>
                <w:sz w:val="18"/>
                <w:szCs w:val="18"/>
              </w:rPr>
              <w:t>2.57</w:t>
            </w:r>
            <w:r>
              <w:rPr>
                <w:rFonts w:ascii="Verdana" w:hAnsi="Verdana"/>
                <w:sz w:val="18"/>
                <w:szCs w:val="18"/>
              </w:rPr>
              <w:t>E-04</w:t>
            </w:r>
          </w:p>
        </w:tc>
        <w:tc>
          <w:tcPr>
            <w:tcW w:w="2642" w:type="dxa"/>
            <w:vAlign w:val="center"/>
          </w:tcPr>
          <w:p w14:paraId="06D20E1E"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79460786" w14:textId="77777777">
        <w:trPr>
          <w:trHeight w:val="454"/>
        </w:trPr>
        <w:tc>
          <w:tcPr>
            <w:tcW w:w="1838" w:type="dxa"/>
            <w:vAlign w:val="center"/>
          </w:tcPr>
          <w:p w14:paraId="5DFE0893"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759BC86A" w14:textId="33500DC2" w:rsidR="00BC1D4B" w:rsidRDefault="00ED1F84">
            <w:pPr>
              <w:pStyle w:val="Corpsdetexte"/>
              <w:spacing w:after="0"/>
              <w:jc w:val="center"/>
              <w:rPr>
                <w:rFonts w:ascii="Verdana" w:hAnsi="Verdana"/>
                <w:sz w:val="18"/>
                <w:szCs w:val="18"/>
              </w:rPr>
            </w:pPr>
            <w:r>
              <w:rPr>
                <w:rFonts w:ascii="Verdana" w:hAnsi="Verdana"/>
                <w:sz w:val="18"/>
                <w:szCs w:val="18"/>
              </w:rPr>
              <w:t>1.</w:t>
            </w:r>
            <w:r w:rsidR="00404A04">
              <w:rPr>
                <w:rFonts w:ascii="Verdana" w:hAnsi="Verdana"/>
                <w:sz w:val="18"/>
                <w:szCs w:val="18"/>
              </w:rPr>
              <w:t>03</w:t>
            </w:r>
            <w:r>
              <w:rPr>
                <w:rFonts w:ascii="Verdana" w:hAnsi="Verdana"/>
                <w:sz w:val="18"/>
                <w:szCs w:val="18"/>
              </w:rPr>
              <w:t>E-04 mg.l</w:t>
            </w:r>
            <w:r>
              <w:rPr>
                <w:rFonts w:ascii="Verdana" w:hAnsi="Verdana"/>
                <w:sz w:val="18"/>
                <w:szCs w:val="18"/>
                <w:vertAlign w:val="superscript"/>
              </w:rPr>
              <w:t>-1</w:t>
            </w:r>
          </w:p>
        </w:tc>
        <w:tc>
          <w:tcPr>
            <w:tcW w:w="2551" w:type="dxa"/>
            <w:vAlign w:val="center"/>
          </w:tcPr>
          <w:p w14:paraId="7464829D" w14:textId="77777777" w:rsidR="00BC1D4B" w:rsidRDefault="00ED1F84">
            <w:pPr>
              <w:pStyle w:val="Corpsdetexte"/>
              <w:spacing w:after="0"/>
              <w:jc w:val="center"/>
              <w:rPr>
                <w:rFonts w:ascii="Verdana" w:hAnsi="Verdana"/>
                <w:sz w:val="18"/>
                <w:szCs w:val="18"/>
              </w:rPr>
            </w:pPr>
            <w:r>
              <w:rPr>
                <w:rFonts w:ascii="Verdana" w:hAnsi="Verdana"/>
                <w:sz w:val="18"/>
                <w:szCs w:val="18"/>
              </w:rPr>
              <w:t>RCR = 2.07E-02</w:t>
            </w:r>
          </w:p>
        </w:tc>
        <w:tc>
          <w:tcPr>
            <w:tcW w:w="2642" w:type="dxa"/>
            <w:vAlign w:val="center"/>
          </w:tcPr>
          <w:p w14:paraId="4EF3C7D5"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0D747F1D" w14:textId="77777777">
        <w:trPr>
          <w:trHeight w:val="454"/>
        </w:trPr>
        <w:tc>
          <w:tcPr>
            <w:tcW w:w="1838" w:type="dxa"/>
            <w:vAlign w:val="center"/>
          </w:tcPr>
          <w:p w14:paraId="0E9B9505"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01B0A5AE" w14:textId="562FF41E" w:rsidR="00BC1D4B" w:rsidRDefault="00ED1F84">
            <w:pPr>
              <w:pStyle w:val="Corpsdetexte"/>
              <w:spacing w:after="0"/>
              <w:jc w:val="center"/>
              <w:rPr>
                <w:rFonts w:ascii="Verdana" w:hAnsi="Verdana"/>
                <w:sz w:val="18"/>
                <w:szCs w:val="18"/>
              </w:rPr>
            </w:pPr>
            <w:r>
              <w:rPr>
                <w:rFonts w:ascii="Verdana" w:hAnsi="Verdana"/>
                <w:sz w:val="18"/>
                <w:szCs w:val="18"/>
              </w:rPr>
              <w:t>6.</w:t>
            </w:r>
            <w:r w:rsidR="00404A04">
              <w:rPr>
                <w:rFonts w:ascii="Verdana" w:hAnsi="Verdana"/>
                <w:sz w:val="18"/>
                <w:szCs w:val="18"/>
              </w:rPr>
              <w:t>15</w:t>
            </w:r>
            <w:r>
              <w:rPr>
                <w:rFonts w:ascii="Verdana" w:hAnsi="Verdana"/>
                <w:sz w:val="18"/>
                <w:szCs w:val="18"/>
              </w:rPr>
              <w:t>E-03 mg.kg</w:t>
            </w:r>
            <w:r>
              <w:rPr>
                <w:rFonts w:ascii="Verdana" w:hAnsi="Verdana"/>
                <w:sz w:val="18"/>
                <w:szCs w:val="18"/>
                <w:vertAlign w:val="superscript"/>
              </w:rPr>
              <w:t>-1</w:t>
            </w:r>
          </w:p>
        </w:tc>
        <w:tc>
          <w:tcPr>
            <w:tcW w:w="2551" w:type="dxa"/>
            <w:vAlign w:val="center"/>
          </w:tcPr>
          <w:p w14:paraId="70D0B4E9" w14:textId="77777777" w:rsidR="00BC1D4B" w:rsidRDefault="00ED1F84">
            <w:pPr>
              <w:pStyle w:val="Corpsdetexte"/>
              <w:spacing w:after="0"/>
              <w:jc w:val="center"/>
              <w:rPr>
                <w:rFonts w:ascii="Verdana" w:hAnsi="Verdana"/>
                <w:sz w:val="18"/>
                <w:szCs w:val="18"/>
              </w:rPr>
            </w:pPr>
            <w:r>
              <w:rPr>
                <w:rFonts w:ascii="Verdana" w:hAnsi="Verdana"/>
                <w:sz w:val="18"/>
                <w:szCs w:val="18"/>
              </w:rPr>
              <w:t>RCR = 2.87E-02</w:t>
            </w:r>
          </w:p>
        </w:tc>
        <w:tc>
          <w:tcPr>
            <w:tcW w:w="2642" w:type="dxa"/>
            <w:vAlign w:val="center"/>
          </w:tcPr>
          <w:p w14:paraId="11B95166"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051CCCF8" w14:textId="77777777">
        <w:trPr>
          <w:trHeight w:val="454"/>
        </w:trPr>
        <w:tc>
          <w:tcPr>
            <w:tcW w:w="1838" w:type="dxa"/>
            <w:vAlign w:val="center"/>
          </w:tcPr>
          <w:p w14:paraId="493D32D5"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4BD3F12A" w14:textId="045987F4"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1.0</w:t>
            </w:r>
            <w:r w:rsidR="00404A04">
              <w:rPr>
                <w:rFonts w:ascii="Verdana" w:hAnsi="Verdana"/>
                <w:sz w:val="18"/>
                <w:szCs w:val="18"/>
              </w:rPr>
              <w:t>4</w:t>
            </w:r>
            <w:r>
              <w:rPr>
                <w:rFonts w:ascii="Verdana" w:hAnsi="Verdana"/>
                <w:sz w:val="18"/>
                <w:szCs w:val="18"/>
              </w:rPr>
              <w:t>E-03 mg.kg</w:t>
            </w:r>
            <w:r>
              <w:rPr>
                <w:rFonts w:ascii="Verdana" w:hAnsi="Verdana"/>
                <w:sz w:val="18"/>
                <w:szCs w:val="18"/>
                <w:vertAlign w:val="superscript"/>
              </w:rPr>
              <w:t>-1</w:t>
            </w:r>
          </w:p>
        </w:tc>
        <w:tc>
          <w:tcPr>
            <w:tcW w:w="2551" w:type="dxa"/>
            <w:vAlign w:val="center"/>
          </w:tcPr>
          <w:p w14:paraId="1CD7C5A8" w14:textId="27FA6420" w:rsidR="00BC1D4B" w:rsidRDefault="00ED1F84">
            <w:pPr>
              <w:pStyle w:val="Corpsdetexte"/>
              <w:spacing w:after="0"/>
              <w:jc w:val="center"/>
              <w:rPr>
                <w:rFonts w:ascii="Verdana" w:hAnsi="Verdana"/>
                <w:sz w:val="18"/>
                <w:szCs w:val="18"/>
              </w:rPr>
            </w:pPr>
            <w:r>
              <w:rPr>
                <w:rFonts w:ascii="Verdana" w:hAnsi="Verdana"/>
                <w:sz w:val="18"/>
                <w:szCs w:val="18"/>
              </w:rPr>
              <w:t>RCR = 2.9</w:t>
            </w:r>
            <w:r w:rsidR="00404A04">
              <w:rPr>
                <w:rFonts w:ascii="Verdana" w:hAnsi="Verdana"/>
                <w:sz w:val="18"/>
                <w:szCs w:val="18"/>
              </w:rPr>
              <w:t>2</w:t>
            </w:r>
            <w:r>
              <w:rPr>
                <w:rFonts w:ascii="Verdana" w:hAnsi="Verdana"/>
                <w:sz w:val="18"/>
                <w:szCs w:val="18"/>
              </w:rPr>
              <w:t>E-03</w:t>
            </w:r>
          </w:p>
        </w:tc>
        <w:tc>
          <w:tcPr>
            <w:tcW w:w="2642" w:type="dxa"/>
            <w:vAlign w:val="center"/>
          </w:tcPr>
          <w:p w14:paraId="1CC67901"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2CBCA500" w14:textId="77777777">
        <w:trPr>
          <w:trHeight w:val="454"/>
        </w:trPr>
        <w:tc>
          <w:tcPr>
            <w:tcW w:w="1838" w:type="dxa"/>
            <w:vAlign w:val="center"/>
          </w:tcPr>
          <w:p w14:paraId="3CF00303"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5EB0576A" w14:textId="49507668"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2.</w:t>
            </w:r>
            <w:r w:rsidR="00404A04">
              <w:rPr>
                <w:rFonts w:ascii="Verdana" w:hAnsi="Verdana"/>
                <w:bCs/>
                <w:sz w:val="18"/>
                <w:szCs w:val="18"/>
                <w:lang w:val="en-US" w:eastAsia="fr-FR"/>
              </w:rPr>
              <w:t>08</w:t>
            </w:r>
            <w:r>
              <w:rPr>
                <w:rFonts w:ascii="Verdana" w:hAnsi="Verdana"/>
                <w:bCs/>
                <w:sz w:val="18"/>
                <w:szCs w:val="18"/>
                <w:lang w:val="en-US" w:eastAsia="fr-FR"/>
              </w:rPr>
              <w:t>E-02 µg/l</w:t>
            </w:r>
          </w:p>
        </w:tc>
        <w:tc>
          <w:tcPr>
            <w:tcW w:w="5193" w:type="dxa"/>
            <w:gridSpan w:val="2"/>
            <w:vAlign w:val="center"/>
          </w:tcPr>
          <w:p w14:paraId="2E1668BB" w14:textId="77777777" w:rsidR="00BC1D4B" w:rsidRDefault="00BC1D4B">
            <w:pPr>
              <w:pStyle w:val="Corpsdetexte"/>
              <w:spacing w:after="0"/>
              <w:jc w:val="center"/>
              <w:rPr>
                <w:rFonts w:ascii="Verdana" w:hAnsi="Verdana"/>
                <w:sz w:val="18"/>
                <w:szCs w:val="18"/>
              </w:rPr>
            </w:pPr>
          </w:p>
        </w:tc>
      </w:tr>
      <w:tr w:rsidR="00BC1D4B" w14:paraId="2F199AF7" w14:textId="77777777">
        <w:trPr>
          <w:trHeight w:val="454"/>
        </w:trPr>
        <w:tc>
          <w:tcPr>
            <w:tcW w:w="1838" w:type="dxa"/>
            <w:shd w:val="clear" w:color="auto" w:fill="DBE5F1" w:themeFill="accent1" w:themeFillTint="33"/>
            <w:vAlign w:val="center"/>
          </w:tcPr>
          <w:p w14:paraId="5C12CD63" w14:textId="500387BB" w:rsidR="00BC1D4B" w:rsidRDefault="00ED1F84">
            <w:pPr>
              <w:pStyle w:val="Corpsdetexte"/>
              <w:spacing w:after="0"/>
              <w:rPr>
                <w:rFonts w:ascii="Verdana" w:hAnsi="Verdana"/>
                <w:b/>
                <w:sz w:val="18"/>
                <w:szCs w:val="18"/>
              </w:rPr>
            </w:pPr>
            <w:r>
              <w:rPr>
                <w:rFonts w:ascii="Verdana" w:hAnsi="Verdana"/>
                <w:b/>
                <w:sz w:val="18"/>
                <w:szCs w:val="18"/>
              </w:rPr>
              <w:t>ES 17</w:t>
            </w:r>
          </w:p>
        </w:tc>
        <w:tc>
          <w:tcPr>
            <w:tcW w:w="7178" w:type="dxa"/>
            <w:gridSpan w:val="3"/>
            <w:shd w:val="clear" w:color="auto" w:fill="DBE5F1" w:themeFill="accent1" w:themeFillTint="33"/>
            <w:vAlign w:val="center"/>
          </w:tcPr>
          <w:p w14:paraId="585E2761" w14:textId="77777777" w:rsidR="00BC1D4B" w:rsidRDefault="00ED1F84">
            <w:pPr>
              <w:pStyle w:val="Corpsdetexte"/>
              <w:spacing w:after="0"/>
              <w:jc w:val="both"/>
              <w:rPr>
                <w:rFonts w:ascii="Verdana" w:hAnsi="Verdana"/>
                <w:b/>
                <w:sz w:val="18"/>
                <w:szCs w:val="18"/>
              </w:rPr>
            </w:pPr>
            <w:r>
              <w:rPr>
                <w:rFonts w:ascii="Verdana" w:hAnsi="Verdana"/>
                <w:sz w:val="18"/>
                <w:szCs w:val="18"/>
              </w:rPr>
              <w:t>F - End of Life Tyre: Energy recovery: cement kiln</w:t>
            </w:r>
          </w:p>
        </w:tc>
      </w:tr>
      <w:tr w:rsidR="00BC1D4B" w14:paraId="06A82182" w14:textId="77777777">
        <w:trPr>
          <w:trHeight w:val="454"/>
        </w:trPr>
        <w:tc>
          <w:tcPr>
            <w:tcW w:w="1838" w:type="dxa"/>
            <w:vAlign w:val="center"/>
          </w:tcPr>
          <w:p w14:paraId="045AD0B3"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2B0503C6"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551" w:type="dxa"/>
            <w:vAlign w:val="center"/>
          </w:tcPr>
          <w:p w14:paraId="7A6E84DD"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7CEC0C7D"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r>
      <w:tr w:rsidR="00BC1D4B" w14:paraId="19EF4828" w14:textId="77777777">
        <w:trPr>
          <w:trHeight w:val="454"/>
        </w:trPr>
        <w:tc>
          <w:tcPr>
            <w:tcW w:w="1838" w:type="dxa"/>
            <w:vAlign w:val="center"/>
          </w:tcPr>
          <w:p w14:paraId="7B1A22B5"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34B27995" w14:textId="77777777" w:rsidR="00BC1D4B" w:rsidRDefault="00ED1F84">
            <w:pPr>
              <w:pStyle w:val="Corpsdetexte"/>
              <w:spacing w:after="0"/>
              <w:jc w:val="center"/>
              <w:rPr>
                <w:rFonts w:ascii="Verdana" w:hAnsi="Verdana"/>
                <w:sz w:val="18"/>
                <w:szCs w:val="18"/>
              </w:rPr>
            </w:pPr>
            <w:r>
              <w:rPr>
                <w:rFonts w:ascii="Verdana" w:hAnsi="Verdana"/>
                <w:sz w:val="18"/>
                <w:szCs w:val="18"/>
              </w:rPr>
              <w:t>6.55E-05 mg.l</w:t>
            </w:r>
            <w:r>
              <w:rPr>
                <w:rFonts w:ascii="Verdana" w:hAnsi="Verdana"/>
                <w:sz w:val="18"/>
                <w:szCs w:val="18"/>
                <w:vertAlign w:val="superscript"/>
              </w:rPr>
              <w:t>-1</w:t>
            </w:r>
          </w:p>
        </w:tc>
        <w:tc>
          <w:tcPr>
            <w:tcW w:w="2551" w:type="dxa"/>
            <w:vAlign w:val="center"/>
          </w:tcPr>
          <w:p w14:paraId="3DEF1E79" w14:textId="77777777" w:rsidR="00BC1D4B" w:rsidRDefault="00ED1F84">
            <w:pPr>
              <w:pStyle w:val="Corpsdetexte"/>
              <w:spacing w:after="0"/>
              <w:jc w:val="center"/>
              <w:rPr>
                <w:rFonts w:ascii="Verdana" w:hAnsi="Verdana"/>
                <w:sz w:val="18"/>
                <w:szCs w:val="18"/>
              </w:rPr>
            </w:pPr>
            <w:r>
              <w:rPr>
                <w:rFonts w:ascii="Verdana" w:hAnsi="Verdana"/>
                <w:sz w:val="18"/>
                <w:szCs w:val="18"/>
              </w:rPr>
              <w:t>RCR = 2.18E-03</w:t>
            </w:r>
          </w:p>
        </w:tc>
        <w:tc>
          <w:tcPr>
            <w:tcW w:w="2642" w:type="dxa"/>
            <w:vAlign w:val="center"/>
          </w:tcPr>
          <w:p w14:paraId="1970DD87"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56B1CC1B" w14:textId="77777777">
        <w:trPr>
          <w:trHeight w:val="454"/>
        </w:trPr>
        <w:tc>
          <w:tcPr>
            <w:tcW w:w="1838" w:type="dxa"/>
            <w:vAlign w:val="center"/>
          </w:tcPr>
          <w:p w14:paraId="0BAFDE48"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74EF2906" w14:textId="77777777" w:rsidR="00BC1D4B" w:rsidRDefault="00ED1F84">
            <w:pPr>
              <w:pStyle w:val="Corpsdetexte"/>
              <w:spacing w:after="0"/>
              <w:jc w:val="center"/>
              <w:rPr>
                <w:rFonts w:ascii="Verdana" w:hAnsi="Verdana"/>
                <w:sz w:val="18"/>
                <w:szCs w:val="18"/>
              </w:rPr>
            </w:pPr>
            <w:r>
              <w:rPr>
                <w:rFonts w:ascii="Verdana" w:hAnsi="Verdana"/>
                <w:sz w:val="18"/>
                <w:szCs w:val="18"/>
              </w:rPr>
              <w:t>5.46E-03 mg.kg</w:t>
            </w:r>
            <w:r>
              <w:rPr>
                <w:rFonts w:ascii="Verdana" w:hAnsi="Verdana"/>
                <w:sz w:val="18"/>
                <w:szCs w:val="18"/>
                <w:vertAlign w:val="superscript"/>
              </w:rPr>
              <w:t>-1</w:t>
            </w:r>
          </w:p>
        </w:tc>
        <w:tc>
          <w:tcPr>
            <w:tcW w:w="2551" w:type="dxa"/>
            <w:vAlign w:val="center"/>
          </w:tcPr>
          <w:p w14:paraId="1605C637" w14:textId="77777777" w:rsidR="00BC1D4B" w:rsidRDefault="00ED1F84">
            <w:pPr>
              <w:pStyle w:val="Corpsdetexte"/>
              <w:spacing w:after="0"/>
              <w:jc w:val="center"/>
              <w:rPr>
                <w:rFonts w:ascii="Verdana" w:hAnsi="Verdana"/>
                <w:sz w:val="18"/>
                <w:szCs w:val="18"/>
              </w:rPr>
            </w:pPr>
            <w:r>
              <w:rPr>
                <w:rFonts w:ascii="Verdana" w:hAnsi="Verdana"/>
                <w:sz w:val="18"/>
                <w:szCs w:val="18"/>
              </w:rPr>
              <w:t>RCR= 1.00E-02</w:t>
            </w:r>
          </w:p>
        </w:tc>
        <w:tc>
          <w:tcPr>
            <w:tcW w:w="2642" w:type="dxa"/>
            <w:vAlign w:val="center"/>
          </w:tcPr>
          <w:p w14:paraId="7691E958"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79EE6172" w14:textId="77777777">
        <w:trPr>
          <w:trHeight w:val="454"/>
        </w:trPr>
        <w:tc>
          <w:tcPr>
            <w:tcW w:w="1838" w:type="dxa"/>
            <w:vAlign w:val="center"/>
          </w:tcPr>
          <w:p w14:paraId="7DEFFA73"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7A681B63" w14:textId="5DB00F1A"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1.2</w:t>
            </w:r>
            <w:r w:rsidR="00404A04">
              <w:rPr>
                <w:rFonts w:ascii="Verdana" w:hAnsi="Verdana"/>
                <w:sz w:val="18"/>
                <w:szCs w:val="18"/>
              </w:rPr>
              <w:t>8</w:t>
            </w:r>
            <w:r>
              <w:rPr>
                <w:rFonts w:ascii="Verdana" w:hAnsi="Verdana"/>
                <w:sz w:val="18"/>
                <w:szCs w:val="18"/>
              </w:rPr>
              <w:t>E-04 mg.kg</w:t>
            </w:r>
            <w:r>
              <w:rPr>
                <w:rFonts w:ascii="Verdana" w:hAnsi="Verdana"/>
                <w:sz w:val="18"/>
                <w:szCs w:val="18"/>
                <w:vertAlign w:val="superscript"/>
              </w:rPr>
              <w:t>-1</w:t>
            </w:r>
          </w:p>
        </w:tc>
        <w:tc>
          <w:tcPr>
            <w:tcW w:w="2551" w:type="dxa"/>
            <w:vAlign w:val="center"/>
          </w:tcPr>
          <w:p w14:paraId="06EFB0DC" w14:textId="47678AF7" w:rsidR="00BC1D4B" w:rsidRDefault="00ED1F84">
            <w:pPr>
              <w:pStyle w:val="Corpsdetexte"/>
              <w:spacing w:after="0"/>
              <w:jc w:val="center"/>
              <w:rPr>
                <w:rFonts w:ascii="Verdana" w:hAnsi="Verdana"/>
                <w:sz w:val="18"/>
                <w:szCs w:val="18"/>
              </w:rPr>
            </w:pPr>
            <w:r>
              <w:rPr>
                <w:rFonts w:ascii="Verdana" w:hAnsi="Verdana"/>
                <w:sz w:val="18"/>
                <w:szCs w:val="18"/>
              </w:rPr>
              <w:t>RCR =3.</w:t>
            </w:r>
            <w:r w:rsidR="00404A04">
              <w:rPr>
                <w:rFonts w:ascii="Verdana" w:hAnsi="Verdana"/>
                <w:sz w:val="18"/>
                <w:szCs w:val="18"/>
              </w:rPr>
              <w:t>58</w:t>
            </w:r>
            <w:r>
              <w:rPr>
                <w:rFonts w:ascii="Verdana" w:hAnsi="Verdana"/>
                <w:sz w:val="18"/>
                <w:szCs w:val="18"/>
              </w:rPr>
              <w:t>E-04</w:t>
            </w:r>
          </w:p>
        </w:tc>
        <w:tc>
          <w:tcPr>
            <w:tcW w:w="2642" w:type="dxa"/>
            <w:vAlign w:val="center"/>
          </w:tcPr>
          <w:p w14:paraId="3460A032" w14:textId="5D82A426"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5A15DE56" w14:textId="77777777">
        <w:trPr>
          <w:trHeight w:val="454"/>
        </w:trPr>
        <w:tc>
          <w:tcPr>
            <w:tcW w:w="1838" w:type="dxa"/>
            <w:vAlign w:val="center"/>
          </w:tcPr>
          <w:p w14:paraId="491D56F6" w14:textId="77777777" w:rsidR="00BC1D4B" w:rsidRDefault="00ED1F84">
            <w:pPr>
              <w:pStyle w:val="Corpsdetexte"/>
              <w:spacing w:after="0"/>
              <w:rPr>
                <w:rFonts w:ascii="Verdana" w:hAnsi="Verdana"/>
                <w:sz w:val="18"/>
                <w:szCs w:val="18"/>
              </w:rPr>
            </w:pPr>
            <w:r>
              <w:rPr>
                <w:rFonts w:ascii="Verdana" w:hAnsi="Verdana"/>
                <w:sz w:val="18"/>
                <w:szCs w:val="18"/>
              </w:rPr>
              <w:lastRenderedPageBreak/>
              <w:t>Groundwater</w:t>
            </w:r>
          </w:p>
        </w:tc>
        <w:tc>
          <w:tcPr>
            <w:tcW w:w="1985" w:type="dxa"/>
            <w:vAlign w:val="center"/>
          </w:tcPr>
          <w:p w14:paraId="059E01A6" w14:textId="10FD93BF" w:rsidR="00BC1D4B" w:rsidRDefault="00404A0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8.92</w:t>
            </w:r>
            <w:r w:rsidR="00ED1F84">
              <w:rPr>
                <w:rFonts w:ascii="Verdana" w:hAnsi="Verdana"/>
                <w:bCs/>
                <w:sz w:val="18"/>
                <w:szCs w:val="18"/>
                <w:lang w:val="en-US" w:eastAsia="fr-FR"/>
              </w:rPr>
              <w:t>E-0</w:t>
            </w:r>
            <w:r>
              <w:rPr>
                <w:rFonts w:ascii="Verdana" w:hAnsi="Verdana"/>
                <w:bCs/>
                <w:sz w:val="18"/>
                <w:szCs w:val="18"/>
                <w:lang w:val="en-US" w:eastAsia="fr-FR"/>
              </w:rPr>
              <w:t>3</w:t>
            </w:r>
            <w:r w:rsidR="00ED1F84">
              <w:rPr>
                <w:rFonts w:ascii="Verdana" w:hAnsi="Verdana"/>
                <w:bCs/>
                <w:sz w:val="18"/>
                <w:szCs w:val="18"/>
                <w:lang w:val="en-US" w:eastAsia="fr-FR"/>
              </w:rPr>
              <w:t xml:space="preserve"> µg/l</w:t>
            </w:r>
          </w:p>
        </w:tc>
        <w:tc>
          <w:tcPr>
            <w:tcW w:w="5193" w:type="dxa"/>
            <w:gridSpan w:val="2"/>
            <w:vAlign w:val="center"/>
          </w:tcPr>
          <w:p w14:paraId="19B1EE76" w14:textId="77777777" w:rsidR="00BC1D4B" w:rsidRDefault="00BC1D4B">
            <w:pPr>
              <w:pStyle w:val="Corpsdetexte"/>
              <w:spacing w:after="0"/>
              <w:rPr>
                <w:rFonts w:ascii="Verdana" w:hAnsi="Verdana"/>
                <w:sz w:val="18"/>
                <w:szCs w:val="18"/>
              </w:rPr>
            </w:pPr>
          </w:p>
        </w:tc>
      </w:tr>
      <w:tr w:rsidR="00BC1D4B" w14:paraId="2200458B" w14:textId="77777777">
        <w:trPr>
          <w:trHeight w:val="454"/>
        </w:trPr>
        <w:tc>
          <w:tcPr>
            <w:tcW w:w="1838" w:type="dxa"/>
            <w:shd w:val="clear" w:color="auto" w:fill="DBE5F1" w:themeFill="accent1" w:themeFillTint="33"/>
            <w:vAlign w:val="center"/>
          </w:tcPr>
          <w:p w14:paraId="13FF6F4C" w14:textId="419348B0" w:rsidR="00BC1D4B" w:rsidRDefault="00ED1F84">
            <w:pPr>
              <w:pStyle w:val="Corpsdetexte"/>
              <w:spacing w:after="0"/>
              <w:rPr>
                <w:rFonts w:ascii="Verdana" w:hAnsi="Verdana"/>
                <w:b/>
                <w:sz w:val="18"/>
                <w:szCs w:val="18"/>
              </w:rPr>
            </w:pPr>
            <w:r>
              <w:rPr>
                <w:rFonts w:ascii="Verdana" w:hAnsi="Verdana"/>
                <w:b/>
                <w:sz w:val="18"/>
                <w:szCs w:val="18"/>
              </w:rPr>
              <w:t>ES 18</w:t>
            </w:r>
          </w:p>
        </w:tc>
        <w:tc>
          <w:tcPr>
            <w:tcW w:w="7178" w:type="dxa"/>
            <w:gridSpan w:val="3"/>
            <w:shd w:val="clear" w:color="auto" w:fill="DBE5F1" w:themeFill="accent1" w:themeFillTint="33"/>
            <w:vAlign w:val="center"/>
          </w:tcPr>
          <w:p w14:paraId="495D7938" w14:textId="77777777" w:rsidR="00BC1D4B" w:rsidRDefault="00ED1F84">
            <w:pPr>
              <w:pStyle w:val="Corpsdetexte"/>
              <w:spacing w:after="0"/>
              <w:jc w:val="both"/>
              <w:rPr>
                <w:rFonts w:ascii="Verdana" w:hAnsi="Verdana"/>
                <w:b/>
                <w:sz w:val="18"/>
                <w:szCs w:val="18"/>
              </w:rPr>
            </w:pPr>
            <w:r>
              <w:rPr>
                <w:rFonts w:ascii="Verdana" w:hAnsi="Verdana"/>
                <w:sz w:val="18"/>
                <w:szCs w:val="18"/>
              </w:rPr>
              <w:t>F - End of Life Tyre: Energy recovery: other</w:t>
            </w:r>
          </w:p>
        </w:tc>
      </w:tr>
      <w:tr w:rsidR="00BC1D4B" w14:paraId="5C7EB760" w14:textId="77777777">
        <w:trPr>
          <w:trHeight w:val="454"/>
        </w:trPr>
        <w:tc>
          <w:tcPr>
            <w:tcW w:w="1838" w:type="dxa"/>
            <w:vAlign w:val="center"/>
          </w:tcPr>
          <w:p w14:paraId="7F78A40F"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523AC6FD"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551" w:type="dxa"/>
            <w:vAlign w:val="center"/>
          </w:tcPr>
          <w:p w14:paraId="33F0B559"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c>
          <w:tcPr>
            <w:tcW w:w="2642" w:type="dxa"/>
            <w:vAlign w:val="center"/>
          </w:tcPr>
          <w:p w14:paraId="3469DE37" w14:textId="77777777" w:rsidR="00BC1D4B" w:rsidRDefault="00ED1F84">
            <w:pPr>
              <w:pStyle w:val="Corpsdetexte"/>
              <w:spacing w:after="0"/>
              <w:jc w:val="center"/>
              <w:rPr>
                <w:rFonts w:ascii="Verdana" w:hAnsi="Verdana"/>
                <w:sz w:val="18"/>
                <w:szCs w:val="18"/>
              </w:rPr>
            </w:pPr>
            <w:r>
              <w:rPr>
                <w:rFonts w:ascii="Verdana" w:hAnsi="Verdana"/>
                <w:sz w:val="18"/>
                <w:szCs w:val="18"/>
              </w:rPr>
              <w:t>NR</w:t>
            </w:r>
          </w:p>
        </w:tc>
      </w:tr>
      <w:tr w:rsidR="00BC1D4B" w14:paraId="16796E78" w14:textId="77777777">
        <w:trPr>
          <w:trHeight w:val="454"/>
        </w:trPr>
        <w:tc>
          <w:tcPr>
            <w:tcW w:w="1838" w:type="dxa"/>
            <w:vAlign w:val="center"/>
          </w:tcPr>
          <w:p w14:paraId="044DBE16"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35820E29" w14:textId="77777777" w:rsidR="00BC1D4B" w:rsidRDefault="00ED1F84">
            <w:pPr>
              <w:pStyle w:val="Corpsdetexte"/>
              <w:spacing w:after="0"/>
              <w:jc w:val="center"/>
              <w:rPr>
                <w:rFonts w:ascii="Verdana" w:hAnsi="Verdana"/>
                <w:sz w:val="18"/>
                <w:szCs w:val="18"/>
              </w:rPr>
            </w:pPr>
            <w:r>
              <w:rPr>
                <w:rFonts w:ascii="Verdana" w:hAnsi="Verdana"/>
                <w:sz w:val="18"/>
                <w:szCs w:val="18"/>
              </w:rPr>
              <w:t>6.55E-05 mg.l</w:t>
            </w:r>
            <w:r>
              <w:rPr>
                <w:rFonts w:ascii="Verdana" w:hAnsi="Verdana"/>
                <w:sz w:val="18"/>
                <w:szCs w:val="18"/>
                <w:vertAlign w:val="superscript"/>
              </w:rPr>
              <w:t>-1</w:t>
            </w:r>
          </w:p>
        </w:tc>
        <w:tc>
          <w:tcPr>
            <w:tcW w:w="2551" w:type="dxa"/>
            <w:vAlign w:val="center"/>
          </w:tcPr>
          <w:p w14:paraId="59660F43" w14:textId="77777777" w:rsidR="00BC1D4B" w:rsidRDefault="00ED1F84">
            <w:pPr>
              <w:pStyle w:val="Corpsdetexte"/>
              <w:spacing w:after="0"/>
              <w:jc w:val="center"/>
              <w:rPr>
                <w:rFonts w:ascii="Verdana" w:hAnsi="Verdana"/>
                <w:sz w:val="18"/>
                <w:szCs w:val="18"/>
              </w:rPr>
            </w:pPr>
            <w:r>
              <w:rPr>
                <w:rFonts w:ascii="Verdana" w:hAnsi="Verdana"/>
                <w:sz w:val="18"/>
                <w:szCs w:val="18"/>
              </w:rPr>
              <w:t>RCR = 2.18E-03</w:t>
            </w:r>
          </w:p>
        </w:tc>
        <w:tc>
          <w:tcPr>
            <w:tcW w:w="2642" w:type="dxa"/>
            <w:vAlign w:val="center"/>
          </w:tcPr>
          <w:p w14:paraId="3B646B69"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423D9571" w14:textId="77777777">
        <w:trPr>
          <w:trHeight w:val="454"/>
        </w:trPr>
        <w:tc>
          <w:tcPr>
            <w:tcW w:w="1838" w:type="dxa"/>
            <w:vAlign w:val="center"/>
          </w:tcPr>
          <w:p w14:paraId="4B8FA478"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60A5763E" w14:textId="77777777" w:rsidR="00BC1D4B" w:rsidRDefault="00ED1F84">
            <w:pPr>
              <w:pStyle w:val="Corpsdetexte"/>
              <w:spacing w:after="0"/>
              <w:jc w:val="center"/>
              <w:rPr>
                <w:rFonts w:ascii="Verdana" w:hAnsi="Verdana"/>
                <w:sz w:val="18"/>
                <w:szCs w:val="18"/>
              </w:rPr>
            </w:pPr>
            <w:r>
              <w:rPr>
                <w:rFonts w:ascii="Verdana" w:hAnsi="Verdana"/>
                <w:sz w:val="18"/>
                <w:szCs w:val="18"/>
              </w:rPr>
              <w:t>5.46E-03 mg.kg</w:t>
            </w:r>
            <w:r>
              <w:rPr>
                <w:rFonts w:ascii="Verdana" w:hAnsi="Verdana"/>
                <w:sz w:val="18"/>
                <w:szCs w:val="18"/>
                <w:vertAlign w:val="superscript"/>
              </w:rPr>
              <w:t>-1</w:t>
            </w:r>
          </w:p>
        </w:tc>
        <w:tc>
          <w:tcPr>
            <w:tcW w:w="2551" w:type="dxa"/>
            <w:vAlign w:val="center"/>
          </w:tcPr>
          <w:p w14:paraId="46B622E2" w14:textId="77777777" w:rsidR="00BC1D4B" w:rsidRDefault="00ED1F84">
            <w:pPr>
              <w:pStyle w:val="Corpsdetexte"/>
              <w:spacing w:after="0"/>
              <w:jc w:val="center"/>
              <w:rPr>
                <w:rFonts w:ascii="Verdana" w:hAnsi="Verdana"/>
                <w:sz w:val="18"/>
                <w:szCs w:val="18"/>
              </w:rPr>
            </w:pPr>
            <w:r>
              <w:rPr>
                <w:rFonts w:ascii="Verdana" w:hAnsi="Verdana"/>
                <w:sz w:val="18"/>
                <w:szCs w:val="18"/>
              </w:rPr>
              <w:t>RCR= 1.00E-02</w:t>
            </w:r>
          </w:p>
        </w:tc>
        <w:tc>
          <w:tcPr>
            <w:tcW w:w="2642" w:type="dxa"/>
            <w:vAlign w:val="center"/>
          </w:tcPr>
          <w:p w14:paraId="54650354"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25AC3ABD" w14:textId="77777777">
        <w:trPr>
          <w:trHeight w:val="454"/>
        </w:trPr>
        <w:tc>
          <w:tcPr>
            <w:tcW w:w="1838" w:type="dxa"/>
            <w:vAlign w:val="center"/>
          </w:tcPr>
          <w:p w14:paraId="4F9AE76B"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04ACC5C6" w14:textId="3FD87641"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1.2</w:t>
            </w:r>
            <w:r w:rsidR="00404A04">
              <w:rPr>
                <w:rFonts w:ascii="Verdana" w:hAnsi="Verdana"/>
                <w:sz w:val="18"/>
                <w:szCs w:val="18"/>
              </w:rPr>
              <w:t>8</w:t>
            </w:r>
            <w:r>
              <w:rPr>
                <w:rFonts w:ascii="Verdana" w:hAnsi="Verdana"/>
                <w:sz w:val="18"/>
                <w:szCs w:val="18"/>
              </w:rPr>
              <w:t>E-04 mg.kg</w:t>
            </w:r>
            <w:r>
              <w:rPr>
                <w:rFonts w:ascii="Verdana" w:hAnsi="Verdana"/>
                <w:sz w:val="18"/>
                <w:szCs w:val="18"/>
                <w:vertAlign w:val="superscript"/>
              </w:rPr>
              <w:t>-1</w:t>
            </w:r>
          </w:p>
        </w:tc>
        <w:tc>
          <w:tcPr>
            <w:tcW w:w="2551" w:type="dxa"/>
            <w:vAlign w:val="center"/>
          </w:tcPr>
          <w:p w14:paraId="732BDE7F" w14:textId="1F2AC33F" w:rsidR="00BC1D4B" w:rsidRDefault="00ED1F84">
            <w:pPr>
              <w:pStyle w:val="Corpsdetexte"/>
              <w:spacing w:after="0"/>
              <w:jc w:val="center"/>
              <w:rPr>
                <w:rFonts w:ascii="Verdana" w:hAnsi="Verdana"/>
                <w:sz w:val="18"/>
                <w:szCs w:val="18"/>
              </w:rPr>
            </w:pPr>
            <w:r>
              <w:rPr>
                <w:rFonts w:ascii="Verdana" w:hAnsi="Verdana"/>
                <w:sz w:val="18"/>
                <w:szCs w:val="18"/>
              </w:rPr>
              <w:t>RCR =3.</w:t>
            </w:r>
            <w:r w:rsidR="00404A04">
              <w:rPr>
                <w:rFonts w:ascii="Verdana" w:hAnsi="Verdana"/>
                <w:sz w:val="18"/>
                <w:szCs w:val="18"/>
              </w:rPr>
              <w:t>58</w:t>
            </w:r>
            <w:r>
              <w:rPr>
                <w:rFonts w:ascii="Verdana" w:hAnsi="Verdana"/>
                <w:sz w:val="18"/>
                <w:szCs w:val="18"/>
              </w:rPr>
              <w:t>E-04</w:t>
            </w:r>
          </w:p>
        </w:tc>
        <w:tc>
          <w:tcPr>
            <w:tcW w:w="2642" w:type="dxa"/>
            <w:vAlign w:val="center"/>
          </w:tcPr>
          <w:p w14:paraId="7503965C" w14:textId="7A59BF24"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0607C510" w14:textId="77777777">
        <w:trPr>
          <w:trHeight w:val="454"/>
        </w:trPr>
        <w:tc>
          <w:tcPr>
            <w:tcW w:w="1838" w:type="dxa"/>
            <w:vAlign w:val="center"/>
          </w:tcPr>
          <w:p w14:paraId="5B562D1D"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140DA42E" w14:textId="6EFCBDFF" w:rsidR="00BC1D4B" w:rsidRDefault="00404A0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8.92</w:t>
            </w:r>
            <w:r w:rsidR="00ED1F84">
              <w:rPr>
                <w:rFonts w:ascii="Verdana" w:hAnsi="Verdana"/>
                <w:bCs/>
                <w:sz w:val="18"/>
                <w:szCs w:val="18"/>
                <w:lang w:val="en-US" w:eastAsia="fr-FR"/>
              </w:rPr>
              <w:t>E-0</w:t>
            </w:r>
            <w:r>
              <w:rPr>
                <w:rFonts w:ascii="Verdana" w:hAnsi="Verdana"/>
                <w:bCs/>
                <w:sz w:val="18"/>
                <w:szCs w:val="18"/>
                <w:lang w:val="en-US" w:eastAsia="fr-FR"/>
              </w:rPr>
              <w:t>3</w:t>
            </w:r>
            <w:r w:rsidR="00ED1F84">
              <w:rPr>
                <w:rFonts w:ascii="Verdana" w:hAnsi="Verdana"/>
                <w:bCs/>
                <w:sz w:val="18"/>
                <w:szCs w:val="18"/>
                <w:lang w:val="en-US" w:eastAsia="fr-FR"/>
              </w:rPr>
              <w:t xml:space="preserve"> µg/l</w:t>
            </w:r>
          </w:p>
        </w:tc>
        <w:tc>
          <w:tcPr>
            <w:tcW w:w="5193" w:type="dxa"/>
            <w:gridSpan w:val="2"/>
            <w:vAlign w:val="center"/>
          </w:tcPr>
          <w:p w14:paraId="6A6028BD" w14:textId="77777777" w:rsidR="00BC1D4B" w:rsidRDefault="00BC1D4B">
            <w:pPr>
              <w:pStyle w:val="Corpsdetexte"/>
              <w:spacing w:after="0"/>
              <w:jc w:val="center"/>
              <w:rPr>
                <w:rFonts w:ascii="Verdana" w:hAnsi="Verdana"/>
                <w:sz w:val="18"/>
                <w:szCs w:val="18"/>
              </w:rPr>
            </w:pPr>
          </w:p>
        </w:tc>
      </w:tr>
      <w:tr w:rsidR="00BC1D4B" w14:paraId="17B8FF10" w14:textId="77777777">
        <w:trPr>
          <w:trHeight w:val="454"/>
        </w:trPr>
        <w:tc>
          <w:tcPr>
            <w:tcW w:w="1838" w:type="dxa"/>
            <w:shd w:val="clear" w:color="auto" w:fill="DBE5F1" w:themeFill="accent1" w:themeFillTint="33"/>
            <w:vAlign w:val="center"/>
          </w:tcPr>
          <w:p w14:paraId="731FA797" w14:textId="77777777" w:rsidR="00BC1D4B" w:rsidRDefault="00ED1F84">
            <w:pPr>
              <w:pStyle w:val="Corpsdetexte"/>
              <w:spacing w:after="0"/>
              <w:rPr>
                <w:rFonts w:ascii="Verdana" w:hAnsi="Verdana"/>
                <w:b/>
                <w:sz w:val="18"/>
                <w:szCs w:val="18"/>
              </w:rPr>
            </w:pPr>
            <w:r>
              <w:rPr>
                <w:rFonts w:ascii="Verdana" w:hAnsi="Verdana"/>
                <w:b/>
                <w:sz w:val="18"/>
                <w:szCs w:val="18"/>
              </w:rPr>
              <w:t>ES 19</w:t>
            </w:r>
          </w:p>
        </w:tc>
        <w:tc>
          <w:tcPr>
            <w:tcW w:w="7178" w:type="dxa"/>
            <w:gridSpan w:val="3"/>
            <w:shd w:val="clear" w:color="auto" w:fill="DBE5F1" w:themeFill="accent1" w:themeFillTint="33"/>
            <w:vAlign w:val="center"/>
          </w:tcPr>
          <w:p w14:paraId="206D2F36" w14:textId="77777777" w:rsidR="00BC1D4B" w:rsidRDefault="00ED1F84">
            <w:pPr>
              <w:pStyle w:val="Corpsdetexte"/>
              <w:spacing w:after="0"/>
              <w:jc w:val="both"/>
              <w:rPr>
                <w:rFonts w:ascii="Verdana" w:hAnsi="Verdana"/>
                <w:b/>
                <w:sz w:val="18"/>
                <w:szCs w:val="18"/>
              </w:rPr>
            </w:pPr>
            <w:r>
              <w:rPr>
                <w:rFonts w:ascii="Verdana" w:hAnsi="Verdana"/>
                <w:sz w:val="18"/>
                <w:szCs w:val="18"/>
              </w:rPr>
              <w:t>F - End of Life Tyre: Electric arc furnace</w:t>
            </w:r>
          </w:p>
        </w:tc>
      </w:tr>
      <w:tr w:rsidR="00BC1D4B" w14:paraId="12AE300F" w14:textId="77777777">
        <w:trPr>
          <w:trHeight w:val="454"/>
        </w:trPr>
        <w:tc>
          <w:tcPr>
            <w:tcW w:w="1838" w:type="dxa"/>
            <w:vAlign w:val="center"/>
          </w:tcPr>
          <w:p w14:paraId="2F1DD77D"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26E0A59C" w14:textId="7A7107D1" w:rsidR="00BC1D4B" w:rsidRDefault="002319D5">
            <w:pPr>
              <w:pStyle w:val="Corpsdetexte"/>
              <w:spacing w:after="0"/>
              <w:jc w:val="center"/>
              <w:rPr>
                <w:rFonts w:ascii="Verdana" w:hAnsi="Verdana"/>
                <w:sz w:val="18"/>
                <w:szCs w:val="18"/>
              </w:rPr>
            </w:pPr>
            <w:r>
              <w:rPr>
                <w:rFonts w:ascii="Verdana" w:hAnsi="Verdana"/>
                <w:sz w:val="18"/>
                <w:szCs w:val="18"/>
              </w:rPr>
              <w:t>6.79</w:t>
            </w:r>
            <w:r w:rsidR="00ED1F84">
              <w:rPr>
                <w:rFonts w:ascii="Verdana" w:hAnsi="Verdana"/>
                <w:sz w:val="18"/>
                <w:szCs w:val="18"/>
              </w:rPr>
              <w:t>E-0</w:t>
            </w:r>
            <w:r>
              <w:rPr>
                <w:rFonts w:ascii="Verdana" w:hAnsi="Verdana"/>
                <w:sz w:val="18"/>
                <w:szCs w:val="18"/>
              </w:rPr>
              <w:t>4</w:t>
            </w:r>
            <w:r w:rsidR="00ED1F84">
              <w:rPr>
                <w:rFonts w:ascii="Verdana" w:hAnsi="Verdana"/>
                <w:sz w:val="18"/>
                <w:szCs w:val="18"/>
              </w:rPr>
              <w:t xml:space="preserve"> mg.l</w:t>
            </w:r>
            <w:r w:rsidR="00ED1F84">
              <w:rPr>
                <w:rFonts w:ascii="Verdana" w:hAnsi="Verdana"/>
                <w:sz w:val="18"/>
                <w:szCs w:val="18"/>
                <w:vertAlign w:val="superscript"/>
              </w:rPr>
              <w:t>-1</w:t>
            </w:r>
          </w:p>
        </w:tc>
        <w:tc>
          <w:tcPr>
            <w:tcW w:w="2551" w:type="dxa"/>
            <w:vAlign w:val="center"/>
          </w:tcPr>
          <w:p w14:paraId="133E2B4A" w14:textId="46BEF141"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2319D5">
              <w:rPr>
                <w:rFonts w:ascii="Verdana" w:hAnsi="Verdana"/>
                <w:sz w:val="18"/>
                <w:szCs w:val="18"/>
              </w:rPr>
              <w:t>4.62</w:t>
            </w:r>
            <w:r>
              <w:rPr>
                <w:rFonts w:ascii="Verdana" w:hAnsi="Verdana"/>
                <w:sz w:val="18"/>
                <w:szCs w:val="18"/>
              </w:rPr>
              <w:t>E-04</w:t>
            </w:r>
          </w:p>
        </w:tc>
        <w:tc>
          <w:tcPr>
            <w:tcW w:w="2642" w:type="dxa"/>
            <w:vAlign w:val="center"/>
          </w:tcPr>
          <w:p w14:paraId="530F72A6"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78C82561" w14:textId="77777777">
        <w:trPr>
          <w:trHeight w:val="454"/>
        </w:trPr>
        <w:tc>
          <w:tcPr>
            <w:tcW w:w="1838" w:type="dxa"/>
            <w:vAlign w:val="center"/>
          </w:tcPr>
          <w:p w14:paraId="3F767C8D"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3F95038A" w14:textId="6D4382AA" w:rsidR="00BC1D4B" w:rsidRDefault="00ED1F84">
            <w:pPr>
              <w:pStyle w:val="Corpsdetexte"/>
              <w:spacing w:after="0"/>
              <w:jc w:val="center"/>
              <w:rPr>
                <w:rFonts w:ascii="Verdana" w:hAnsi="Verdana"/>
                <w:sz w:val="18"/>
                <w:szCs w:val="18"/>
              </w:rPr>
            </w:pPr>
            <w:r>
              <w:rPr>
                <w:rFonts w:ascii="Verdana" w:hAnsi="Verdana"/>
                <w:sz w:val="18"/>
                <w:szCs w:val="18"/>
              </w:rPr>
              <w:t>1.</w:t>
            </w:r>
            <w:r w:rsidR="002319D5">
              <w:rPr>
                <w:rFonts w:ascii="Verdana" w:hAnsi="Verdana"/>
                <w:sz w:val="18"/>
                <w:szCs w:val="18"/>
              </w:rPr>
              <w:t>33</w:t>
            </w:r>
            <w:r>
              <w:rPr>
                <w:rFonts w:ascii="Verdana" w:hAnsi="Verdana"/>
                <w:sz w:val="18"/>
                <w:szCs w:val="18"/>
              </w:rPr>
              <w:t>E-04 mg.l</w:t>
            </w:r>
            <w:r>
              <w:rPr>
                <w:rFonts w:ascii="Verdana" w:hAnsi="Verdana"/>
                <w:sz w:val="18"/>
                <w:szCs w:val="18"/>
                <w:vertAlign w:val="superscript"/>
              </w:rPr>
              <w:t>-1</w:t>
            </w:r>
          </w:p>
        </w:tc>
        <w:tc>
          <w:tcPr>
            <w:tcW w:w="2551" w:type="dxa"/>
            <w:vAlign w:val="center"/>
          </w:tcPr>
          <w:p w14:paraId="52B5A890" w14:textId="77777777" w:rsidR="00BC1D4B" w:rsidRDefault="00ED1F84">
            <w:pPr>
              <w:pStyle w:val="Corpsdetexte"/>
              <w:spacing w:after="0"/>
              <w:jc w:val="center"/>
              <w:rPr>
                <w:rFonts w:ascii="Verdana" w:hAnsi="Verdana"/>
                <w:sz w:val="18"/>
                <w:szCs w:val="18"/>
              </w:rPr>
            </w:pPr>
            <w:r>
              <w:rPr>
                <w:rFonts w:ascii="Verdana" w:hAnsi="Verdana"/>
                <w:sz w:val="18"/>
                <w:szCs w:val="18"/>
              </w:rPr>
              <w:t>RCR = 3.55E-02</w:t>
            </w:r>
          </w:p>
        </w:tc>
        <w:tc>
          <w:tcPr>
            <w:tcW w:w="2642" w:type="dxa"/>
            <w:vAlign w:val="center"/>
          </w:tcPr>
          <w:p w14:paraId="1E107794"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143B84FE" w14:textId="77777777">
        <w:trPr>
          <w:trHeight w:val="454"/>
        </w:trPr>
        <w:tc>
          <w:tcPr>
            <w:tcW w:w="1838" w:type="dxa"/>
            <w:vAlign w:val="center"/>
          </w:tcPr>
          <w:p w14:paraId="314EF86B"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3D9CF637" w14:textId="5BB8687D" w:rsidR="00BC1D4B" w:rsidRDefault="002319D5">
            <w:pPr>
              <w:pStyle w:val="Corpsdetexte"/>
              <w:spacing w:after="0"/>
              <w:jc w:val="center"/>
              <w:rPr>
                <w:rFonts w:ascii="Verdana" w:hAnsi="Verdana"/>
                <w:sz w:val="18"/>
                <w:szCs w:val="18"/>
              </w:rPr>
            </w:pPr>
            <w:r>
              <w:rPr>
                <w:rFonts w:ascii="Verdana" w:hAnsi="Verdana"/>
                <w:sz w:val="18"/>
                <w:szCs w:val="18"/>
              </w:rPr>
              <w:t>6.70</w:t>
            </w:r>
            <w:r w:rsidR="00ED1F84">
              <w:rPr>
                <w:rFonts w:ascii="Verdana" w:hAnsi="Verdana"/>
                <w:sz w:val="18"/>
                <w:szCs w:val="18"/>
              </w:rPr>
              <w:t>E-03 mg.kg</w:t>
            </w:r>
            <w:r w:rsidR="00ED1F84">
              <w:rPr>
                <w:rFonts w:ascii="Verdana" w:hAnsi="Verdana"/>
                <w:sz w:val="18"/>
                <w:szCs w:val="18"/>
                <w:vertAlign w:val="superscript"/>
              </w:rPr>
              <w:t>-1</w:t>
            </w:r>
          </w:p>
        </w:tc>
        <w:tc>
          <w:tcPr>
            <w:tcW w:w="2551" w:type="dxa"/>
            <w:vAlign w:val="center"/>
          </w:tcPr>
          <w:p w14:paraId="499E718C" w14:textId="77777777" w:rsidR="00BC1D4B" w:rsidRDefault="00ED1F84">
            <w:pPr>
              <w:pStyle w:val="Corpsdetexte"/>
              <w:spacing w:after="0"/>
              <w:jc w:val="center"/>
              <w:rPr>
                <w:rFonts w:ascii="Verdana" w:hAnsi="Verdana"/>
                <w:sz w:val="18"/>
                <w:szCs w:val="18"/>
              </w:rPr>
            </w:pPr>
            <w:r>
              <w:rPr>
                <w:rFonts w:ascii="Verdana" w:hAnsi="Verdana"/>
                <w:sz w:val="18"/>
                <w:szCs w:val="18"/>
              </w:rPr>
              <w:t>RCR = 4.36E-02</w:t>
            </w:r>
          </w:p>
        </w:tc>
        <w:tc>
          <w:tcPr>
            <w:tcW w:w="2642" w:type="dxa"/>
            <w:vAlign w:val="center"/>
          </w:tcPr>
          <w:p w14:paraId="5E76F255"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1ECE2505" w14:textId="77777777">
        <w:trPr>
          <w:trHeight w:val="454"/>
        </w:trPr>
        <w:tc>
          <w:tcPr>
            <w:tcW w:w="1838" w:type="dxa"/>
            <w:vAlign w:val="center"/>
          </w:tcPr>
          <w:p w14:paraId="4A69BD25"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558A091C" w14:textId="7357DD09"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1.7</w:t>
            </w:r>
            <w:r w:rsidR="002319D5">
              <w:rPr>
                <w:rFonts w:ascii="Verdana" w:hAnsi="Verdana"/>
                <w:sz w:val="18"/>
                <w:szCs w:val="18"/>
              </w:rPr>
              <w:t>7</w:t>
            </w:r>
            <w:r>
              <w:rPr>
                <w:rFonts w:ascii="Verdana" w:hAnsi="Verdana"/>
                <w:sz w:val="18"/>
                <w:szCs w:val="18"/>
              </w:rPr>
              <w:t>E-03 mg.kg</w:t>
            </w:r>
            <w:r>
              <w:rPr>
                <w:rFonts w:ascii="Verdana" w:hAnsi="Verdana"/>
                <w:sz w:val="18"/>
                <w:szCs w:val="18"/>
                <w:vertAlign w:val="superscript"/>
              </w:rPr>
              <w:t>-1</w:t>
            </w:r>
          </w:p>
        </w:tc>
        <w:tc>
          <w:tcPr>
            <w:tcW w:w="2551" w:type="dxa"/>
            <w:vAlign w:val="center"/>
          </w:tcPr>
          <w:p w14:paraId="2B8C5AC1" w14:textId="4E05875D"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2319D5">
              <w:rPr>
                <w:rFonts w:ascii="Verdana" w:hAnsi="Verdana"/>
                <w:sz w:val="18"/>
                <w:szCs w:val="18"/>
              </w:rPr>
              <w:t>4.96</w:t>
            </w:r>
            <w:r>
              <w:rPr>
                <w:rFonts w:ascii="Verdana" w:hAnsi="Verdana"/>
                <w:sz w:val="18"/>
                <w:szCs w:val="18"/>
              </w:rPr>
              <w:t>E-03</w:t>
            </w:r>
          </w:p>
        </w:tc>
        <w:tc>
          <w:tcPr>
            <w:tcW w:w="2642" w:type="dxa"/>
            <w:vAlign w:val="center"/>
          </w:tcPr>
          <w:p w14:paraId="428260F3"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6971F59E" w14:textId="77777777">
        <w:trPr>
          <w:trHeight w:val="454"/>
        </w:trPr>
        <w:tc>
          <w:tcPr>
            <w:tcW w:w="1838" w:type="dxa"/>
            <w:vAlign w:val="center"/>
          </w:tcPr>
          <w:p w14:paraId="656EE304"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6A08051D" w14:textId="5ED78EFF"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3.</w:t>
            </w:r>
            <w:r w:rsidR="002319D5">
              <w:rPr>
                <w:rFonts w:ascii="Verdana" w:hAnsi="Verdana"/>
                <w:bCs/>
                <w:sz w:val="18"/>
                <w:szCs w:val="18"/>
                <w:lang w:val="en-US" w:eastAsia="fr-FR"/>
              </w:rPr>
              <w:t>75</w:t>
            </w:r>
            <w:r>
              <w:rPr>
                <w:rFonts w:ascii="Verdana" w:hAnsi="Verdana"/>
                <w:bCs/>
                <w:sz w:val="18"/>
                <w:szCs w:val="18"/>
                <w:lang w:val="en-US" w:eastAsia="fr-FR"/>
              </w:rPr>
              <w:t>E-02 µg/l</w:t>
            </w:r>
          </w:p>
        </w:tc>
        <w:tc>
          <w:tcPr>
            <w:tcW w:w="5193" w:type="dxa"/>
            <w:gridSpan w:val="2"/>
            <w:vAlign w:val="center"/>
          </w:tcPr>
          <w:p w14:paraId="50B9229E" w14:textId="77777777" w:rsidR="00BC1D4B" w:rsidRDefault="00BC1D4B">
            <w:pPr>
              <w:pStyle w:val="Corpsdetexte"/>
              <w:spacing w:after="0"/>
              <w:jc w:val="center"/>
              <w:rPr>
                <w:rFonts w:ascii="Verdana" w:hAnsi="Verdana"/>
                <w:sz w:val="18"/>
                <w:szCs w:val="18"/>
              </w:rPr>
            </w:pPr>
          </w:p>
        </w:tc>
      </w:tr>
      <w:tr w:rsidR="00BC1D4B" w14:paraId="5FBA80F1" w14:textId="77777777">
        <w:trPr>
          <w:trHeight w:val="454"/>
        </w:trPr>
        <w:tc>
          <w:tcPr>
            <w:tcW w:w="1838" w:type="dxa"/>
            <w:shd w:val="clear" w:color="auto" w:fill="DBE5F1" w:themeFill="accent1" w:themeFillTint="33"/>
            <w:vAlign w:val="center"/>
          </w:tcPr>
          <w:p w14:paraId="53E88FA8" w14:textId="77777777" w:rsidR="00BC1D4B" w:rsidRDefault="00ED1F84">
            <w:pPr>
              <w:pStyle w:val="Corpsdetexte"/>
              <w:spacing w:after="0"/>
              <w:rPr>
                <w:rFonts w:ascii="Verdana" w:hAnsi="Verdana"/>
                <w:b/>
                <w:sz w:val="18"/>
                <w:szCs w:val="18"/>
              </w:rPr>
            </w:pPr>
            <w:r>
              <w:rPr>
                <w:rFonts w:ascii="Verdana" w:hAnsi="Verdana"/>
                <w:b/>
                <w:sz w:val="18"/>
                <w:szCs w:val="18"/>
              </w:rPr>
              <w:t>ES 20</w:t>
            </w:r>
          </w:p>
        </w:tc>
        <w:tc>
          <w:tcPr>
            <w:tcW w:w="7178" w:type="dxa"/>
            <w:gridSpan w:val="3"/>
            <w:shd w:val="clear" w:color="auto" w:fill="DBE5F1" w:themeFill="accent1" w:themeFillTint="33"/>
            <w:vAlign w:val="center"/>
          </w:tcPr>
          <w:p w14:paraId="1BDBF108" w14:textId="77777777" w:rsidR="00BC1D4B" w:rsidRDefault="00ED1F84">
            <w:pPr>
              <w:pStyle w:val="Corpsdetexte"/>
              <w:spacing w:after="0"/>
              <w:jc w:val="both"/>
              <w:rPr>
                <w:rFonts w:ascii="Verdana" w:hAnsi="Verdana"/>
                <w:b/>
                <w:sz w:val="18"/>
                <w:szCs w:val="18"/>
              </w:rPr>
            </w:pPr>
            <w:r>
              <w:rPr>
                <w:rFonts w:ascii="Verdana" w:hAnsi="Verdana"/>
                <w:sz w:val="18"/>
                <w:szCs w:val="18"/>
              </w:rPr>
              <w:t>F - End of Life Tyre: Devulcanization/reclaim</w:t>
            </w:r>
            <w:r>
              <w:rPr>
                <w:rFonts w:ascii="Verdana" w:hAnsi="Verdana"/>
                <w:sz w:val="18"/>
                <w:szCs w:val="18"/>
                <w:highlight w:val="yellow"/>
              </w:rPr>
              <w:t xml:space="preserve"> </w:t>
            </w:r>
          </w:p>
        </w:tc>
      </w:tr>
      <w:tr w:rsidR="00BC1D4B" w14:paraId="689E0CCB" w14:textId="77777777">
        <w:trPr>
          <w:trHeight w:val="454"/>
        </w:trPr>
        <w:tc>
          <w:tcPr>
            <w:tcW w:w="1838" w:type="dxa"/>
            <w:vAlign w:val="center"/>
          </w:tcPr>
          <w:p w14:paraId="10F190DE"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1E4F5D08" w14:textId="7B015842" w:rsidR="00BC1D4B" w:rsidRDefault="002319D5">
            <w:pPr>
              <w:pStyle w:val="Corpsdetexte"/>
              <w:spacing w:after="0"/>
              <w:jc w:val="center"/>
              <w:rPr>
                <w:rFonts w:ascii="Verdana" w:hAnsi="Verdana"/>
                <w:sz w:val="18"/>
                <w:szCs w:val="18"/>
              </w:rPr>
            </w:pPr>
            <w:r>
              <w:rPr>
                <w:rFonts w:ascii="Verdana" w:hAnsi="Verdana"/>
                <w:sz w:val="18"/>
                <w:szCs w:val="18"/>
              </w:rPr>
              <w:t>1.51</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65B0C137" w14:textId="149A96E9" w:rsidR="00BC1D4B" w:rsidRDefault="00ED1F84">
            <w:pPr>
              <w:pStyle w:val="Corpsdetexte"/>
              <w:spacing w:after="0"/>
              <w:jc w:val="center"/>
              <w:rPr>
                <w:rFonts w:ascii="Verdana" w:hAnsi="Verdana"/>
                <w:sz w:val="18"/>
                <w:szCs w:val="18"/>
              </w:rPr>
            </w:pPr>
            <w:r>
              <w:rPr>
                <w:rFonts w:ascii="Verdana" w:hAnsi="Verdana"/>
                <w:sz w:val="18"/>
                <w:szCs w:val="18"/>
              </w:rPr>
              <w:t>RCR = 1.</w:t>
            </w:r>
            <w:r w:rsidR="002319D5">
              <w:rPr>
                <w:rFonts w:ascii="Verdana" w:hAnsi="Verdana"/>
                <w:sz w:val="18"/>
                <w:szCs w:val="18"/>
              </w:rPr>
              <w:t>03</w:t>
            </w:r>
            <w:r>
              <w:rPr>
                <w:rFonts w:ascii="Verdana" w:hAnsi="Verdana"/>
                <w:sz w:val="18"/>
                <w:szCs w:val="18"/>
              </w:rPr>
              <w:t>E-04</w:t>
            </w:r>
          </w:p>
        </w:tc>
        <w:tc>
          <w:tcPr>
            <w:tcW w:w="2642" w:type="dxa"/>
            <w:vAlign w:val="center"/>
          </w:tcPr>
          <w:p w14:paraId="48F1357E"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63209224" w14:textId="77777777">
        <w:trPr>
          <w:trHeight w:val="454"/>
        </w:trPr>
        <w:tc>
          <w:tcPr>
            <w:tcW w:w="1838" w:type="dxa"/>
            <w:vAlign w:val="center"/>
          </w:tcPr>
          <w:p w14:paraId="125DC8C7"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32EC2587" w14:textId="013F7AF7" w:rsidR="00BC1D4B" w:rsidRDefault="00ED1F84">
            <w:pPr>
              <w:pStyle w:val="Corpsdetexte"/>
              <w:spacing w:after="0"/>
              <w:jc w:val="center"/>
              <w:rPr>
                <w:rFonts w:ascii="Verdana" w:hAnsi="Verdana"/>
                <w:sz w:val="18"/>
                <w:szCs w:val="18"/>
              </w:rPr>
            </w:pPr>
            <w:r>
              <w:rPr>
                <w:rFonts w:ascii="Verdana" w:hAnsi="Verdana"/>
                <w:sz w:val="18"/>
                <w:szCs w:val="18"/>
              </w:rPr>
              <w:t>8.</w:t>
            </w:r>
            <w:r w:rsidR="002319D5">
              <w:rPr>
                <w:rFonts w:ascii="Verdana" w:hAnsi="Verdana"/>
                <w:sz w:val="18"/>
                <w:szCs w:val="18"/>
              </w:rPr>
              <w:t>06</w:t>
            </w:r>
            <w:r>
              <w:rPr>
                <w:rFonts w:ascii="Verdana" w:hAnsi="Verdana"/>
                <w:sz w:val="18"/>
                <w:szCs w:val="18"/>
              </w:rPr>
              <w:t>E-05 mg.l</w:t>
            </w:r>
            <w:r>
              <w:rPr>
                <w:rFonts w:ascii="Verdana" w:hAnsi="Verdana"/>
                <w:sz w:val="18"/>
                <w:szCs w:val="18"/>
                <w:vertAlign w:val="superscript"/>
              </w:rPr>
              <w:t>-1</w:t>
            </w:r>
          </w:p>
        </w:tc>
        <w:tc>
          <w:tcPr>
            <w:tcW w:w="2551" w:type="dxa"/>
            <w:vAlign w:val="center"/>
          </w:tcPr>
          <w:p w14:paraId="28687E77" w14:textId="53482332"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2319D5">
              <w:rPr>
                <w:rFonts w:ascii="Verdana" w:hAnsi="Verdana"/>
                <w:sz w:val="18"/>
                <w:szCs w:val="18"/>
              </w:rPr>
              <w:t>2.65</w:t>
            </w:r>
            <w:r>
              <w:rPr>
                <w:rFonts w:ascii="Verdana" w:hAnsi="Verdana"/>
                <w:sz w:val="18"/>
                <w:szCs w:val="18"/>
              </w:rPr>
              <w:t>E-03</w:t>
            </w:r>
          </w:p>
        </w:tc>
        <w:tc>
          <w:tcPr>
            <w:tcW w:w="2642" w:type="dxa"/>
            <w:vAlign w:val="center"/>
          </w:tcPr>
          <w:p w14:paraId="4BC86D94"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07C6E76F" w14:textId="77777777">
        <w:trPr>
          <w:trHeight w:val="454"/>
        </w:trPr>
        <w:tc>
          <w:tcPr>
            <w:tcW w:w="1838" w:type="dxa"/>
            <w:vAlign w:val="center"/>
          </w:tcPr>
          <w:p w14:paraId="739364F0"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789440AC" w14:textId="131CAB89" w:rsidR="00BC1D4B" w:rsidRDefault="00ED1F84">
            <w:pPr>
              <w:pStyle w:val="Corpsdetexte"/>
              <w:spacing w:after="0"/>
              <w:jc w:val="center"/>
              <w:rPr>
                <w:rFonts w:ascii="Verdana" w:hAnsi="Verdana"/>
                <w:sz w:val="18"/>
                <w:szCs w:val="18"/>
              </w:rPr>
            </w:pPr>
            <w:r>
              <w:rPr>
                <w:rFonts w:ascii="Verdana" w:hAnsi="Verdana"/>
                <w:sz w:val="18"/>
                <w:szCs w:val="18"/>
              </w:rPr>
              <w:t>5.</w:t>
            </w:r>
            <w:r w:rsidR="002319D5">
              <w:rPr>
                <w:rFonts w:ascii="Verdana" w:hAnsi="Verdana"/>
                <w:sz w:val="18"/>
                <w:szCs w:val="18"/>
              </w:rPr>
              <w:t>74</w:t>
            </w:r>
            <w:r>
              <w:rPr>
                <w:rFonts w:ascii="Verdana" w:hAnsi="Verdana"/>
                <w:sz w:val="18"/>
                <w:szCs w:val="18"/>
              </w:rPr>
              <w:t>E-03 mg.kg</w:t>
            </w:r>
            <w:r>
              <w:rPr>
                <w:rFonts w:ascii="Verdana" w:hAnsi="Verdana"/>
                <w:sz w:val="18"/>
                <w:szCs w:val="18"/>
                <w:vertAlign w:val="superscript"/>
              </w:rPr>
              <w:t>-1</w:t>
            </w:r>
          </w:p>
        </w:tc>
        <w:tc>
          <w:tcPr>
            <w:tcW w:w="2551" w:type="dxa"/>
            <w:vAlign w:val="center"/>
          </w:tcPr>
          <w:p w14:paraId="6A81FF7E" w14:textId="11555F88" w:rsidR="00BC1D4B" w:rsidRDefault="00ED1F84">
            <w:pPr>
              <w:pStyle w:val="Corpsdetexte"/>
              <w:spacing w:after="0"/>
              <w:jc w:val="center"/>
              <w:rPr>
                <w:rFonts w:ascii="Verdana" w:hAnsi="Verdana"/>
                <w:sz w:val="18"/>
                <w:szCs w:val="18"/>
              </w:rPr>
            </w:pPr>
            <w:r>
              <w:rPr>
                <w:rFonts w:ascii="Verdana" w:hAnsi="Verdana"/>
                <w:sz w:val="18"/>
                <w:szCs w:val="18"/>
              </w:rPr>
              <w:t>RCR = 1.</w:t>
            </w:r>
            <w:r w:rsidR="002319D5">
              <w:rPr>
                <w:rFonts w:ascii="Verdana" w:hAnsi="Verdana"/>
                <w:sz w:val="18"/>
                <w:szCs w:val="18"/>
              </w:rPr>
              <w:t>05</w:t>
            </w:r>
            <w:r>
              <w:rPr>
                <w:rFonts w:ascii="Verdana" w:hAnsi="Verdana"/>
                <w:sz w:val="18"/>
                <w:szCs w:val="18"/>
              </w:rPr>
              <w:t>E-02</w:t>
            </w:r>
          </w:p>
        </w:tc>
        <w:tc>
          <w:tcPr>
            <w:tcW w:w="2642" w:type="dxa"/>
            <w:vAlign w:val="center"/>
          </w:tcPr>
          <w:p w14:paraId="18336C1A"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13DEF162" w14:textId="77777777">
        <w:trPr>
          <w:trHeight w:val="454"/>
        </w:trPr>
        <w:tc>
          <w:tcPr>
            <w:tcW w:w="1838" w:type="dxa"/>
            <w:vAlign w:val="center"/>
          </w:tcPr>
          <w:p w14:paraId="74A93376"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1A28212B" w14:textId="395B5800"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4.9</w:t>
            </w:r>
            <w:r w:rsidR="002319D5">
              <w:rPr>
                <w:rFonts w:ascii="Verdana" w:hAnsi="Verdana"/>
                <w:sz w:val="18"/>
                <w:szCs w:val="18"/>
              </w:rPr>
              <w:t>4</w:t>
            </w:r>
            <w:r>
              <w:rPr>
                <w:rFonts w:ascii="Verdana" w:hAnsi="Verdana"/>
                <w:sz w:val="18"/>
                <w:szCs w:val="18"/>
              </w:rPr>
              <w:t>E-04 mg.kg</w:t>
            </w:r>
            <w:r>
              <w:rPr>
                <w:rFonts w:ascii="Verdana" w:hAnsi="Verdana"/>
                <w:sz w:val="18"/>
                <w:szCs w:val="18"/>
                <w:vertAlign w:val="superscript"/>
              </w:rPr>
              <w:t>-1</w:t>
            </w:r>
          </w:p>
        </w:tc>
        <w:tc>
          <w:tcPr>
            <w:tcW w:w="2551" w:type="dxa"/>
            <w:vAlign w:val="center"/>
          </w:tcPr>
          <w:p w14:paraId="108D264C" w14:textId="1163966B" w:rsidR="00BC1D4B" w:rsidRDefault="00ED1F84">
            <w:pPr>
              <w:pStyle w:val="Corpsdetexte"/>
              <w:spacing w:after="0"/>
              <w:jc w:val="center"/>
              <w:rPr>
                <w:rFonts w:ascii="Verdana" w:hAnsi="Verdana"/>
                <w:sz w:val="18"/>
                <w:szCs w:val="18"/>
              </w:rPr>
            </w:pPr>
            <w:r>
              <w:rPr>
                <w:rFonts w:ascii="Verdana" w:hAnsi="Verdana"/>
                <w:sz w:val="18"/>
                <w:szCs w:val="18"/>
              </w:rPr>
              <w:t>RCR = 1.3</w:t>
            </w:r>
            <w:r w:rsidR="002319D5">
              <w:rPr>
                <w:rFonts w:ascii="Verdana" w:hAnsi="Verdana"/>
                <w:sz w:val="18"/>
                <w:szCs w:val="18"/>
              </w:rPr>
              <w:t>2</w:t>
            </w:r>
            <w:r>
              <w:rPr>
                <w:rFonts w:ascii="Verdana" w:hAnsi="Verdana"/>
                <w:sz w:val="18"/>
                <w:szCs w:val="18"/>
              </w:rPr>
              <w:t>E-03</w:t>
            </w:r>
          </w:p>
        </w:tc>
        <w:tc>
          <w:tcPr>
            <w:tcW w:w="2642" w:type="dxa"/>
            <w:vAlign w:val="center"/>
          </w:tcPr>
          <w:p w14:paraId="1202E384"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04D99536" w14:textId="77777777">
        <w:trPr>
          <w:trHeight w:val="454"/>
        </w:trPr>
        <w:tc>
          <w:tcPr>
            <w:tcW w:w="1838" w:type="dxa"/>
            <w:vAlign w:val="center"/>
          </w:tcPr>
          <w:p w14:paraId="6ADEF971"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071450C7" w14:textId="2AB15E25"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8.</w:t>
            </w:r>
            <w:r w:rsidR="002319D5">
              <w:rPr>
                <w:rFonts w:ascii="Verdana" w:hAnsi="Verdana"/>
                <w:bCs/>
                <w:sz w:val="18"/>
                <w:szCs w:val="18"/>
                <w:lang w:val="en-US" w:eastAsia="fr-FR"/>
              </w:rPr>
              <w:t>34</w:t>
            </w:r>
            <w:r>
              <w:rPr>
                <w:rFonts w:ascii="Verdana" w:hAnsi="Verdana"/>
                <w:bCs/>
                <w:sz w:val="18"/>
                <w:szCs w:val="18"/>
                <w:lang w:val="en-US" w:eastAsia="fr-FR"/>
              </w:rPr>
              <w:t>E-03 µg/l</w:t>
            </w:r>
          </w:p>
        </w:tc>
        <w:tc>
          <w:tcPr>
            <w:tcW w:w="5193" w:type="dxa"/>
            <w:gridSpan w:val="2"/>
            <w:vAlign w:val="center"/>
          </w:tcPr>
          <w:p w14:paraId="316B84FC" w14:textId="77777777" w:rsidR="00BC1D4B" w:rsidRDefault="00BC1D4B">
            <w:pPr>
              <w:pStyle w:val="Corpsdetexte"/>
              <w:spacing w:after="0"/>
              <w:jc w:val="center"/>
              <w:rPr>
                <w:rFonts w:ascii="Verdana" w:hAnsi="Verdana"/>
                <w:sz w:val="18"/>
                <w:szCs w:val="18"/>
              </w:rPr>
            </w:pPr>
          </w:p>
        </w:tc>
      </w:tr>
      <w:tr w:rsidR="00BC1D4B" w14:paraId="08CF64E1" w14:textId="77777777">
        <w:trPr>
          <w:trHeight w:val="454"/>
        </w:trPr>
        <w:tc>
          <w:tcPr>
            <w:tcW w:w="1838" w:type="dxa"/>
            <w:shd w:val="clear" w:color="auto" w:fill="DBE5F1" w:themeFill="accent1" w:themeFillTint="33"/>
            <w:vAlign w:val="center"/>
          </w:tcPr>
          <w:p w14:paraId="2A3DEE0B" w14:textId="77777777" w:rsidR="00BC1D4B" w:rsidRDefault="00ED1F84">
            <w:pPr>
              <w:pStyle w:val="Corpsdetexte"/>
              <w:spacing w:after="0"/>
              <w:rPr>
                <w:rFonts w:ascii="Verdana" w:hAnsi="Verdana"/>
                <w:b/>
                <w:sz w:val="18"/>
                <w:szCs w:val="18"/>
              </w:rPr>
            </w:pPr>
            <w:r>
              <w:rPr>
                <w:rFonts w:ascii="Verdana" w:hAnsi="Verdana"/>
                <w:b/>
                <w:sz w:val="18"/>
                <w:szCs w:val="18"/>
              </w:rPr>
              <w:t>ES 21</w:t>
            </w:r>
          </w:p>
        </w:tc>
        <w:tc>
          <w:tcPr>
            <w:tcW w:w="7178" w:type="dxa"/>
            <w:gridSpan w:val="3"/>
            <w:shd w:val="clear" w:color="auto" w:fill="DBE5F1" w:themeFill="accent1" w:themeFillTint="33"/>
            <w:vAlign w:val="center"/>
          </w:tcPr>
          <w:p w14:paraId="24E1E308" w14:textId="77777777" w:rsidR="00BC1D4B" w:rsidRDefault="00ED1F84">
            <w:pPr>
              <w:pStyle w:val="Corpsdetexte"/>
              <w:spacing w:after="0"/>
              <w:jc w:val="both"/>
              <w:rPr>
                <w:rFonts w:ascii="Verdana" w:hAnsi="Verdana"/>
                <w:b/>
                <w:sz w:val="18"/>
                <w:szCs w:val="18"/>
              </w:rPr>
            </w:pPr>
            <w:r>
              <w:rPr>
                <w:rFonts w:ascii="Verdana" w:hAnsi="Verdana"/>
                <w:sz w:val="18"/>
                <w:szCs w:val="18"/>
              </w:rPr>
              <w:t>SL (professional worker) - ELT articles - installation of shock absorbing tiles</w:t>
            </w:r>
          </w:p>
        </w:tc>
      </w:tr>
      <w:tr w:rsidR="00BC1D4B" w14:paraId="70779A60" w14:textId="77777777">
        <w:trPr>
          <w:trHeight w:val="454"/>
        </w:trPr>
        <w:tc>
          <w:tcPr>
            <w:tcW w:w="1838" w:type="dxa"/>
            <w:vAlign w:val="center"/>
          </w:tcPr>
          <w:p w14:paraId="175DBD58"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023595E4" w14:textId="6C49AFF7" w:rsidR="00BC1D4B" w:rsidRDefault="002319D5">
            <w:pPr>
              <w:pStyle w:val="Corpsdetexte"/>
              <w:spacing w:after="0"/>
              <w:jc w:val="center"/>
              <w:rPr>
                <w:rFonts w:ascii="Verdana" w:hAnsi="Verdana"/>
                <w:sz w:val="18"/>
                <w:szCs w:val="18"/>
              </w:rPr>
            </w:pPr>
            <w:r>
              <w:rPr>
                <w:rFonts w:ascii="Verdana" w:hAnsi="Verdana"/>
                <w:sz w:val="18"/>
                <w:szCs w:val="18"/>
              </w:rPr>
              <w:t>1.41</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5CC3F2CA" w14:textId="3D584FE8"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2319D5">
              <w:rPr>
                <w:rFonts w:ascii="Verdana" w:hAnsi="Verdana"/>
                <w:sz w:val="18"/>
                <w:szCs w:val="18"/>
              </w:rPr>
              <w:t>9.60</w:t>
            </w:r>
            <w:r>
              <w:rPr>
                <w:rFonts w:ascii="Verdana" w:hAnsi="Verdana"/>
                <w:sz w:val="18"/>
                <w:szCs w:val="18"/>
              </w:rPr>
              <w:t>E-0</w:t>
            </w:r>
            <w:r w:rsidR="002319D5">
              <w:rPr>
                <w:rFonts w:ascii="Verdana" w:hAnsi="Verdana"/>
                <w:sz w:val="18"/>
                <w:szCs w:val="18"/>
              </w:rPr>
              <w:t>5</w:t>
            </w:r>
          </w:p>
        </w:tc>
        <w:tc>
          <w:tcPr>
            <w:tcW w:w="2642" w:type="dxa"/>
            <w:vAlign w:val="center"/>
          </w:tcPr>
          <w:p w14:paraId="64461A9B"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72359EEC" w14:textId="77777777">
        <w:trPr>
          <w:trHeight w:val="454"/>
        </w:trPr>
        <w:tc>
          <w:tcPr>
            <w:tcW w:w="1838" w:type="dxa"/>
            <w:vAlign w:val="center"/>
          </w:tcPr>
          <w:p w14:paraId="376A4E8F"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04549D31" w14:textId="35CED161" w:rsidR="00BC1D4B" w:rsidRDefault="002319D5">
            <w:pPr>
              <w:pStyle w:val="Corpsdetexte"/>
              <w:spacing w:after="0"/>
              <w:jc w:val="center"/>
              <w:rPr>
                <w:rFonts w:ascii="Verdana" w:hAnsi="Verdana"/>
                <w:sz w:val="18"/>
                <w:szCs w:val="18"/>
              </w:rPr>
            </w:pPr>
            <w:r>
              <w:rPr>
                <w:rFonts w:ascii="Verdana" w:hAnsi="Verdana"/>
                <w:sz w:val="18"/>
                <w:szCs w:val="18"/>
              </w:rPr>
              <w:t>7.96</w:t>
            </w:r>
            <w:r w:rsidR="00ED1F84">
              <w:rPr>
                <w:rFonts w:ascii="Verdana" w:hAnsi="Verdana"/>
                <w:sz w:val="18"/>
                <w:szCs w:val="18"/>
              </w:rPr>
              <w:t>E-05 mg.l</w:t>
            </w:r>
            <w:r w:rsidR="00ED1F84">
              <w:rPr>
                <w:rFonts w:ascii="Verdana" w:hAnsi="Verdana"/>
                <w:sz w:val="18"/>
                <w:szCs w:val="18"/>
                <w:vertAlign w:val="superscript"/>
              </w:rPr>
              <w:t>-1</w:t>
            </w:r>
          </w:p>
        </w:tc>
        <w:tc>
          <w:tcPr>
            <w:tcW w:w="2551" w:type="dxa"/>
            <w:vAlign w:val="center"/>
          </w:tcPr>
          <w:p w14:paraId="3D1F2117" w14:textId="2AF65278" w:rsidR="00BC1D4B" w:rsidRDefault="00ED1F84">
            <w:pPr>
              <w:pStyle w:val="Corpsdetexte"/>
              <w:spacing w:after="0"/>
              <w:jc w:val="center"/>
              <w:rPr>
                <w:rFonts w:ascii="Verdana" w:hAnsi="Verdana"/>
                <w:sz w:val="18"/>
                <w:szCs w:val="18"/>
              </w:rPr>
            </w:pPr>
            <w:r>
              <w:rPr>
                <w:rFonts w:ascii="Verdana" w:hAnsi="Verdana"/>
                <w:sz w:val="18"/>
                <w:szCs w:val="18"/>
              </w:rPr>
              <w:t>RCR = 2.</w:t>
            </w:r>
            <w:r w:rsidR="002319D5">
              <w:rPr>
                <w:rFonts w:ascii="Verdana" w:hAnsi="Verdana"/>
                <w:sz w:val="18"/>
                <w:szCs w:val="18"/>
              </w:rPr>
              <w:t>65</w:t>
            </w:r>
            <w:r>
              <w:rPr>
                <w:rFonts w:ascii="Verdana" w:hAnsi="Verdana"/>
                <w:sz w:val="18"/>
                <w:szCs w:val="18"/>
              </w:rPr>
              <w:t>E-03</w:t>
            </w:r>
          </w:p>
        </w:tc>
        <w:tc>
          <w:tcPr>
            <w:tcW w:w="2642" w:type="dxa"/>
            <w:vAlign w:val="center"/>
          </w:tcPr>
          <w:p w14:paraId="6E454359"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1E03925C" w14:textId="77777777">
        <w:trPr>
          <w:trHeight w:val="454"/>
        </w:trPr>
        <w:tc>
          <w:tcPr>
            <w:tcW w:w="1838" w:type="dxa"/>
            <w:vAlign w:val="center"/>
          </w:tcPr>
          <w:p w14:paraId="0E1EABAA"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49AC49D6" w14:textId="7D05B426" w:rsidR="00BC1D4B" w:rsidRDefault="00ED1F84">
            <w:pPr>
              <w:pStyle w:val="Corpsdetexte"/>
              <w:spacing w:after="0"/>
              <w:jc w:val="center"/>
              <w:rPr>
                <w:rFonts w:ascii="Verdana" w:hAnsi="Verdana"/>
                <w:sz w:val="18"/>
                <w:szCs w:val="18"/>
              </w:rPr>
            </w:pPr>
            <w:r>
              <w:rPr>
                <w:rFonts w:ascii="Verdana" w:hAnsi="Verdana"/>
                <w:sz w:val="18"/>
                <w:szCs w:val="18"/>
              </w:rPr>
              <w:t>5.</w:t>
            </w:r>
            <w:r w:rsidR="002319D5">
              <w:rPr>
                <w:rFonts w:ascii="Verdana" w:hAnsi="Verdana"/>
                <w:sz w:val="18"/>
                <w:szCs w:val="18"/>
              </w:rPr>
              <w:t>72</w:t>
            </w:r>
            <w:r>
              <w:rPr>
                <w:rFonts w:ascii="Verdana" w:hAnsi="Verdana"/>
                <w:sz w:val="18"/>
                <w:szCs w:val="18"/>
              </w:rPr>
              <w:t>E-03 mg.kg</w:t>
            </w:r>
            <w:r>
              <w:rPr>
                <w:rFonts w:ascii="Verdana" w:hAnsi="Verdana"/>
                <w:sz w:val="18"/>
                <w:szCs w:val="18"/>
                <w:vertAlign w:val="superscript"/>
              </w:rPr>
              <w:t>-1</w:t>
            </w:r>
          </w:p>
        </w:tc>
        <w:tc>
          <w:tcPr>
            <w:tcW w:w="2551" w:type="dxa"/>
            <w:vAlign w:val="center"/>
          </w:tcPr>
          <w:p w14:paraId="71996F9B" w14:textId="331C9D73" w:rsidR="00BC1D4B" w:rsidRDefault="00ED1F84">
            <w:pPr>
              <w:pStyle w:val="Corpsdetexte"/>
              <w:spacing w:after="0"/>
              <w:jc w:val="center"/>
              <w:rPr>
                <w:rFonts w:ascii="Verdana" w:hAnsi="Verdana"/>
                <w:sz w:val="18"/>
                <w:szCs w:val="18"/>
              </w:rPr>
            </w:pPr>
            <w:r>
              <w:rPr>
                <w:rFonts w:ascii="Verdana" w:hAnsi="Verdana"/>
                <w:sz w:val="18"/>
                <w:szCs w:val="18"/>
              </w:rPr>
              <w:t>RCR = 1.0</w:t>
            </w:r>
            <w:r w:rsidR="002319D5">
              <w:rPr>
                <w:rFonts w:ascii="Verdana" w:hAnsi="Verdana"/>
                <w:sz w:val="18"/>
                <w:szCs w:val="18"/>
              </w:rPr>
              <w:t>5</w:t>
            </w:r>
            <w:r>
              <w:rPr>
                <w:rFonts w:ascii="Verdana" w:hAnsi="Verdana"/>
                <w:sz w:val="18"/>
                <w:szCs w:val="18"/>
              </w:rPr>
              <w:t>E-02</w:t>
            </w:r>
          </w:p>
        </w:tc>
        <w:tc>
          <w:tcPr>
            <w:tcW w:w="2642" w:type="dxa"/>
            <w:vAlign w:val="center"/>
          </w:tcPr>
          <w:p w14:paraId="265B777C"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255EDF89" w14:textId="77777777">
        <w:trPr>
          <w:trHeight w:val="454"/>
        </w:trPr>
        <w:tc>
          <w:tcPr>
            <w:tcW w:w="1838" w:type="dxa"/>
            <w:vAlign w:val="center"/>
          </w:tcPr>
          <w:p w14:paraId="0A12A3C0"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0820A571" w14:textId="47051D8D"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4.7</w:t>
            </w:r>
            <w:r w:rsidR="002319D5">
              <w:rPr>
                <w:rFonts w:ascii="Verdana" w:hAnsi="Verdana"/>
                <w:sz w:val="18"/>
                <w:szCs w:val="18"/>
              </w:rPr>
              <w:t>0</w:t>
            </w:r>
            <w:r>
              <w:rPr>
                <w:rFonts w:ascii="Verdana" w:hAnsi="Verdana"/>
                <w:sz w:val="18"/>
                <w:szCs w:val="18"/>
              </w:rPr>
              <w:t>E-04 mg.kg</w:t>
            </w:r>
            <w:r>
              <w:rPr>
                <w:rFonts w:ascii="Verdana" w:hAnsi="Verdana"/>
                <w:sz w:val="18"/>
                <w:szCs w:val="18"/>
                <w:vertAlign w:val="superscript"/>
              </w:rPr>
              <w:t>-1</w:t>
            </w:r>
          </w:p>
        </w:tc>
        <w:tc>
          <w:tcPr>
            <w:tcW w:w="2551" w:type="dxa"/>
            <w:vAlign w:val="center"/>
          </w:tcPr>
          <w:p w14:paraId="6777855D" w14:textId="225ED9A8" w:rsidR="00BC1D4B" w:rsidRDefault="00ED1F84">
            <w:pPr>
              <w:pStyle w:val="Corpsdetexte"/>
              <w:spacing w:after="0"/>
              <w:jc w:val="center"/>
              <w:rPr>
                <w:rFonts w:ascii="Verdana" w:hAnsi="Verdana"/>
                <w:sz w:val="18"/>
                <w:szCs w:val="18"/>
              </w:rPr>
            </w:pPr>
            <w:r>
              <w:rPr>
                <w:rFonts w:ascii="Verdana" w:hAnsi="Verdana"/>
                <w:sz w:val="18"/>
                <w:szCs w:val="18"/>
              </w:rPr>
              <w:t>RCR = 1.3</w:t>
            </w:r>
            <w:r w:rsidR="002319D5">
              <w:rPr>
                <w:rFonts w:ascii="Verdana" w:hAnsi="Verdana"/>
                <w:sz w:val="18"/>
                <w:szCs w:val="18"/>
              </w:rPr>
              <w:t>2</w:t>
            </w:r>
            <w:r>
              <w:rPr>
                <w:rFonts w:ascii="Verdana" w:hAnsi="Verdana"/>
                <w:sz w:val="18"/>
                <w:szCs w:val="18"/>
              </w:rPr>
              <w:t>E-03</w:t>
            </w:r>
          </w:p>
        </w:tc>
        <w:tc>
          <w:tcPr>
            <w:tcW w:w="2642" w:type="dxa"/>
            <w:vAlign w:val="center"/>
          </w:tcPr>
          <w:p w14:paraId="6F442C28"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492F433D" w14:textId="77777777">
        <w:trPr>
          <w:trHeight w:val="454"/>
        </w:trPr>
        <w:tc>
          <w:tcPr>
            <w:tcW w:w="1838" w:type="dxa"/>
            <w:vAlign w:val="center"/>
          </w:tcPr>
          <w:p w14:paraId="43B25EEA"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2CF0102D" w14:textId="3534BD37"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7.8</w:t>
            </w:r>
            <w:r w:rsidR="002319D5">
              <w:rPr>
                <w:rFonts w:ascii="Verdana" w:hAnsi="Verdana"/>
                <w:bCs/>
                <w:sz w:val="18"/>
                <w:szCs w:val="18"/>
                <w:lang w:val="en-US" w:eastAsia="fr-FR"/>
              </w:rPr>
              <w:t>1</w:t>
            </w:r>
            <w:r>
              <w:rPr>
                <w:rFonts w:ascii="Verdana" w:hAnsi="Verdana"/>
                <w:bCs/>
                <w:sz w:val="18"/>
                <w:szCs w:val="18"/>
                <w:lang w:val="en-US" w:eastAsia="fr-FR"/>
              </w:rPr>
              <w:t>E-03 µg/l</w:t>
            </w:r>
          </w:p>
        </w:tc>
        <w:tc>
          <w:tcPr>
            <w:tcW w:w="5193" w:type="dxa"/>
            <w:gridSpan w:val="2"/>
            <w:vAlign w:val="center"/>
          </w:tcPr>
          <w:p w14:paraId="10A947AC" w14:textId="77777777" w:rsidR="00BC1D4B" w:rsidRDefault="00BC1D4B">
            <w:pPr>
              <w:pStyle w:val="Corpsdetexte"/>
              <w:spacing w:after="0"/>
              <w:jc w:val="center"/>
              <w:rPr>
                <w:rFonts w:ascii="Verdana" w:hAnsi="Verdana"/>
                <w:sz w:val="18"/>
                <w:szCs w:val="18"/>
              </w:rPr>
            </w:pPr>
          </w:p>
        </w:tc>
      </w:tr>
      <w:tr w:rsidR="00BC1D4B" w14:paraId="44E08FBE" w14:textId="77777777">
        <w:trPr>
          <w:trHeight w:val="454"/>
        </w:trPr>
        <w:tc>
          <w:tcPr>
            <w:tcW w:w="1838" w:type="dxa"/>
            <w:shd w:val="clear" w:color="auto" w:fill="DBE5F1" w:themeFill="accent1" w:themeFillTint="33"/>
            <w:vAlign w:val="center"/>
          </w:tcPr>
          <w:p w14:paraId="35334604" w14:textId="77777777" w:rsidR="00BC1D4B" w:rsidRDefault="00ED1F84">
            <w:pPr>
              <w:pStyle w:val="Corpsdetexte"/>
              <w:spacing w:after="0"/>
              <w:rPr>
                <w:rFonts w:ascii="Verdana" w:hAnsi="Verdana"/>
                <w:b/>
                <w:sz w:val="18"/>
                <w:szCs w:val="18"/>
              </w:rPr>
            </w:pPr>
            <w:r>
              <w:rPr>
                <w:rFonts w:ascii="Verdana" w:hAnsi="Verdana"/>
                <w:b/>
                <w:sz w:val="18"/>
                <w:szCs w:val="18"/>
              </w:rPr>
              <w:t>ES 22</w:t>
            </w:r>
          </w:p>
        </w:tc>
        <w:tc>
          <w:tcPr>
            <w:tcW w:w="7178" w:type="dxa"/>
            <w:gridSpan w:val="3"/>
            <w:shd w:val="clear" w:color="auto" w:fill="DBE5F1" w:themeFill="accent1" w:themeFillTint="33"/>
            <w:vAlign w:val="center"/>
          </w:tcPr>
          <w:p w14:paraId="0B11CC8A" w14:textId="77777777" w:rsidR="00BC1D4B" w:rsidRDefault="00ED1F84">
            <w:pPr>
              <w:pStyle w:val="Corpsdetexte"/>
              <w:spacing w:after="0"/>
              <w:jc w:val="both"/>
              <w:rPr>
                <w:rFonts w:ascii="Verdana" w:hAnsi="Verdana"/>
                <w:b/>
                <w:sz w:val="18"/>
                <w:szCs w:val="18"/>
              </w:rPr>
            </w:pPr>
            <w:r>
              <w:rPr>
                <w:rFonts w:ascii="Verdana" w:hAnsi="Verdana"/>
                <w:sz w:val="18"/>
                <w:szCs w:val="18"/>
              </w:rPr>
              <w:t>SL (consumers) - ELT articles – shock absorbing tiles</w:t>
            </w:r>
          </w:p>
        </w:tc>
      </w:tr>
      <w:tr w:rsidR="00BC1D4B" w14:paraId="586877AD" w14:textId="77777777">
        <w:trPr>
          <w:trHeight w:val="454"/>
        </w:trPr>
        <w:tc>
          <w:tcPr>
            <w:tcW w:w="1838" w:type="dxa"/>
            <w:vAlign w:val="center"/>
          </w:tcPr>
          <w:p w14:paraId="75F73C0B"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28C771E7" w14:textId="5343654C" w:rsidR="00BC1D4B" w:rsidRDefault="00970BAC">
            <w:pPr>
              <w:pStyle w:val="Corpsdetexte"/>
              <w:spacing w:after="0"/>
              <w:jc w:val="center"/>
              <w:rPr>
                <w:rFonts w:ascii="Verdana" w:hAnsi="Verdana"/>
                <w:sz w:val="18"/>
                <w:szCs w:val="18"/>
              </w:rPr>
            </w:pPr>
            <w:r>
              <w:rPr>
                <w:rFonts w:ascii="Verdana" w:hAnsi="Verdana"/>
                <w:sz w:val="18"/>
                <w:szCs w:val="18"/>
              </w:rPr>
              <w:t>1.41</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066960CC" w14:textId="5DFDD68C"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970BAC">
              <w:rPr>
                <w:rFonts w:ascii="Verdana" w:hAnsi="Verdana"/>
                <w:sz w:val="18"/>
                <w:szCs w:val="18"/>
              </w:rPr>
              <w:t>9.60</w:t>
            </w:r>
            <w:r>
              <w:rPr>
                <w:rFonts w:ascii="Verdana" w:hAnsi="Verdana"/>
                <w:sz w:val="18"/>
                <w:szCs w:val="18"/>
              </w:rPr>
              <w:t>E-0</w:t>
            </w:r>
            <w:r w:rsidR="00970BAC">
              <w:rPr>
                <w:rFonts w:ascii="Verdana" w:hAnsi="Verdana"/>
                <w:sz w:val="18"/>
                <w:szCs w:val="18"/>
              </w:rPr>
              <w:t>5</w:t>
            </w:r>
          </w:p>
        </w:tc>
        <w:tc>
          <w:tcPr>
            <w:tcW w:w="2642" w:type="dxa"/>
            <w:vAlign w:val="center"/>
          </w:tcPr>
          <w:p w14:paraId="13B3163A"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262BB43B" w14:textId="77777777">
        <w:trPr>
          <w:trHeight w:val="454"/>
        </w:trPr>
        <w:tc>
          <w:tcPr>
            <w:tcW w:w="1838" w:type="dxa"/>
            <w:vAlign w:val="center"/>
          </w:tcPr>
          <w:p w14:paraId="3AC40210"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0C8FEDF7" w14:textId="30DC8F8A" w:rsidR="00BC1D4B" w:rsidRDefault="00970BAC">
            <w:pPr>
              <w:pStyle w:val="Corpsdetexte"/>
              <w:spacing w:after="0"/>
              <w:jc w:val="center"/>
              <w:rPr>
                <w:rFonts w:ascii="Verdana" w:hAnsi="Verdana"/>
                <w:sz w:val="18"/>
                <w:szCs w:val="18"/>
              </w:rPr>
            </w:pPr>
            <w:r>
              <w:rPr>
                <w:rFonts w:ascii="Verdana" w:hAnsi="Verdana"/>
                <w:sz w:val="18"/>
                <w:szCs w:val="18"/>
              </w:rPr>
              <w:t>7.96</w:t>
            </w:r>
            <w:r w:rsidR="00ED1F84">
              <w:rPr>
                <w:rFonts w:ascii="Verdana" w:hAnsi="Verdana"/>
                <w:sz w:val="18"/>
                <w:szCs w:val="18"/>
              </w:rPr>
              <w:t>E-05 mg.l</w:t>
            </w:r>
            <w:r w:rsidR="00ED1F84">
              <w:rPr>
                <w:rFonts w:ascii="Verdana" w:hAnsi="Verdana"/>
                <w:sz w:val="18"/>
                <w:szCs w:val="18"/>
                <w:vertAlign w:val="superscript"/>
              </w:rPr>
              <w:t>-1</w:t>
            </w:r>
          </w:p>
        </w:tc>
        <w:tc>
          <w:tcPr>
            <w:tcW w:w="2551" w:type="dxa"/>
            <w:vAlign w:val="center"/>
          </w:tcPr>
          <w:p w14:paraId="08A8E185" w14:textId="4D161D09" w:rsidR="00BC1D4B" w:rsidRDefault="00ED1F84">
            <w:pPr>
              <w:pStyle w:val="Corpsdetexte"/>
              <w:spacing w:after="0"/>
              <w:jc w:val="center"/>
              <w:rPr>
                <w:rFonts w:ascii="Verdana" w:hAnsi="Verdana"/>
                <w:sz w:val="18"/>
                <w:szCs w:val="18"/>
              </w:rPr>
            </w:pPr>
            <w:r>
              <w:rPr>
                <w:rFonts w:ascii="Verdana" w:hAnsi="Verdana"/>
                <w:sz w:val="18"/>
                <w:szCs w:val="18"/>
              </w:rPr>
              <w:t>RCR = 2.</w:t>
            </w:r>
            <w:r w:rsidR="00970BAC">
              <w:rPr>
                <w:rFonts w:ascii="Verdana" w:hAnsi="Verdana"/>
                <w:sz w:val="18"/>
                <w:szCs w:val="18"/>
              </w:rPr>
              <w:t>65</w:t>
            </w:r>
            <w:r>
              <w:rPr>
                <w:rFonts w:ascii="Verdana" w:hAnsi="Verdana"/>
                <w:sz w:val="18"/>
                <w:szCs w:val="18"/>
              </w:rPr>
              <w:t>E-03</w:t>
            </w:r>
          </w:p>
        </w:tc>
        <w:tc>
          <w:tcPr>
            <w:tcW w:w="2642" w:type="dxa"/>
            <w:vAlign w:val="center"/>
          </w:tcPr>
          <w:p w14:paraId="51E0550D"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573B79C5" w14:textId="77777777">
        <w:trPr>
          <w:trHeight w:val="454"/>
        </w:trPr>
        <w:tc>
          <w:tcPr>
            <w:tcW w:w="1838" w:type="dxa"/>
            <w:vAlign w:val="center"/>
          </w:tcPr>
          <w:p w14:paraId="75AE1379"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322DF335" w14:textId="0314318A" w:rsidR="00BC1D4B" w:rsidRDefault="00ED1F84">
            <w:pPr>
              <w:pStyle w:val="Corpsdetexte"/>
              <w:spacing w:after="0"/>
              <w:jc w:val="center"/>
              <w:rPr>
                <w:rFonts w:ascii="Verdana" w:hAnsi="Verdana"/>
                <w:sz w:val="18"/>
                <w:szCs w:val="18"/>
              </w:rPr>
            </w:pPr>
            <w:r>
              <w:rPr>
                <w:rFonts w:ascii="Verdana" w:hAnsi="Verdana"/>
                <w:sz w:val="18"/>
                <w:szCs w:val="18"/>
              </w:rPr>
              <w:t>5.</w:t>
            </w:r>
            <w:r w:rsidR="00970BAC">
              <w:rPr>
                <w:rFonts w:ascii="Verdana" w:hAnsi="Verdana"/>
                <w:sz w:val="18"/>
                <w:szCs w:val="18"/>
              </w:rPr>
              <w:t>72</w:t>
            </w:r>
            <w:r>
              <w:rPr>
                <w:rFonts w:ascii="Verdana" w:hAnsi="Verdana"/>
                <w:sz w:val="18"/>
                <w:szCs w:val="18"/>
              </w:rPr>
              <w:t>E-03 mg.kg</w:t>
            </w:r>
            <w:r>
              <w:rPr>
                <w:rFonts w:ascii="Verdana" w:hAnsi="Verdana"/>
                <w:sz w:val="18"/>
                <w:szCs w:val="18"/>
                <w:vertAlign w:val="superscript"/>
              </w:rPr>
              <w:t>-1</w:t>
            </w:r>
          </w:p>
        </w:tc>
        <w:tc>
          <w:tcPr>
            <w:tcW w:w="2551" w:type="dxa"/>
            <w:vAlign w:val="center"/>
          </w:tcPr>
          <w:p w14:paraId="27D8019C" w14:textId="6BE85372" w:rsidR="00BC1D4B" w:rsidRDefault="00ED1F84">
            <w:pPr>
              <w:pStyle w:val="Corpsdetexte"/>
              <w:spacing w:after="0"/>
              <w:jc w:val="center"/>
              <w:rPr>
                <w:rFonts w:ascii="Verdana" w:hAnsi="Verdana"/>
                <w:sz w:val="18"/>
                <w:szCs w:val="18"/>
              </w:rPr>
            </w:pPr>
            <w:r>
              <w:rPr>
                <w:rFonts w:ascii="Verdana" w:hAnsi="Verdana"/>
                <w:sz w:val="18"/>
                <w:szCs w:val="18"/>
              </w:rPr>
              <w:t>RCR = 1.0</w:t>
            </w:r>
            <w:r w:rsidR="00970BAC">
              <w:rPr>
                <w:rFonts w:ascii="Verdana" w:hAnsi="Verdana"/>
                <w:sz w:val="18"/>
                <w:szCs w:val="18"/>
              </w:rPr>
              <w:t>5</w:t>
            </w:r>
            <w:r>
              <w:rPr>
                <w:rFonts w:ascii="Verdana" w:hAnsi="Verdana"/>
                <w:sz w:val="18"/>
                <w:szCs w:val="18"/>
              </w:rPr>
              <w:t>E-02</w:t>
            </w:r>
          </w:p>
        </w:tc>
        <w:tc>
          <w:tcPr>
            <w:tcW w:w="2642" w:type="dxa"/>
            <w:vAlign w:val="center"/>
          </w:tcPr>
          <w:p w14:paraId="24C290D8"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2ECC3609" w14:textId="77777777">
        <w:trPr>
          <w:trHeight w:val="454"/>
        </w:trPr>
        <w:tc>
          <w:tcPr>
            <w:tcW w:w="1838" w:type="dxa"/>
            <w:vAlign w:val="center"/>
          </w:tcPr>
          <w:p w14:paraId="1FBB6976" w14:textId="77777777" w:rsidR="00BC1D4B" w:rsidRDefault="00ED1F84">
            <w:pPr>
              <w:pStyle w:val="Corpsdetexte"/>
              <w:spacing w:after="0"/>
              <w:rPr>
                <w:rFonts w:ascii="Verdana" w:hAnsi="Verdana"/>
                <w:sz w:val="18"/>
                <w:szCs w:val="18"/>
              </w:rPr>
            </w:pPr>
            <w:r>
              <w:rPr>
                <w:rFonts w:ascii="Verdana" w:hAnsi="Verdana"/>
                <w:sz w:val="18"/>
                <w:szCs w:val="18"/>
              </w:rPr>
              <w:lastRenderedPageBreak/>
              <w:t>Agricultural soil</w:t>
            </w:r>
          </w:p>
        </w:tc>
        <w:tc>
          <w:tcPr>
            <w:tcW w:w="1985" w:type="dxa"/>
            <w:vAlign w:val="center"/>
          </w:tcPr>
          <w:p w14:paraId="73C9A71C" w14:textId="6A877A48"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4.7</w:t>
            </w:r>
            <w:r w:rsidR="00970BAC">
              <w:rPr>
                <w:rFonts w:ascii="Verdana" w:hAnsi="Verdana"/>
                <w:sz w:val="18"/>
                <w:szCs w:val="18"/>
              </w:rPr>
              <w:t>0</w:t>
            </w:r>
            <w:r>
              <w:rPr>
                <w:rFonts w:ascii="Verdana" w:hAnsi="Verdana"/>
                <w:sz w:val="18"/>
                <w:szCs w:val="18"/>
              </w:rPr>
              <w:t>E-04 mg.kg</w:t>
            </w:r>
            <w:r>
              <w:rPr>
                <w:rFonts w:ascii="Verdana" w:hAnsi="Verdana"/>
                <w:sz w:val="18"/>
                <w:szCs w:val="18"/>
                <w:vertAlign w:val="superscript"/>
              </w:rPr>
              <w:t>-1</w:t>
            </w:r>
          </w:p>
        </w:tc>
        <w:tc>
          <w:tcPr>
            <w:tcW w:w="2551" w:type="dxa"/>
            <w:vAlign w:val="center"/>
          </w:tcPr>
          <w:p w14:paraId="1A1CD5CF" w14:textId="4317B094"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970BAC">
              <w:rPr>
                <w:rFonts w:ascii="Verdana" w:hAnsi="Verdana"/>
                <w:sz w:val="18"/>
                <w:szCs w:val="18"/>
              </w:rPr>
              <w:t>1.32</w:t>
            </w:r>
            <w:r>
              <w:rPr>
                <w:rFonts w:ascii="Verdana" w:hAnsi="Verdana"/>
                <w:sz w:val="18"/>
                <w:szCs w:val="18"/>
              </w:rPr>
              <w:t>E-03</w:t>
            </w:r>
          </w:p>
        </w:tc>
        <w:tc>
          <w:tcPr>
            <w:tcW w:w="2642" w:type="dxa"/>
            <w:vAlign w:val="center"/>
          </w:tcPr>
          <w:p w14:paraId="5F432AC2"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30FF5CD6" w14:textId="77777777">
        <w:trPr>
          <w:trHeight w:val="454"/>
        </w:trPr>
        <w:tc>
          <w:tcPr>
            <w:tcW w:w="1838" w:type="dxa"/>
            <w:vAlign w:val="center"/>
          </w:tcPr>
          <w:p w14:paraId="6B41BDC6"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541A5235" w14:textId="48B3C61F"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7.8</w:t>
            </w:r>
            <w:r w:rsidR="00970BAC">
              <w:rPr>
                <w:rFonts w:ascii="Verdana" w:hAnsi="Verdana"/>
                <w:bCs/>
                <w:sz w:val="18"/>
                <w:szCs w:val="18"/>
                <w:lang w:val="en-US" w:eastAsia="fr-FR"/>
              </w:rPr>
              <w:t>1</w:t>
            </w:r>
            <w:r>
              <w:rPr>
                <w:rFonts w:ascii="Verdana" w:hAnsi="Verdana"/>
                <w:bCs/>
                <w:sz w:val="18"/>
                <w:szCs w:val="18"/>
                <w:lang w:val="en-US" w:eastAsia="fr-FR"/>
              </w:rPr>
              <w:t>E-03 µg/l</w:t>
            </w:r>
          </w:p>
        </w:tc>
        <w:tc>
          <w:tcPr>
            <w:tcW w:w="5193" w:type="dxa"/>
            <w:gridSpan w:val="2"/>
            <w:vAlign w:val="center"/>
          </w:tcPr>
          <w:p w14:paraId="10D0B012" w14:textId="77777777" w:rsidR="00BC1D4B" w:rsidRDefault="00BC1D4B">
            <w:pPr>
              <w:pStyle w:val="Corpsdetexte"/>
              <w:spacing w:after="0"/>
              <w:jc w:val="center"/>
              <w:rPr>
                <w:rFonts w:ascii="Verdana" w:hAnsi="Verdana"/>
                <w:sz w:val="18"/>
                <w:szCs w:val="18"/>
              </w:rPr>
            </w:pPr>
          </w:p>
        </w:tc>
      </w:tr>
      <w:tr w:rsidR="00BC1D4B" w14:paraId="07C98C22" w14:textId="77777777">
        <w:trPr>
          <w:trHeight w:val="454"/>
        </w:trPr>
        <w:tc>
          <w:tcPr>
            <w:tcW w:w="1838" w:type="dxa"/>
            <w:shd w:val="clear" w:color="auto" w:fill="DBE5F1" w:themeFill="accent1" w:themeFillTint="33"/>
            <w:vAlign w:val="center"/>
          </w:tcPr>
          <w:p w14:paraId="4F993D5B" w14:textId="77777777" w:rsidR="00BC1D4B" w:rsidRDefault="00ED1F84">
            <w:pPr>
              <w:pStyle w:val="Corpsdetexte"/>
              <w:spacing w:after="0"/>
              <w:rPr>
                <w:rFonts w:ascii="Verdana" w:hAnsi="Verdana"/>
                <w:b/>
                <w:sz w:val="18"/>
                <w:szCs w:val="18"/>
              </w:rPr>
            </w:pPr>
            <w:r>
              <w:rPr>
                <w:rFonts w:ascii="Verdana" w:hAnsi="Verdana"/>
                <w:b/>
                <w:sz w:val="18"/>
                <w:szCs w:val="18"/>
              </w:rPr>
              <w:t>ES 23</w:t>
            </w:r>
          </w:p>
        </w:tc>
        <w:tc>
          <w:tcPr>
            <w:tcW w:w="7178" w:type="dxa"/>
            <w:gridSpan w:val="3"/>
            <w:shd w:val="clear" w:color="auto" w:fill="DBE5F1" w:themeFill="accent1" w:themeFillTint="33"/>
            <w:vAlign w:val="center"/>
          </w:tcPr>
          <w:p w14:paraId="44D3AE11" w14:textId="77777777" w:rsidR="00BC1D4B" w:rsidRDefault="00ED1F84">
            <w:pPr>
              <w:pStyle w:val="Corpsdetexte"/>
              <w:spacing w:after="0"/>
              <w:jc w:val="both"/>
              <w:rPr>
                <w:rFonts w:ascii="Verdana" w:hAnsi="Verdana"/>
                <w:b/>
                <w:sz w:val="18"/>
                <w:szCs w:val="18"/>
              </w:rPr>
            </w:pPr>
            <w:r>
              <w:rPr>
                <w:rFonts w:ascii="Verdana" w:hAnsi="Verdana"/>
                <w:sz w:val="18"/>
                <w:szCs w:val="18"/>
              </w:rPr>
              <w:t>SL (professional worker) – re-use of ELT articles - installation of synthetic turf fields</w:t>
            </w:r>
          </w:p>
        </w:tc>
      </w:tr>
      <w:tr w:rsidR="00BC1D4B" w14:paraId="3B9CEC8B" w14:textId="77777777">
        <w:trPr>
          <w:trHeight w:val="454"/>
        </w:trPr>
        <w:tc>
          <w:tcPr>
            <w:tcW w:w="1838" w:type="dxa"/>
            <w:vAlign w:val="center"/>
          </w:tcPr>
          <w:p w14:paraId="5A11B28A"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73FB4F31" w14:textId="0B7AFDAE" w:rsidR="00BC1D4B" w:rsidRDefault="00970BAC">
            <w:pPr>
              <w:pStyle w:val="Corpsdetexte"/>
              <w:spacing w:after="0"/>
              <w:jc w:val="center"/>
              <w:rPr>
                <w:rFonts w:ascii="Verdana" w:hAnsi="Verdana"/>
                <w:sz w:val="18"/>
                <w:szCs w:val="18"/>
              </w:rPr>
            </w:pPr>
            <w:r>
              <w:rPr>
                <w:rFonts w:ascii="Verdana" w:hAnsi="Verdana"/>
                <w:sz w:val="18"/>
                <w:szCs w:val="18"/>
              </w:rPr>
              <w:t>1.41</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0B19FCB2" w14:textId="12C83AC3"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970BAC">
              <w:rPr>
                <w:rFonts w:ascii="Verdana" w:hAnsi="Verdana"/>
                <w:sz w:val="18"/>
                <w:szCs w:val="18"/>
              </w:rPr>
              <w:t>9.60</w:t>
            </w:r>
            <w:r>
              <w:rPr>
                <w:rFonts w:ascii="Verdana" w:hAnsi="Verdana"/>
                <w:sz w:val="18"/>
                <w:szCs w:val="18"/>
              </w:rPr>
              <w:t>E-0</w:t>
            </w:r>
            <w:r w:rsidR="00970BAC">
              <w:rPr>
                <w:rFonts w:ascii="Verdana" w:hAnsi="Verdana"/>
                <w:sz w:val="18"/>
                <w:szCs w:val="18"/>
              </w:rPr>
              <w:t>5</w:t>
            </w:r>
          </w:p>
        </w:tc>
        <w:tc>
          <w:tcPr>
            <w:tcW w:w="2642" w:type="dxa"/>
            <w:vAlign w:val="center"/>
          </w:tcPr>
          <w:p w14:paraId="7EFFEFBC"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02880DEB" w14:textId="77777777">
        <w:trPr>
          <w:trHeight w:val="454"/>
        </w:trPr>
        <w:tc>
          <w:tcPr>
            <w:tcW w:w="1838" w:type="dxa"/>
            <w:vAlign w:val="center"/>
          </w:tcPr>
          <w:p w14:paraId="0E2B640B"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31A9C1C7" w14:textId="7E2DFC04" w:rsidR="00BC1D4B" w:rsidRDefault="00970BAC">
            <w:pPr>
              <w:pStyle w:val="Corpsdetexte"/>
              <w:spacing w:after="0"/>
              <w:jc w:val="center"/>
              <w:rPr>
                <w:rFonts w:ascii="Verdana" w:hAnsi="Verdana"/>
                <w:sz w:val="18"/>
                <w:szCs w:val="18"/>
              </w:rPr>
            </w:pPr>
            <w:r>
              <w:rPr>
                <w:rFonts w:ascii="Verdana" w:hAnsi="Verdana"/>
                <w:sz w:val="18"/>
                <w:szCs w:val="18"/>
              </w:rPr>
              <w:t>7.96</w:t>
            </w:r>
            <w:r w:rsidR="00ED1F84">
              <w:rPr>
                <w:rFonts w:ascii="Verdana" w:hAnsi="Verdana"/>
                <w:sz w:val="18"/>
                <w:szCs w:val="18"/>
              </w:rPr>
              <w:t>E-05 mg.l</w:t>
            </w:r>
            <w:r w:rsidR="00ED1F84">
              <w:rPr>
                <w:rFonts w:ascii="Verdana" w:hAnsi="Verdana"/>
                <w:sz w:val="18"/>
                <w:szCs w:val="18"/>
                <w:vertAlign w:val="superscript"/>
              </w:rPr>
              <w:t>-1</w:t>
            </w:r>
          </w:p>
        </w:tc>
        <w:tc>
          <w:tcPr>
            <w:tcW w:w="2551" w:type="dxa"/>
            <w:vAlign w:val="center"/>
          </w:tcPr>
          <w:p w14:paraId="587BC995" w14:textId="547D88F6" w:rsidR="00BC1D4B" w:rsidRDefault="00ED1F84">
            <w:pPr>
              <w:pStyle w:val="Corpsdetexte"/>
              <w:spacing w:after="0"/>
              <w:jc w:val="center"/>
              <w:rPr>
                <w:rFonts w:ascii="Verdana" w:hAnsi="Verdana"/>
                <w:sz w:val="18"/>
                <w:szCs w:val="18"/>
              </w:rPr>
            </w:pPr>
            <w:r>
              <w:rPr>
                <w:rFonts w:ascii="Verdana" w:hAnsi="Verdana"/>
                <w:sz w:val="18"/>
                <w:szCs w:val="18"/>
              </w:rPr>
              <w:t>RCR = 2.</w:t>
            </w:r>
            <w:r w:rsidR="00970BAC">
              <w:rPr>
                <w:rFonts w:ascii="Verdana" w:hAnsi="Verdana"/>
                <w:sz w:val="18"/>
                <w:szCs w:val="18"/>
              </w:rPr>
              <w:t>65</w:t>
            </w:r>
            <w:r>
              <w:rPr>
                <w:rFonts w:ascii="Verdana" w:hAnsi="Verdana"/>
                <w:sz w:val="18"/>
                <w:szCs w:val="18"/>
              </w:rPr>
              <w:t>E-03</w:t>
            </w:r>
          </w:p>
        </w:tc>
        <w:tc>
          <w:tcPr>
            <w:tcW w:w="2642" w:type="dxa"/>
            <w:vAlign w:val="center"/>
          </w:tcPr>
          <w:p w14:paraId="1FF12E40"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52F8352B" w14:textId="77777777">
        <w:trPr>
          <w:trHeight w:val="454"/>
        </w:trPr>
        <w:tc>
          <w:tcPr>
            <w:tcW w:w="1838" w:type="dxa"/>
            <w:vAlign w:val="center"/>
          </w:tcPr>
          <w:p w14:paraId="388A9A7B"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38553DAC" w14:textId="1BD9E2B1" w:rsidR="00BC1D4B" w:rsidRDefault="00ED1F84">
            <w:pPr>
              <w:pStyle w:val="Corpsdetexte"/>
              <w:spacing w:after="0"/>
              <w:jc w:val="center"/>
              <w:rPr>
                <w:rFonts w:ascii="Verdana" w:hAnsi="Verdana"/>
                <w:sz w:val="18"/>
                <w:szCs w:val="18"/>
              </w:rPr>
            </w:pPr>
            <w:r>
              <w:rPr>
                <w:rFonts w:ascii="Verdana" w:hAnsi="Verdana"/>
                <w:sz w:val="18"/>
                <w:szCs w:val="18"/>
              </w:rPr>
              <w:t>5.</w:t>
            </w:r>
            <w:r w:rsidR="00970BAC">
              <w:rPr>
                <w:rFonts w:ascii="Verdana" w:hAnsi="Verdana"/>
                <w:sz w:val="18"/>
                <w:szCs w:val="18"/>
              </w:rPr>
              <w:t>72</w:t>
            </w:r>
            <w:r>
              <w:rPr>
                <w:rFonts w:ascii="Verdana" w:hAnsi="Verdana"/>
                <w:sz w:val="18"/>
                <w:szCs w:val="18"/>
              </w:rPr>
              <w:t>E-03 mg.kg</w:t>
            </w:r>
            <w:r>
              <w:rPr>
                <w:rFonts w:ascii="Verdana" w:hAnsi="Verdana"/>
                <w:sz w:val="18"/>
                <w:szCs w:val="18"/>
                <w:vertAlign w:val="superscript"/>
              </w:rPr>
              <w:t>-1</w:t>
            </w:r>
          </w:p>
        </w:tc>
        <w:tc>
          <w:tcPr>
            <w:tcW w:w="2551" w:type="dxa"/>
            <w:vAlign w:val="center"/>
          </w:tcPr>
          <w:p w14:paraId="392BC9EC" w14:textId="23D20F13" w:rsidR="00BC1D4B" w:rsidRDefault="00ED1F84">
            <w:pPr>
              <w:pStyle w:val="Corpsdetexte"/>
              <w:spacing w:after="0"/>
              <w:jc w:val="center"/>
              <w:rPr>
                <w:rFonts w:ascii="Verdana" w:hAnsi="Verdana"/>
                <w:sz w:val="18"/>
                <w:szCs w:val="18"/>
              </w:rPr>
            </w:pPr>
            <w:r>
              <w:rPr>
                <w:rFonts w:ascii="Verdana" w:hAnsi="Verdana"/>
                <w:sz w:val="18"/>
                <w:szCs w:val="18"/>
              </w:rPr>
              <w:t>RCR = 1.0</w:t>
            </w:r>
            <w:r w:rsidR="00970BAC">
              <w:rPr>
                <w:rFonts w:ascii="Verdana" w:hAnsi="Verdana"/>
                <w:sz w:val="18"/>
                <w:szCs w:val="18"/>
              </w:rPr>
              <w:t>5</w:t>
            </w:r>
            <w:r>
              <w:rPr>
                <w:rFonts w:ascii="Verdana" w:hAnsi="Verdana"/>
                <w:sz w:val="18"/>
                <w:szCs w:val="18"/>
              </w:rPr>
              <w:t>E-02</w:t>
            </w:r>
          </w:p>
        </w:tc>
        <w:tc>
          <w:tcPr>
            <w:tcW w:w="2642" w:type="dxa"/>
            <w:vAlign w:val="center"/>
          </w:tcPr>
          <w:p w14:paraId="5FEE45CA"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5AA5B599" w14:textId="77777777">
        <w:trPr>
          <w:trHeight w:val="454"/>
        </w:trPr>
        <w:tc>
          <w:tcPr>
            <w:tcW w:w="1838" w:type="dxa"/>
            <w:vAlign w:val="center"/>
          </w:tcPr>
          <w:p w14:paraId="171C83D9"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3BFACB69" w14:textId="1261818E"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4.7</w:t>
            </w:r>
            <w:r w:rsidR="00970BAC">
              <w:rPr>
                <w:rFonts w:ascii="Verdana" w:hAnsi="Verdana"/>
                <w:sz w:val="18"/>
                <w:szCs w:val="18"/>
              </w:rPr>
              <w:t>0</w:t>
            </w:r>
            <w:r>
              <w:rPr>
                <w:rFonts w:ascii="Verdana" w:hAnsi="Verdana"/>
                <w:sz w:val="18"/>
                <w:szCs w:val="18"/>
              </w:rPr>
              <w:t>E-04 mg.kg</w:t>
            </w:r>
            <w:r>
              <w:rPr>
                <w:rFonts w:ascii="Verdana" w:hAnsi="Verdana"/>
                <w:sz w:val="18"/>
                <w:szCs w:val="18"/>
                <w:vertAlign w:val="superscript"/>
              </w:rPr>
              <w:t>-1</w:t>
            </w:r>
          </w:p>
        </w:tc>
        <w:tc>
          <w:tcPr>
            <w:tcW w:w="2551" w:type="dxa"/>
            <w:vAlign w:val="center"/>
          </w:tcPr>
          <w:p w14:paraId="1F5A6219" w14:textId="39EEF0AF" w:rsidR="00BC1D4B" w:rsidRDefault="00ED1F84">
            <w:pPr>
              <w:pStyle w:val="Corpsdetexte"/>
              <w:spacing w:after="0"/>
              <w:jc w:val="center"/>
              <w:rPr>
                <w:rFonts w:ascii="Verdana" w:hAnsi="Verdana"/>
                <w:sz w:val="18"/>
                <w:szCs w:val="18"/>
              </w:rPr>
            </w:pPr>
            <w:r>
              <w:rPr>
                <w:rFonts w:ascii="Verdana" w:hAnsi="Verdana"/>
                <w:sz w:val="18"/>
                <w:szCs w:val="18"/>
              </w:rPr>
              <w:t>RCR = 1.3</w:t>
            </w:r>
            <w:r w:rsidR="00970BAC">
              <w:rPr>
                <w:rFonts w:ascii="Verdana" w:hAnsi="Verdana"/>
                <w:sz w:val="18"/>
                <w:szCs w:val="18"/>
              </w:rPr>
              <w:t>2</w:t>
            </w:r>
            <w:r>
              <w:rPr>
                <w:rFonts w:ascii="Verdana" w:hAnsi="Verdana"/>
                <w:sz w:val="18"/>
                <w:szCs w:val="18"/>
              </w:rPr>
              <w:t>E-03</w:t>
            </w:r>
          </w:p>
        </w:tc>
        <w:tc>
          <w:tcPr>
            <w:tcW w:w="2642" w:type="dxa"/>
            <w:vAlign w:val="center"/>
          </w:tcPr>
          <w:p w14:paraId="69722296"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3ACD6FE3" w14:textId="77777777">
        <w:trPr>
          <w:trHeight w:val="454"/>
        </w:trPr>
        <w:tc>
          <w:tcPr>
            <w:tcW w:w="1838" w:type="dxa"/>
            <w:vAlign w:val="center"/>
          </w:tcPr>
          <w:p w14:paraId="22349802"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56B84E01" w14:textId="2DE8D837"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7.8</w:t>
            </w:r>
            <w:r w:rsidR="00970BAC">
              <w:rPr>
                <w:rFonts w:ascii="Verdana" w:hAnsi="Verdana"/>
                <w:bCs/>
                <w:sz w:val="18"/>
                <w:szCs w:val="18"/>
                <w:lang w:val="en-US" w:eastAsia="fr-FR"/>
              </w:rPr>
              <w:t>1</w:t>
            </w:r>
            <w:r>
              <w:rPr>
                <w:rFonts w:ascii="Verdana" w:hAnsi="Verdana"/>
                <w:bCs/>
                <w:sz w:val="18"/>
                <w:szCs w:val="18"/>
                <w:lang w:val="en-US" w:eastAsia="fr-FR"/>
              </w:rPr>
              <w:t>E-03 µg/l</w:t>
            </w:r>
          </w:p>
        </w:tc>
        <w:tc>
          <w:tcPr>
            <w:tcW w:w="5193" w:type="dxa"/>
            <w:gridSpan w:val="2"/>
            <w:vAlign w:val="center"/>
          </w:tcPr>
          <w:p w14:paraId="77956EED" w14:textId="77777777" w:rsidR="00BC1D4B" w:rsidRDefault="00BC1D4B">
            <w:pPr>
              <w:pStyle w:val="Corpsdetexte"/>
              <w:spacing w:after="0"/>
              <w:jc w:val="center"/>
              <w:rPr>
                <w:rFonts w:ascii="Verdana" w:hAnsi="Verdana"/>
                <w:sz w:val="18"/>
                <w:szCs w:val="18"/>
              </w:rPr>
            </w:pPr>
          </w:p>
        </w:tc>
      </w:tr>
      <w:tr w:rsidR="00BC1D4B" w14:paraId="22C43B12" w14:textId="77777777">
        <w:trPr>
          <w:trHeight w:val="454"/>
        </w:trPr>
        <w:tc>
          <w:tcPr>
            <w:tcW w:w="1838" w:type="dxa"/>
            <w:shd w:val="clear" w:color="auto" w:fill="DBE5F1" w:themeFill="accent1" w:themeFillTint="33"/>
            <w:vAlign w:val="center"/>
          </w:tcPr>
          <w:p w14:paraId="764A1F9E" w14:textId="77777777" w:rsidR="00BC1D4B" w:rsidRDefault="00ED1F84">
            <w:pPr>
              <w:pStyle w:val="Corpsdetexte"/>
              <w:spacing w:after="0"/>
              <w:rPr>
                <w:rFonts w:ascii="Verdana" w:hAnsi="Verdana"/>
                <w:b/>
                <w:sz w:val="18"/>
                <w:szCs w:val="18"/>
              </w:rPr>
            </w:pPr>
            <w:r>
              <w:rPr>
                <w:rFonts w:ascii="Verdana" w:hAnsi="Verdana"/>
                <w:b/>
                <w:sz w:val="18"/>
                <w:szCs w:val="18"/>
              </w:rPr>
              <w:t>ES 24</w:t>
            </w:r>
          </w:p>
        </w:tc>
        <w:tc>
          <w:tcPr>
            <w:tcW w:w="7178" w:type="dxa"/>
            <w:gridSpan w:val="3"/>
            <w:shd w:val="clear" w:color="auto" w:fill="DBE5F1" w:themeFill="accent1" w:themeFillTint="33"/>
            <w:vAlign w:val="center"/>
          </w:tcPr>
          <w:p w14:paraId="14ABED88" w14:textId="77777777" w:rsidR="00BC1D4B" w:rsidRDefault="00ED1F84">
            <w:pPr>
              <w:pStyle w:val="Corpsdetexte"/>
              <w:spacing w:after="0"/>
              <w:jc w:val="both"/>
              <w:rPr>
                <w:rFonts w:ascii="Verdana" w:hAnsi="Verdana"/>
                <w:b/>
                <w:sz w:val="18"/>
                <w:szCs w:val="18"/>
              </w:rPr>
            </w:pPr>
            <w:r>
              <w:rPr>
                <w:rFonts w:ascii="Verdana" w:hAnsi="Verdana"/>
                <w:sz w:val="18"/>
                <w:szCs w:val="18"/>
              </w:rPr>
              <w:t>SL (consumers) - ELT articles – synthetic turf fields</w:t>
            </w:r>
          </w:p>
        </w:tc>
      </w:tr>
      <w:tr w:rsidR="00BC1D4B" w14:paraId="769666D6" w14:textId="77777777">
        <w:trPr>
          <w:trHeight w:val="454"/>
        </w:trPr>
        <w:tc>
          <w:tcPr>
            <w:tcW w:w="1838" w:type="dxa"/>
            <w:vAlign w:val="center"/>
          </w:tcPr>
          <w:p w14:paraId="5D1AF203" w14:textId="77777777" w:rsidR="00BC1D4B" w:rsidRDefault="00ED1F84">
            <w:pPr>
              <w:pStyle w:val="Corpsdetexte"/>
              <w:spacing w:after="0"/>
              <w:rPr>
                <w:rFonts w:ascii="Verdana" w:hAnsi="Verdana"/>
                <w:sz w:val="18"/>
                <w:szCs w:val="18"/>
              </w:rPr>
            </w:pPr>
            <w:r>
              <w:rPr>
                <w:rFonts w:ascii="Verdana" w:hAnsi="Verdana"/>
                <w:sz w:val="18"/>
                <w:szCs w:val="18"/>
              </w:rPr>
              <w:t>Sewage Treatment Plant</w:t>
            </w:r>
          </w:p>
        </w:tc>
        <w:tc>
          <w:tcPr>
            <w:tcW w:w="1985" w:type="dxa"/>
            <w:vAlign w:val="center"/>
          </w:tcPr>
          <w:p w14:paraId="6DC33A13" w14:textId="129B083D" w:rsidR="00BC1D4B" w:rsidRDefault="00970BAC">
            <w:pPr>
              <w:pStyle w:val="Corpsdetexte"/>
              <w:spacing w:after="0"/>
              <w:jc w:val="center"/>
              <w:rPr>
                <w:rFonts w:ascii="Verdana" w:hAnsi="Verdana"/>
                <w:sz w:val="18"/>
                <w:szCs w:val="18"/>
              </w:rPr>
            </w:pPr>
            <w:r>
              <w:rPr>
                <w:rFonts w:ascii="Verdana" w:hAnsi="Verdana"/>
                <w:sz w:val="18"/>
                <w:szCs w:val="18"/>
              </w:rPr>
              <w:t>1.41</w:t>
            </w:r>
            <w:r w:rsidR="00ED1F84">
              <w:rPr>
                <w:rFonts w:ascii="Verdana" w:hAnsi="Verdana"/>
                <w:sz w:val="18"/>
                <w:szCs w:val="18"/>
              </w:rPr>
              <w:t>E-04 mg.l</w:t>
            </w:r>
            <w:r w:rsidR="00ED1F84">
              <w:rPr>
                <w:rFonts w:ascii="Verdana" w:hAnsi="Verdana"/>
                <w:sz w:val="18"/>
                <w:szCs w:val="18"/>
                <w:vertAlign w:val="superscript"/>
              </w:rPr>
              <w:t>-1</w:t>
            </w:r>
          </w:p>
        </w:tc>
        <w:tc>
          <w:tcPr>
            <w:tcW w:w="2551" w:type="dxa"/>
            <w:vAlign w:val="center"/>
          </w:tcPr>
          <w:p w14:paraId="7597D4B3" w14:textId="4FD365FB" w:rsidR="00BC1D4B" w:rsidRDefault="00ED1F84">
            <w:pPr>
              <w:pStyle w:val="Corpsdetexte"/>
              <w:spacing w:after="0"/>
              <w:jc w:val="center"/>
              <w:rPr>
                <w:rFonts w:ascii="Verdana" w:hAnsi="Verdana"/>
                <w:sz w:val="18"/>
                <w:szCs w:val="18"/>
              </w:rPr>
            </w:pPr>
            <w:r>
              <w:rPr>
                <w:rFonts w:ascii="Verdana" w:hAnsi="Verdana"/>
                <w:sz w:val="18"/>
                <w:szCs w:val="18"/>
              </w:rPr>
              <w:t xml:space="preserve">RCR = </w:t>
            </w:r>
            <w:r w:rsidR="00970BAC">
              <w:rPr>
                <w:rFonts w:ascii="Verdana" w:hAnsi="Verdana"/>
                <w:sz w:val="18"/>
                <w:szCs w:val="18"/>
              </w:rPr>
              <w:t>9.60</w:t>
            </w:r>
            <w:r>
              <w:rPr>
                <w:rFonts w:ascii="Verdana" w:hAnsi="Verdana"/>
                <w:sz w:val="18"/>
                <w:szCs w:val="18"/>
              </w:rPr>
              <w:t>E-0</w:t>
            </w:r>
            <w:r w:rsidR="00970BAC">
              <w:rPr>
                <w:rFonts w:ascii="Verdana" w:hAnsi="Verdana"/>
                <w:sz w:val="18"/>
                <w:szCs w:val="18"/>
              </w:rPr>
              <w:t>5</w:t>
            </w:r>
          </w:p>
        </w:tc>
        <w:tc>
          <w:tcPr>
            <w:tcW w:w="2642" w:type="dxa"/>
            <w:vAlign w:val="center"/>
          </w:tcPr>
          <w:p w14:paraId="5CC7C326"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68962F38" w14:textId="77777777">
        <w:trPr>
          <w:trHeight w:val="454"/>
        </w:trPr>
        <w:tc>
          <w:tcPr>
            <w:tcW w:w="1838" w:type="dxa"/>
            <w:vAlign w:val="center"/>
          </w:tcPr>
          <w:p w14:paraId="02F41E60" w14:textId="77777777" w:rsidR="00BC1D4B" w:rsidRDefault="00ED1F84">
            <w:pPr>
              <w:pStyle w:val="Corpsdetexte"/>
              <w:spacing w:after="0"/>
              <w:rPr>
                <w:rFonts w:ascii="Verdana" w:hAnsi="Verdana"/>
                <w:sz w:val="18"/>
                <w:szCs w:val="18"/>
              </w:rPr>
            </w:pPr>
            <w:r>
              <w:rPr>
                <w:rFonts w:ascii="Verdana" w:hAnsi="Verdana"/>
                <w:sz w:val="18"/>
                <w:szCs w:val="18"/>
              </w:rPr>
              <w:t>Fresh water</w:t>
            </w:r>
          </w:p>
        </w:tc>
        <w:tc>
          <w:tcPr>
            <w:tcW w:w="1985" w:type="dxa"/>
            <w:vAlign w:val="center"/>
          </w:tcPr>
          <w:p w14:paraId="6A3DFB73" w14:textId="4D2AE8FD" w:rsidR="00BC1D4B" w:rsidRDefault="00970BAC">
            <w:pPr>
              <w:pStyle w:val="Corpsdetexte"/>
              <w:spacing w:after="0"/>
              <w:jc w:val="center"/>
              <w:rPr>
                <w:rFonts w:ascii="Verdana" w:hAnsi="Verdana"/>
                <w:sz w:val="18"/>
                <w:szCs w:val="18"/>
              </w:rPr>
            </w:pPr>
            <w:r>
              <w:rPr>
                <w:rFonts w:ascii="Verdana" w:hAnsi="Verdana"/>
                <w:sz w:val="18"/>
                <w:szCs w:val="18"/>
              </w:rPr>
              <w:t>7.96</w:t>
            </w:r>
            <w:r w:rsidR="00ED1F84">
              <w:rPr>
                <w:rFonts w:ascii="Verdana" w:hAnsi="Verdana"/>
                <w:sz w:val="18"/>
                <w:szCs w:val="18"/>
              </w:rPr>
              <w:t>E-05 mg.l</w:t>
            </w:r>
            <w:r w:rsidR="00ED1F84">
              <w:rPr>
                <w:rFonts w:ascii="Verdana" w:hAnsi="Verdana"/>
                <w:sz w:val="18"/>
                <w:szCs w:val="18"/>
                <w:vertAlign w:val="superscript"/>
              </w:rPr>
              <w:t>-1</w:t>
            </w:r>
          </w:p>
        </w:tc>
        <w:tc>
          <w:tcPr>
            <w:tcW w:w="2551" w:type="dxa"/>
            <w:vAlign w:val="center"/>
          </w:tcPr>
          <w:p w14:paraId="66E45BEB" w14:textId="5C56E18E" w:rsidR="00BC1D4B" w:rsidRDefault="00ED1F84">
            <w:pPr>
              <w:pStyle w:val="Corpsdetexte"/>
              <w:spacing w:after="0"/>
              <w:jc w:val="center"/>
              <w:rPr>
                <w:rFonts w:ascii="Verdana" w:hAnsi="Verdana"/>
                <w:sz w:val="18"/>
                <w:szCs w:val="18"/>
              </w:rPr>
            </w:pPr>
            <w:r>
              <w:rPr>
                <w:rFonts w:ascii="Verdana" w:hAnsi="Verdana"/>
                <w:sz w:val="18"/>
                <w:szCs w:val="18"/>
              </w:rPr>
              <w:t>RCR = 2.</w:t>
            </w:r>
            <w:r w:rsidR="00970BAC">
              <w:rPr>
                <w:rFonts w:ascii="Verdana" w:hAnsi="Verdana"/>
                <w:sz w:val="18"/>
                <w:szCs w:val="18"/>
              </w:rPr>
              <w:t>65</w:t>
            </w:r>
            <w:r>
              <w:rPr>
                <w:rFonts w:ascii="Verdana" w:hAnsi="Verdana"/>
                <w:sz w:val="18"/>
                <w:szCs w:val="18"/>
              </w:rPr>
              <w:t>E-03</w:t>
            </w:r>
          </w:p>
        </w:tc>
        <w:tc>
          <w:tcPr>
            <w:tcW w:w="2642" w:type="dxa"/>
            <w:vAlign w:val="center"/>
          </w:tcPr>
          <w:p w14:paraId="61A741DA"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22C412DF" w14:textId="77777777">
        <w:trPr>
          <w:trHeight w:val="454"/>
        </w:trPr>
        <w:tc>
          <w:tcPr>
            <w:tcW w:w="1838" w:type="dxa"/>
            <w:vAlign w:val="center"/>
          </w:tcPr>
          <w:p w14:paraId="649E6E2E" w14:textId="77777777" w:rsidR="00BC1D4B" w:rsidRDefault="00ED1F84">
            <w:pPr>
              <w:pStyle w:val="Corpsdetexte"/>
              <w:spacing w:after="0"/>
              <w:rPr>
                <w:rFonts w:ascii="Verdana" w:hAnsi="Verdana"/>
                <w:sz w:val="18"/>
                <w:szCs w:val="18"/>
              </w:rPr>
            </w:pPr>
            <w:r>
              <w:rPr>
                <w:rFonts w:ascii="Verdana" w:hAnsi="Verdana"/>
                <w:sz w:val="18"/>
                <w:szCs w:val="18"/>
              </w:rPr>
              <w:t>Sediment (fresh water)</w:t>
            </w:r>
          </w:p>
        </w:tc>
        <w:tc>
          <w:tcPr>
            <w:tcW w:w="1985" w:type="dxa"/>
            <w:vAlign w:val="center"/>
          </w:tcPr>
          <w:p w14:paraId="2CF5B7B3" w14:textId="27E23C56" w:rsidR="00BC1D4B" w:rsidRDefault="00ED1F84">
            <w:pPr>
              <w:pStyle w:val="Corpsdetexte"/>
              <w:spacing w:after="0"/>
              <w:jc w:val="center"/>
              <w:rPr>
                <w:rFonts w:ascii="Verdana" w:hAnsi="Verdana"/>
                <w:sz w:val="18"/>
                <w:szCs w:val="18"/>
              </w:rPr>
            </w:pPr>
            <w:r>
              <w:rPr>
                <w:rFonts w:ascii="Verdana" w:hAnsi="Verdana"/>
                <w:sz w:val="18"/>
                <w:szCs w:val="18"/>
              </w:rPr>
              <w:t>5.</w:t>
            </w:r>
            <w:r w:rsidR="00970BAC">
              <w:rPr>
                <w:rFonts w:ascii="Verdana" w:hAnsi="Verdana"/>
                <w:sz w:val="18"/>
                <w:szCs w:val="18"/>
              </w:rPr>
              <w:t>72</w:t>
            </w:r>
            <w:r>
              <w:rPr>
                <w:rFonts w:ascii="Verdana" w:hAnsi="Verdana"/>
                <w:sz w:val="18"/>
                <w:szCs w:val="18"/>
              </w:rPr>
              <w:t>E-03 mg.kg</w:t>
            </w:r>
            <w:r>
              <w:rPr>
                <w:rFonts w:ascii="Verdana" w:hAnsi="Verdana"/>
                <w:sz w:val="18"/>
                <w:szCs w:val="18"/>
                <w:vertAlign w:val="superscript"/>
              </w:rPr>
              <w:t>-1</w:t>
            </w:r>
          </w:p>
        </w:tc>
        <w:tc>
          <w:tcPr>
            <w:tcW w:w="2551" w:type="dxa"/>
            <w:vAlign w:val="center"/>
          </w:tcPr>
          <w:p w14:paraId="69951176" w14:textId="2FBB49B5" w:rsidR="00BC1D4B" w:rsidRDefault="00ED1F84">
            <w:pPr>
              <w:pStyle w:val="Corpsdetexte"/>
              <w:spacing w:after="0"/>
              <w:jc w:val="center"/>
              <w:rPr>
                <w:rFonts w:ascii="Verdana" w:hAnsi="Verdana"/>
                <w:sz w:val="18"/>
                <w:szCs w:val="18"/>
              </w:rPr>
            </w:pPr>
            <w:r>
              <w:rPr>
                <w:rFonts w:ascii="Verdana" w:hAnsi="Verdana"/>
                <w:sz w:val="18"/>
                <w:szCs w:val="18"/>
              </w:rPr>
              <w:t>RCR = 1.0</w:t>
            </w:r>
            <w:r w:rsidR="00970BAC">
              <w:rPr>
                <w:rFonts w:ascii="Verdana" w:hAnsi="Verdana"/>
                <w:sz w:val="18"/>
                <w:szCs w:val="18"/>
              </w:rPr>
              <w:t>5</w:t>
            </w:r>
            <w:r>
              <w:rPr>
                <w:rFonts w:ascii="Verdana" w:hAnsi="Verdana"/>
                <w:sz w:val="18"/>
                <w:szCs w:val="18"/>
              </w:rPr>
              <w:t>E-02</w:t>
            </w:r>
          </w:p>
        </w:tc>
        <w:tc>
          <w:tcPr>
            <w:tcW w:w="2642" w:type="dxa"/>
            <w:vAlign w:val="center"/>
          </w:tcPr>
          <w:p w14:paraId="16CBC7FE" w14:textId="77777777" w:rsidR="00BC1D4B" w:rsidRDefault="00ED1F84">
            <w:pPr>
              <w:pStyle w:val="Corpsdetexte"/>
              <w:spacing w:after="0"/>
              <w:jc w:val="center"/>
              <w:rPr>
                <w:rFonts w:ascii="Verdana" w:hAnsi="Verdana"/>
                <w:sz w:val="18"/>
                <w:szCs w:val="18"/>
                <w:lang w:val="en-US"/>
              </w:rPr>
            </w:pPr>
            <w:r>
              <w:rPr>
                <w:rFonts w:ascii="Verdana" w:hAnsi="Verdana"/>
                <w:sz w:val="18"/>
                <w:szCs w:val="18"/>
              </w:rPr>
              <w:t>Acceptable</w:t>
            </w:r>
          </w:p>
        </w:tc>
      </w:tr>
      <w:tr w:rsidR="00BC1D4B" w14:paraId="5C2AFC9C" w14:textId="77777777">
        <w:trPr>
          <w:trHeight w:val="454"/>
        </w:trPr>
        <w:tc>
          <w:tcPr>
            <w:tcW w:w="1838" w:type="dxa"/>
            <w:vAlign w:val="center"/>
          </w:tcPr>
          <w:p w14:paraId="5714C64F" w14:textId="77777777" w:rsidR="00BC1D4B" w:rsidRDefault="00ED1F84">
            <w:pPr>
              <w:pStyle w:val="Corpsdetexte"/>
              <w:spacing w:after="0"/>
              <w:rPr>
                <w:rFonts w:ascii="Verdana" w:hAnsi="Verdana"/>
                <w:sz w:val="18"/>
                <w:szCs w:val="18"/>
              </w:rPr>
            </w:pPr>
            <w:r>
              <w:rPr>
                <w:rFonts w:ascii="Verdana" w:hAnsi="Verdana"/>
                <w:sz w:val="18"/>
                <w:szCs w:val="18"/>
              </w:rPr>
              <w:t>Agricultural soil</w:t>
            </w:r>
          </w:p>
        </w:tc>
        <w:tc>
          <w:tcPr>
            <w:tcW w:w="1985" w:type="dxa"/>
            <w:vAlign w:val="center"/>
          </w:tcPr>
          <w:p w14:paraId="5308A19C" w14:textId="56156781" w:rsidR="00BC1D4B" w:rsidRDefault="00ED1F84">
            <w:pPr>
              <w:pStyle w:val="Corpsdetexte"/>
              <w:spacing w:after="0"/>
              <w:jc w:val="center"/>
              <w:rPr>
                <w:rFonts w:ascii="Verdana" w:hAnsi="Verdana"/>
                <w:bCs/>
                <w:sz w:val="18"/>
                <w:szCs w:val="18"/>
                <w:lang w:val="en-US" w:eastAsia="fr-FR"/>
              </w:rPr>
            </w:pPr>
            <w:r>
              <w:rPr>
                <w:rFonts w:ascii="Verdana" w:hAnsi="Verdana"/>
                <w:sz w:val="18"/>
                <w:szCs w:val="18"/>
              </w:rPr>
              <w:t>4.7</w:t>
            </w:r>
            <w:r w:rsidR="00970BAC">
              <w:rPr>
                <w:rFonts w:ascii="Verdana" w:hAnsi="Verdana"/>
                <w:sz w:val="18"/>
                <w:szCs w:val="18"/>
              </w:rPr>
              <w:t>0</w:t>
            </w:r>
            <w:r>
              <w:rPr>
                <w:rFonts w:ascii="Verdana" w:hAnsi="Verdana"/>
                <w:sz w:val="18"/>
                <w:szCs w:val="18"/>
              </w:rPr>
              <w:t>E-04 mg.kg</w:t>
            </w:r>
            <w:r>
              <w:rPr>
                <w:rFonts w:ascii="Verdana" w:hAnsi="Verdana"/>
                <w:sz w:val="18"/>
                <w:szCs w:val="18"/>
                <w:vertAlign w:val="superscript"/>
              </w:rPr>
              <w:t>-1</w:t>
            </w:r>
          </w:p>
        </w:tc>
        <w:tc>
          <w:tcPr>
            <w:tcW w:w="2551" w:type="dxa"/>
            <w:vAlign w:val="center"/>
          </w:tcPr>
          <w:p w14:paraId="0D2CC081" w14:textId="05169CF6" w:rsidR="00BC1D4B" w:rsidRDefault="00ED1F84">
            <w:pPr>
              <w:pStyle w:val="Corpsdetexte"/>
              <w:spacing w:after="0"/>
              <w:jc w:val="center"/>
              <w:rPr>
                <w:rFonts w:ascii="Verdana" w:hAnsi="Verdana"/>
                <w:sz w:val="18"/>
                <w:szCs w:val="18"/>
              </w:rPr>
            </w:pPr>
            <w:r>
              <w:rPr>
                <w:rFonts w:ascii="Verdana" w:hAnsi="Verdana"/>
                <w:sz w:val="18"/>
                <w:szCs w:val="18"/>
              </w:rPr>
              <w:t>RCR = 1.3</w:t>
            </w:r>
            <w:r w:rsidR="00970BAC">
              <w:rPr>
                <w:rFonts w:ascii="Verdana" w:hAnsi="Verdana"/>
                <w:sz w:val="18"/>
                <w:szCs w:val="18"/>
              </w:rPr>
              <w:t>2</w:t>
            </w:r>
            <w:r>
              <w:rPr>
                <w:rFonts w:ascii="Verdana" w:hAnsi="Verdana"/>
                <w:sz w:val="18"/>
                <w:szCs w:val="18"/>
              </w:rPr>
              <w:t>E-03</w:t>
            </w:r>
          </w:p>
        </w:tc>
        <w:tc>
          <w:tcPr>
            <w:tcW w:w="2642" w:type="dxa"/>
            <w:vAlign w:val="center"/>
          </w:tcPr>
          <w:p w14:paraId="08E1DEBF" w14:textId="77777777" w:rsidR="00BC1D4B" w:rsidRDefault="00ED1F84">
            <w:pPr>
              <w:pStyle w:val="Corpsdetexte"/>
              <w:spacing w:after="0"/>
              <w:jc w:val="center"/>
              <w:rPr>
                <w:rFonts w:ascii="Verdana" w:hAnsi="Verdana"/>
                <w:sz w:val="18"/>
                <w:szCs w:val="18"/>
              </w:rPr>
            </w:pPr>
            <w:r>
              <w:rPr>
                <w:rFonts w:ascii="Verdana" w:hAnsi="Verdana"/>
                <w:sz w:val="18"/>
                <w:szCs w:val="18"/>
              </w:rPr>
              <w:t>Acceptable</w:t>
            </w:r>
          </w:p>
        </w:tc>
      </w:tr>
      <w:tr w:rsidR="00BC1D4B" w14:paraId="37175685" w14:textId="77777777">
        <w:trPr>
          <w:trHeight w:val="454"/>
        </w:trPr>
        <w:tc>
          <w:tcPr>
            <w:tcW w:w="1838" w:type="dxa"/>
            <w:vAlign w:val="center"/>
          </w:tcPr>
          <w:p w14:paraId="7829C17D" w14:textId="77777777" w:rsidR="00BC1D4B" w:rsidRDefault="00ED1F84">
            <w:pPr>
              <w:pStyle w:val="Corpsdetexte"/>
              <w:spacing w:after="0"/>
              <w:rPr>
                <w:rFonts w:ascii="Verdana" w:hAnsi="Verdana"/>
                <w:sz w:val="18"/>
                <w:szCs w:val="18"/>
              </w:rPr>
            </w:pPr>
            <w:r>
              <w:rPr>
                <w:rFonts w:ascii="Verdana" w:hAnsi="Verdana"/>
                <w:sz w:val="18"/>
                <w:szCs w:val="18"/>
              </w:rPr>
              <w:t>Groundwater</w:t>
            </w:r>
          </w:p>
        </w:tc>
        <w:tc>
          <w:tcPr>
            <w:tcW w:w="1985" w:type="dxa"/>
            <w:vAlign w:val="center"/>
          </w:tcPr>
          <w:p w14:paraId="74F0C9EC" w14:textId="347E50F5" w:rsidR="00BC1D4B" w:rsidRDefault="00ED1F84">
            <w:pPr>
              <w:pStyle w:val="Corpsdetexte"/>
              <w:spacing w:after="0"/>
              <w:jc w:val="center"/>
              <w:rPr>
                <w:rFonts w:ascii="Verdana" w:hAnsi="Verdana"/>
                <w:bCs/>
                <w:sz w:val="18"/>
                <w:szCs w:val="18"/>
                <w:lang w:val="en-US" w:eastAsia="fr-FR"/>
              </w:rPr>
            </w:pPr>
            <w:r>
              <w:rPr>
                <w:rFonts w:ascii="Verdana" w:hAnsi="Verdana"/>
                <w:bCs/>
                <w:sz w:val="18"/>
                <w:szCs w:val="18"/>
                <w:lang w:val="en-US" w:eastAsia="fr-FR"/>
              </w:rPr>
              <w:t>7.8</w:t>
            </w:r>
            <w:r w:rsidR="00970BAC">
              <w:rPr>
                <w:rFonts w:ascii="Verdana" w:hAnsi="Verdana"/>
                <w:bCs/>
                <w:sz w:val="18"/>
                <w:szCs w:val="18"/>
                <w:lang w:val="en-US" w:eastAsia="fr-FR"/>
              </w:rPr>
              <w:t>1</w:t>
            </w:r>
            <w:r>
              <w:rPr>
                <w:rFonts w:ascii="Verdana" w:hAnsi="Verdana"/>
                <w:bCs/>
                <w:sz w:val="18"/>
                <w:szCs w:val="18"/>
                <w:lang w:val="en-US" w:eastAsia="fr-FR"/>
              </w:rPr>
              <w:t>E-03 µg/l</w:t>
            </w:r>
          </w:p>
        </w:tc>
        <w:tc>
          <w:tcPr>
            <w:tcW w:w="5193" w:type="dxa"/>
            <w:gridSpan w:val="2"/>
            <w:vAlign w:val="center"/>
          </w:tcPr>
          <w:p w14:paraId="547F6A21" w14:textId="77777777" w:rsidR="00BC1D4B" w:rsidRDefault="00BC1D4B">
            <w:pPr>
              <w:pStyle w:val="Corpsdetexte"/>
              <w:spacing w:after="0"/>
              <w:jc w:val="center"/>
              <w:rPr>
                <w:rFonts w:ascii="Verdana" w:hAnsi="Verdana"/>
                <w:sz w:val="18"/>
                <w:szCs w:val="18"/>
              </w:rPr>
            </w:pPr>
          </w:p>
        </w:tc>
      </w:tr>
    </w:tbl>
    <w:p w14:paraId="03F668E5" w14:textId="4315E311" w:rsidR="002626FE" w:rsidRPr="002626FE" w:rsidRDefault="00ED1F84" w:rsidP="002626FE">
      <w:pPr>
        <w:jc w:val="both"/>
        <w:rPr>
          <w:rFonts w:ascii="Verdana" w:hAnsi="Verdana"/>
          <w:sz w:val="20"/>
          <w:szCs w:val="20"/>
        </w:rPr>
      </w:pPr>
      <w:r>
        <w:rPr>
          <w:rFonts w:ascii="Verdana" w:hAnsi="Verdana"/>
          <w:sz w:val="20"/>
          <w:szCs w:val="20"/>
        </w:rPr>
        <w:t>NR: not relevant, M: Manufacture, F: Formulation, IS: Industrial site, SL: Service Life</w:t>
      </w:r>
    </w:p>
    <w:p w14:paraId="78AA27A4" w14:textId="77777777" w:rsidR="00BC1D4B" w:rsidRDefault="00ED1F84">
      <w:pPr>
        <w:pStyle w:val="Corpsdetexte"/>
        <w:jc w:val="both"/>
        <w:rPr>
          <w:rFonts w:ascii="Verdana" w:hAnsi="Verdana"/>
          <w:caps/>
          <w:sz w:val="20"/>
          <w:szCs w:val="20"/>
          <w:u w:val="single"/>
        </w:rPr>
      </w:pPr>
      <w:r>
        <w:rPr>
          <w:rFonts w:ascii="Verdana" w:hAnsi="Verdana"/>
          <w:caps/>
          <w:sz w:val="20"/>
          <w:szCs w:val="20"/>
          <w:u w:val="single"/>
        </w:rPr>
        <w:t>REGIONAL assessment</w:t>
      </w:r>
    </w:p>
    <w:p w14:paraId="32BFB843" w14:textId="77777777" w:rsidR="00BC1D4B" w:rsidRDefault="00ED1F84">
      <w:pPr>
        <w:spacing w:after="240"/>
        <w:jc w:val="both"/>
        <w:rPr>
          <w:rFonts w:ascii="Verdana" w:hAnsi="Verdana"/>
          <w:sz w:val="20"/>
          <w:szCs w:val="20"/>
        </w:rPr>
      </w:pPr>
      <w:r>
        <w:rPr>
          <w:rFonts w:ascii="Verdana" w:hAnsi="Verdana"/>
          <w:sz w:val="20"/>
          <w:szCs w:val="20"/>
          <w:lang w:val="en-US"/>
        </w:rPr>
        <w:t xml:space="preserve">The exposure estimates have been carried out by the Registrants and </w:t>
      </w:r>
      <w:r>
        <w:rPr>
          <w:rFonts w:ascii="Verdana" w:hAnsi="Verdana"/>
          <w:sz w:val="20"/>
          <w:szCs w:val="20"/>
        </w:rPr>
        <w:t xml:space="preserve">aMSCA’s is in agreement with the conclusions to consider the impact of the regional scale as negligible on environmental assessment. </w:t>
      </w:r>
    </w:p>
    <w:p w14:paraId="000CBB95" w14:textId="77777777" w:rsidR="00BC1D4B" w:rsidRDefault="00ED1F84">
      <w:pPr>
        <w:pStyle w:val="Corpsdetexte"/>
        <w:widowControl w:val="0"/>
        <w:jc w:val="both"/>
        <w:rPr>
          <w:rFonts w:ascii="Verdana" w:hAnsi="Verdana"/>
          <w:caps/>
          <w:sz w:val="20"/>
          <w:szCs w:val="20"/>
          <w:u w:val="single"/>
        </w:rPr>
      </w:pPr>
      <w:r>
        <w:rPr>
          <w:rFonts w:ascii="Verdana" w:hAnsi="Verdana"/>
          <w:caps/>
          <w:sz w:val="20"/>
          <w:szCs w:val="20"/>
          <w:u w:val="single"/>
        </w:rPr>
        <w:t>Conclusion for environment</w:t>
      </w:r>
    </w:p>
    <w:p w14:paraId="0385036C" w14:textId="0342BC33" w:rsidR="00BC1D4B" w:rsidRDefault="00ED1F84">
      <w:pPr>
        <w:widowControl w:val="0"/>
        <w:spacing w:before="240" w:after="360"/>
        <w:jc w:val="both"/>
        <w:rPr>
          <w:rFonts w:ascii="Verdana" w:hAnsi="Verdana"/>
          <w:sz w:val="20"/>
          <w:szCs w:val="20"/>
        </w:rPr>
      </w:pPr>
      <w:r>
        <w:rPr>
          <w:rFonts w:ascii="Verdana" w:hAnsi="Verdana"/>
          <w:sz w:val="20"/>
          <w:szCs w:val="20"/>
        </w:rPr>
        <w:t xml:space="preserve">Based on the exposure scenarios of the registration dossier, environmental risk assessment shows </w:t>
      </w:r>
      <w:r>
        <w:rPr>
          <w:rFonts w:ascii="Verdana" w:hAnsi="Verdana"/>
          <w:b/>
          <w:sz w:val="20"/>
          <w:szCs w:val="20"/>
        </w:rPr>
        <w:t>unacceptable risks for exposure to fresh water and sediment in scenario 1a</w:t>
      </w:r>
      <w:r>
        <w:rPr>
          <w:rFonts w:ascii="Verdana" w:hAnsi="Verdana"/>
          <w:sz w:val="20"/>
          <w:szCs w:val="20"/>
        </w:rPr>
        <w:t xml:space="preserve"> (Manufacture of the substance</w:t>
      </w:r>
      <w:r w:rsidR="00253C01">
        <w:rPr>
          <w:rFonts w:ascii="Verdana" w:hAnsi="Verdana"/>
          <w:sz w:val="20"/>
          <w:szCs w:val="20"/>
        </w:rPr>
        <w:t xml:space="preserve"> – Registrant 1</w:t>
      </w:r>
      <w:r>
        <w:rPr>
          <w:rFonts w:ascii="Verdana" w:hAnsi="Verdana"/>
          <w:sz w:val="20"/>
          <w:szCs w:val="20"/>
        </w:rPr>
        <w:t>)</w:t>
      </w:r>
      <w:r>
        <w:t xml:space="preserve"> </w:t>
      </w:r>
      <w:r>
        <w:rPr>
          <w:rFonts w:ascii="Verdana" w:hAnsi="Verdana"/>
          <w:b/>
          <w:sz w:val="20"/>
          <w:szCs w:val="20"/>
        </w:rPr>
        <w:t>following direct release of the substance to the water</w:t>
      </w:r>
      <w:r>
        <w:rPr>
          <w:rFonts w:ascii="Verdana" w:hAnsi="Verdana"/>
          <w:sz w:val="20"/>
          <w:szCs w:val="20"/>
        </w:rPr>
        <w:t xml:space="preserve">. This conclusion differ from the registrant. The aMSCA revised the flow rate of the river and the dilution factor which were found to be inaccurate. This corrected value has a major impact on the dilution of DPG in the water course and the overall risk calculation. </w:t>
      </w:r>
    </w:p>
    <w:p w14:paraId="20E0F3DF" w14:textId="4B2768AC" w:rsidR="00BC1D4B" w:rsidRDefault="00ED1F84">
      <w:pPr>
        <w:widowControl w:val="0"/>
        <w:spacing w:before="240" w:after="360"/>
        <w:jc w:val="both"/>
        <w:rPr>
          <w:rFonts w:ascii="Verdana" w:hAnsi="Verdana"/>
          <w:sz w:val="20"/>
          <w:szCs w:val="20"/>
        </w:rPr>
      </w:pPr>
      <w:r>
        <w:rPr>
          <w:rFonts w:ascii="Verdana" w:hAnsi="Verdana"/>
          <w:sz w:val="20"/>
          <w:szCs w:val="20"/>
        </w:rPr>
        <w:t xml:space="preserve">Environmental risk assessment shows </w:t>
      </w:r>
      <w:r>
        <w:rPr>
          <w:rFonts w:ascii="Verdana" w:hAnsi="Verdana"/>
          <w:b/>
          <w:sz w:val="20"/>
          <w:szCs w:val="20"/>
        </w:rPr>
        <w:t>unacceptable risks for exposure to agricultural soil in scenario 1b</w:t>
      </w:r>
      <w:r>
        <w:rPr>
          <w:rFonts w:ascii="Verdana" w:hAnsi="Verdana"/>
          <w:sz w:val="20"/>
          <w:szCs w:val="20"/>
        </w:rPr>
        <w:t xml:space="preserve"> (Manufacture of the substance </w:t>
      </w:r>
      <w:r w:rsidR="00253C01">
        <w:rPr>
          <w:rFonts w:ascii="Verdana" w:hAnsi="Verdana"/>
          <w:sz w:val="20"/>
          <w:szCs w:val="20"/>
        </w:rPr>
        <w:t>- Registrant 2</w:t>
      </w:r>
      <w:r>
        <w:rPr>
          <w:rFonts w:ascii="Verdana" w:hAnsi="Verdana"/>
          <w:sz w:val="20"/>
          <w:szCs w:val="20"/>
        </w:rPr>
        <w:t xml:space="preserve">) following effluent treatment in the sewage treatment plant located on the site of the manufacture. Release to groundwater was also identified. However, the registrant mentioned that no application of the STP sludge is made on agricultural soil and that particular considerations are made on the waste treatment operations. Thus, </w:t>
      </w:r>
      <w:r>
        <w:rPr>
          <w:rFonts w:ascii="Verdana" w:hAnsi="Verdana"/>
          <w:b/>
          <w:sz w:val="20"/>
          <w:szCs w:val="20"/>
        </w:rPr>
        <w:t>the aMSCA considers the risks acceptable following the application of appropriate risk management measure (no application of sludge to agricultural soil)</w:t>
      </w:r>
      <w:r>
        <w:rPr>
          <w:rFonts w:ascii="Verdana" w:hAnsi="Verdana"/>
          <w:sz w:val="20"/>
          <w:szCs w:val="20"/>
        </w:rPr>
        <w:t xml:space="preserve">. </w:t>
      </w:r>
    </w:p>
    <w:p w14:paraId="70F86488" w14:textId="7869B4A1" w:rsidR="00BC1D4B" w:rsidRDefault="00ED1F84">
      <w:pPr>
        <w:widowControl w:val="0"/>
        <w:spacing w:before="240" w:after="360"/>
        <w:jc w:val="both"/>
        <w:rPr>
          <w:rFonts w:ascii="Verdana" w:hAnsi="Verdana"/>
          <w:b/>
          <w:sz w:val="20"/>
          <w:szCs w:val="20"/>
        </w:rPr>
      </w:pPr>
      <w:r>
        <w:rPr>
          <w:rFonts w:ascii="Verdana" w:hAnsi="Verdana"/>
          <w:sz w:val="20"/>
          <w:szCs w:val="20"/>
        </w:rPr>
        <w:lastRenderedPageBreak/>
        <w:t xml:space="preserve">Environmental risk assessment shows </w:t>
      </w:r>
      <w:r>
        <w:rPr>
          <w:rFonts w:ascii="Verdana" w:hAnsi="Verdana"/>
          <w:b/>
          <w:sz w:val="20"/>
          <w:szCs w:val="20"/>
        </w:rPr>
        <w:t>unacceptable risks for scenarios 2, 3 and 4 for fresh water and sediments following direct release of the substance to the water</w:t>
      </w:r>
      <w:r>
        <w:rPr>
          <w:rFonts w:ascii="Verdana" w:hAnsi="Verdana"/>
          <w:sz w:val="20"/>
          <w:szCs w:val="20"/>
        </w:rPr>
        <w:t>. In these scenarios, the Registrants mentioned that there is no DPG-containing wastewater in this process. The aMSCA considers the zero emission as an unrealistic emission scenario and applied the release to wastewater relevant for each corresponding ERCs as a default value and following the recommendations of R.16 Guidance document. Additional information was given from one of the two manufacturers for scenario 2 (F - Formulation or re-packing – Masterbatches manufacture</w:t>
      </w:r>
      <w:r w:rsidR="00253C01">
        <w:rPr>
          <w:rFonts w:ascii="Verdana" w:hAnsi="Verdana"/>
          <w:sz w:val="20"/>
          <w:szCs w:val="20"/>
        </w:rPr>
        <w:t xml:space="preserve"> </w:t>
      </w:r>
      <w:r>
        <w:rPr>
          <w:rFonts w:ascii="Verdana" w:hAnsi="Verdana"/>
          <w:sz w:val="20"/>
          <w:szCs w:val="20"/>
        </w:rPr>
        <w:t xml:space="preserve">- Mixland). In the confidential document submitted (personal communication to the aMSCA), the registrant gives details on the processes of formulation, the operators’ duties, the cleaning and waste management. It is mentioned that the bags used for packaging, the floor and equipment are not washed with water. The waste (bags) is monitored using a BSD – “Bordereau suivi des déchets” as mandatory by the French regulation. The mixing tank cleaning is done dry or scraping with rags soaked in solvent, there is no cleaning with water installation. The extruder is cooled with cold water (the cooling system is tight and there is no contact with the product). These measures, if applied correctly, allow to reduce efficiently the release of DPG in the environment. Thus, </w:t>
      </w:r>
      <w:r>
        <w:rPr>
          <w:rFonts w:ascii="Verdana" w:hAnsi="Verdana"/>
          <w:b/>
          <w:sz w:val="20"/>
          <w:szCs w:val="20"/>
        </w:rPr>
        <w:t xml:space="preserve">the aMSCA considers the risks acceptable following the application of appropriate risk management measures as detailed by one of the registrants. These specific management measures shall be included in the registration dossier. There is however uncertainty whether such management measures are applied by all registrants. </w:t>
      </w:r>
      <w:r>
        <w:rPr>
          <w:rFonts w:ascii="Verdana" w:eastAsia="Calibri" w:hAnsi="Verdana"/>
          <w:b/>
          <w:sz w:val="20"/>
          <w:szCs w:val="20"/>
          <w:lang w:val="en-US"/>
        </w:rPr>
        <w:t>A more detailed description of the operational conditions and monitoring data should be provided by all registrants concerned with scenarios 2, 3 and 4 to discard the risks identified in this assessment.</w:t>
      </w:r>
    </w:p>
    <w:p w14:paraId="043597B7" w14:textId="1F4A40CB" w:rsidR="00BC1D4B" w:rsidRDefault="00ED1F84">
      <w:pPr>
        <w:widowControl w:val="0"/>
        <w:spacing w:before="240" w:after="360"/>
        <w:jc w:val="both"/>
        <w:rPr>
          <w:rFonts w:ascii="Verdana" w:hAnsi="Verdana"/>
          <w:b/>
          <w:sz w:val="20"/>
          <w:szCs w:val="20"/>
        </w:rPr>
      </w:pPr>
      <w:r>
        <w:rPr>
          <w:rFonts w:ascii="Verdana" w:hAnsi="Verdana"/>
          <w:b/>
          <w:sz w:val="20"/>
          <w:szCs w:val="20"/>
        </w:rPr>
        <w:t xml:space="preserve">In addition, monitoring the aquatic environment at the local scale, in the vicinity of the releases of DPG from industrial sites, would provide relevant information to discard uncertainties in relation to risk assessment. This would apply to scenario 1a </w:t>
      </w:r>
      <w:r>
        <w:rPr>
          <w:rFonts w:ascii="Verdana" w:hAnsi="Verdana"/>
          <w:sz w:val="20"/>
          <w:szCs w:val="20"/>
        </w:rPr>
        <w:t>(Manufacture of the substance</w:t>
      </w:r>
      <w:r w:rsidR="00253C01">
        <w:rPr>
          <w:rFonts w:ascii="Verdana" w:hAnsi="Verdana"/>
          <w:sz w:val="20"/>
          <w:szCs w:val="20"/>
        </w:rPr>
        <w:t xml:space="preserve"> – Registrant </w:t>
      </w:r>
      <w:r w:rsidR="00DE1DD3">
        <w:rPr>
          <w:rFonts w:ascii="Verdana" w:hAnsi="Verdana"/>
          <w:sz w:val="20"/>
          <w:szCs w:val="20"/>
        </w:rPr>
        <w:t>1</w:t>
      </w:r>
      <w:r>
        <w:rPr>
          <w:rFonts w:ascii="Verdana" w:hAnsi="Verdana"/>
          <w:sz w:val="20"/>
          <w:szCs w:val="20"/>
        </w:rPr>
        <w:t>)</w:t>
      </w:r>
      <w:r w:rsidR="00DE1DD3">
        <w:rPr>
          <w:rFonts w:ascii="Verdana" w:hAnsi="Verdana"/>
          <w:sz w:val="20"/>
          <w:szCs w:val="20"/>
        </w:rPr>
        <w:t xml:space="preserve"> and to scenario 2, 3, 4 (Formulation or re-packing scenarios)</w:t>
      </w:r>
      <w:r>
        <w:rPr>
          <w:rFonts w:ascii="Verdana" w:hAnsi="Verdana"/>
          <w:b/>
          <w:sz w:val="20"/>
          <w:szCs w:val="20"/>
        </w:rPr>
        <w:t xml:space="preserve">, to cover the uncertainties related to the surface water flow of the river receiving the industrial wastewater. This could also apply to scenarios 8 and 9 </w:t>
      </w:r>
      <w:r>
        <w:rPr>
          <w:rFonts w:ascii="Verdana" w:hAnsi="Verdana"/>
          <w:sz w:val="20"/>
          <w:szCs w:val="20"/>
        </w:rPr>
        <w:t>(Manufacture of Tyres)</w:t>
      </w:r>
      <w:r>
        <w:rPr>
          <w:rFonts w:ascii="Verdana" w:hAnsi="Verdana"/>
          <w:b/>
          <w:sz w:val="20"/>
          <w:szCs w:val="20"/>
        </w:rPr>
        <w:t xml:space="preserve"> for which both scenarios indicated a predicted exposure concentration of DPG to groundwater of 0.15 µg/L. </w:t>
      </w:r>
    </w:p>
    <w:p w14:paraId="170A06F3" w14:textId="77777777" w:rsidR="00BC1D4B" w:rsidRDefault="00BC1D4B">
      <w:pPr>
        <w:widowControl w:val="0"/>
        <w:spacing w:before="240" w:after="360"/>
        <w:jc w:val="both"/>
        <w:rPr>
          <w:rFonts w:ascii="Verdana" w:hAnsi="Verdana"/>
          <w:b/>
          <w:sz w:val="20"/>
          <w:szCs w:val="20"/>
        </w:rPr>
      </w:pPr>
    </w:p>
    <w:p w14:paraId="76B945FB" w14:textId="77777777" w:rsidR="00BC1D4B" w:rsidRDefault="00BC1D4B">
      <w:pPr>
        <w:widowControl w:val="0"/>
        <w:spacing w:before="240" w:after="360"/>
        <w:jc w:val="both"/>
        <w:rPr>
          <w:rFonts w:ascii="Verdana" w:hAnsi="Verdana"/>
          <w:sz w:val="20"/>
          <w:szCs w:val="20"/>
        </w:rPr>
      </w:pPr>
    </w:p>
    <w:p w14:paraId="3CBEA6BE" w14:textId="77777777" w:rsidR="00BC1D4B" w:rsidRDefault="00ED1F84">
      <w:pPr>
        <w:spacing w:after="200" w:line="276" w:lineRule="auto"/>
        <w:rPr>
          <w:rFonts w:ascii="Verdana" w:hAnsi="Verdana" w:cs="Arial"/>
          <w:b/>
          <w:color w:val="0046AD"/>
          <w:szCs w:val="22"/>
        </w:rPr>
      </w:pPr>
      <w:r>
        <w:br w:type="page" w:clear="all"/>
      </w:r>
    </w:p>
    <w:p w14:paraId="790FAAE6" w14:textId="77777777" w:rsidR="00BC1D4B" w:rsidRDefault="00ED1F84">
      <w:pPr>
        <w:pStyle w:val="Titre2"/>
      </w:pPr>
      <w:bookmarkStart w:id="77" w:name="_Toc137044506"/>
      <w:r>
        <w:lastRenderedPageBreak/>
        <w:t>Overall risk characterisation</w:t>
      </w:r>
      <w:bookmarkEnd w:id="77"/>
    </w:p>
    <w:p w14:paraId="691C3EA0" w14:textId="77777777" w:rsidR="00BC1D4B" w:rsidRDefault="00ED1F84">
      <w:pPr>
        <w:jc w:val="both"/>
        <w:rPr>
          <w:rFonts w:ascii="Verdana" w:hAnsi="Verdana"/>
          <w:b/>
          <w:sz w:val="20"/>
          <w:szCs w:val="20"/>
          <w:u w:val="single"/>
          <w:lang w:val="en-US"/>
        </w:rPr>
      </w:pPr>
      <w:r>
        <w:rPr>
          <w:rFonts w:ascii="Verdana" w:hAnsi="Verdana"/>
          <w:b/>
          <w:sz w:val="20"/>
          <w:szCs w:val="20"/>
          <w:u w:val="single"/>
          <w:lang w:val="en-US"/>
        </w:rPr>
        <w:t>Human health (combined for all exposure routes)</w:t>
      </w:r>
    </w:p>
    <w:p w14:paraId="7B9B70BD" w14:textId="6816AD2F" w:rsidR="00BC1D4B" w:rsidRDefault="00ED1F84">
      <w:pPr>
        <w:pStyle w:val="Corpsdetexte"/>
        <w:jc w:val="both"/>
        <w:rPr>
          <w:rFonts w:ascii="Verdana" w:eastAsia="Calibri" w:hAnsi="Verdana"/>
          <w:b/>
          <w:sz w:val="20"/>
          <w:szCs w:val="20"/>
        </w:rPr>
      </w:pPr>
      <w:r>
        <w:rPr>
          <w:rFonts w:ascii="Verdana" w:eastAsia="Calibri" w:hAnsi="Verdana"/>
          <w:b/>
          <w:sz w:val="20"/>
          <w:szCs w:val="20"/>
        </w:rPr>
        <w:t xml:space="preserve">In conclusion, when considering all the exposure scenarios presented in the CSRs and the revised DNELs recommended by the aMSCA, some RCR are between </w:t>
      </w:r>
      <w:r w:rsidR="00750E91">
        <w:rPr>
          <w:rFonts w:ascii="Verdana" w:eastAsia="Calibri" w:hAnsi="Verdana"/>
          <w:b/>
          <w:sz w:val="20"/>
          <w:szCs w:val="20"/>
        </w:rPr>
        <w:t>&gt;</w:t>
      </w:r>
      <w:r>
        <w:rPr>
          <w:rFonts w:ascii="Verdana" w:eastAsia="Calibri" w:hAnsi="Verdana"/>
          <w:b/>
          <w:sz w:val="20"/>
          <w:szCs w:val="20"/>
        </w:rPr>
        <w:t>1 and 1.61:</w:t>
      </w:r>
    </w:p>
    <w:p w14:paraId="15410317" w14:textId="77777777" w:rsidR="00BC1D4B" w:rsidRDefault="00ED1F84" w:rsidP="0074729A">
      <w:pPr>
        <w:pStyle w:val="Corpsdetexte"/>
        <w:numPr>
          <w:ilvl w:val="0"/>
          <w:numId w:val="13"/>
        </w:numPr>
        <w:jc w:val="both"/>
        <w:rPr>
          <w:rFonts w:ascii="Verdana" w:eastAsia="Calibri" w:hAnsi="Verdana"/>
          <w:b/>
          <w:sz w:val="20"/>
          <w:szCs w:val="20"/>
        </w:rPr>
      </w:pPr>
      <w:r>
        <w:rPr>
          <w:rFonts w:ascii="Verdana" w:eastAsia="Calibri" w:hAnsi="Verdana"/>
          <w:b/>
          <w:sz w:val="20"/>
          <w:szCs w:val="20"/>
        </w:rPr>
        <w:t>most scenarios for industrial workers and several scenarios for professional workers</w:t>
      </w:r>
    </w:p>
    <w:p w14:paraId="7A2049B7" w14:textId="57ACA9A9" w:rsidR="00BC1D4B" w:rsidRDefault="00ED1F84" w:rsidP="0074729A">
      <w:pPr>
        <w:pStyle w:val="Corpsdetexte"/>
        <w:numPr>
          <w:ilvl w:val="0"/>
          <w:numId w:val="13"/>
        </w:numPr>
        <w:jc w:val="both"/>
        <w:rPr>
          <w:rFonts w:ascii="Verdana" w:eastAsia="Calibri" w:hAnsi="Verdana"/>
          <w:b/>
          <w:sz w:val="20"/>
          <w:szCs w:val="20"/>
        </w:rPr>
      </w:pPr>
      <w:r>
        <w:rPr>
          <w:rFonts w:ascii="Verdana" w:eastAsia="Calibri" w:hAnsi="Verdana"/>
          <w:b/>
          <w:sz w:val="20"/>
          <w:szCs w:val="20"/>
        </w:rPr>
        <w:t>change of new tyres by consumers (RCR =1.13)</w:t>
      </w:r>
    </w:p>
    <w:p w14:paraId="43B8F2CF" w14:textId="77777777" w:rsidR="00BC1D4B" w:rsidRDefault="00ED1F84">
      <w:pPr>
        <w:pStyle w:val="Corpsdetexte"/>
        <w:jc w:val="both"/>
        <w:rPr>
          <w:rFonts w:ascii="Verdana" w:eastAsia="Calibri" w:hAnsi="Verdana"/>
          <w:sz w:val="20"/>
          <w:szCs w:val="20"/>
        </w:rPr>
      </w:pPr>
      <w:r>
        <w:rPr>
          <w:rFonts w:ascii="Verdana" w:eastAsia="Calibri" w:hAnsi="Verdana"/>
          <w:sz w:val="20"/>
          <w:szCs w:val="20"/>
        </w:rPr>
        <w:t>It has to be noted that in most of the exposure scenario (except for scenario 1a and 1b), only a Tier I assessment tool was used. Moreover, dermal route is identified as a significant route of exposure in many of the exposure scenario in which RCR were greater than 1 and the RMMs did not systematically include glove wearing. Gloves may be added to lower the risks. Additional operational conditions (OCs) and RMMs may be also implemented. However, it is noted that implementation and compliance to additional OCs and RMMs may be more difficult to achieve in professional situations than in industrial installation.</w:t>
      </w:r>
    </w:p>
    <w:p w14:paraId="2947B675" w14:textId="77777777" w:rsidR="00BC1D4B" w:rsidRDefault="00ED1F84">
      <w:pPr>
        <w:pStyle w:val="Corpsdetexte"/>
        <w:jc w:val="both"/>
        <w:rPr>
          <w:rFonts w:ascii="Verdana" w:eastAsia="Calibri" w:hAnsi="Verdana"/>
          <w:sz w:val="20"/>
          <w:szCs w:val="20"/>
        </w:rPr>
      </w:pPr>
      <w:r>
        <w:rPr>
          <w:rFonts w:ascii="Verdana" w:eastAsia="Calibri" w:hAnsi="Verdana"/>
          <w:b/>
          <w:sz w:val="20"/>
          <w:szCs w:val="20"/>
        </w:rPr>
        <w:t>Considering the low magnitude of risks, refinement of exposure assessment with Tier II tools and addition of RMM may result in refinement and possibly control of risks. The aMSCA therefore recommend that registration dossiers above 10 Tpa are updated considering the DNEL as described in section 2.1.1 to provide demonstration that risks are adequately controlled for all registered uses of the substance.</w:t>
      </w:r>
      <w:r>
        <w:rPr>
          <w:rFonts w:ascii="Verdana" w:eastAsia="Calibri" w:hAnsi="Verdana"/>
          <w:sz w:val="20"/>
          <w:szCs w:val="20"/>
        </w:rPr>
        <w:t xml:space="preserve"> It is possible that despite a refinement and the addition of OCs and RMMs, risks remain. It is however not possible for the aMSCA to go further in the analysis.</w:t>
      </w:r>
    </w:p>
    <w:p w14:paraId="3F2F7661" w14:textId="77777777" w:rsidR="00BC1D4B" w:rsidRDefault="00ED1F84">
      <w:pPr>
        <w:pStyle w:val="Corpsdetexte"/>
        <w:jc w:val="both"/>
        <w:rPr>
          <w:rFonts w:ascii="Verdana" w:eastAsia="Calibri" w:hAnsi="Verdana"/>
          <w:sz w:val="20"/>
          <w:szCs w:val="20"/>
        </w:rPr>
      </w:pPr>
      <w:r>
        <w:rPr>
          <w:rFonts w:ascii="Verdana" w:eastAsia="Calibri" w:hAnsi="Verdana"/>
          <w:b/>
          <w:sz w:val="20"/>
          <w:szCs w:val="20"/>
        </w:rPr>
        <w:t xml:space="preserve">Besides, in addition to the information given in the CSR, data from the literature provided indications of sources of exposure to DPG. </w:t>
      </w:r>
      <w:r>
        <w:rPr>
          <w:rFonts w:ascii="Verdana" w:eastAsia="Calibri" w:hAnsi="Verdana"/>
          <w:sz w:val="20"/>
          <w:szCs w:val="20"/>
        </w:rPr>
        <w:t xml:space="preserve">Contact allergy due to the presence of DPG in gloves, shoes and sock is reported. DPG was detected in drinking water and sources of drinking water in several publications. DPG was also detected in indoor dust and in the air of megacities in countries across the word. It can be noted the DPG concentrations varied a lot between the publications. This may be explained by the differences of sensitivity of detection methods. Other parameters may also have influence but are not known. The identified and possible sources includes release from tire particles, from use of rubber goods and in particular from water pipes for drinking water. One publication also report the contamination of pharmaceutical products by DPG coming from the material used to manipulate the drug. </w:t>
      </w:r>
    </w:p>
    <w:p w14:paraId="1ADD32D8" w14:textId="77777777" w:rsidR="00BC1D4B" w:rsidRDefault="00ED1F84">
      <w:pPr>
        <w:spacing w:after="0"/>
        <w:jc w:val="both"/>
        <w:rPr>
          <w:rFonts w:ascii="Verdana" w:hAnsi="Verdana"/>
          <w:sz w:val="20"/>
          <w:szCs w:val="20"/>
          <w:lang w:val="en-US"/>
        </w:rPr>
      </w:pPr>
      <w:r>
        <w:rPr>
          <w:rFonts w:ascii="Verdana" w:hAnsi="Verdana" w:cs="Verdana"/>
          <w:color w:val="000000"/>
          <w:sz w:val="20"/>
          <w:szCs w:val="20"/>
          <w:lang w:val="en-US"/>
        </w:rPr>
        <w:t xml:space="preserve">Risk calculation were performed with the concentrations of DPG in water (drinking water and sources of drinking water) from 3 publications. Risks were determined for infants, children and adults for the concentration of </w:t>
      </w:r>
      <w:r>
        <w:rPr>
          <w:rFonts w:ascii="Verdana" w:hAnsi="Verdana"/>
          <w:sz w:val="20"/>
          <w:szCs w:val="20"/>
          <w:lang w:val="en-US"/>
        </w:rPr>
        <w:t xml:space="preserve">560µg/L of DPG in drinking water (Tang </w:t>
      </w:r>
      <w:r>
        <w:rPr>
          <w:rFonts w:ascii="Verdana" w:hAnsi="Verdana"/>
          <w:i/>
          <w:sz w:val="20"/>
          <w:szCs w:val="20"/>
          <w:lang w:val="en-US"/>
        </w:rPr>
        <w:t>et al</w:t>
      </w:r>
      <w:r>
        <w:rPr>
          <w:rFonts w:ascii="Verdana" w:hAnsi="Verdana"/>
          <w:sz w:val="20"/>
          <w:szCs w:val="20"/>
          <w:lang w:val="en-US"/>
        </w:rPr>
        <w:t xml:space="preserve">. 2015). The origin of DPG in this publication is from migration from HDPE pipes material. This type of pipe is also used in Europe (Diera </w:t>
      </w:r>
      <w:r>
        <w:rPr>
          <w:rFonts w:ascii="Verdana" w:hAnsi="Verdana"/>
          <w:i/>
          <w:sz w:val="20"/>
          <w:szCs w:val="20"/>
          <w:lang w:val="en-US"/>
        </w:rPr>
        <w:t>et al</w:t>
      </w:r>
      <w:r>
        <w:rPr>
          <w:rFonts w:ascii="Verdana" w:hAnsi="Verdana"/>
          <w:sz w:val="20"/>
          <w:szCs w:val="20"/>
          <w:lang w:val="en-US"/>
        </w:rPr>
        <w:t xml:space="preserve">. 2023). However, it is difficult to know if the material composition is the same in China than in Europe. Therefore, it is not known whether the concentration reported in the publication of Tang </w:t>
      </w:r>
      <w:r>
        <w:rPr>
          <w:rFonts w:ascii="Verdana" w:hAnsi="Verdana"/>
          <w:i/>
          <w:sz w:val="20"/>
          <w:szCs w:val="20"/>
          <w:lang w:val="en-US"/>
        </w:rPr>
        <w:t>et al</w:t>
      </w:r>
      <w:r>
        <w:rPr>
          <w:rFonts w:ascii="Verdana" w:hAnsi="Verdana"/>
          <w:sz w:val="20"/>
          <w:szCs w:val="20"/>
          <w:lang w:val="en-US"/>
        </w:rPr>
        <w:t xml:space="preserve">. (2015) is representative of the DPG concentration in drinking water in Europe.  </w:t>
      </w:r>
    </w:p>
    <w:p w14:paraId="32F44683" w14:textId="77777777" w:rsidR="00BC1D4B" w:rsidRDefault="00ED1F84">
      <w:pPr>
        <w:spacing w:after="0"/>
        <w:jc w:val="both"/>
        <w:rPr>
          <w:rFonts w:ascii="Verdana" w:hAnsi="Verdana"/>
          <w:sz w:val="20"/>
          <w:szCs w:val="20"/>
          <w:lang w:val="en-US"/>
        </w:rPr>
      </w:pPr>
      <w:r>
        <w:rPr>
          <w:rFonts w:ascii="Verdana" w:hAnsi="Verdana"/>
          <w:sz w:val="20"/>
          <w:szCs w:val="20"/>
          <w:lang w:val="en-US"/>
        </w:rPr>
        <w:t>Nevertheless, a potential risk due to the presence of DPG in drinking water cannot be dismissed.</w:t>
      </w:r>
    </w:p>
    <w:p w14:paraId="6041D259" w14:textId="77777777" w:rsidR="00BC1D4B" w:rsidRDefault="00BC1D4B">
      <w:pPr>
        <w:spacing w:after="0"/>
        <w:jc w:val="both"/>
        <w:rPr>
          <w:rFonts w:ascii="Verdana" w:hAnsi="Verdana" w:cs="Verdana"/>
          <w:color w:val="000000"/>
          <w:sz w:val="20"/>
          <w:szCs w:val="20"/>
          <w:lang w:val="en-US"/>
        </w:rPr>
      </w:pPr>
    </w:p>
    <w:p w14:paraId="582F9A77" w14:textId="77777777" w:rsidR="00BC1D4B" w:rsidRDefault="00BC1D4B">
      <w:pPr>
        <w:spacing w:after="0"/>
        <w:jc w:val="both"/>
        <w:rPr>
          <w:rFonts w:ascii="Verdana" w:hAnsi="Verdana" w:cs="Verdana"/>
          <w:color w:val="000000"/>
          <w:sz w:val="20"/>
          <w:szCs w:val="20"/>
          <w:lang w:val="en-US"/>
        </w:rPr>
      </w:pPr>
    </w:p>
    <w:p w14:paraId="3545A3EB" w14:textId="7FC9434C" w:rsidR="00BC1D4B" w:rsidRDefault="00ED1F84">
      <w:pPr>
        <w:spacing w:after="0"/>
        <w:jc w:val="both"/>
        <w:rPr>
          <w:rFonts w:ascii="Verdana" w:hAnsi="Verdana" w:cs="Verdana"/>
          <w:color w:val="000000"/>
          <w:sz w:val="20"/>
          <w:szCs w:val="20"/>
          <w:lang w:val="en-US"/>
        </w:rPr>
      </w:pPr>
      <w:r>
        <w:rPr>
          <w:rFonts w:ascii="Verdana" w:hAnsi="Verdana" w:cs="Verdana"/>
          <w:color w:val="000000"/>
          <w:sz w:val="20"/>
          <w:szCs w:val="20"/>
          <w:lang w:val="en-US"/>
        </w:rPr>
        <w:lastRenderedPageBreak/>
        <w:t xml:space="preserve">Overall, DPG has been detected in many sources other than those covered by the exposure scenario of the CSRs and the extent of the articles where DPG is present is not known. </w:t>
      </w:r>
      <w:r>
        <w:rPr>
          <w:rFonts w:ascii="Verdana" w:hAnsi="Verdana" w:cs="Verdana"/>
          <w:b/>
          <w:color w:val="000000"/>
          <w:sz w:val="20"/>
          <w:szCs w:val="20"/>
          <w:lang w:val="en-US"/>
        </w:rPr>
        <w:t>T</w:t>
      </w:r>
      <w:r>
        <w:rPr>
          <w:rFonts w:ascii="Verdana" w:hAnsi="Verdana" w:cs="Verdana"/>
          <w:b/>
          <w:color w:val="000000"/>
          <w:sz w:val="20"/>
          <w:szCs w:val="20"/>
        </w:rPr>
        <w:t>his raise uncertainties on the representativeness of the exposure scenarios presented in the CS</w:t>
      </w:r>
      <w:r w:rsidR="00C949BA">
        <w:rPr>
          <w:rFonts w:ascii="Verdana" w:hAnsi="Verdana" w:cs="Verdana"/>
          <w:b/>
          <w:color w:val="000000"/>
          <w:sz w:val="20"/>
          <w:szCs w:val="20"/>
        </w:rPr>
        <w:t>R</w:t>
      </w:r>
      <w:r>
        <w:rPr>
          <w:rFonts w:ascii="Verdana" w:hAnsi="Verdana" w:cs="Verdana"/>
          <w:b/>
          <w:color w:val="000000"/>
          <w:sz w:val="20"/>
          <w:szCs w:val="20"/>
        </w:rPr>
        <w:t xml:space="preserve"> regarding the possible extent of the articles in which DPG is present. There are also uncertainties on the residual amount of DPG present in articles. No data was found in the literature.</w:t>
      </w:r>
    </w:p>
    <w:p w14:paraId="4BAE3C4C" w14:textId="77777777" w:rsidR="00BC1D4B" w:rsidRDefault="00BC1D4B">
      <w:pPr>
        <w:spacing w:after="0"/>
        <w:jc w:val="both"/>
        <w:rPr>
          <w:rFonts w:ascii="Verdana" w:hAnsi="Verdana" w:cs="Verdana"/>
          <w:color w:val="000000"/>
          <w:sz w:val="20"/>
          <w:szCs w:val="20"/>
          <w:lang w:val="en-US"/>
        </w:rPr>
      </w:pPr>
    </w:p>
    <w:p w14:paraId="764C05D9" w14:textId="77777777" w:rsidR="00BC1D4B" w:rsidRDefault="00ED1F84">
      <w:pPr>
        <w:spacing w:after="0"/>
        <w:jc w:val="both"/>
        <w:rPr>
          <w:rFonts w:ascii="Verdana" w:hAnsi="Verdana" w:cs="Verdana"/>
          <w:color w:val="000000"/>
          <w:sz w:val="20"/>
          <w:szCs w:val="20"/>
          <w:lang w:val="en-US"/>
        </w:rPr>
      </w:pPr>
      <w:r>
        <w:rPr>
          <w:rFonts w:ascii="Verdana" w:hAnsi="Verdana" w:cs="Verdana"/>
          <w:color w:val="000000"/>
          <w:sz w:val="20"/>
          <w:szCs w:val="20"/>
          <w:lang w:val="en-US"/>
        </w:rPr>
        <w:t>The exposure of DPG to the general population is therefore from multiple sources and appears to be continuous.</w:t>
      </w:r>
    </w:p>
    <w:p w14:paraId="5D8958A8" w14:textId="77777777" w:rsidR="00BC1D4B" w:rsidRDefault="00BC1D4B">
      <w:pPr>
        <w:spacing w:after="0"/>
        <w:jc w:val="both"/>
        <w:rPr>
          <w:rFonts w:ascii="Verdana" w:hAnsi="Verdana" w:cs="Verdana"/>
          <w:color w:val="000000"/>
          <w:sz w:val="20"/>
          <w:szCs w:val="20"/>
          <w:lang w:val="en-US"/>
        </w:rPr>
      </w:pPr>
    </w:p>
    <w:p w14:paraId="791B0490" w14:textId="77777777" w:rsidR="00BC1D4B" w:rsidRDefault="00ED1F84">
      <w:pPr>
        <w:spacing w:after="0"/>
        <w:jc w:val="both"/>
        <w:rPr>
          <w:rFonts w:ascii="Verdana" w:hAnsi="Verdana" w:cs="Verdana"/>
          <w:color w:val="000000"/>
          <w:sz w:val="20"/>
          <w:szCs w:val="20"/>
          <w:lang w:val="en-US"/>
        </w:rPr>
      </w:pPr>
      <w:r>
        <w:rPr>
          <w:rFonts w:ascii="Verdana" w:hAnsi="Verdana" w:cs="Verdana"/>
          <w:color w:val="000000"/>
          <w:sz w:val="20"/>
          <w:szCs w:val="20"/>
          <w:lang w:val="en-US"/>
        </w:rPr>
        <w:t xml:space="preserve">A classification as Repr. 1B – H360FD is proposed by aMSCA. The presence of DPG in many sources raise concern. </w:t>
      </w:r>
    </w:p>
    <w:p w14:paraId="1C8AF8DB" w14:textId="77777777" w:rsidR="00BC1D4B" w:rsidRDefault="00BC1D4B">
      <w:pPr>
        <w:jc w:val="both"/>
        <w:rPr>
          <w:rFonts w:ascii="Verdana" w:hAnsi="Verdana"/>
          <w:b/>
          <w:strike/>
          <w:sz w:val="20"/>
          <w:szCs w:val="20"/>
          <w:u w:val="single"/>
          <w:lang w:val="en-US"/>
        </w:rPr>
      </w:pPr>
    </w:p>
    <w:p w14:paraId="1A79BCCE" w14:textId="77777777" w:rsidR="00BC1D4B" w:rsidRDefault="00BC1D4B">
      <w:pPr>
        <w:spacing w:after="0"/>
        <w:jc w:val="both"/>
        <w:rPr>
          <w:rFonts w:ascii="Verdana" w:hAnsi="Verdana" w:cs="Verdana"/>
          <w:color w:val="000000"/>
          <w:sz w:val="20"/>
          <w:szCs w:val="20"/>
          <w:lang w:val="en-US"/>
        </w:rPr>
      </w:pPr>
    </w:p>
    <w:p w14:paraId="4B4CFD1B" w14:textId="77777777" w:rsidR="00BC1D4B" w:rsidRDefault="00ED1F84">
      <w:pPr>
        <w:jc w:val="both"/>
        <w:rPr>
          <w:rFonts w:ascii="Verdana" w:hAnsi="Verdana"/>
          <w:sz w:val="20"/>
          <w:szCs w:val="20"/>
        </w:rPr>
      </w:pPr>
      <w:r>
        <w:rPr>
          <w:rFonts w:ascii="Verdana" w:hAnsi="Verdana"/>
          <w:b/>
          <w:sz w:val="20"/>
          <w:szCs w:val="20"/>
          <w:u w:val="single"/>
          <w:lang w:val="en-US"/>
        </w:rPr>
        <w:t>Environment (combined for all exposure routes)</w:t>
      </w:r>
    </w:p>
    <w:p w14:paraId="6396DF94" w14:textId="279C6604" w:rsidR="00BC1D4B" w:rsidRDefault="00ED1F84">
      <w:pPr>
        <w:widowControl w:val="0"/>
        <w:spacing w:before="240" w:after="360"/>
        <w:jc w:val="both"/>
        <w:rPr>
          <w:rFonts w:ascii="Verdana" w:hAnsi="Verdana"/>
          <w:sz w:val="20"/>
          <w:szCs w:val="20"/>
        </w:rPr>
      </w:pPr>
      <w:r>
        <w:rPr>
          <w:rFonts w:ascii="Verdana" w:hAnsi="Verdana"/>
          <w:sz w:val="20"/>
          <w:szCs w:val="20"/>
        </w:rPr>
        <w:t>The main concern related to the exposure and the risk for the environment is due to the direct release of the substance to surface water during the manufacture of DPG at industrial sites. Manufacture exposure scenario from one of the 2 manufacturers predicted unacceptable risks to surface water and sediments.  In addition, risks were identified during formulation steps. These risks could be covered following the application of appropriate risk management measures as detailed by one of the registrants. There is however uncertainty whether such management measures are applied by all registrants and these management measures should be clearly indicated in the chemical safety report of each relevant registrant.</w:t>
      </w:r>
    </w:p>
    <w:p w14:paraId="2E0C2AC0" w14:textId="59FE60F0" w:rsidR="00BC1D4B" w:rsidRDefault="00ED1F84">
      <w:pPr>
        <w:widowControl w:val="0"/>
        <w:spacing w:before="240" w:after="360"/>
        <w:jc w:val="both"/>
        <w:rPr>
          <w:rFonts w:ascii="Verdana" w:hAnsi="Verdana"/>
          <w:sz w:val="20"/>
          <w:szCs w:val="20"/>
        </w:rPr>
      </w:pPr>
      <w:r>
        <w:rPr>
          <w:rFonts w:ascii="Verdana" w:hAnsi="Verdana"/>
          <w:sz w:val="20"/>
          <w:szCs w:val="20"/>
        </w:rPr>
        <w:t>After consideration of the risks identified, and in the absence of data mentioning the concentration of the substance in the water course, the aMSCA is of the opinion that measurements and monitoring of release of DPG into surface water are necessary to confirm that appropriate risk management measure</w:t>
      </w:r>
      <w:r w:rsidR="00C949BA">
        <w:rPr>
          <w:rFonts w:ascii="Verdana" w:hAnsi="Verdana"/>
          <w:sz w:val="20"/>
          <w:szCs w:val="20"/>
        </w:rPr>
        <w:t>s</w:t>
      </w:r>
      <w:r>
        <w:rPr>
          <w:rFonts w:ascii="Verdana" w:hAnsi="Verdana"/>
          <w:sz w:val="20"/>
          <w:szCs w:val="20"/>
        </w:rPr>
        <w:t xml:space="preserve"> </w:t>
      </w:r>
      <w:r>
        <w:rPr>
          <w:rFonts w:ascii="Verdana" w:eastAsia="Calibri" w:hAnsi="Verdana"/>
          <w:sz w:val="20"/>
          <w:szCs w:val="20"/>
          <w:lang w:val="en-US"/>
        </w:rPr>
        <w:t>are effective in limiting the emission of DPG in the environment to a safe level</w:t>
      </w:r>
      <w:r>
        <w:rPr>
          <w:rFonts w:ascii="Verdana" w:hAnsi="Verdana"/>
          <w:sz w:val="20"/>
          <w:szCs w:val="20"/>
        </w:rPr>
        <w:t xml:space="preserve">. </w:t>
      </w:r>
    </w:p>
    <w:p w14:paraId="23D0D680" w14:textId="77777777" w:rsidR="00BC1D4B" w:rsidRDefault="00ED1F84">
      <w:pPr>
        <w:widowControl w:val="0"/>
        <w:spacing w:before="240" w:after="360"/>
        <w:jc w:val="both"/>
        <w:rPr>
          <w:rFonts w:ascii="Verdana" w:hAnsi="Verdana"/>
          <w:sz w:val="20"/>
          <w:szCs w:val="20"/>
          <w:lang w:val="en-US"/>
        </w:rPr>
      </w:pPr>
      <w:r>
        <w:rPr>
          <w:rFonts w:ascii="Verdana" w:hAnsi="Verdana"/>
          <w:sz w:val="20"/>
          <w:szCs w:val="20"/>
          <w:lang w:val="en-US"/>
        </w:rPr>
        <w:t>Exposure scenarios as developed by the registrants are limited to the manufacture and formulation of DPG, and consider a limited amount of manufactured articles. Uncertainties remain regarding additional exposure scenarios that might cover the diversity of articles containing DPG, give information on the concentration of DPG in articles and take into account the release of DPG during the service life of articles (leaching).  The exposure and risks related to tyres abrasion and release of DPG in the aquatic environment is of concern. Monitoring information showed that DPG is a ubiquitous substance and literature indicate that tyres abrasion could be a major source of DPG release in the environment. However, the exposure scenarios as provided in the registration dossier do not reflect the exposition of the substance to the aquatic environment as found in the literature and the risk associated to tyres abrasion or leaching from other rubber articles.</w:t>
      </w:r>
    </w:p>
    <w:p w14:paraId="1DC1C2AC" w14:textId="77777777" w:rsidR="00BC1D4B" w:rsidRDefault="00BC1D4B">
      <w:pPr>
        <w:pStyle w:val="Paragraphedeliste"/>
        <w:ind w:left="0"/>
        <w:rPr>
          <w:rFonts w:ascii="Verdana" w:hAnsi="Verdana"/>
          <w:sz w:val="20"/>
          <w:szCs w:val="20"/>
          <w:lang w:val="en-US"/>
        </w:rPr>
      </w:pPr>
    </w:p>
    <w:bookmarkEnd w:id="49"/>
    <w:bookmarkEnd w:id="50"/>
    <w:bookmarkEnd w:id="51"/>
    <w:bookmarkEnd w:id="52"/>
    <w:bookmarkEnd w:id="53"/>
    <w:bookmarkEnd w:id="54"/>
    <w:p w14:paraId="2D55EF9E" w14:textId="77777777" w:rsidR="00BC1D4B" w:rsidRDefault="00BC1D4B">
      <w:pPr>
        <w:pStyle w:val="Corpsdetexte"/>
        <w:rPr>
          <w:lang w:val="en-US"/>
        </w:rPr>
      </w:pPr>
    </w:p>
    <w:p w14:paraId="54D63D8A" w14:textId="77777777" w:rsidR="00BC1D4B" w:rsidRDefault="00ED1F84">
      <w:pPr>
        <w:spacing w:after="200" w:line="276" w:lineRule="auto"/>
        <w:rPr>
          <w:rFonts w:ascii="Verdana" w:hAnsi="Verdana"/>
          <w:b/>
          <w:color w:val="0046AD"/>
          <w:sz w:val="28"/>
          <w:lang w:val="en-US"/>
        </w:rPr>
      </w:pPr>
      <w:r>
        <w:rPr>
          <w:lang w:val="en-US"/>
        </w:rPr>
        <w:br w:type="page" w:clear="all"/>
      </w:r>
    </w:p>
    <w:p w14:paraId="3A03B95D" w14:textId="77777777" w:rsidR="00BC1D4B" w:rsidRDefault="00ED1F84">
      <w:pPr>
        <w:pStyle w:val="Titre1"/>
      </w:pPr>
      <w:bookmarkStart w:id="78" w:name="_Toc137044507"/>
      <w:r>
        <w:lastRenderedPageBreak/>
        <w:t>References</w:t>
      </w:r>
      <w:bookmarkEnd w:id="78"/>
    </w:p>
    <w:p w14:paraId="3BEB03A5" w14:textId="77777777" w:rsidR="00BC1D4B" w:rsidRDefault="00ED1F84">
      <w:pPr>
        <w:spacing w:after="200" w:line="276" w:lineRule="auto"/>
        <w:rPr>
          <w:rFonts w:ascii="Verdana" w:hAnsi="Verdana"/>
          <w:sz w:val="20"/>
          <w:szCs w:val="20"/>
        </w:rPr>
      </w:pPr>
      <w:r>
        <w:rPr>
          <w:szCs w:val="20"/>
          <w:highlight w:val="yellow"/>
        </w:rPr>
        <w:fldChar w:fldCharType="begin"/>
      </w:r>
      <w:r>
        <w:rPr>
          <w:szCs w:val="20"/>
          <w:highlight w:val="yellow"/>
          <w:lang w:val="de-DE"/>
        </w:rPr>
        <w:instrText xml:space="preserve"> ADDIN EN.REFLIST </w:instrText>
      </w:r>
      <w:r>
        <w:rPr>
          <w:szCs w:val="20"/>
          <w:highlight w:val="yellow"/>
        </w:rPr>
        <w:fldChar w:fldCharType="separate"/>
      </w:r>
    </w:p>
    <w:p w14:paraId="41F7A922" w14:textId="77777777" w:rsidR="00BC1D4B" w:rsidRDefault="00ED1F84">
      <w:pPr>
        <w:spacing w:after="200" w:line="276" w:lineRule="auto"/>
        <w:jc w:val="both"/>
        <w:rPr>
          <w:rFonts w:ascii="Verdana" w:hAnsi="Verdana"/>
          <w:sz w:val="20"/>
          <w:szCs w:val="20"/>
          <w:lang w:val="en-US"/>
        </w:rPr>
      </w:pPr>
      <w:r>
        <w:rPr>
          <w:rFonts w:ascii="Verdana" w:hAnsi="Verdana"/>
          <w:sz w:val="20"/>
          <w:szCs w:val="20"/>
          <w:lang w:val="fr-FR"/>
        </w:rPr>
        <w:t xml:space="preserve">ANSES (2012). AVIS de l’Agence nationale de sécurité sanitaire de l’alimentation, de l’environnement et du travail relatif à « l’impact éventuel d’eau contaminée par la N-nitrosomorpholine (NMOR) sur la qualité sanitaire de certains produits agricoles ». </w:t>
      </w:r>
      <w:r>
        <w:rPr>
          <w:rFonts w:ascii="Verdana" w:hAnsi="Verdana"/>
          <w:sz w:val="20"/>
          <w:szCs w:val="20"/>
          <w:lang w:val="en-US"/>
        </w:rPr>
        <w:t xml:space="preserve">Saisine n° 2012-SA-0188. </w:t>
      </w:r>
    </w:p>
    <w:p w14:paraId="55204F2C" w14:textId="77777777" w:rsidR="00BC1D4B" w:rsidRDefault="00ED1F84">
      <w:pPr>
        <w:pStyle w:val="Commentaire"/>
        <w:jc w:val="both"/>
        <w:rPr>
          <w:rFonts w:ascii="Verdana" w:hAnsi="Verdana"/>
          <w:sz w:val="20"/>
          <w:szCs w:val="20"/>
          <w:lang w:val="en-US"/>
        </w:rPr>
      </w:pPr>
      <w:r>
        <w:rPr>
          <w:rFonts w:ascii="Verdana" w:hAnsi="Verdana"/>
          <w:sz w:val="20"/>
          <w:szCs w:val="20"/>
          <w:lang w:val="en-US"/>
        </w:rPr>
        <w:t>ANSES (2018) Scientific and technical support on the possible risks related to the use of materials derived from the recycling of used tyres in synthetic sports grounds and similar uses. Scientific and technical report.</w:t>
      </w:r>
      <w:r>
        <w:t xml:space="preserve"> </w:t>
      </w:r>
      <w:r>
        <w:rPr>
          <w:rFonts w:ascii="Verdana" w:hAnsi="Verdana"/>
          <w:sz w:val="20"/>
          <w:szCs w:val="20"/>
          <w:lang w:val="en-US"/>
        </w:rPr>
        <w:t>Request n° 2018-SA-0033  https://www.anses.fr/fr/system/files/CONSO2018SA0033RaEN.pdf</w:t>
      </w:r>
    </w:p>
    <w:p w14:paraId="538A324F" w14:textId="77777777" w:rsidR="00BC1D4B" w:rsidRDefault="00ED1F84">
      <w:pPr>
        <w:spacing w:after="200" w:line="276" w:lineRule="auto"/>
        <w:jc w:val="both"/>
        <w:rPr>
          <w:rFonts w:ascii="Verdana" w:hAnsi="Verdana"/>
          <w:sz w:val="20"/>
          <w:szCs w:val="20"/>
          <w:lang w:val="en-US"/>
        </w:rPr>
      </w:pPr>
      <w:r>
        <w:rPr>
          <w:rFonts w:ascii="Verdana" w:hAnsi="Verdana"/>
          <w:sz w:val="20"/>
          <w:szCs w:val="20"/>
          <w:lang w:val="en-US"/>
        </w:rPr>
        <w:t xml:space="preserve">ANSES (2020): Substance evaluation conclusion document for 1,3-diphenylguanidine. France </w:t>
      </w:r>
      <w:hyperlink r:id="rId22" w:tooltip="https://echa.europa.eu/documents/10162/4df27360-03aa-3c93-54f0-08f8366f42f3" w:history="1">
        <w:r>
          <w:rPr>
            <w:rStyle w:val="Lienhypertexte"/>
            <w:szCs w:val="20"/>
            <w:lang w:val="en-US"/>
          </w:rPr>
          <w:t>https://echa.europa.eu/documents/10162/4df27360-03aa-3c93-54f0-08f8366f42f3</w:t>
        </w:r>
      </w:hyperlink>
      <w:r>
        <w:rPr>
          <w:rFonts w:ascii="Verdana" w:hAnsi="Verdana"/>
          <w:sz w:val="20"/>
          <w:szCs w:val="20"/>
          <w:lang w:val="en-US"/>
        </w:rPr>
        <w:t xml:space="preserve"> </w:t>
      </w:r>
    </w:p>
    <w:p w14:paraId="77B8ED0B" w14:textId="77777777" w:rsidR="00BC1D4B" w:rsidRDefault="00ED1F84">
      <w:pPr>
        <w:jc w:val="both"/>
        <w:rPr>
          <w:rFonts w:ascii="Verdana" w:hAnsi="Verdana"/>
          <w:sz w:val="20"/>
          <w:szCs w:val="20"/>
        </w:rPr>
      </w:pPr>
      <w:r>
        <w:rPr>
          <w:rFonts w:ascii="Verdana" w:hAnsi="Verdana"/>
          <w:sz w:val="20"/>
          <w:szCs w:val="20"/>
          <w:lang w:val="en-US"/>
        </w:rPr>
        <w:t xml:space="preserve">Crepy, M.-N. (2016). </w:t>
      </w:r>
      <w:r>
        <w:rPr>
          <w:rFonts w:ascii="Verdana" w:hAnsi="Verdana"/>
          <w:sz w:val="20"/>
          <w:szCs w:val="20"/>
        </w:rPr>
        <w:t>Rubber: new allergens and preventive measures. European Journal of Dermatology 26, 523–530. https://doi.org/10.1684/ejd.2016.2839</w:t>
      </w:r>
    </w:p>
    <w:p w14:paraId="0C6AB1DD" w14:textId="77777777" w:rsidR="00BC1D4B" w:rsidRDefault="00ED1F84">
      <w:pPr>
        <w:jc w:val="both"/>
        <w:rPr>
          <w:rFonts w:ascii="Verdana" w:hAnsi="Verdana"/>
          <w:sz w:val="20"/>
          <w:szCs w:val="20"/>
        </w:rPr>
      </w:pPr>
      <w:r>
        <w:rPr>
          <w:rFonts w:ascii="Verdana" w:hAnsi="Verdana"/>
          <w:sz w:val="20"/>
          <w:szCs w:val="20"/>
        </w:rPr>
        <w:t xml:space="preserve">Challis </w:t>
      </w:r>
      <w:r>
        <w:rPr>
          <w:rFonts w:ascii="Verdana" w:hAnsi="Verdana"/>
          <w:i/>
          <w:sz w:val="20"/>
          <w:szCs w:val="20"/>
        </w:rPr>
        <w:t>et al</w:t>
      </w:r>
      <w:r>
        <w:rPr>
          <w:rFonts w:ascii="Verdana" w:hAnsi="Verdana"/>
          <w:sz w:val="20"/>
          <w:szCs w:val="20"/>
        </w:rPr>
        <w:t xml:space="preserve">., 2021. Occurrences of tire rubber-derived contaminants in cold climate </w:t>
      </w:r>
      <w:r>
        <w:rPr>
          <w:rFonts w:ascii="Verdana" w:hAnsi="Verdana"/>
          <w:sz w:val="20"/>
          <w:szCs w:val="20"/>
          <w:lang w:val="en-US"/>
        </w:rPr>
        <w:t xml:space="preserve">urban runoff. Environ. Sci. Technol. </w:t>
      </w:r>
      <w:r>
        <w:rPr>
          <w:rFonts w:ascii="Verdana" w:hAnsi="Verdana"/>
          <w:sz w:val="20"/>
          <w:szCs w:val="20"/>
        </w:rPr>
        <w:t xml:space="preserve">Lett. 8 (11), 961–967. </w:t>
      </w:r>
    </w:p>
    <w:p w14:paraId="7436304B" w14:textId="77777777" w:rsidR="00BC1D4B" w:rsidRDefault="00ED1F84">
      <w:pPr>
        <w:jc w:val="both"/>
        <w:rPr>
          <w:rFonts w:ascii="Verdana" w:hAnsi="Verdana"/>
          <w:sz w:val="20"/>
          <w:szCs w:val="20"/>
        </w:rPr>
      </w:pPr>
      <w:r>
        <w:rPr>
          <w:rFonts w:ascii="Verdana" w:hAnsi="Verdana"/>
          <w:sz w:val="20"/>
          <w:szCs w:val="20"/>
        </w:rPr>
        <w:t>Chemical Safety report (CSR), 1,3-diphenylguanidine EC 203-002-1 CAS 102-06-7 (2022)</w:t>
      </w:r>
    </w:p>
    <w:p w14:paraId="5DE7923F" w14:textId="77777777" w:rsidR="00BC1D4B" w:rsidRDefault="00ED1F84">
      <w:pPr>
        <w:jc w:val="both"/>
        <w:rPr>
          <w:rFonts w:ascii="Verdana" w:hAnsi="Verdana"/>
          <w:sz w:val="20"/>
          <w:szCs w:val="20"/>
        </w:rPr>
      </w:pPr>
      <w:r>
        <w:rPr>
          <w:rFonts w:ascii="Verdana" w:hAnsi="Verdana"/>
          <w:sz w:val="20"/>
          <w:szCs w:val="20"/>
        </w:rPr>
        <w:t>Chemical Safety report (CSR), 1,3-diphenylguanidine EC 203-002-1 CAS 102-06-7 (2018)</w:t>
      </w:r>
    </w:p>
    <w:p w14:paraId="17E27566" w14:textId="77777777" w:rsidR="00BC1D4B" w:rsidRDefault="00ED1F84">
      <w:pPr>
        <w:jc w:val="both"/>
        <w:rPr>
          <w:rFonts w:ascii="Verdana" w:hAnsi="Verdana"/>
          <w:sz w:val="20"/>
          <w:szCs w:val="20"/>
        </w:rPr>
      </w:pPr>
      <w:r>
        <w:rPr>
          <w:rFonts w:ascii="Verdana" w:hAnsi="Verdana"/>
          <w:sz w:val="20"/>
          <w:szCs w:val="20"/>
        </w:rPr>
        <w:t>Commission Directive 93/11/EEC. (1993) Concerning the release of the Nnitrosamines and N-nitrosatable substances from elastomer or rubber teats and soothers. Official Journal of the European Communities No. L 93/37</w:t>
      </w:r>
    </w:p>
    <w:p w14:paraId="65BE7CDB" w14:textId="77777777" w:rsidR="00BC1D4B" w:rsidRDefault="00ED1F84">
      <w:pPr>
        <w:jc w:val="both"/>
        <w:rPr>
          <w:rFonts w:ascii="Verdana" w:hAnsi="Verdana"/>
          <w:sz w:val="20"/>
          <w:szCs w:val="20"/>
          <w:lang w:val="fr-FR"/>
        </w:rPr>
      </w:pPr>
      <w:r>
        <w:rPr>
          <w:rFonts w:ascii="Verdana" w:hAnsi="Verdana"/>
          <w:sz w:val="20"/>
          <w:szCs w:val="20"/>
          <w:lang w:val="en-US"/>
        </w:rPr>
        <w:t xml:space="preserve">Corazza </w:t>
      </w:r>
      <w:r>
        <w:rPr>
          <w:rFonts w:ascii="Verdana" w:hAnsi="Verdana"/>
          <w:i/>
          <w:sz w:val="20"/>
          <w:szCs w:val="20"/>
          <w:lang w:val="en-US"/>
        </w:rPr>
        <w:t>et al</w:t>
      </w:r>
      <w:r>
        <w:rPr>
          <w:rFonts w:ascii="Verdana" w:hAnsi="Verdana"/>
          <w:sz w:val="20"/>
          <w:szCs w:val="20"/>
          <w:lang w:val="en-US"/>
        </w:rPr>
        <w:t xml:space="preserve">. (2021). </w:t>
      </w:r>
      <w:r>
        <w:rPr>
          <w:rFonts w:ascii="Verdana" w:hAnsi="Verdana"/>
          <w:sz w:val="20"/>
          <w:szCs w:val="20"/>
        </w:rPr>
        <w:t xml:space="preserve">Contact Dermatitis Due to Boxing Gloves. </w:t>
      </w:r>
      <w:r>
        <w:rPr>
          <w:rFonts w:ascii="Verdana" w:hAnsi="Verdana"/>
          <w:sz w:val="20"/>
          <w:szCs w:val="20"/>
          <w:lang w:val="fr-FR"/>
        </w:rPr>
        <w:t>Dermatitis, 32(6), e107-e108.</w:t>
      </w:r>
    </w:p>
    <w:p w14:paraId="57C8BD3E" w14:textId="77777777" w:rsidR="00BC1D4B" w:rsidRDefault="00ED1F84">
      <w:pPr>
        <w:jc w:val="both"/>
        <w:rPr>
          <w:rFonts w:ascii="Verdana" w:hAnsi="Verdana"/>
          <w:sz w:val="20"/>
          <w:szCs w:val="20"/>
        </w:rPr>
      </w:pPr>
      <w:r>
        <w:rPr>
          <w:rFonts w:ascii="Verdana" w:hAnsi="Verdana"/>
          <w:sz w:val="20"/>
          <w:szCs w:val="20"/>
          <w:lang w:val="fr-FR"/>
        </w:rPr>
        <w:t xml:space="preserve">Dejonckheere </w:t>
      </w:r>
      <w:r>
        <w:rPr>
          <w:rFonts w:ascii="Verdana" w:hAnsi="Verdana"/>
          <w:i/>
          <w:sz w:val="20"/>
          <w:szCs w:val="20"/>
          <w:lang w:val="fr-FR"/>
        </w:rPr>
        <w:t>et al</w:t>
      </w:r>
      <w:r>
        <w:rPr>
          <w:rFonts w:ascii="Verdana" w:hAnsi="Verdana"/>
          <w:sz w:val="20"/>
          <w:szCs w:val="20"/>
          <w:lang w:val="fr-FR"/>
        </w:rPr>
        <w:t xml:space="preserve">. </w:t>
      </w:r>
      <w:r>
        <w:rPr>
          <w:rFonts w:ascii="Verdana" w:hAnsi="Verdana"/>
          <w:sz w:val="20"/>
          <w:szCs w:val="20"/>
        </w:rPr>
        <w:t>(2019). Allergic contact dermatitis caused by synthetic rubber gloves in healthcare workers: sensitization to 1, 3</w:t>
      </w:r>
      <w:r>
        <w:rPr>
          <w:rFonts w:ascii="Cambria Math" w:hAnsi="Cambria Math" w:cs="Cambria Math"/>
          <w:sz w:val="20"/>
          <w:szCs w:val="20"/>
        </w:rPr>
        <w:t>‐</w:t>
      </w:r>
      <w:r>
        <w:rPr>
          <w:rFonts w:ascii="Verdana" w:hAnsi="Verdana"/>
          <w:sz w:val="20"/>
          <w:szCs w:val="20"/>
        </w:rPr>
        <w:t>diphenylguanidine is common. Contact dermatitis, 81(3), 167-173.</w:t>
      </w:r>
    </w:p>
    <w:p w14:paraId="4B10CBA4" w14:textId="77777777" w:rsidR="00BC1D4B" w:rsidRDefault="00ED1F84">
      <w:pPr>
        <w:jc w:val="both"/>
        <w:rPr>
          <w:rFonts w:ascii="Verdana" w:hAnsi="Verdana"/>
          <w:sz w:val="20"/>
          <w:szCs w:val="20"/>
        </w:rPr>
      </w:pPr>
      <w:r>
        <w:rPr>
          <w:rFonts w:ascii="Verdana" w:hAnsi="Verdana"/>
          <w:sz w:val="20"/>
          <w:szCs w:val="20"/>
        </w:rPr>
        <w:t xml:space="preserve">Diera </w:t>
      </w:r>
      <w:r>
        <w:rPr>
          <w:rFonts w:ascii="Verdana" w:hAnsi="Verdana"/>
          <w:i/>
          <w:sz w:val="20"/>
          <w:szCs w:val="20"/>
        </w:rPr>
        <w:t>et al</w:t>
      </w:r>
      <w:r>
        <w:rPr>
          <w:rFonts w:ascii="Verdana" w:hAnsi="Verdana"/>
          <w:sz w:val="20"/>
          <w:szCs w:val="20"/>
        </w:rPr>
        <w:t>. (2023). A non-target screening study of high-density polyethylene pipes revealed rubber compounds as main contaminant in a drinking water distribution system. Water Research, 229, 119480.</w:t>
      </w:r>
    </w:p>
    <w:p w14:paraId="5E611D6E" w14:textId="77777777" w:rsidR="00BC1D4B" w:rsidRDefault="00ED1F84">
      <w:pPr>
        <w:jc w:val="both"/>
        <w:rPr>
          <w:rFonts w:ascii="Verdana" w:hAnsi="Verdana"/>
          <w:sz w:val="20"/>
          <w:szCs w:val="20"/>
        </w:rPr>
      </w:pPr>
      <w:r>
        <w:rPr>
          <w:rFonts w:ascii="Verdana" w:hAnsi="Verdana"/>
          <w:sz w:val="20"/>
          <w:szCs w:val="20"/>
        </w:rPr>
        <w:t>EC (2019a): Directive 98/24/EC on the protection of the health and safety of workers from the risks related to chemical agents at work, last amended by Directive 2019/1243/EU</w:t>
      </w:r>
    </w:p>
    <w:p w14:paraId="4EB2F068" w14:textId="77777777" w:rsidR="00BC1D4B" w:rsidRDefault="00ED1F84">
      <w:pPr>
        <w:jc w:val="both"/>
        <w:rPr>
          <w:rFonts w:ascii="Verdana" w:hAnsi="Verdana"/>
          <w:sz w:val="20"/>
          <w:szCs w:val="20"/>
        </w:rPr>
      </w:pPr>
      <w:r>
        <w:rPr>
          <w:rFonts w:ascii="Verdana" w:hAnsi="Verdana"/>
          <w:sz w:val="20"/>
          <w:szCs w:val="20"/>
        </w:rPr>
        <w:t xml:space="preserve">EC (2019b): Directive 2004/37/EC on the protection of workers from the risks related to exposure to carcinogens or mutagens at work, last amended by Directive 2019/1243/EU. </w:t>
      </w:r>
      <w:hyperlink r:id="rId23" w:tooltip="http://eur-lex.europa.eu/LexUriServ/LexUriServ.do?uri=CELEX:32004L0037:en:NOT" w:history="1">
        <w:r>
          <w:rPr>
            <w:rFonts w:ascii="Verdana" w:hAnsi="Verdana"/>
            <w:color w:val="0000FF"/>
            <w:sz w:val="20"/>
            <w:szCs w:val="20"/>
            <w:u w:val="single"/>
          </w:rPr>
          <w:t>http://eur-lex.europa.eu/LexUriServ/LexUriServ.do?uri=CELEX:32004L0037:en:NOT</w:t>
        </w:r>
      </w:hyperlink>
      <w:r>
        <w:rPr>
          <w:rFonts w:ascii="Verdana" w:hAnsi="Verdana"/>
          <w:sz w:val="20"/>
          <w:szCs w:val="20"/>
        </w:rPr>
        <w:t xml:space="preserve"> (last accessed 2019)</w:t>
      </w:r>
    </w:p>
    <w:p w14:paraId="41BDB1C1" w14:textId="77777777" w:rsidR="00BC1D4B" w:rsidRDefault="00ED1F84">
      <w:pPr>
        <w:rPr>
          <w:rFonts w:ascii="Verdana" w:hAnsi="Verdana"/>
          <w:sz w:val="20"/>
          <w:szCs w:val="20"/>
        </w:rPr>
      </w:pPr>
      <w:r>
        <w:rPr>
          <w:rFonts w:ascii="Verdana" w:hAnsi="Verdana"/>
          <w:sz w:val="20"/>
          <w:szCs w:val="20"/>
        </w:rPr>
        <w:t>ECETOC (1983): Joint Assessment of Commodity Chemicals. No. 1. European Chemical Industry, Ecology &amp; Toxicology Centre.</w:t>
      </w:r>
    </w:p>
    <w:p w14:paraId="25590923" w14:textId="77777777" w:rsidR="00BC1D4B" w:rsidRDefault="00ED1F84">
      <w:pPr>
        <w:jc w:val="both"/>
        <w:rPr>
          <w:rFonts w:ascii="Verdana" w:hAnsi="Verdana"/>
          <w:sz w:val="20"/>
          <w:szCs w:val="20"/>
        </w:rPr>
      </w:pPr>
      <w:r>
        <w:rPr>
          <w:rFonts w:ascii="Verdana" w:hAnsi="Verdana"/>
          <w:sz w:val="20"/>
          <w:szCs w:val="20"/>
        </w:rPr>
        <w:lastRenderedPageBreak/>
        <w:t>ECHA (2012): Guidance on Information Requirements and Chemical Safety Assessment—Chapter R. 8: Characterisation of dose [concentration]-response for human health. Report No.: Version 2.1. European Chemical Agency Helsinki, Finland</w:t>
      </w:r>
    </w:p>
    <w:p w14:paraId="63C05D41" w14:textId="77777777" w:rsidR="00BC1D4B" w:rsidRDefault="00ED1F84">
      <w:pPr>
        <w:jc w:val="both"/>
        <w:rPr>
          <w:rFonts w:ascii="Verdana" w:hAnsi="Verdana"/>
          <w:sz w:val="20"/>
          <w:szCs w:val="20"/>
        </w:rPr>
      </w:pPr>
      <w:r>
        <w:rPr>
          <w:rFonts w:ascii="Verdana" w:hAnsi="Verdana"/>
          <w:sz w:val="20"/>
          <w:szCs w:val="20"/>
        </w:rPr>
        <w:t>ECHA (2014): Prioritisation of substances of very high concern (SVHCs) for inclusion in the Authorisation List (Annex XIV), date: 10.02.2014. ECHA. echa.europa.eu/documents/10162/13640/gen_approach_svhc_prior_in_recommendations_en.pdf/e18a6592-11a2-4092-bf95-97e77b2f9cc8</w:t>
      </w:r>
    </w:p>
    <w:p w14:paraId="65C662C6" w14:textId="77777777" w:rsidR="00BC1D4B" w:rsidRDefault="00ED1F84">
      <w:pPr>
        <w:jc w:val="both"/>
        <w:rPr>
          <w:rFonts w:ascii="Verdana" w:hAnsi="Verdana"/>
          <w:sz w:val="20"/>
          <w:szCs w:val="20"/>
        </w:rPr>
      </w:pPr>
      <w:r>
        <w:rPr>
          <w:rFonts w:ascii="Verdana" w:hAnsi="Verdana"/>
          <w:sz w:val="20"/>
          <w:szCs w:val="20"/>
        </w:rPr>
        <w:t>ECHA (2016): Guidance on Information Requirements and Chemical Safety Assessment—Part E: Risk Characterisation. Report No.: Version 3.0. European Chemical Agency Helsinki, Finland</w:t>
      </w:r>
    </w:p>
    <w:p w14:paraId="06C82FCF" w14:textId="77777777" w:rsidR="00BC1D4B" w:rsidRDefault="00ED1F84">
      <w:pPr>
        <w:jc w:val="both"/>
        <w:rPr>
          <w:rFonts w:ascii="Verdana" w:hAnsi="Verdana"/>
          <w:sz w:val="20"/>
          <w:szCs w:val="20"/>
        </w:rPr>
      </w:pPr>
      <w:r>
        <w:rPr>
          <w:rFonts w:ascii="Verdana" w:hAnsi="Verdana"/>
          <w:sz w:val="20"/>
          <w:szCs w:val="20"/>
        </w:rPr>
        <w:t>ECHA (2017): Guidance on Information Requirements and Chemical Safety Assessment—Chapter R. 7c: Endpoint specific guidance. Report No.: Version 3.0. European Chemical Agency Helsinki, Finland</w:t>
      </w:r>
    </w:p>
    <w:p w14:paraId="48DEBE90" w14:textId="77777777" w:rsidR="00BC1D4B" w:rsidRDefault="00ED1F84">
      <w:pPr>
        <w:spacing w:after="200" w:line="276" w:lineRule="auto"/>
        <w:jc w:val="both"/>
        <w:rPr>
          <w:szCs w:val="20"/>
        </w:rPr>
      </w:pPr>
      <w:r>
        <w:rPr>
          <w:szCs w:val="20"/>
          <w:highlight w:val="yellow"/>
        </w:rPr>
        <w:fldChar w:fldCharType="end"/>
      </w:r>
      <w:r>
        <w:rPr>
          <w:rFonts w:ascii="Verdana" w:hAnsi="Verdana"/>
          <w:sz w:val="20"/>
          <w:szCs w:val="20"/>
        </w:rPr>
        <w:t>ECHA (2021): Socio-economic impacts of REACH authorisations — A meta-analysis of the state of play of applications for authorisation. European Chemical Agency Helsinki, Finland. ISBN: 978-92-9481-907-9 DOI: 10.2823/893300</w:t>
      </w:r>
    </w:p>
    <w:p w14:paraId="24417427" w14:textId="77777777" w:rsidR="00BC1D4B" w:rsidRDefault="00ED1F84">
      <w:pPr>
        <w:spacing w:after="200" w:line="276" w:lineRule="auto"/>
        <w:jc w:val="both"/>
        <w:rPr>
          <w:rFonts w:ascii="Verdana" w:hAnsi="Verdana"/>
          <w:sz w:val="20"/>
          <w:szCs w:val="20"/>
          <w:lang w:val="en-US"/>
        </w:rPr>
      </w:pPr>
      <w:r>
        <w:rPr>
          <w:rFonts w:ascii="Verdana" w:hAnsi="Verdana"/>
          <w:sz w:val="20"/>
          <w:szCs w:val="20"/>
          <w:lang w:val="en-US"/>
        </w:rPr>
        <w:t xml:space="preserve">Feng </w:t>
      </w:r>
      <w:r>
        <w:rPr>
          <w:rFonts w:ascii="Verdana" w:hAnsi="Verdana"/>
          <w:i/>
          <w:sz w:val="20"/>
          <w:szCs w:val="20"/>
          <w:lang w:val="en-US"/>
        </w:rPr>
        <w:t>et al</w:t>
      </w:r>
      <w:r>
        <w:rPr>
          <w:rFonts w:ascii="Verdana" w:hAnsi="Verdana"/>
          <w:sz w:val="20"/>
          <w:szCs w:val="20"/>
          <w:lang w:val="en-US"/>
        </w:rPr>
        <w:t>. (2012). Evaluation of simulant migration of volatile nitrosamines from latex gloves and balloons by HS-SPME–GC–MS. Journal of chromatographic science, 50(8), 733-738.</w:t>
      </w:r>
    </w:p>
    <w:p w14:paraId="7E11CDD6" w14:textId="77777777" w:rsidR="00BC1D4B" w:rsidRDefault="00ED1F84">
      <w:pPr>
        <w:spacing w:after="200" w:line="276" w:lineRule="auto"/>
        <w:jc w:val="both"/>
        <w:rPr>
          <w:rFonts w:ascii="Verdana" w:hAnsi="Verdana"/>
          <w:sz w:val="20"/>
          <w:szCs w:val="20"/>
          <w:lang w:val="en-US"/>
        </w:rPr>
      </w:pPr>
      <w:r>
        <w:rPr>
          <w:rFonts w:ascii="Verdana" w:hAnsi="Verdana"/>
          <w:sz w:val="20"/>
          <w:szCs w:val="20"/>
          <w:lang w:val="en-US"/>
        </w:rPr>
        <w:t xml:space="preserve">Gollong </w:t>
      </w:r>
      <w:r>
        <w:rPr>
          <w:rFonts w:ascii="Verdana" w:hAnsi="Verdana"/>
          <w:i/>
          <w:sz w:val="20"/>
          <w:szCs w:val="20"/>
          <w:lang w:val="en-US"/>
        </w:rPr>
        <w:t>et al</w:t>
      </w:r>
      <w:r>
        <w:rPr>
          <w:rFonts w:ascii="Verdana" w:hAnsi="Verdana"/>
          <w:sz w:val="20"/>
          <w:szCs w:val="20"/>
          <w:lang w:val="en-US"/>
        </w:rPr>
        <w:t>. (2022). Assessing the protection gap for mobile and persistent chemicals during advanced water treatment–A study in a drinking water production and wastewater treatment plant. Water Research, 221, 118847.</w:t>
      </w:r>
    </w:p>
    <w:p w14:paraId="0C128A80" w14:textId="77777777" w:rsidR="00BC1D4B" w:rsidRDefault="00ED1F84">
      <w:pPr>
        <w:spacing w:after="200" w:line="276" w:lineRule="auto"/>
        <w:jc w:val="both"/>
        <w:rPr>
          <w:rFonts w:ascii="Verdana" w:hAnsi="Verdana"/>
          <w:sz w:val="20"/>
          <w:szCs w:val="20"/>
          <w:lang w:val="en-US"/>
        </w:rPr>
      </w:pPr>
      <w:r>
        <w:rPr>
          <w:rFonts w:ascii="Verdana" w:hAnsi="Verdana"/>
          <w:sz w:val="20"/>
          <w:szCs w:val="20"/>
          <w:lang w:val="en-US"/>
        </w:rPr>
        <w:t xml:space="preserve">Hamnerius </w:t>
      </w:r>
      <w:r>
        <w:rPr>
          <w:rFonts w:ascii="Verdana" w:hAnsi="Verdana"/>
          <w:i/>
          <w:sz w:val="20"/>
          <w:szCs w:val="20"/>
          <w:lang w:val="en-US"/>
        </w:rPr>
        <w:t>et al</w:t>
      </w:r>
      <w:r>
        <w:rPr>
          <w:rFonts w:ascii="Verdana" w:hAnsi="Verdana"/>
          <w:sz w:val="20"/>
          <w:szCs w:val="20"/>
          <w:lang w:val="en-US"/>
        </w:rPr>
        <w:t xml:space="preserve">. (2014). </w:t>
      </w:r>
      <w:r>
        <w:rPr>
          <w:rFonts w:ascii="Verdana" w:hAnsi="Verdana"/>
          <w:sz w:val="20"/>
          <w:szCs w:val="20"/>
        </w:rPr>
        <w:t xml:space="preserve">Factors influencing the skin exposure to diphenylguanidine in surgical gloves. </w:t>
      </w:r>
      <w:r>
        <w:rPr>
          <w:rFonts w:ascii="Verdana" w:hAnsi="Verdana"/>
          <w:sz w:val="20"/>
          <w:szCs w:val="20"/>
          <w:lang w:val="en-US"/>
        </w:rPr>
        <w:t>Contact Dermatitis, 70(Suppl s1), 59-60.</w:t>
      </w:r>
    </w:p>
    <w:p w14:paraId="3E57F870" w14:textId="77777777" w:rsidR="00BC1D4B" w:rsidRDefault="00ED1F84">
      <w:pPr>
        <w:spacing w:after="200" w:line="276" w:lineRule="auto"/>
        <w:jc w:val="both"/>
        <w:rPr>
          <w:rFonts w:ascii="Verdana" w:hAnsi="Verdana"/>
          <w:sz w:val="20"/>
          <w:szCs w:val="20"/>
          <w:lang w:val="en-US"/>
        </w:rPr>
      </w:pPr>
      <w:r>
        <w:rPr>
          <w:rFonts w:ascii="Verdana" w:hAnsi="Verdana"/>
          <w:sz w:val="20"/>
          <w:szCs w:val="20"/>
          <w:lang w:val="en-US"/>
        </w:rPr>
        <w:t xml:space="preserve">Hansen </w:t>
      </w:r>
      <w:r>
        <w:rPr>
          <w:rFonts w:ascii="Verdana" w:hAnsi="Verdana"/>
          <w:i/>
          <w:sz w:val="20"/>
          <w:szCs w:val="20"/>
          <w:lang w:val="en-US"/>
        </w:rPr>
        <w:t>et al</w:t>
      </w:r>
      <w:r>
        <w:rPr>
          <w:rFonts w:ascii="Verdana" w:hAnsi="Verdana"/>
          <w:sz w:val="20"/>
          <w:szCs w:val="20"/>
          <w:lang w:val="en-US"/>
        </w:rPr>
        <w:t>. (2021). Allergic contact dermatitis to rubber accelerators in protective gloves: Problems, challenges, and solutions for occupational skin protection. Allergologie Select, 5, 335.</w:t>
      </w:r>
    </w:p>
    <w:p w14:paraId="4FE2B368" w14:textId="77777777" w:rsidR="00BC1D4B" w:rsidRDefault="00ED1F84">
      <w:pPr>
        <w:spacing w:after="200" w:line="276" w:lineRule="auto"/>
        <w:jc w:val="both"/>
        <w:rPr>
          <w:rFonts w:ascii="Verdana" w:hAnsi="Verdana"/>
          <w:sz w:val="20"/>
          <w:szCs w:val="20"/>
          <w:lang w:val="fr-FR"/>
        </w:rPr>
      </w:pPr>
      <w:r>
        <w:rPr>
          <w:rFonts w:ascii="Verdana" w:hAnsi="Verdana"/>
          <w:sz w:val="20"/>
          <w:szCs w:val="20"/>
          <w:lang w:val="en-US"/>
        </w:rPr>
        <w:t xml:space="preserve">Ichihara </w:t>
      </w:r>
      <w:r>
        <w:rPr>
          <w:rFonts w:ascii="Verdana" w:hAnsi="Verdana"/>
          <w:i/>
          <w:sz w:val="20"/>
          <w:szCs w:val="20"/>
          <w:lang w:val="en-US"/>
        </w:rPr>
        <w:t>et al</w:t>
      </w:r>
      <w:r>
        <w:rPr>
          <w:rFonts w:ascii="Verdana" w:hAnsi="Verdana"/>
          <w:sz w:val="20"/>
          <w:szCs w:val="20"/>
          <w:lang w:val="en-US"/>
        </w:rPr>
        <w:t xml:space="preserve">. (2023). Quantitation of guanidine derivatives as representative persistent and mobile organic compounds in water: method development. </w:t>
      </w:r>
      <w:r>
        <w:rPr>
          <w:rFonts w:ascii="Verdana" w:hAnsi="Verdana"/>
          <w:sz w:val="20"/>
          <w:szCs w:val="20"/>
          <w:lang w:val="fr-FR"/>
        </w:rPr>
        <w:t>Analytical and Bioanalytical Chemistry, 1-13.</w:t>
      </w:r>
    </w:p>
    <w:p w14:paraId="47098B00" w14:textId="77777777" w:rsidR="00BC1D4B" w:rsidRDefault="00ED1F84">
      <w:pPr>
        <w:spacing w:after="200" w:line="276" w:lineRule="auto"/>
        <w:jc w:val="both"/>
        <w:rPr>
          <w:rFonts w:ascii="Verdana" w:hAnsi="Verdana"/>
          <w:sz w:val="20"/>
          <w:szCs w:val="20"/>
          <w:lang w:val="fr-FR"/>
        </w:rPr>
      </w:pPr>
      <w:r>
        <w:rPr>
          <w:rFonts w:ascii="Verdana" w:hAnsi="Verdana"/>
          <w:sz w:val="20"/>
          <w:szCs w:val="20"/>
          <w:lang w:val="fr-FR"/>
        </w:rPr>
        <w:t xml:space="preserve">INERIS (2014). Données technico-économiques sur les substances chimiques en France : Nitrosamines, DRC-14-136881-01291A, 69 p. http://rsde.ineris.fr/ ou </w:t>
      </w:r>
      <w:hyperlink r:id="rId24" w:tooltip="http://www.ineris.fr/substances/fr/" w:history="1">
        <w:r>
          <w:rPr>
            <w:rStyle w:val="Lienhypertexte"/>
            <w:szCs w:val="20"/>
            <w:lang w:val="fr-FR"/>
          </w:rPr>
          <w:t>http://www.ineris.fr/substances/fr/</w:t>
        </w:r>
      </w:hyperlink>
    </w:p>
    <w:p w14:paraId="54266042" w14:textId="77777777" w:rsidR="00BC1D4B" w:rsidRDefault="00ED1F84">
      <w:pPr>
        <w:spacing w:after="200" w:line="276" w:lineRule="auto"/>
        <w:jc w:val="both"/>
        <w:rPr>
          <w:rFonts w:ascii="Verdana" w:hAnsi="Verdana"/>
          <w:sz w:val="20"/>
          <w:szCs w:val="20"/>
          <w:lang w:val="en-US"/>
        </w:rPr>
      </w:pPr>
      <w:r>
        <w:rPr>
          <w:rFonts w:ascii="Verdana" w:hAnsi="Verdana"/>
          <w:sz w:val="20"/>
          <w:szCs w:val="20"/>
          <w:lang w:val="en-US"/>
        </w:rPr>
        <w:t xml:space="preserve">Johannessen </w:t>
      </w:r>
      <w:r>
        <w:rPr>
          <w:rFonts w:ascii="Verdana" w:hAnsi="Verdana"/>
          <w:i/>
          <w:sz w:val="20"/>
          <w:szCs w:val="20"/>
          <w:lang w:val="en-US"/>
        </w:rPr>
        <w:t>et al</w:t>
      </w:r>
      <w:r>
        <w:rPr>
          <w:rFonts w:ascii="Verdana" w:hAnsi="Verdana"/>
          <w:sz w:val="20"/>
          <w:szCs w:val="20"/>
          <w:lang w:val="en-US"/>
        </w:rPr>
        <w:t>. (2022). Air monitoring of tire-derived chemicals in global megacities using passive samplers. Environmental Pollution, 314, 120206.</w:t>
      </w:r>
    </w:p>
    <w:p w14:paraId="5F4794F9" w14:textId="77777777" w:rsidR="00BC1D4B" w:rsidRDefault="00ED1F84">
      <w:pPr>
        <w:spacing w:after="200" w:line="276" w:lineRule="auto"/>
        <w:jc w:val="both"/>
        <w:rPr>
          <w:rFonts w:ascii="Verdana" w:hAnsi="Verdana"/>
          <w:sz w:val="20"/>
          <w:szCs w:val="20"/>
        </w:rPr>
      </w:pPr>
      <w:r>
        <w:rPr>
          <w:rFonts w:ascii="Verdana" w:hAnsi="Verdana"/>
          <w:sz w:val="20"/>
          <w:szCs w:val="20"/>
          <w:lang w:val="en-US"/>
        </w:rPr>
        <w:t xml:space="preserve">Kreider &amp; Panko (2016). </w:t>
      </w:r>
      <w:r>
        <w:rPr>
          <w:rFonts w:ascii="Verdana" w:hAnsi="Verdana"/>
          <w:sz w:val="20"/>
          <w:szCs w:val="20"/>
        </w:rPr>
        <w:t>Weight of Evidence Evaluation of Potential Endocrine Disruption by 1,3-Diphenylguanidine Based on Results of Tier 1 Endocrine Disruption Screening Program Assays. Cardno ChemRisk</w:t>
      </w:r>
    </w:p>
    <w:p w14:paraId="582AFBDB" w14:textId="77777777" w:rsidR="00BC1D4B" w:rsidRDefault="00ED1F84">
      <w:pPr>
        <w:spacing w:after="200" w:line="276" w:lineRule="auto"/>
        <w:jc w:val="both"/>
        <w:rPr>
          <w:rFonts w:ascii="Verdana" w:hAnsi="Verdana"/>
          <w:sz w:val="20"/>
          <w:szCs w:val="20"/>
        </w:rPr>
      </w:pPr>
      <w:r>
        <w:rPr>
          <w:rFonts w:ascii="Verdana" w:hAnsi="Verdana"/>
          <w:sz w:val="20"/>
          <w:szCs w:val="20"/>
          <w:lang w:val="en-US"/>
        </w:rPr>
        <w:t xml:space="preserve">Li &amp; Kannan (2023). </w:t>
      </w:r>
      <w:r>
        <w:rPr>
          <w:rFonts w:ascii="Verdana" w:hAnsi="Verdana"/>
          <w:sz w:val="20"/>
          <w:szCs w:val="20"/>
        </w:rPr>
        <w:t>Occurrence of 1, 3-Diphenylguanidine, 1, 3-Di-o-tolylguanidine, and 1, 2, 3-Triphenylguanidine in Indoor Dust from 11 Countries: Implications for Human Exposure. Environmental Science &amp; Technology.</w:t>
      </w:r>
    </w:p>
    <w:p w14:paraId="55130838" w14:textId="1898E11B" w:rsidR="00C76832" w:rsidRDefault="00C76832">
      <w:pPr>
        <w:spacing w:after="200" w:line="276" w:lineRule="auto"/>
        <w:jc w:val="both"/>
        <w:rPr>
          <w:rFonts w:ascii="Verdana" w:hAnsi="Verdana"/>
          <w:sz w:val="20"/>
          <w:szCs w:val="20"/>
        </w:rPr>
      </w:pPr>
      <w:r>
        <w:rPr>
          <w:rFonts w:ascii="Verdana" w:hAnsi="Verdana"/>
          <w:sz w:val="20"/>
          <w:szCs w:val="20"/>
        </w:rPr>
        <w:lastRenderedPageBreak/>
        <w:t>Lijinsky &amp; Winter</w:t>
      </w:r>
      <w:r w:rsidRPr="00C76832">
        <w:rPr>
          <w:rFonts w:ascii="Verdana" w:hAnsi="Verdana"/>
          <w:sz w:val="20"/>
          <w:szCs w:val="20"/>
        </w:rPr>
        <w:t xml:space="preserve"> (1981). Skin tumors induced by painting nitrosoalkylureas on mouse skin. Journal of Cancer Research and Clinical Oncology, 102(1), 13-20. </w:t>
      </w:r>
    </w:p>
    <w:p w14:paraId="040CF3E1" w14:textId="612149A4" w:rsidR="00BC1D4B" w:rsidRDefault="00ED1F84">
      <w:pPr>
        <w:spacing w:after="200" w:line="276" w:lineRule="auto"/>
        <w:jc w:val="both"/>
        <w:rPr>
          <w:rFonts w:ascii="Verdana" w:hAnsi="Verdana"/>
          <w:sz w:val="20"/>
          <w:szCs w:val="20"/>
        </w:rPr>
      </w:pPr>
      <w:r>
        <w:rPr>
          <w:rFonts w:ascii="Verdana" w:hAnsi="Verdana"/>
          <w:sz w:val="20"/>
          <w:szCs w:val="20"/>
        </w:rPr>
        <w:t xml:space="preserve">Lin </w:t>
      </w:r>
      <w:r>
        <w:rPr>
          <w:rFonts w:ascii="Verdana" w:hAnsi="Verdana"/>
          <w:i/>
          <w:sz w:val="20"/>
          <w:szCs w:val="20"/>
        </w:rPr>
        <w:t>et al</w:t>
      </w:r>
      <w:r>
        <w:rPr>
          <w:rFonts w:ascii="Verdana" w:hAnsi="Verdana"/>
          <w:sz w:val="20"/>
          <w:szCs w:val="20"/>
        </w:rPr>
        <w:t>. (2007). Identification of an unknown extraneous contaminant in pharmaceutical product analysis. Journal of pharmaceutical and biomedical analysis, 45(5), 747-755.</w:t>
      </w:r>
    </w:p>
    <w:p w14:paraId="575A3C10" w14:textId="1FABD09D" w:rsidR="00C76832" w:rsidRDefault="00C76832">
      <w:pPr>
        <w:spacing w:after="200" w:line="276" w:lineRule="auto"/>
        <w:jc w:val="both"/>
        <w:rPr>
          <w:rFonts w:ascii="Verdana" w:hAnsi="Verdana"/>
          <w:sz w:val="20"/>
          <w:szCs w:val="20"/>
        </w:rPr>
      </w:pPr>
      <w:r w:rsidRPr="00C76832">
        <w:rPr>
          <w:rFonts w:ascii="Verdana" w:hAnsi="Verdana"/>
          <w:sz w:val="20"/>
          <w:szCs w:val="20"/>
          <w:lang w:val="en-US"/>
        </w:rPr>
        <w:t>Manso</w:t>
      </w:r>
      <w:r w:rsidRPr="00392E28">
        <w:rPr>
          <w:rFonts w:ascii="Verdana" w:hAnsi="Verdana"/>
          <w:sz w:val="20"/>
          <w:szCs w:val="20"/>
          <w:lang w:val="en-US"/>
        </w:rPr>
        <w:t xml:space="preserve"> </w:t>
      </w:r>
      <w:r w:rsidRPr="00392E28">
        <w:rPr>
          <w:rFonts w:ascii="Verdana" w:hAnsi="Verdana"/>
          <w:i/>
          <w:sz w:val="20"/>
          <w:szCs w:val="20"/>
          <w:lang w:val="en-US"/>
        </w:rPr>
        <w:t>et al</w:t>
      </w:r>
      <w:r w:rsidRPr="00392E28">
        <w:rPr>
          <w:rFonts w:ascii="Verdana" w:hAnsi="Verdana"/>
          <w:sz w:val="20"/>
          <w:szCs w:val="20"/>
          <w:lang w:val="en-US"/>
        </w:rPr>
        <w:t>.</w:t>
      </w:r>
      <w:r w:rsidRPr="00C76832">
        <w:rPr>
          <w:rFonts w:ascii="Verdana" w:hAnsi="Verdana"/>
          <w:sz w:val="20"/>
          <w:szCs w:val="20"/>
        </w:rPr>
        <w:t xml:space="preserve"> (2009). Alkylating potential of N</w:t>
      </w:r>
      <w:r w:rsidRPr="00C76832">
        <w:rPr>
          <w:rFonts w:ascii="Cambria Math" w:hAnsi="Cambria Math" w:cs="Cambria Math"/>
          <w:sz w:val="20"/>
          <w:szCs w:val="20"/>
        </w:rPr>
        <w:t>‐</w:t>
      </w:r>
      <w:r w:rsidRPr="00C76832">
        <w:rPr>
          <w:rFonts w:ascii="Verdana" w:hAnsi="Verdana"/>
          <w:sz w:val="20"/>
          <w:szCs w:val="20"/>
        </w:rPr>
        <w:t>phenyl</w:t>
      </w:r>
      <w:r w:rsidRPr="00C76832">
        <w:rPr>
          <w:rFonts w:ascii="Cambria Math" w:hAnsi="Cambria Math" w:cs="Cambria Math"/>
          <w:sz w:val="20"/>
          <w:szCs w:val="20"/>
        </w:rPr>
        <w:t>‐</w:t>
      </w:r>
      <w:r w:rsidRPr="00C76832">
        <w:rPr>
          <w:rFonts w:ascii="Verdana" w:hAnsi="Verdana"/>
          <w:sz w:val="20"/>
          <w:szCs w:val="20"/>
        </w:rPr>
        <w:t>N</w:t>
      </w:r>
      <w:r w:rsidRPr="00C76832">
        <w:rPr>
          <w:rFonts w:ascii="Cambria Math" w:hAnsi="Cambria Math" w:cs="Cambria Math"/>
          <w:sz w:val="20"/>
          <w:szCs w:val="20"/>
        </w:rPr>
        <w:t>‐</w:t>
      </w:r>
      <w:r w:rsidRPr="00C76832">
        <w:rPr>
          <w:rFonts w:ascii="Verdana" w:hAnsi="Verdana"/>
          <w:sz w:val="20"/>
          <w:szCs w:val="20"/>
        </w:rPr>
        <w:t xml:space="preserve">nitrosourea. Journal of Physical Organic Chemistry, 22(5), 386-389. </w:t>
      </w:r>
    </w:p>
    <w:p w14:paraId="7FF4A0C1" w14:textId="1FF6BA6A" w:rsidR="00BC1D4B" w:rsidRDefault="00ED1F84">
      <w:pPr>
        <w:spacing w:after="200" w:line="276" w:lineRule="auto"/>
        <w:jc w:val="both"/>
        <w:rPr>
          <w:rFonts w:ascii="Verdana" w:hAnsi="Verdana"/>
          <w:sz w:val="20"/>
          <w:szCs w:val="20"/>
          <w:lang w:val="fr-FR"/>
        </w:rPr>
      </w:pPr>
      <w:r>
        <w:rPr>
          <w:rFonts w:ascii="Verdana" w:hAnsi="Verdana"/>
          <w:sz w:val="20"/>
          <w:szCs w:val="20"/>
        </w:rPr>
        <w:t xml:space="preserve">Neumann &amp; Schliebner (2019). Protecting the sources of our drinking water: the criteria for identifying persistent, mobile and toxic (PMT) substances and very persistent and very mobile (vPvM) substances under EU Regulation REACH (EC) No 1907/2006. </w:t>
      </w:r>
      <w:r>
        <w:rPr>
          <w:rFonts w:ascii="Verdana" w:hAnsi="Verdana"/>
          <w:sz w:val="20"/>
          <w:szCs w:val="20"/>
          <w:lang w:val="fr-FR"/>
        </w:rPr>
        <w:t>Texte | 127/2019, German Environment Agency (UBA), Dessau-Roßlau, p. 87</w:t>
      </w:r>
    </w:p>
    <w:p w14:paraId="66C7F7C8" w14:textId="77777777" w:rsidR="00BC1D4B" w:rsidRDefault="00ED1F84">
      <w:pPr>
        <w:spacing w:after="200" w:line="276" w:lineRule="auto"/>
        <w:jc w:val="both"/>
        <w:rPr>
          <w:rFonts w:ascii="Verdana" w:hAnsi="Verdana"/>
          <w:sz w:val="20"/>
          <w:szCs w:val="20"/>
        </w:rPr>
      </w:pPr>
      <w:r>
        <w:rPr>
          <w:rFonts w:ascii="Verdana" w:hAnsi="Verdana"/>
          <w:sz w:val="20"/>
          <w:szCs w:val="20"/>
          <w:lang w:val="fr-FR"/>
        </w:rPr>
        <w:t xml:space="preserve">Neuwald </w:t>
      </w:r>
      <w:r>
        <w:rPr>
          <w:rFonts w:ascii="Verdana" w:hAnsi="Verdana"/>
          <w:i/>
          <w:sz w:val="20"/>
          <w:szCs w:val="20"/>
          <w:lang w:val="fr-FR"/>
        </w:rPr>
        <w:t>et al</w:t>
      </w:r>
      <w:r>
        <w:rPr>
          <w:rFonts w:ascii="Verdana" w:hAnsi="Verdana"/>
          <w:sz w:val="20"/>
          <w:szCs w:val="20"/>
          <w:lang w:val="fr-FR"/>
        </w:rPr>
        <w:t xml:space="preserve">. </w:t>
      </w:r>
      <w:r>
        <w:rPr>
          <w:rFonts w:ascii="Verdana" w:hAnsi="Verdana"/>
          <w:sz w:val="20"/>
          <w:szCs w:val="20"/>
        </w:rPr>
        <w:t>(2022). Occurrence, Distribution, and Environmental Behavior of Persistent, Mobile, and Toxic (PMT) and Very Persistent and Very Mobile (vPvM) Substances in the Sources of German Drinking Water. Environmental Science &amp; Technology, 56(15), 10857-10867.</w:t>
      </w:r>
    </w:p>
    <w:p w14:paraId="2079B49C" w14:textId="77777777" w:rsidR="00BC1D4B" w:rsidRDefault="00ED1F84">
      <w:pPr>
        <w:spacing w:after="200" w:line="276" w:lineRule="auto"/>
        <w:jc w:val="both"/>
        <w:rPr>
          <w:rFonts w:ascii="Verdana" w:hAnsi="Verdana"/>
          <w:sz w:val="20"/>
          <w:szCs w:val="20"/>
        </w:rPr>
      </w:pPr>
      <w:r>
        <w:rPr>
          <w:rFonts w:ascii="Verdana" w:hAnsi="Verdana"/>
          <w:sz w:val="20"/>
          <w:szCs w:val="20"/>
        </w:rPr>
        <w:t xml:space="preserve">OECD (2009). Guidance document for histologic evaluation of endocrine and reproductive tests in rodents, OECD Series on Testing and Assessment number 106, OECD Publishing, Paris. </w:t>
      </w:r>
      <w:r>
        <w:t xml:space="preserve"> </w:t>
      </w:r>
      <w:hyperlink r:id="rId25" w:tooltip="https://one.oecd.org/document/env/jm/mono(2009)11/en/pdf" w:history="1">
        <w:r>
          <w:rPr>
            <w:rStyle w:val="Lienhypertexte"/>
            <w:szCs w:val="20"/>
          </w:rPr>
          <w:t>https://one.oecd.org/document/env/jm/mono(2009)11/en/pdf</w:t>
        </w:r>
      </w:hyperlink>
    </w:p>
    <w:p w14:paraId="78128F4C" w14:textId="77777777" w:rsidR="00BC1D4B" w:rsidRDefault="00ED1F84">
      <w:pPr>
        <w:spacing w:after="200" w:line="276" w:lineRule="auto"/>
        <w:jc w:val="both"/>
        <w:rPr>
          <w:rFonts w:ascii="Verdana" w:hAnsi="Verdana"/>
          <w:sz w:val="20"/>
          <w:szCs w:val="20"/>
          <w:lang w:val="fr-FR"/>
        </w:rPr>
      </w:pPr>
      <w:r>
        <w:rPr>
          <w:rFonts w:ascii="Verdana" w:hAnsi="Verdana"/>
          <w:sz w:val="20"/>
          <w:szCs w:val="20"/>
        </w:rPr>
        <w:t xml:space="preserve">OECD (2018), Revised Guidance Document 150 on Standardised Test Guidelines for Evaluating Chemicals for Endocrine Disruption, OECD Series on Testing and Assessment, OECD Publishing, Paris. </w:t>
      </w:r>
      <w:hyperlink r:id="rId26" w:tooltip="https://doi.org/10.1787/9789264304741-en" w:history="1">
        <w:r>
          <w:rPr>
            <w:rFonts w:ascii="Verdana" w:hAnsi="Verdana"/>
            <w:color w:val="0000FF"/>
            <w:sz w:val="20"/>
            <w:szCs w:val="20"/>
            <w:u w:val="single"/>
            <w:lang w:val="fr-FR"/>
          </w:rPr>
          <w:t>https://doi.org/10.1787/9789264304741-en</w:t>
        </w:r>
      </w:hyperlink>
    </w:p>
    <w:p w14:paraId="7B105383" w14:textId="77777777" w:rsidR="00BC1D4B" w:rsidRDefault="00ED1F84">
      <w:pPr>
        <w:spacing w:after="200" w:line="276" w:lineRule="auto"/>
        <w:jc w:val="both"/>
        <w:rPr>
          <w:rFonts w:ascii="Verdana" w:hAnsi="Verdana"/>
          <w:sz w:val="20"/>
          <w:szCs w:val="20"/>
        </w:rPr>
      </w:pPr>
      <w:r>
        <w:rPr>
          <w:rFonts w:ascii="Verdana" w:eastAsia="Calibri" w:hAnsi="Verdana"/>
          <w:sz w:val="20"/>
          <w:szCs w:val="20"/>
          <w:lang w:val="fr-FR"/>
        </w:rPr>
        <w:t xml:space="preserve">Rijksinstituut voor Volksgezondheid en Milieu (RIVM). </w:t>
      </w:r>
      <w:r>
        <w:rPr>
          <w:rFonts w:ascii="Verdana" w:eastAsia="Calibri" w:hAnsi="Verdana"/>
          <w:sz w:val="20"/>
          <w:szCs w:val="20"/>
          <w:lang w:val="en-US"/>
        </w:rPr>
        <w:t>2007. Nitrosamines released from rubber crumb. RIVM report 609300002/2007. Bilthoven.</w:t>
      </w:r>
    </w:p>
    <w:p w14:paraId="3C60C100" w14:textId="77777777" w:rsidR="00BC1D4B" w:rsidRDefault="00ED1F84">
      <w:pPr>
        <w:spacing w:after="200" w:line="276" w:lineRule="auto"/>
        <w:jc w:val="both"/>
        <w:rPr>
          <w:rFonts w:ascii="Verdana" w:hAnsi="Verdana"/>
          <w:sz w:val="20"/>
          <w:szCs w:val="20"/>
          <w:lang w:val="en-US"/>
        </w:rPr>
      </w:pPr>
      <w:r>
        <w:rPr>
          <w:rFonts w:ascii="Verdana" w:hAnsi="Verdana"/>
          <w:sz w:val="20"/>
          <w:szCs w:val="20"/>
          <w:lang w:val="en-US"/>
        </w:rPr>
        <w:t>Ross, J. B. (1969). Rubber boot dermatitis in Newfoundland: a survey of 30 patients. Canadian Medical Association Journal, 100(1), 13.</w:t>
      </w:r>
    </w:p>
    <w:p w14:paraId="66D8F2F1" w14:textId="77777777" w:rsidR="00BC1D4B" w:rsidRDefault="00ED1F84">
      <w:pPr>
        <w:spacing w:after="200" w:line="276" w:lineRule="auto"/>
        <w:jc w:val="both"/>
        <w:rPr>
          <w:rFonts w:ascii="Verdana" w:hAnsi="Verdana"/>
          <w:sz w:val="20"/>
          <w:szCs w:val="20"/>
          <w:lang w:val="en-US"/>
        </w:rPr>
      </w:pPr>
      <w:r>
        <w:rPr>
          <w:rFonts w:ascii="Verdana" w:hAnsi="Verdana"/>
          <w:sz w:val="20"/>
          <w:szCs w:val="20"/>
          <w:lang w:val="en-US"/>
        </w:rPr>
        <w:t>Saha et al. (1993). Footwear dermatitis. Contact dermatitis, 28(5), 260-264.</w:t>
      </w:r>
    </w:p>
    <w:p w14:paraId="5AFD341F" w14:textId="4AB55EBA" w:rsidR="004A4533" w:rsidRDefault="004A4533">
      <w:pPr>
        <w:spacing w:after="200" w:line="276" w:lineRule="auto"/>
        <w:jc w:val="both"/>
        <w:rPr>
          <w:rFonts w:ascii="Verdana" w:hAnsi="Verdana"/>
          <w:sz w:val="20"/>
          <w:szCs w:val="20"/>
          <w:lang w:val="en-US"/>
        </w:rPr>
      </w:pPr>
      <w:r w:rsidRPr="004A4533">
        <w:rPr>
          <w:rFonts w:ascii="Verdana" w:hAnsi="Verdana"/>
          <w:sz w:val="20"/>
          <w:szCs w:val="20"/>
          <w:lang w:val="en-US"/>
        </w:rPr>
        <w:t>Scientific Committee on Occupational Exposure Limits (SCOEL). (2014). List of recommended health-based biological limit values (BLVs) and biological guidance values (BGVs).</w:t>
      </w:r>
    </w:p>
    <w:p w14:paraId="2BECEE81" w14:textId="2D8824EC" w:rsidR="00BC1D4B" w:rsidRDefault="00ED1F84">
      <w:pPr>
        <w:spacing w:after="200" w:line="276" w:lineRule="auto"/>
        <w:jc w:val="both"/>
        <w:rPr>
          <w:rFonts w:ascii="Verdana" w:hAnsi="Verdana"/>
          <w:sz w:val="20"/>
          <w:szCs w:val="20"/>
          <w:lang w:val="en-US"/>
        </w:rPr>
      </w:pPr>
      <w:r>
        <w:rPr>
          <w:rFonts w:ascii="Verdana" w:hAnsi="Verdana"/>
          <w:sz w:val="20"/>
          <w:szCs w:val="20"/>
          <w:lang w:val="en-US"/>
        </w:rPr>
        <w:t xml:space="preserve">Shin </w:t>
      </w:r>
      <w:r>
        <w:rPr>
          <w:rFonts w:ascii="Verdana" w:hAnsi="Verdana"/>
          <w:i/>
          <w:sz w:val="20"/>
          <w:szCs w:val="20"/>
          <w:lang w:val="en-US"/>
        </w:rPr>
        <w:t>et al</w:t>
      </w:r>
      <w:r>
        <w:rPr>
          <w:rFonts w:ascii="Verdana" w:hAnsi="Verdana"/>
          <w:sz w:val="20"/>
          <w:szCs w:val="20"/>
          <w:lang w:val="en-US"/>
        </w:rPr>
        <w:t>. (2020). Measured concentrations of consumer product chemicals in California house dust: Implications for sources, exposure, and toxicity potential. Indoor Air, 30(1), 60-75.</w:t>
      </w:r>
    </w:p>
    <w:p w14:paraId="3B86945E" w14:textId="77777777" w:rsidR="00BC1D4B" w:rsidRDefault="00ED1F84">
      <w:pPr>
        <w:spacing w:after="200" w:line="276" w:lineRule="auto"/>
        <w:jc w:val="both"/>
        <w:rPr>
          <w:rFonts w:ascii="Verdana" w:hAnsi="Verdana"/>
          <w:sz w:val="20"/>
          <w:szCs w:val="20"/>
        </w:rPr>
      </w:pPr>
      <w:r>
        <w:rPr>
          <w:rFonts w:ascii="Verdana" w:hAnsi="Verdana"/>
          <w:sz w:val="20"/>
          <w:szCs w:val="20"/>
          <w:lang w:val="en-US"/>
        </w:rPr>
        <w:t xml:space="preserve">Sieber </w:t>
      </w:r>
      <w:r>
        <w:rPr>
          <w:rFonts w:ascii="Verdana" w:hAnsi="Verdana"/>
          <w:i/>
          <w:sz w:val="20"/>
          <w:szCs w:val="20"/>
          <w:lang w:val="en-US"/>
        </w:rPr>
        <w:t>et al</w:t>
      </w:r>
      <w:r>
        <w:rPr>
          <w:rFonts w:ascii="Verdana" w:hAnsi="Verdana"/>
          <w:sz w:val="20"/>
          <w:szCs w:val="20"/>
          <w:lang w:val="en-US"/>
        </w:rPr>
        <w:t xml:space="preserve">. (2020). </w:t>
      </w:r>
      <w:r>
        <w:rPr>
          <w:rFonts w:ascii="Verdana" w:hAnsi="Verdana"/>
          <w:sz w:val="20"/>
          <w:szCs w:val="20"/>
        </w:rPr>
        <w:t>Dynamic probabilistic material flow analysis of rubber release from tires into the environment. Environmental Pollution, 258, 113573.</w:t>
      </w:r>
    </w:p>
    <w:p w14:paraId="34F6BB42" w14:textId="77777777" w:rsidR="00BC1D4B" w:rsidRDefault="00ED1F84">
      <w:pPr>
        <w:spacing w:after="200" w:line="276" w:lineRule="auto"/>
        <w:jc w:val="both"/>
        <w:rPr>
          <w:rFonts w:ascii="Verdana" w:hAnsi="Verdana"/>
          <w:sz w:val="20"/>
          <w:szCs w:val="20"/>
        </w:rPr>
      </w:pPr>
      <w:r>
        <w:rPr>
          <w:rFonts w:ascii="Verdana" w:hAnsi="Verdana"/>
          <w:sz w:val="20"/>
          <w:szCs w:val="20"/>
        </w:rPr>
        <w:t xml:space="preserve">Straif </w:t>
      </w:r>
      <w:r>
        <w:rPr>
          <w:rFonts w:ascii="Verdana" w:hAnsi="Verdana"/>
          <w:i/>
          <w:sz w:val="20"/>
          <w:szCs w:val="20"/>
        </w:rPr>
        <w:t>et al</w:t>
      </w:r>
      <w:r>
        <w:rPr>
          <w:rFonts w:ascii="Verdana" w:hAnsi="Verdana"/>
          <w:sz w:val="20"/>
          <w:szCs w:val="20"/>
        </w:rPr>
        <w:t>. (2000). Exposure to high concentrations of nitrosamines and cancer mortality among a cohort of rubber workers. Occupational and environmental medicine, 57(3), 180-187.</w:t>
      </w:r>
    </w:p>
    <w:p w14:paraId="787A9609" w14:textId="77777777" w:rsidR="00BC1D4B" w:rsidRDefault="00ED1F84">
      <w:pPr>
        <w:spacing w:after="200" w:line="276" w:lineRule="auto"/>
        <w:jc w:val="both"/>
        <w:rPr>
          <w:rFonts w:ascii="Verdana" w:hAnsi="Verdana"/>
          <w:sz w:val="20"/>
          <w:szCs w:val="20"/>
        </w:rPr>
      </w:pPr>
      <w:r>
        <w:rPr>
          <w:rFonts w:ascii="Verdana" w:hAnsi="Verdana"/>
          <w:sz w:val="20"/>
          <w:szCs w:val="20"/>
        </w:rPr>
        <w:lastRenderedPageBreak/>
        <w:t xml:space="preserve">Suhail </w:t>
      </w:r>
      <w:r>
        <w:rPr>
          <w:rFonts w:ascii="Verdana" w:hAnsi="Verdana"/>
          <w:i/>
          <w:sz w:val="20"/>
          <w:szCs w:val="20"/>
        </w:rPr>
        <w:t>et al</w:t>
      </w:r>
      <w:r>
        <w:rPr>
          <w:rFonts w:ascii="Verdana" w:hAnsi="Verdana"/>
          <w:sz w:val="20"/>
          <w:szCs w:val="20"/>
        </w:rPr>
        <w:t>. (2009). Value of patch testing with indigenous battery of allergens in shoe dermatitis. Journal of Pakistan Association of Dermatologists, 19(2), 66-73.</w:t>
      </w:r>
    </w:p>
    <w:p w14:paraId="11DAC6EA" w14:textId="77777777" w:rsidR="00BC1D4B" w:rsidRDefault="00ED1F84">
      <w:pPr>
        <w:spacing w:after="200" w:line="276" w:lineRule="auto"/>
        <w:jc w:val="both"/>
        <w:rPr>
          <w:rFonts w:ascii="Verdana" w:hAnsi="Verdana"/>
          <w:sz w:val="20"/>
          <w:szCs w:val="20"/>
        </w:rPr>
      </w:pPr>
      <w:r>
        <w:rPr>
          <w:rFonts w:ascii="Verdana" w:hAnsi="Verdana"/>
          <w:sz w:val="20"/>
          <w:szCs w:val="20"/>
        </w:rPr>
        <w:t xml:space="preserve">Tan </w:t>
      </w:r>
      <w:r>
        <w:rPr>
          <w:rFonts w:ascii="Verdana" w:hAnsi="Verdana"/>
          <w:i/>
          <w:sz w:val="20"/>
          <w:szCs w:val="20"/>
        </w:rPr>
        <w:t>et al</w:t>
      </w:r>
      <w:r>
        <w:rPr>
          <w:rFonts w:ascii="Verdana" w:hAnsi="Verdana"/>
          <w:sz w:val="20"/>
          <w:szCs w:val="20"/>
        </w:rPr>
        <w:t>. (2021). “Novel” synthetic antioxidants in house dust from multiple locations in the Asia-Pacific region and the United States. Environmental science &amp; technology, 55(13), 8675-8682.</w:t>
      </w:r>
    </w:p>
    <w:p w14:paraId="110DCB5D" w14:textId="77777777" w:rsidR="00BC1D4B" w:rsidRDefault="00ED1F84">
      <w:pPr>
        <w:spacing w:after="200" w:line="276" w:lineRule="auto"/>
        <w:jc w:val="both"/>
        <w:rPr>
          <w:rFonts w:ascii="Verdana" w:hAnsi="Verdana"/>
          <w:sz w:val="20"/>
          <w:szCs w:val="20"/>
        </w:rPr>
      </w:pPr>
      <w:r>
        <w:rPr>
          <w:rFonts w:ascii="Verdana" w:hAnsi="Verdana"/>
          <w:sz w:val="20"/>
          <w:szCs w:val="20"/>
        </w:rPr>
        <w:t xml:space="preserve">Tang </w:t>
      </w:r>
      <w:r>
        <w:rPr>
          <w:rFonts w:ascii="Verdana" w:hAnsi="Verdana"/>
          <w:i/>
          <w:sz w:val="20"/>
          <w:szCs w:val="20"/>
        </w:rPr>
        <w:t>et al</w:t>
      </w:r>
      <w:r>
        <w:rPr>
          <w:rFonts w:ascii="Verdana" w:hAnsi="Verdana"/>
          <w:sz w:val="20"/>
          <w:szCs w:val="20"/>
        </w:rPr>
        <w:t>. (2015). Different senescent HDPE pipe-risk: brief field investigation from source water to tap water in China (Changsha City). Environmental Science and Pollution Research, 22, 16210-16214.</w:t>
      </w:r>
    </w:p>
    <w:p w14:paraId="593F65C8" w14:textId="77777777" w:rsidR="00BC1D4B" w:rsidRDefault="00ED1F84">
      <w:pPr>
        <w:spacing w:after="200" w:line="276" w:lineRule="auto"/>
        <w:jc w:val="both"/>
        <w:rPr>
          <w:rFonts w:ascii="Verdana" w:hAnsi="Verdana"/>
          <w:sz w:val="20"/>
          <w:szCs w:val="20"/>
        </w:rPr>
      </w:pPr>
      <w:r>
        <w:rPr>
          <w:rFonts w:ascii="Verdana" w:hAnsi="Verdana"/>
          <w:sz w:val="20"/>
          <w:szCs w:val="20"/>
        </w:rPr>
        <w:t xml:space="preserve">Traidl </w:t>
      </w:r>
      <w:r>
        <w:rPr>
          <w:rFonts w:ascii="Verdana" w:hAnsi="Verdana"/>
          <w:i/>
          <w:sz w:val="20"/>
          <w:szCs w:val="20"/>
        </w:rPr>
        <w:t>et al</w:t>
      </w:r>
      <w:r>
        <w:rPr>
          <w:rFonts w:ascii="Verdana" w:hAnsi="Verdana"/>
          <w:sz w:val="20"/>
          <w:szCs w:val="20"/>
        </w:rPr>
        <w:t>. (2021). Patch test results in patients with suspected contact allergy to shoes: Retrospective IVDK data analysis 2009–2018. Contact dermatitis, 85(3), 297-306.</w:t>
      </w:r>
    </w:p>
    <w:p w14:paraId="70308FEE" w14:textId="77777777" w:rsidR="00BC1D4B" w:rsidRDefault="00ED1F84">
      <w:pPr>
        <w:spacing w:after="200" w:line="276" w:lineRule="auto"/>
        <w:jc w:val="both"/>
        <w:rPr>
          <w:rFonts w:ascii="Verdana" w:hAnsi="Verdana"/>
          <w:sz w:val="20"/>
          <w:szCs w:val="20"/>
        </w:rPr>
      </w:pPr>
      <w:r>
        <w:rPr>
          <w:rFonts w:ascii="Verdana" w:hAnsi="Verdana"/>
          <w:sz w:val="20"/>
          <w:szCs w:val="20"/>
        </w:rPr>
        <w:t>Unpublished study report (2021) EOGRTS OECD TG 443 study on DPG</w:t>
      </w:r>
    </w:p>
    <w:p w14:paraId="120E9B58" w14:textId="77777777" w:rsidR="00BC1D4B" w:rsidRDefault="00ED1F84">
      <w:pPr>
        <w:spacing w:after="200" w:line="276" w:lineRule="auto"/>
        <w:jc w:val="both"/>
        <w:rPr>
          <w:rFonts w:ascii="Verdana" w:hAnsi="Verdana"/>
          <w:sz w:val="20"/>
          <w:szCs w:val="20"/>
        </w:rPr>
      </w:pPr>
      <w:r>
        <w:rPr>
          <w:rFonts w:ascii="Verdana" w:hAnsi="Verdana"/>
          <w:sz w:val="20"/>
          <w:szCs w:val="20"/>
        </w:rPr>
        <w:t>U.S. EPA. 2011. Endocrine Disruption Screening Program Weight of Evidence: Evaluating Results of EDSP Tier 1 Screening to Identify the Need for Tier 2 Testing. Office of Chemical Safety and Pollution Prevention, Washington D.C., September 14.</w:t>
      </w:r>
    </w:p>
    <w:p w14:paraId="556A3870" w14:textId="77777777" w:rsidR="00BC1D4B" w:rsidRDefault="00ED1F84">
      <w:pPr>
        <w:spacing w:after="200" w:line="276" w:lineRule="auto"/>
        <w:jc w:val="both"/>
        <w:rPr>
          <w:rFonts w:ascii="Verdana" w:hAnsi="Verdana"/>
          <w:sz w:val="20"/>
          <w:szCs w:val="20"/>
        </w:rPr>
      </w:pPr>
      <w:r>
        <w:rPr>
          <w:rFonts w:ascii="Verdana" w:hAnsi="Verdana"/>
          <w:sz w:val="20"/>
          <w:szCs w:val="20"/>
        </w:rPr>
        <w:t xml:space="preserve">U.S. EPA. 2015. Series 890 - Endocrine Disruptor Screening Program Test Guidelines. Found at: </w:t>
      </w:r>
      <w:hyperlink r:id="rId27" w:tooltip="http://www.epa.gov/test-guidelinespesticides-" w:history="1">
        <w:r>
          <w:rPr>
            <w:rFonts w:ascii="Verdana" w:hAnsi="Verdana"/>
            <w:color w:val="0000FF"/>
            <w:sz w:val="20"/>
            <w:szCs w:val="20"/>
            <w:u w:val="single"/>
          </w:rPr>
          <w:t>http://www.epa.gov/test-guidelinespesticides-</w:t>
        </w:r>
      </w:hyperlink>
      <w:r>
        <w:rPr>
          <w:rFonts w:ascii="Verdana" w:hAnsi="Verdana"/>
          <w:sz w:val="20"/>
          <w:szCs w:val="20"/>
        </w:rPr>
        <w:t xml:space="preserve"> and-toxic-substances/series-890-endocrine-disruptorscreening-program. Updated November 18, 2015. Accessed on2/16/2016.</w:t>
      </w:r>
    </w:p>
    <w:p w14:paraId="670406BD" w14:textId="77777777" w:rsidR="00BC1D4B" w:rsidRDefault="00ED1F84">
      <w:pPr>
        <w:spacing w:after="200" w:line="276" w:lineRule="auto"/>
        <w:jc w:val="both"/>
        <w:rPr>
          <w:rFonts w:ascii="Verdana" w:hAnsi="Verdana"/>
          <w:sz w:val="20"/>
          <w:szCs w:val="20"/>
        </w:rPr>
      </w:pPr>
      <w:r>
        <w:rPr>
          <w:rFonts w:ascii="Verdana" w:hAnsi="Verdana"/>
          <w:sz w:val="20"/>
          <w:szCs w:val="20"/>
        </w:rPr>
        <w:t>World Health Organization. (2022). Guidelines for drinking-water quality: incorporating the first and second addenda. World Health Organization.</w:t>
      </w:r>
    </w:p>
    <w:p w14:paraId="208369A3" w14:textId="77777777" w:rsidR="00BC1D4B" w:rsidRDefault="00ED1F84">
      <w:pPr>
        <w:spacing w:after="200" w:line="276" w:lineRule="auto"/>
        <w:jc w:val="both"/>
        <w:rPr>
          <w:rFonts w:ascii="Verdana" w:hAnsi="Verdana"/>
          <w:sz w:val="20"/>
          <w:szCs w:val="20"/>
        </w:rPr>
      </w:pPr>
      <w:r>
        <w:rPr>
          <w:rFonts w:ascii="Verdana" w:hAnsi="Verdana"/>
          <w:sz w:val="20"/>
          <w:szCs w:val="20"/>
        </w:rPr>
        <w:t xml:space="preserve">Zhang </w:t>
      </w:r>
      <w:r>
        <w:rPr>
          <w:rFonts w:ascii="Verdana" w:hAnsi="Verdana"/>
          <w:i/>
          <w:sz w:val="20"/>
          <w:szCs w:val="20"/>
        </w:rPr>
        <w:t>et al</w:t>
      </w:r>
      <w:r>
        <w:rPr>
          <w:rFonts w:ascii="Verdana" w:hAnsi="Verdana"/>
          <w:sz w:val="20"/>
          <w:szCs w:val="20"/>
        </w:rPr>
        <w:t>. (2022). Design strategy for vulcanization accelerator of diphenylguanidine/cyclodextrin inclusion complex for natural rubber latex foam with enhancing performance. Research, 2022.</w:t>
      </w:r>
    </w:p>
    <w:p w14:paraId="6C78580C" w14:textId="77777777" w:rsidR="00BC1D4B" w:rsidRDefault="00ED1F84">
      <w:pPr>
        <w:spacing w:after="200" w:line="276" w:lineRule="auto"/>
        <w:jc w:val="both"/>
        <w:rPr>
          <w:rFonts w:ascii="Verdana" w:hAnsi="Verdana"/>
          <w:sz w:val="20"/>
          <w:szCs w:val="20"/>
        </w:rPr>
      </w:pPr>
      <w:r>
        <w:rPr>
          <w:rFonts w:ascii="Verdana" w:hAnsi="Verdana"/>
          <w:sz w:val="20"/>
          <w:szCs w:val="20"/>
        </w:rPr>
        <w:t xml:space="preserve">Zhang </w:t>
      </w:r>
      <w:r>
        <w:rPr>
          <w:rFonts w:ascii="Verdana" w:hAnsi="Verdana"/>
          <w:i/>
          <w:sz w:val="20"/>
          <w:szCs w:val="20"/>
        </w:rPr>
        <w:t>et al</w:t>
      </w:r>
      <w:r>
        <w:rPr>
          <w:rFonts w:ascii="Verdana" w:hAnsi="Verdana"/>
          <w:sz w:val="20"/>
          <w:szCs w:val="20"/>
        </w:rPr>
        <w:t>. (2023). Occurrence and risks of 23 tire additives and their transformation products in an urban water system. Environment International, 171, 107715.</w:t>
      </w:r>
    </w:p>
    <w:p w14:paraId="5FD6A949" w14:textId="77777777" w:rsidR="00BC1D4B" w:rsidRDefault="00ED1F84">
      <w:pPr>
        <w:spacing w:after="200" w:line="276" w:lineRule="auto"/>
        <w:jc w:val="both"/>
        <w:rPr>
          <w:rFonts w:ascii="Verdana" w:hAnsi="Verdana"/>
          <w:sz w:val="20"/>
          <w:szCs w:val="20"/>
        </w:rPr>
      </w:pPr>
      <w:r>
        <w:rPr>
          <w:rFonts w:ascii="Verdana" w:hAnsi="Verdana"/>
          <w:sz w:val="20"/>
          <w:szCs w:val="20"/>
        </w:rPr>
        <w:t xml:space="preserve">Zidan </w:t>
      </w:r>
      <w:r>
        <w:rPr>
          <w:rFonts w:ascii="Verdana" w:hAnsi="Verdana"/>
          <w:i/>
          <w:sz w:val="20"/>
          <w:szCs w:val="20"/>
        </w:rPr>
        <w:t>et al</w:t>
      </w:r>
      <w:r>
        <w:rPr>
          <w:rFonts w:ascii="Verdana" w:hAnsi="Verdana"/>
          <w:sz w:val="20"/>
          <w:szCs w:val="20"/>
        </w:rPr>
        <w:t>. (2017). Leachable diphenylguanidine from rubber closures used in pre-filled syringes: A case study to understand solid and solution interactions with oxytocin. International journal of pharmaceutics, 532(1), 491-501.</w:t>
      </w:r>
    </w:p>
    <w:p w14:paraId="49294922" w14:textId="77777777" w:rsidR="00BC1D4B" w:rsidRDefault="00ED1F84">
      <w:pPr>
        <w:spacing w:after="200" w:line="276" w:lineRule="auto"/>
        <w:rPr>
          <w:rFonts w:ascii="Verdana" w:hAnsi="Verdana"/>
          <w:b/>
          <w:color w:val="0046AD"/>
          <w:sz w:val="28"/>
        </w:rPr>
      </w:pPr>
      <w:r>
        <w:br w:type="page" w:clear="all"/>
      </w:r>
    </w:p>
    <w:p w14:paraId="4FE7819B" w14:textId="77777777" w:rsidR="00BC1D4B" w:rsidRDefault="00BC1D4B">
      <w:pPr>
        <w:spacing w:after="200" w:line="276" w:lineRule="auto"/>
        <w:rPr>
          <w:rFonts w:asciiTheme="minorHAnsi" w:hAnsiTheme="minorHAnsi" w:cstheme="minorBidi"/>
          <w:sz w:val="22"/>
          <w:szCs w:val="22"/>
        </w:rPr>
      </w:pPr>
    </w:p>
    <w:p w14:paraId="16019D5E" w14:textId="77777777" w:rsidR="00BC1D4B" w:rsidRDefault="00BC1D4B">
      <w:pPr>
        <w:spacing w:after="200" w:line="276" w:lineRule="auto"/>
        <w:rPr>
          <w:rFonts w:asciiTheme="minorHAnsi" w:hAnsiTheme="minorHAnsi" w:cstheme="minorBidi"/>
          <w:sz w:val="22"/>
          <w:szCs w:val="22"/>
        </w:rPr>
      </w:pPr>
    </w:p>
    <w:sectPr w:rsidR="00BC1D4B">
      <w:pgSz w:w="11906" w:h="16838"/>
      <w:pgMar w:top="1418" w:right="1797" w:bottom="1134" w:left="179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407AE" w14:textId="77777777" w:rsidR="00345CF0" w:rsidRDefault="00345CF0">
      <w:pPr>
        <w:spacing w:after="0"/>
      </w:pPr>
      <w:r>
        <w:separator/>
      </w:r>
    </w:p>
  </w:endnote>
  <w:endnote w:type="continuationSeparator" w:id="0">
    <w:p w14:paraId="2D85E954" w14:textId="77777777" w:rsidR="00345CF0" w:rsidRDefault="00345CF0">
      <w:pPr>
        <w:spacing w:after="0"/>
      </w:pPr>
      <w:r>
        <w:continuationSeparator/>
      </w:r>
    </w:p>
  </w:endnote>
  <w:endnote w:type="continuationNotice" w:id="1">
    <w:p w14:paraId="2A946794" w14:textId="77777777" w:rsidR="00345CF0" w:rsidRDefault="00345C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597575"/>
      <w:docPartObj>
        <w:docPartGallery w:val="Page Numbers (Bottom of Page)"/>
        <w:docPartUnique/>
      </w:docPartObj>
    </w:sdtPr>
    <w:sdtEndPr/>
    <w:sdtContent>
      <w:p w14:paraId="60249EA3" w14:textId="77777777" w:rsidR="00345CF0" w:rsidRDefault="00345CF0">
        <w:pPr>
          <w:pStyle w:val="Pieddepage"/>
          <w:spacing w:after="0"/>
        </w:pPr>
      </w:p>
      <w:p w14:paraId="77E6BF7C" w14:textId="77777777" w:rsidR="00345CF0" w:rsidRDefault="00345CF0">
        <w:pPr>
          <w:pStyle w:val="Pieddepage"/>
          <w:spacing w:after="0"/>
          <w:rPr>
            <w:rFonts w:ascii="Verdana" w:hAnsi="Verdana"/>
            <w:sz w:val="16"/>
            <w:szCs w:val="18"/>
          </w:rPr>
        </w:pPr>
      </w:p>
      <w:p w14:paraId="6A4CFAF2" w14:textId="77777777" w:rsidR="00345CF0" w:rsidRDefault="00345CF0">
        <w:pPr>
          <w:pStyle w:val="Pieddepage"/>
          <w:spacing w:after="0"/>
          <w:rPr>
            <w:rFonts w:ascii="Verdana" w:hAnsi="Verdana"/>
            <w:sz w:val="16"/>
            <w:szCs w:val="18"/>
          </w:rPr>
        </w:pPr>
      </w:p>
      <w:p w14:paraId="2643FC58" w14:textId="14A27DC9" w:rsidR="00345CF0" w:rsidRDefault="00345CF0">
        <w:pPr>
          <w:pStyle w:val="Pieddepage"/>
          <w:tabs>
            <w:tab w:val="left" w:pos="1541"/>
            <w:tab w:val="right" w:pos="8312"/>
          </w:tabs>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fldChar w:fldCharType="begin"/>
        </w:r>
        <w:r>
          <w:rPr>
            <w:rFonts w:ascii="Verdana" w:hAnsi="Verdana"/>
            <w:sz w:val="18"/>
            <w:szCs w:val="18"/>
          </w:rPr>
          <w:instrText xml:space="preserve"> PAGE   \* MERGEFORMAT </w:instrText>
        </w:r>
        <w:r>
          <w:rPr>
            <w:rFonts w:ascii="Verdana" w:hAnsi="Verdana"/>
            <w:sz w:val="18"/>
            <w:szCs w:val="18"/>
          </w:rPr>
          <w:fldChar w:fldCharType="separate"/>
        </w:r>
        <w:r w:rsidR="009E2E72">
          <w:rPr>
            <w:rFonts w:ascii="Verdana" w:hAnsi="Verdana"/>
            <w:noProof/>
            <w:sz w:val="18"/>
            <w:szCs w:val="18"/>
          </w:rPr>
          <w:t>4</w:t>
        </w:r>
        <w:r>
          <w:rPr>
            <w:rFonts w:ascii="Verdana" w:hAnsi="Verdana"/>
            <w:sz w:val="18"/>
            <w:szCs w:val="18"/>
          </w:rPr>
          <w:fldChar w:fldCharType="end"/>
        </w:r>
      </w:p>
    </w:sdtContent>
  </w:sdt>
  <w:p w14:paraId="19347B10" w14:textId="77777777" w:rsidR="00345CF0" w:rsidRDefault="00345CF0">
    <w:pPr>
      <w:pStyle w:val="Pieddepage"/>
      <w:spacing w:after="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B6F73" w14:textId="77777777" w:rsidR="00345CF0" w:rsidRDefault="00345CF0">
      <w:pPr>
        <w:spacing w:after="0"/>
      </w:pPr>
      <w:r>
        <w:separator/>
      </w:r>
    </w:p>
  </w:footnote>
  <w:footnote w:type="continuationSeparator" w:id="0">
    <w:p w14:paraId="1A1C73AD" w14:textId="77777777" w:rsidR="00345CF0" w:rsidRDefault="00345CF0">
      <w:pPr>
        <w:spacing w:after="0"/>
      </w:pPr>
      <w:r>
        <w:continuationSeparator/>
      </w:r>
    </w:p>
  </w:footnote>
  <w:footnote w:type="continuationNotice" w:id="1">
    <w:p w14:paraId="0166CC1C" w14:textId="77777777" w:rsidR="00345CF0" w:rsidRDefault="00345CF0">
      <w:pPr>
        <w:spacing w:after="0"/>
      </w:pPr>
    </w:p>
  </w:footnote>
  <w:footnote w:id="2">
    <w:p w14:paraId="14B48789" w14:textId="77777777" w:rsidR="00345CF0" w:rsidRDefault="00345CF0">
      <w:pPr>
        <w:pStyle w:val="Notedebasdepage"/>
      </w:pPr>
      <w:r>
        <w:rPr>
          <w:rStyle w:val="Appelnotedebasdep"/>
        </w:rPr>
        <w:footnoteRef/>
      </w:r>
      <w:r>
        <w:t xml:space="preserve"> https://echa.europa.eu/understanding-assessment-regulatory-needs</w:t>
      </w:r>
    </w:p>
  </w:footnote>
  <w:footnote w:id="3">
    <w:p w14:paraId="6CC057A0" w14:textId="77777777" w:rsidR="00345CF0" w:rsidRDefault="00345CF0">
      <w:pPr>
        <w:pStyle w:val="Notedebasdepage"/>
      </w:pPr>
      <w:r>
        <w:rPr>
          <w:rStyle w:val="Appelnotedebasdep"/>
        </w:rPr>
        <w:footnoteRef/>
      </w:r>
      <w:r>
        <w:t xml:space="preserve"> https://echa.europa.eu/fr/substance-information/-/substanceinfo/100.002.730 (accessed 08 March 2023)</w:t>
      </w:r>
    </w:p>
  </w:footnote>
  <w:footnote w:id="4">
    <w:p w14:paraId="29EE928F" w14:textId="77777777" w:rsidR="00345CF0" w:rsidRDefault="00345CF0">
      <w:pPr>
        <w:pStyle w:val="Notedebasdepage"/>
      </w:pPr>
      <w:r>
        <w:rPr>
          <w:rStyle w:val="Appelnotedebasdep"/>
        </w:rPr>
        <w:footnoteRef/>
      </w:r>
      <w:r>
        <w:t xml:space="preserve"> </w:t>
      </w:r>
      <w:hyperlink r:id="rId1" w:tooltip="https://eur-lex.europa.eu/legal-content/EN/TXT/PDF/?uri=CELEX:32012L0018&amp;from=IT" w:history="1">
        <w:r>
          <w:rPr>
            <w:rStyle w:val="Lienhypertexte"/>
            <w:rFonts w:ascii="Times New Roman" w:hAnsi="Times New Roman"/>
            <w:sz w:val="18"/>
          </w:rPr>
          <w:t>https://eur-lex.europa.eu/legal-content/EN/TXT/PDF/?uri=CELEX:32012L0018&amp;from=IT</w:t>
        </w:r>
      </w:hyperlink>
      <w:r>
        <w:t xml:space="preserve"> </w:t>
      </w:r>
    </w:p>
  </w:footnote>
  <w:footnote w:id="5">
    <w:p w14:paraId="40792E1F" w14:textId="77777777" w:rsidR="00345CF0" w:rsidRDefault="00345CF0">
      <w:pPr>
        <w:pStyle w:val="Notedebasdepage"/>
      </w:pPr>
      <w:r>
        <w:rPr>
          <w:rStyle w:val="Appelnotedebasdep"/>
        </w:rPr>
        <w:footnoteRef/>
      </w:r>
      <w:r>
        <w:t xml:space="preserve"> </w:t>
      </w:r>
      <w:hyperlink r:id="rId2" w:tooltip="https://gestis-database.dguv.de/data?name=014540" w:history="1">
        <w:r>
          <w:rPr>
            <w:rStyle w:val="Lienhypertexte"/>
            <w:rFonts w:ascii="Times New Roman" w:hAnsi="Times New Roman"/>
            <w:sz w:val="18"/>
          </w:rPr>
          <w:t>https://gestis-database.dguv.de/data?name=014540</w:t>
        </w:r>
      </w:hyperlink>
      <w:r>
        <w:t xml:space="preserve"> (accessed 08 March 2023)</w:t>
      </w:r>
    </w:p>
  </w:footnote>
  <w:footnote w:id="6">
    <w:p w14:paraId="03EB419E" w14:textId="77777777" w:rsidR="00345CF0" w:rsidRDefault="00345CF0">
      <w:pPr>
        <w:pStyle w:val="Notedebasdepage"/>
      </w:pPr>
      <w:r>
        <w:rPr>
          <w:rStyle w:val="Appelnotedebasdep"/>
        </w:rPr>
        <w:footnoteRef/>
      </w:r>
      <w:r>
        <w:t xml:space="preserve"> </w:t>
      </w:r>
      <w:hyperlink r:id="rId3" w:tooltip="https://echa.europa.eu/fr/registration-dossier/-/registered-dossier/14992/1/2" w:history="1">
        <w:r>
          <w:rPr>
            <w:rStyle w:val="Lienhypertexte"/>
            <w:rFonts w:ascii="Times New Roman" w:hAnsi="Times New Roman"/>
            <w:sz w:val="18"/>
          </w:rPr>
          <w:t>https://echa.europa.eu/fr/registration-dossier/-/registered-dossier/14992/1/2</w:t>
        </w:r>
      </w:hyperlink>
      <w:r>
        <w:t xml:space="preserve"> (accessed 08 March 2023)</w:t>
      </w:r>
    </w:p>
  </w:footnote>
  <w:footnote w:id="7">
    <w:p w14:paraId="73410284" w14:textId="77777777" w:rsidR="00345CF0" w:rsidRDefault="00345CF0">
      <w:pPr>
        <w:pStyle w:val="Notedebasdepage"/>
      </w:pPr>
      <w:r>
        <w:rPr>
          <w:rStyle w:val="Appelnotedebasdep"/>
        </w:rPr>
        <w:footnoteRef/>
      </w:r>
      <w:r>
        <w:t xml:space="preserve"> https://echa.europa.eu/documents/10162/4df27360-03aa-3c93-54f0-08f8366f42f3</w:t>
      </w:r>
    </w:p>
  </w:footnote>
  <w:footnote w:id="8">
    <w:p w14:paraId="200A8408" w14:textId="77777777" w:rsidR="00345CF0" w:rsidRDefault="00345CF0">
      <w:pPr>
        <w:pStyle w:val="Notedebasdepage"/>
      </w:pPr>
      <w:r>
        <w:rPr>
          <w:rStyle w:val="Appelnotedebasdep"/>
        </w:rPr>
        <w:footnoteRef/>
      </w:r>
      <w:r>
        <w:t xml:space="preserve"> </w:t>
      </w:r>
      <w:r>
        <w:rPr>
          <w:szCs w:val="16"/>
        </w:rPr>
        <w:t xml:space="preserve">C&amp;L Inventory database, </w:t>
      </w:r>
      <w:hyperlink r:id="rId4" w:tooltip="http://echa.europa.eu/web/guest/information-on-chemicals/cl-inventory-database" w:history="1">
        <w:r>
          <w:rPr>
            <w:rStyle w:val="Lienhypertexte"/>
            <w:sz w:val="16"/>
            <w:szCs w:val="16"/>
          </w:rPr>
          <w:t>http://echa.europa.eu/web/guest/information-on-chemicals/cl-inventory-database</w:t>
        </w:r>
      </w:hyperlink>
      <w:r>
        <w:rPr>
          <w:szCs w:val="16"/>
        </w:rPr>
        <w:t xml:space="preserve"> (accessed 20 July 2022)</w:t>
      </w:r>
    </w:p>
  </w:footnote>
  <w:footnote w:id="9">
    <w:p w14:paraId="4E77E6F8" w14:textId="77777777" w:rsidR="00345CF0" w:rsidRDefault="00345CF0">
      <w:pPr>
        <w:pStyle w:val="Notedebasdepage"/>
      </w:pPr>
      <w:r>
        <w:rPr>
          <w:rStyle w:val="Appelnotedebasdep"/>
        </w:rPr>
        <w:footnoteRef/>
      </w:r>
      <w:r>
        <w:t xml:space="preserve"> </w:t>
      </w:r>
      <w:hyperlink r:id="rId5" w:tooltip="https://echa.europa.eu/fr/information-on-chemicals/cl-inventory-database/-/discli/details/115877" w:history="1">
        <w:r>
          <w:rPr>
            <w:rStyle w:val="Lienhypertexte"/>
            <w:rFonts w:ascii="Times New Roman" w:hAnsi="Times New Roman"/>
            <w:sz w:val="18"/>
          </w:rPr>
          <w:t>https://echa.europa.eu/fr/information-on-chemicals/cl-inventory-database/-/discli/details/115877</w:t>
        </w:r>
      </w:hyperlink>
      <w:r>
        <w:t xml:space="preserve"> (accessed 08 March 2023)</w:t>
      </w:r>
    </w:p>
  </w:footnote>
  <w:footnote w:id="10">
    <w:p w14:paraId="6BA26BB3" w14:textId="124EC996" w:rsidR="00345CF0" w:rsidRDefault="00345CF0">
      <w:pPr>
        <w:pStyle w:val="Notedebasdepage"/>
      </w:pPr>
      <w:r>
        <w:rPr>
          <w:rStyle w:val="Appelnotedebasdep"/>
        </w:rPr>
        <w:footnoteRef/>
      </w:r>
      <w:r>
        <w:t xml:space="preserve"> </w:t>
      </w:r>
      <w:r w:rsidRPr="00CF2ED6">
        <w:t>https://eur-lex.europa.eu/legal-content/EN/TXT/PDF/?uri=CELEX:32021L0903</w:t>
      </w:r>
    </w:p>
    <w:p w14:paraId="73984818" w14:textId="77777777" w:rsidR="00345CF0" w:rsidRPr="00CF2ED6" w:rsidRDefault="00345CF0">
      <w:pPr>
        <w:pStyle w:val="Notedebasdepage"/>
      </w:pPr>
    </w:p>
  </w:footnote>
  <w:footnote w:id="11">
    <w:p w14:paraId="3D815BE9" w14:textId="6453AE7C" w:rsidR="00345CF0" w:rsidRPr="00A21496" w:rsidRDefault="00345CF0">
      <w:pPr>
        <w:pStyle w:val="Notedebasdepage"/>
      </w:pPr>
      <w:r>
        <w:rPr>
          <w:rStyle w:val="Appelnotedebasdep"/>
        </w:rPr>
        <w:footnoteRef/>
      </w:r>
      <w:r>
        <w:t xml:space="preserve"> </w:t>
      </w:r>
      <w:r w:rsidRPr="00A21496">
        <w:t>https://www.umweltbundesamt.de/sites/default/files/medien/5620/dokumente/anlage_1_-_ca-om_part_b_-_positive_list_of_starting_substances_for_om_22_december_2022_rev06.pdf</w:t>
      </w:r>
    </w:p>
  </w:footnote>
  <w:footnote w:id="12">
    <w:p w14:paraId="68E49D8B" w14:textId="77777777" w:rsidR="00345CF0" w:rsidRDefault="00345CF0">
      <w:pPr>
        <w:pStyle w:val="Notedebasdepage"/>
        <w:rPr>
          <w:szCs w:val="18"/>
        </w:rPr>
      </w:pPr>
      <w:r>
        <w:rPr>
          <w:rStyle w:val="Appelnotedebasdep"/>
        </w:rPr>
        <w:footnoteRef/>
      </w:r>
      <w:r>
        <w:t xml:space="preserve"> </w:t>
      </w:r>
      <w:hyperlink r:id="rId6" w:tooltip="https://www.norman-network.com/nds/common/" w:history="1">
        <w:r>
          <w:rPr>
            <w:rStyle w:val="Lienhypertexte"/>
            <w:rFonts w:ascii="Times New Roman" w:eastAsia="Calibri" w:hAnsi="Times New Roman"/>
            <w:sz w:val="18"/>
            <w:szCs w:val="18"/>
            <w:lang w:val="en-US"/>
          </w:rPr>
          <w:t>https://www.norman-network.com/nds/common/</w:t>
        </w:r>
      </w:hyperlink>
      <w:r>
        <w:rPr>
          <w:rFonts w:eastAsia="Calibri"/>
          <w:szCs w:val="18"/>
          <w:lang w:val="en-US"/>
        </w:rPr>
        <w:t xml:space="preserve"> (accessed 12 March 2023)</w:t>
      </w:r>
    </w:p>
  </w:footnote>
  <w:footnote w:id="13">
    <w:p w14:paraId="257CDB74" w14:textId="77777777" w:rsidR="00345CF0" w:rsidRDefault="00345CF0">
      <w:pPr>
        <w:pStyle w:val="Notedebasdepage"/>
      </w:pPr>
      <w:r>
        <w:rPr>
          <w:rStyle w:val="Appelnotedebasdep"/>
        </w:rPr>
        <w:footnoteRef/>
      </w:r>
      <w:r>
        <w:t xml:space="preserve"> </w:t>
      </w:r>
      <w:hyperlink r:id="rId7" w:tooltip="https://eur-lex.europa.eu/legal-content/EN/TXT/?uri=CELEX%3A02004L0037-20220405&amp;qid=1681807546211" w:history="1">
        <w:r>
          <w:rPr>
            <w:rStyle w:val="Lienhypertexte"/>
            <w:rFonts w:ascii="Times New Roman" w:hAnsi="Times New Roman"/>
            <w:sz w:val="18"/>
          </w:rPr>
          <w:t>https://eur-lex.europa.eu/legal-content/EN/TXT/?uri=CELEX%3A02004L0037-20220405&amp;qid=1681807546211</w:t>
        </w:r>
      </w:hyperlink>
      <w:r>
        <w:t xml:space="preserve"> (consolidated text 05/04/2022)</w:t>
      </w:r>
    </w:p>
    <w:p w14:paraId="41FBB194" w14:textId="77777777" w:rsidR="00345CF0" w:rsidRDefault="00345CF0">
      <w:pPr>
        <w:pStyle w:val="Notedebasdepage"/>
      </w:pPr>
    </w:p>
  </w:footnote>
  <w:footnote w:id="14">
    <w:p w14:paraId="628453B2" w14:textId="62F19424" w:rsidR="00345CF0" w:rsidRPr="00EF5E76" w:rsidRDefault="00345CF0">
      <w:pPr>
        <w:pStyle w:val="Notedebasdepage"/>
      </w:pPr>
      <w:r>
        <w:rPr>
          <w:rStyle w:val="Appelnotedebasdep"/>
        </w:rPr>
        <w:footnoteRef/>
      </w:r>
      <w:r>
        <w:t xml:space="preserve"> </w:t>
      </w:r>
      <w:r w:rsidRPr="00EF5E76">
        <w:t>https://echa.europa.eu/oel</w:t>
      </w:r>
    </w:p>
  </w:footnote>
  <w:footnote w:id="15">
    <w:p w14:paraId="6FD85CB2" w14:textId="77777777" w:rsidR="00345CF0" w:rsidRDefault="00345CF0">
      <w:pPr>
        <w:pStyle w:val="Notedebasdepage"/>
      </w:pPr>
      <w:r>
        <w:rPr>
          <w:rStyle w:val="Appelnotedebasdep"/>
        </w:rPr>
        <w:footnoteRef/>
      </w:r>
      <w:r>
        <w:t xml:space="preserve"> </w:t>
      </w:r>
      <w:hyperlink r:id="rId8" w:tooltip="https://eur-lex.europa.eu/eli/dir/2020/2184/oj" w:history="1">
        <w:r>
          <w:rPr>
            <w:rStyle w:val="Lienhypertexte"/>
            <w:rFonts w:ascii="Times New Roman" w:hAnsi="Times New Roman"/>
            <w:sz w:val="18"/>
          </w:rPr>
          <w:t>https://eur-lex.europa.eu/eli/dir/2020/2184/oj</w:t>
        </w:r>
      </w:hyperlink>
    </w:p>
    <w:p w14:paraId="5A690203" w14:textId="77777777" w:rsidR="00345CF0" w:rsidRDefault="00345CF0">
      <w:pPr>
        <w:pStyle w:val="Notedebasdepage"/>
      </w:pPr>
    </w:p>
  </w:footnote>
  <w:footnote w:id="16">
    <w:p w14:paraId="097F15EB" w14:textId="77777777" w:rsidR="00345CF0" w:rsidRDefault="00345CF0">
      <w:pPr>
        <w:pStyle w:val="Notedebasdepage"/>
      </w:pPr>
      <w:r>
        <w:rPr>
          <w:rStyle w:val="Appelnotedebasdep"/>
        </w:rPr>
        <w:footnoteRef/>
      </w:r>
      <w:r>
        <w:t xml:space="preserve"> Watch list in France : https://www.ineris.fr/sites/ineris.fr/files/contribution/Documents/Substances%20Pertinentes%20%C3%A0%20Surveiller%20%28SPAS%29%20v3.pdf</w:t>
      </w:r>
    </w:p>
  </w:footnote>
  <w:footnote w:id="17">
    <w:p w14:paraId="6B789044" w14:textId="77777777" w:rsidR="00345CF0" w:rsidRDefault="00345CF0">
      <w:pPr>
        <w:pStyle w:val="Notedebasdepage"/>
      </w:pPr>
      <w:r>
        <w:rPr>
          <w:rStyle w:val="Appelnotedebasdep"/>
        </w:rPr>
        <w:footnoteRef/>
      </w:r>
      <w:r>
        <w:t xml:space="preserve"> Watch list in Europe : https://eur-lex.europa.eu/legal-content/EN/TXT/?uri=uriserv:OJ.L_.2020.257.01.0032.01.ENG&amp;toc=OJ:L:2020:257:TOC</w:t>
      </w:r>
    </w:p>
  </w:footnote>
  <w:footnote w:id="18">
    <w:p w14:paraId="0B436DE1" w14:textId="77777777" w:rsidR="00345CF0" w:rsidRDefault="00345CF0">
      <w:pPr>
        <w:pStyle w:val="Notedebasdepage"/>
      </w:pPr>
      <w:r>
        <w:rPr>
          <w:rStyle w:val="Appelnotedebasdep"/>
        </w:rPr>
        <w:footnoteRef/>
      </w:r>
      <w:r>
        <w:t xml:space="preserve"> </w:t>
      </w:r>
      <w:hyperlink r:id="rId9" w:tooltip="https://echa.europa.eu/fr/registration-dossier/-/registered-dossier/14992/3/1/3" w:history="1">
        <w:r>
          <w:rPr>
            <w:rStyle w:val="Lienhypertexte"/>
            <w:rFonts w:ascii="Times New Roman" w:hAnsi="Times New Roman"/>
            <w:sz w:val="18"/>
          </w:rPr>
          <w:t>https://echa.europa.eu/fr/registration-dossier/-/registered-dossier/14992/3/1/3</w:t>
        </w:r>
      </w:hyperlink>
      <w:r>
        <w:t xml:space="preserve"> (accessed 08 March 2023)</w:t>
      </w:r>
    </w:p>
  </w:footnote>
  <w:footnote w:id="19">
    <w:p w14:paraId="34DAF6E1" w14:textId="77777777" w:rsidR="00345CF0" w:rsidRDefault="00345CF0">
      <w:pPr>
        <w:pStyle w:val="Notedebasdepage"/>
      </w:pPr>
      <w:r>
        <w:rPr>
          <w:rStyle w:val="Appelnotedebasdep"/>
        </w:rPr>
        <w:footnoteRef/>
      </w:r>
      <w:r>
        <w:t xml:space="preserve"> https://echa.europa.eu/fr/information-on-chemicals/evaluation/community-rolling-action-plan/corap-table/-/dislist/details/0b0236e1807e3367</w:t>
      </w:r>
    </w:p>
  </w:footnote>
  <w:footnote w:id="20">
    <w:p w14:paraId="4F3DDAAC" w14:textId="77777777" w:rsidR="00345CF0" w:rsidRDefault="00345CF0">
      <w:pPr>
        <w:pStyle w:val="Notedebasdepage"/>
        <w:rPr>
          <w:rFonts w:eastAsia="Arial"/>
          <w:color w:val="444444"/>
        </w:rPr>
      </w:pPr>
      <w:r>
        <w:rPr>
          <w:rStyle w:val="Appelnotedebasdep"/>
          <w:rFonts w:ascii="Times New Roman" w:hAnsi="Times New Roman"/>
        </w:rPr>
        <w:footnoteRef/>
      </w:r>
      <w:r>
        <w:t xml:space="preserve"> </w:t>
      </w:r>
      <w:r>
        <w:rPr>
          <w:rFonts w:eastAsia="Arial"/>
          <w:color w:val="444444"/>
        </w:rPr>
        <w:t xml:space="preserve">RAC </w:t>
      </w:r>
      <w:r>
        <w:rPr>
          <w:rFonts w:eastAsia="Arial"/>
          <w:color w:val="444444"/>
          <w:szCs w:val="18"/>
        </w:rPr>
        <w:t>opinion on substance Epoxiconazole (</w:t>
      </w:r>
      <w:r>
        <w:rPr>
          <w:rFonts w:eastAsia="Arial"/>
          <w:szCs w:val="18"/>
        </w:rPr>
        <w:t>EC 406-850-2)</w:t>
      </w:r>
      <w:r>
        <w:rPr>
          <w:rFonts w:eastAsia="Arial"/>
          <w:color w:val="444444"/>
          <w:szCs w:val="18"/>
        </w:rPr>
        <w:t xml:space="preserve">: </w:t>
      </w:r>
      <w:hyperlink r:id="rId10" w:tooltip="https://echa.europa.eu/documents/10162/13641/rac_opinion_epoxiconazole_restr_en.pdf/54ccece3-6775-4489-a997-d208d2f2eb05" w:history="1">
        <w:r>
          <w:rPr>
            <w:rStyle w:val="Lienhypertexte"/>
            <w:rFonts w:ascii="Times New Roman" w:eastAsia="Arial" w:hAnsi="Times New Roman"/>
            <w:color w:val="000000"/>
            <w:sz w:val="18"/>
            <w:szCs w:val="18"/>
            <w:highlight w:val="white"/>
          </w:rPr>
          <w:t>https://echa.europa.eu/documents/10162/13641/rac_opinion_epoxiconazole_restr_en.pdf/54ccece3-6775-4489-a997-d208d2f2eb05</w:t>
        </w:r>
      </w:hyperlink>
      <w:r>
        <w:rPr>
          <w:rFonts w:eastAsia="Arial"/>
          <w:color w:val="444444"/>
        </w:rPr>
        <w:t xml:space="preserve"> </w:t>
      </w:r>
    </w:p>
  </w:footnote>
  <w:footnote w:id="21">
    <w:p w14:paraId="64032166" w14:textId="6E7E0C5C" w:rsidR="00345CF0" w:rsidRPr="00502515" w:rsidRDefault="00345CF0">
      <w:pPr>
        <w:pStyle w:val="Notedebasdepage"/>
      </w:pPr>
      <w:r>
        <w:rPr>
          <w:rStyle w:val="Appelnotedebasdep"/>
        </w:rPr>
        <w:footnoteRef/>
      </w:r>
      <w:r>
        <w:t xml:space="preserve"> </w:t>
      </w:r>
      <w:r w:rsidRPr="00502515">
        <w:t>https://www.umweltbundesamt.de/sites/default/files/medien/5620/dokumente/anlage_1_-_ca-om_part_b_-_positive_list_of_starting_substances_for_om_22_december_2022_rev06.pdf</w:t>
      </w:r>
    </w:p>
  </w:footnote>
  <w:footnote w:id="22">
    <w:p w14:paraId="12FAD686" w14:textId="77777777" w:rsidR="00345CF0" w:rsidRDefault="00345CF0">
      <w:pPr>
        <w:pStyle w:val="Notedebasdepage"/>
        <w:rPr>
          <w:szCs w:val="18"/>
        </w:rPr>
      </w:pPr>
      <w:r>
        <w:rPr>
          <w:rStyle w:val="Appelnotedebasdep"/>
        </w:rPr>
        <w:footnoteRef/>
      </w:r>
      <w:r>
        <w:t xml:space="preserve"> </w:t>
      </w:r>
      <w:hyperlink r:id="rId11" w:tooltip="https://www.norman-network.com/nds/common/" w:history="1">
        <w:r>
          <w:rPr>
            <w:rStyle w:val="Lienhypertexte"/>
            <w:rFonts w:ascii="Times New Roman" w:eastAsia="Calibri" w:hAnsi="Times New Roman"/>
            <w:sz w:val="18"/>
            <w:szCs w:val="18"/>
            <w:lang w:val="en-US"/>
          </w:rPr>
          <w:t>https://www.norman-network.com/nds/common/</w:t>
        </w:r>
      </w:hyperlink>
      <w:r>
        <w:rPr>
          <w:rFonts w:eastAsia="Calibri"/>
          <w:szCs w:val="18"/>
          <w:lang w:val="en-US"/>
        </w:rPr>
        <w:t xml:space="preserve"> (accessed 12 March 2023)</w:t>
      </w:r>
    </w:p>
  </w:footnote>
  <w:footnote w:id="23">
    <w:p w14:paraId="3C048495" w14:textId="77777777" w:rsidR="00345CF0" w:rsidRDefault="00345CF0">
      <w:pPr>
        <w:pStyle w:val="Notedebasdepage"/>
      </w:pPr>
      <w:r>
        <w:rPr>
          <w:rStyle w:val="Appelnotedebasdep"/>
        </w:rPr>
        <w:footnoteRef/>
      </w:r>
      <w:r>
        <w:t xml:space="preserve"> </w:t>
      </w:r>
      <w:hyperlink r:id="rId12" w:tooltip="https://eur-lex.europa.eu/legal-content/EN/TXT/PDF/?uri=CELEX:32023R0707&amp;from=EN" w:history="1">
        <w:r>
          <w:rPr>
            <w:rStyle w:val="Lienhypertexte"/>
            <w:rFonts w:ascii="Times New Roman" w:hAnsi="Times New Roman"/>
            <w:sz w:val="18"/>
          </w:rPr>
          <w:t>https://eur-lex.europa.eu/legal-content/EN/TXT/PDF/?uri=CELEX:32023R0707&amp;from=EN</w:t>
        </w:r>
      </w:hyperlink>
    </w:p>
    <w:p w14:paraId="145F20EC" w14:textId="77777777" w:rsidR="00345CF0" w:rsidRDefault="00345CF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FA2F" w14:textId="29BCD338" w:rsidR="00345CF0" w:rsidRDefault="009104B8">
    <w:pPr>
      <w:pStyle w:val="Corpsdetexte"/>
      <w:ind w:firstLine="720"/>
      <w:jc w:val="right"/>
      <w:rPr>
        <w:rFonts w:ascii="Verdana" w:hAnsi="Verdana"/>
        <w:caps/>
        <w:sz w:val="20"/>
      </w:rPr>
    </w:pPr>
    <w:r>
      <w:rPr>
        <w:rFonts w:ascii="Verdana" w:hAnsi="Verdana"/>
        <w:caps/>
        <w:sz w:val="20"/>
      </w:rPr>
      <w:t>DRAFT</w:t>
    </w:r>
    <w:r w:rsidR="00345CF0">
      <w:rPr>
        <w:rFonts w:ascii="Verdana" w:hAnsi="Verdana"/>
        <w:caps/>
        <w:sz w:val="20"/>
      </w:rPr>
      <w:t xml:space="preserve"> Regulatory Management Option Analysis (RMOA)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F207" w14:textId="77777777" w:rsidR="00345CF0" w:rsidRDefault="00345CF0">
    <w:pPr>
      <w:pStyle w:val="Corpsdetexte"/>
      <w:ind w:firstLine="720"/>
      <w:jc w:val="center"/>
      <w:rPr>
        <w:rFonts w:ascii="Verdana" w:hAnsi="Verdana"/>
        <w:caps/>
        <w:sz w:val="20"/>
      </w:rPr>
    </w:pPr>
    <w:r>
      <w:tab/>
    </w:r>
    <w:r>
      <w:rPr>
        <w:rFonts w:ascii="Verdana" w:hAnsi="Verdana"/>
        <w:caps/>
        <w:sz w:val="20"/>
      </w:rPr>
      <w:t>Regulatory Management Option Analysis (RMOA)</w:t>
    </w:r>
  </w:p>
  <w:p w14:paraId="46F6BF60" w14:textId="77777777" w:rsidR="00345CF0" w:rsidRDefault="00345CF0">
    <w:pPr>
      <w:pStyle w:val="En-tte"/>
      <w:tabs>
        <w:tab w:val="clear" w:pos="4536"/>
        <w:tab w:val="clear" w:pos="7088"/>
        <w:tab w:val="clear" w:pos="8789"/>
        <w:tab w:val="left" w:pos="330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caps/>
        <w:sz w:val="20"/>
      </w:rPr>
      <w:alias w:val="Choose the appropriate title."/>
      <w:tag w:val="Choose the appropriate title"/>
      <w:id w:val="-1126629810"/>
      <w:dropDownList>
        <w:listItem w:displayText="Choose the appropriate title from this dropdown menu." w:value="Choose the appropriate title from this dropdown menu."/>
        <w:listItem w:displayText="Justification for the selection of a substance for CoRAP inclusion" w:value="Justification for the selection of a substance for CoRAP inclusion"/>
        <w:listItem w:displayText="Justification document: Need for Harmonised Classification and Labelling (CLH)" w:value="Justification document: Need for Harmonised Classification and Labelling (CLH)"/>
        <w:listItem w:displayText="Justification document: No need for further work based on current information" w:value="Justification document: No need for further work based on current information"/>
        <w:listItem w:displayText="Justification document: Other action (please specify)" w:value="Justification document: Other action (please specify)"/>
        <w:listItem w:displayText="Justification document for the case compliance check is recommended (CCH)" w:value="Justification document for the case compliance check is recommended (CCH)"/>
        <w:listItem w:displayText="Analysis of the most appropriate risk management option (RMOA)" w:value="Analysis of the most appropriate risk management option (RMOA)"/>
      </w:dropDownList>
    </w:sdtPr>
    <w:sdtEndPr/>
    <w:sdtContent>
      <w:p w14:paraId="0B8B46A9" w14:textId="77777777" w:rsidR="00345CF0" w:rsidRDefault="00345CF0">
        <w:pPr>
          <w:pStyle w:val="Corpsdetexte"/>
          <w:jc w:val="center"/>
          <w:rPr>
            <w:rFonts w:ascii="Verdana" w:hAnsi="Verdana"/>
            <w:caps/>
            <w:sz w:val="20"/>
          </w:rPr>
        </w:pPr>
        <w:r>
          <w:rPr>
            <w:rFonts w:ascii="Verdana" w:hAnsi="Verdana"/>
            <w:caps/>
            <w:sz w:val="20"/>
          </w:rPr>
          <w:t>Choose the appropriate title from this dropdown menu.</w:t>
        </w:r>
      </w:p>
    </w:sdtContent>
  </w:sdt>
  <w:p w14:paraId="792266B5" w14:textId="77777777" w:rsidR="00345CF0" w:rsidRDefault="00345CF0">
    <w:pPr>
      <w:spacing w:before="120" w:after="0"/>
      <w:ind w:right="-902"/>
      <w:rPr>
        <w:rFonts w:ascii="Verdana" w:hAnsi="Verdana"/>
        <w:i/>
        <w:color w:val="FF0000"/>
        <w:sz w:val="22"/>
        <w:szCs w:val="22"/>
        <w:lang w:eastAsia="en-GB"/>
      </w:rPr>
    </w:pPr>
    <w:r>
      <w:rPr>
        <w:rFonts w:ascii="Verdana" w:hAnsi="Verdana"/>
        <w:b/>
        <w:bCs/>
        <w:i/>
        <w:sz w:val="22"/>
        <w:szCs w:val="22"/>
        <w:lang w:eastAsia="en-GB"/>
      </w:rPr>
      <w:t>NOTE</w:t>
    </w:r>
    <w:r>
      <w:rPr>
        <w:rFonts w:ascii="Verdana" w:hAnsi="Verdana"/>
        <w:b/>
        <w:i/>
        <w:sz w:val="22"/>
        <w:szCs w:val="22"/>
        <w:lang w:eastAsia="en-GB"/>
      </w:rPr>
      <w:t>: This annex contains confidential information</w:t>
    </w:r>
  </w:p>
  <w:p w14:paraId="37CB1921" w14:textId="77777777" w:rsidR="00345CF0" w:rsidRDefault="00345CF0">
    <w:pPr>
      <w:spacing w:after="0"/>
      <w:ind w:right="26"/>
      <w:rPr>
        <w:rFonts w:ascii="Verdana" w:hAnsi="Verdana"/>
        <w:sz w:val="20"/>
        <w:szCs w:val="20"/>
        <w:lang w:eastAsia="en-GB"/>
      </w:rPr>
    </w:pPr>
    <w:r>
      <w:rPr>
        <w:rFonts w:ascii="Verdana" w:hAnsi="Verdana"/>
        <w:sz w:val="20"/>
        <w:szCs w:val="20"/>
        <w:lang w:eastAsia="en-GB"/>
      </w:rPr>
      <w:t>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8BE"/>
    <w:multiLevelType w:val="hybridMultilevel"/>
    <w:tmpl w:val="8C6ED442"/>
    <w:lvl w:ilvl="0" w:tplc="6A8255E4">
      <w:start w:val="1"/>
      <w:numFmt w:val="bullet"/>
      <w:lvlText w:val=""/>
      <w:lvlJc w:val="left"/>
      <w:pPr>
        <w:ind w:left="720" w:hanging="360"/>
      </w:pPr>
      <w:rPr>
        <w:rFonts w:ascii="Symbol" w:hAnsi="Symbol" w:hint="default"/>
      </w:rPr>
    </w:lvl>
    <w:lvl w:ilvl="1" w:tplc="9BEC3BD6">
      <w:start w:val="1"/>
      <w:numFmt w:val="bullet"/>
      <w:lvlText w:val="o"/>
      <w:lvlJc w:val="left"/>
      <w:pPr>
        <w:ind w:left="1440" w:hanging="360"/>
      </w:pPr>
      <w:rPr>
        <w:rFonts w:ascii="Courier New" w:hAnsi="Courier New" w:cs="Courier New" w:hint="default"/>
      </w:rPr>
    </w:lvl>
    <w:lvl w:ilvl="2" w:tplc="D346D22C">
      <w:start w:val="1"/>
      <w:numFmt w:val="bullet"/>
      <w:lvlText w:val=""/>
      <w:lvlJc w:val="left"/>
      <w:pPr>
        <w:ind w:left="2160" w:hanging="360"/>
      </w:pPr>
      <w:rPr>
        <w:rFonts w:ascii="Wingdings" w:hAnsi="Wingdings" w:hint="default"/>
      </w:rPr>
    </w:lvl>
    <w:lvl w:ilvl="3" w:tplc="79DA4168">
      <w:start w:val="1"/>
      <w:numFmt w:val="bullet"/>
      <w:lvlText w:val=""/>
      <w:lvlJc w:val="left"/>
      <w:pPr>
        <w:ind w:left="2880" w:hanging="360"/>
      </w:pPr>
      <w:rPr>
        <w:rFonts w:ascii="Symbol" w:hAnsi="Symbol" w:hint="default"/>
      </w:rPr>
    </w:lvl>
    <w:lvl w:ilvl="4" w:tplc="BD1C59F2">
      <w:start w:val="1"/>
      <w:numFmt w:val="bullet"/>
      <w:lvlText w:val="o"/>
      <w:lvlJc w:val="left"/>
      <w:pPr>
        <w:ind w:left="3600" w:hanging="360"/>
      </w:pPr>
      <w:rPr>
        <w:rFonts w:ascii="Courier New" w:hAnsi="Courier New" w:cs="Courier New" w:hint="default"/>
      </w:rPr>
    </w:lvl>
    <w:lvl w:ilvl="5" w:tplc="0A48C47C">
      <w:start w:val="1"/>
      <w:numFmt w:val="bullet"/>
      <w:lvlText w:val=""/>
      <w:lvlJc w:val="left"/>
      <w:pPr>
        <w:ind w:left="4320" w:hanging="360"/>
      </w:pPr>
      <w:rPr>
        <w:rFonts w:ascii="Wingdings" w:hAnsi="Wingdings" w:hint="default"/>
      </w:rPr>
    </w:lvl>
    <w:lvl w:ilvl="6" w:tplc="47723EDE">
      <w:start w:val="1"/>
      <w:numFmt w:val="bullet"/>
      <w:lvlText w:val=""/>
      <w:lvlJc w:val="left"/>
      <w:pPr>
        <w:ind w:left="5040" w:hanging="360"/>
      </w:pPr>
      <w:rPr>
        <w:rFonts w:ascii="Symbol" w:hAnsi="Symbol" w:hint="default"/>
      </w:rPr>
    </w:lvl>
    <w:lvl w:ilvl="7" w:tplc="2E5A9E34">
      <w:start w:val="1"/>
      <w:numFmt w:val="bullet"/>
      <w:lvlText w:val="o"/>
      <w:lvlJc w:val="left"/>
      <w:pPr>
        <w:ind w:left="5760" w:hanging="360"/>
      </w:pPr>
      <w:rPr>
        <w:rFonts w:ascii="Courier New" w:hAnsi="Courier New" w:cs="Courier New" w:hint="default"/>
      </w:rPr>
    </w:lvl>
    <w:lvl w:ilvl="8" w:tplc="A2948A12">
      <w:start w:val="1"/>
      <w:numFmt w:val="bullet"/>
      <w:lvlText w:val=""/>
      <w:lvlJc w:val="left"/>
      <w:pPr>
        <w:ind w:left="6480" w:hanging="360"/>
      </w:pPr>
      <w:rPr>
        <w:rFonts w:ascii="Wingdings" w:hAnsi="Wingdings" w:hint="default"/>
      </w:rPr>
    </w:lvl>
  </w:abstractNum>
  <w:abstractNum w:abstractNumId="1" w15:restartNumberingAfterBreak="0">
    <w:nsid w:val="07457F5D"/>
    <w:multiLevelType w:val="hybridMultilevel"/>
    <w:tmpl w:val="B712D584"/>
    <w:lvl w:ilvl="0" w:tplc="B5E83264">
      <w:start w:val="1"/>
      <w:numFmt w:val="bullet"/>
      <w:lvlText w:val=""/>
      <w:lvlJc w:val="left"/>
      <w:pPr>
        <w:ind w:left="360" w:hanging="360"/>
      </w:pPr>
      <w:rPr>
        <w:rFonts w:ascii="Symbol" w:hAnsi="Symbol" w:hint="default"/>
      </w:rPr>
    </w:lvl>
    <w:lvl w:ilvl="1" w:tplc="8FE25D06">
      <w:start w:val="1"/>
      <w:numFmt w:val="bullet"/>
      <w:lvlText w:val="o"/>
      <w:lvlJc w:val="left"/>
      <w:pPr>
        <w:ind w:left="1080" w:hanging="360"/>
      </w:pPr>
      <w:rPr>
        <w:rFonts w:ascii="Courier New" w:hAnsi="Courier New" w:cs="Courier New" w:hint="default"/>
      </w:rPr>
    </w:lvl>
    <w:lvl w:ilvl="2" w:tplc="174E88B4">
      <w:start w:val="1"/>
      <w:numFmt w:val="bullet"/>
      <w:lvlText w:val=""/>
      <w:lvlJc w:val="left"/>
      <w:pPr>
        <w:ind w:left="1800" w:hanging="360"/>
      </w:pPr>
      <w:rPr>
        <w:rFonts w:ascii="Wingdings" w:hAnsi="Wingdings" w:hint="default"/>
      </w:rPr>
    </w:lvl>
    <w:lvl w:ilvl="3" w:tplc="C47EB13A">
      <w:start w:val="1"/>
      <w:numFmt w:val="bullet"/>
      <w:lvlText w:val=""/>
      <w:lvlJc w:val="left"/>
      <w:pPr>
        <w:ind w:left="2520" w:hanging="360"/>
      </w:pPr>
      <w:rPr>
        <w:rFonts w:ascii="Symbol" w:hAnsi="Symbol" w:hint="default"/>
      </w:rPr>
    </w:lvl>
    <w:lvl w:ilvl="4" w:tplc="A5505C32">
      <w:start w:val="1"/>
      <w:numFmt w:val="bullet"/>
      <w:lvlText w:val="o"/>
      <w:lvlJc w:val="left"/>
      <w:pPr>
        <w:ind w:left="3240" w:hanging="360"/>
      </w:pPr>
      <w:rPr>
        <w:rFonts w:ascii="Courier New" w:hAnsi="Courier New" w:cs="Courier New" w:hint="default"/>
      </w:rPr>
    </w:lvl>
    <w:lvl w:ilvl="5" w:tplc="75AA5F24">
      <w:start w:val="1"/>
      <w:numFmt w:val="bullet"/>
      <w:lvlText w:val=""/>
      <w:lvlJc w:val="left"/>
      <w:pPr>
        <w:ind w:left="3960" w:hanging="360"/>
      </w:pPr>
      <w:rPr>
        <w:rFonts w:ascii="Wingdings" w:hAnsi="Wingdings" w:hint="default"/>
      </w:rPr>
    </w:lvl>
    <w:lvl w:ilvl="6" w:tplc="71F0A82C">
      <w:start w:val="1"/>
      <w:numFmt w:val="bullet"/>
      <w:lvlText w:val=""/>
      <w:lvlJc w:val="left"/>
      <w:pPr>
        <w:ind w:left="4680" w:hanging="360"/>
      </w:pPr>
      <w:rPr>
        <w:rFonts w:ascii="Symbol" w:hAnsi="Symbol" w:hint="default"/>
      </w:rPr>
    </w:lvl>
    <w:lvl w:ilvl="7" w:tplc="18D85EC0">
      <w:start w:val="1"/>
      <w:numFmt w:val="bullet"/>
      <w:lvlText w:val="o"/>
      <w:lvlJc w:val="left"/>
      <w:pPr>
        <w:ind w:left="5400" w:hanging="360"/>
      </w:pPr>
      <w:rPr>
        <w:rFonts w:ascii="Courier New" w:hAnsi="Courier New" w:cs="Courier New" w:hint="default"/>
      </w:rPr>
    </w:lvl>
    <w:lvl w:ilvl="8" w:tplc="444A2348">
      <w:start w:val="1"/>
      <w:numFmt w:val="bullet"/>
      <w:lvlText w:val=""/>
      <w:lvlJc w:val="left"/>
      <w:pPr>
        <w:ind w:left="6120" w:hanging="360"/>
      </w:pPr>
      <w:rPr>
        <w:rFonts w:ascii="Wingdings" w:hAnsi="Wingdings" w:hint="default"/>
      </w:rPr>
    </w:lvl>
  </w:abstractNum>
  <w:abstractNum w:abstractNumId="2" w15:restartNumberingAfterBreak="0">
    <w:nsid w:val="0F073D5F"/>
    <w:multiLevelType w:val="hybridMultilevel"/>
    <w:tmpl w:val="6D50FD78"/>
    <w:lvl w:ilvl="0" w:tplc="91420F22">
      <w:start w:val="1"/>
      <w:numFmt w:val="bullet"/>
      <w:pStyle w:val="BulletedList1-usermanual"/>
      <w:lvlText w:val=""/>
      <w:lvlJc w:val="left"/>
      <w:pPr>
        <w:tabs>
          <w:tab w:val="num" w:pos="927"/>
        </w:tabs>
        <w:ind w:left="927" w:hanging="567"/>
      </w:pPr>
      <w:rPr>
        <w:rFonts w:ascii="Symbol" w:hAnsi="Symbol" w:hint="default"/>
      </w:rPr>
    </w:lvl>
    <w:lvl w:ilvl="1" w:tplc="F43C2D7C">
      <w:start w:val="1"/>
      <w:numFmt w:val="bullet"/>
      <w:lvlText w:val=""/>
      <w:lvlJc w:val="left"/>
      <w:pPr>
        <w:tabs>
          <w:tab w:val="num" w:pos="1440"/>
        </w:tabs>
        <w:ind w:left="1440" w:hanging="360"/>
      </w:pPr>
      <w:rPr>
        <w:rFonts w:ascii="Symbol" w:hAnsi="Symbol" w:hint="default"/>
      </w:rPr>
    </w:lvl>
    <w:lvl w:ilvl="2" w:tplc="64D00C56">
      <w:start w:val="1"/>
      <w:numFmt w:val="bullet"/>
      <w:lvlText w:val=""/>
      <w:lvlJc w:val="left"/>
      <w:pPr>
        <w:tabs>
          <w:tab w:val="num" w:pos="2160"/>
        </w:tabs>
        <w:ind w:left="2160" w:hanging="360"/>
      </w:pPr>
      <w:rPr>
        <w:rFonts w:ascii="Symbol" w:hAnsi="Symbol" w:hint="default"/>
      </w:rPr>
    </w:lvl>
    <w:lvl w:ilvl="3" w:tplc="902EC642">
      <w:start w:val="1"/>
      <w:numFmt w:val="bullet"/>
      <w:lvlText w:val=""/>
      <w:lvlJc w:val="left"/>
      <w:pPr>
        <w:tabs>
          <w:tab w:val="num" w:pos="2880"/>
        </w:tabs>
        <w:ind w:left="2880" w:hanging="360"/>
      </w:pPr>
      <w:rPr>
        <w:rFonts w:ascii="Symbol" w:hAnsi="Symbol" w:hint="default"/>
      </w:rPr>
    </w:lvl>
    <w:lvl w:ilvl="4" w:tplc="68E0CBB4">
      <w:start w:val="1"/>
      <w:numFmt w:val="bullet"/>
      <w:lvlText w:val="o"/>
      <w:lvlJc w:val="left"/>
      <w:pPr>
        <w:tabs>
          <w:tab w:val="num" w:pos="3600"/>
        </w:tabs>
        <w:ind w:left="3600" w:hanging="360"/>
      </w:pPr>
      <w:rPr>
        <w:rFonts w:ascii="Courier New" w:hAnsi="Courier New" w:cs="Courier New" w:hint="default"/>
      </w:rPr>
    </w:lvl>
    <w:lvl w:ilvl="5" w:tplc="5BE2892A">
      <w:start w:val="1"/>
      <w:numFmt w:val="bullet"/>
      <w:lvlText w:val=""/>
      <w:lvlJc w:val="left"/>
      <w:pPr>
        <w:tabs>
          <w:tab w:val="num" w:pos="4320"/>
        </w:tabs>
        <w:ind w:left="4320" w:hanging="360"/>
      </w:pPr>
      <w:rPr>
        <w:rFonts w:ascii="Wingdings" w:hAnsi="Wingdings" w:hint="default"/>
      </w:rPr>
    </w:lvl>
    <w:lvl w:ilvl="6" w:tplc="8DEAB2FE">
      <w:start w:val="1"/>
      <w:numFmt w:val="bullet"/>
      <w:lvlText w:val=""/>
      <w:lvlJc w:val="left"/>
      <w:pPr>
        <w:tabs>
          <w:tab w:val="num" w:pos="5040"/>
        </w:tabs>
        <w:ind w:left="5040" w:hanging="360"/>
      </w:pPr>
      <w:rPr>
        <w:rFonts w:ascii="Symbol" w:hAnsi="Symbol" w:hint="default"/>
      </w:rPr>
    </w:lvl>
    <w:lvl w:ilvl="7" w:tplc="2FD219DA">
      <w:start w:val="1"/>
      <w:numFmt w:val="bullet"/>
      <w:lvlText w:val="o"/>
      <w:lvlJc w:val="left"/>
      <w:pPr>
        <w:tabs>
          <w:tab w:val="num" w:pos="5760"/>
        </w:tabs>
        <w:ind w:left="5760" w:hanging="360"/>
      </w:pPr>
      <w:rPr>
        <w:rFonts w:ascii="Courier New" w:hAnsi="Courier New" w:cs="Courier New" w:hint="default"/>
      </w:rPr>
    </w:lvl>
    <w:lvl w:ilvl="8" w:tplc="0E74E7B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6798C"/>
    <w:multiLevelType w:val="hybridMultilevel"/>
    <w:tmpl w:val="626EB490"/>
    <w:styleLink w:val="ECHANumberlist"/>
    <w:lvl w:ilvl="0" w:tplc="73A0620E">
      <w:start w:val="1"/>
      <w:numFmt w:val="decimal"/>
      <w:pStyle w:val="ECHANumberlist"/>
      <w:lvlText w:val="%1."/>
      <w:lvlJc w:val="left"/>
      <w:pPr>
        <w:tabs>
          <w:tab w:val="num" w:pos="720"/>
        </w:tabs>
        <w:ind w:left="720" w:hanging="360"/>
      </w:pPr>
      <w:rPr>
        <w:rFonts w:ascii="Verdana" w:hAnsi="Verdana"/>
        <w:sz w:val="20"/>
      </w:rPr>
    </w:lvl>
    <w:lvl w:ilvl="1" w:tplc="0EF2B6A2">
      <w:start w:val="1"/>
      <w:numFmt w:val="lowerLetter"/>
      <w:lvlText w:val="%2."/>
      <w:lvlJc w:val="left"/>
      <w:pPr>
        <w:tabs>
          <w:tab w:val="num" w:pos="1440"/>
        </w:tabs>
        <w:ind w:left="1440" w:hanging="360"/>
      </w:pPr>
    </w:lvl>
    <w:lvl w:ilvl="2" w:tplc="18480108">
      <w:start w:val="1"/>
      <w:numFmt w:val="lowerRoman"/>
      <w:lvlText w:val="%3."/>
      <w:lvlJc w:val="right"/>
      <w:pPr>
        <w:tabs>
          <w:tab w:val="num" w:pos="2160"/>
        </w:tabs>
        <w:ind w:left="2160" w:hanging="180"/>
      </w:pPr>
    </w:lvl>
    <w:lvl w:ilvl="3" w:tplc="0DA610FC">
      <w:start w:val="1"/>
      <w:numFmt w:val="decimal"/>
      <w:lvlText w:val="%4."/>
      <w:lvlJc w:val="left"/>
      <w:pPr>
        <w:tabs>
          <w:tab w:val="num" w:pos="2880"/>
        </w:tabs>
        <w:ind w:left="2880" w:hanging="360"/>
      </w:pPr>
    </w:lvl>
    <w:lvl w:ilvl="4" w:tplc="0D968658">
      <w:start w:val="1"/>
      <w:numFmt w:val="lowerLetter"/>
      <w:lvlText w:val="%5."/>
      <w:lvlJc w:val="left"/>
      <w:pPr>
        <w:tabs>
          <w:tab w:val="num" w:pos="3600"/>
        </w:tabs>
        <w:ind w:left="3600" w:hanging="360"/>
      </w:pPr>
    </w:lvl>
    <w:lvl w:ilvl="5" w:tplc="58FC151E">
      <w:start w:val="1"/>
      <w:numFmt w:val="lowerRoman"/>
      <w:lvlText w:val="%6."/>
      <w:lvlJc w:val="right"/>
      <w:pPr>
        <w:tabs>
          <w:tab w:val="num" w:pos="4320"/>
        </w:tabs>
        <w:ind w:left="4320" w:hanging="180"/>
      </w:pPr>
    </w:lvl>
    <w:lvl w:ilvl="6" w:tplc="68FE5E4C">
      <w:start w:val="1"/>
      <w:numFmt w:val="decimal"/>
      <w:lvlText w:val="%7."/>
      <w:lvlJc w:val="left"/>
      <w:pPr>
        <w:tabs>
          <w:tab w:val="num" w:pos="5040"/>
        </w:tabs>
        <w:ind w:left="5040" w:hanging="360"/>
      </w:pPr>
    </w:lvl>
    <w:lvl w:ilvl="7" w:tplc="06509834">
      <w:start w:val="1"/>
      <w:numFmt w:val="lowerLetter"/>
      <w:lvlText w:val="%8."/>
      <w:lvlJc w:val="left"/>
      <w:pPr>
        <w:tabs>
          <w:tab w:val="num" w:pos="5760"/>
        </w:tabs>
        <w:ind w:left="5760" w:hanging="360"/>
      </w:pPr>
    </w:lvl>
    <w:lvl w:ilvl="8" w:tplc="9D1A78D6">
      <w:start w:val="1"/>
      <w:numFmt w:val="lowerRoman"/>
      <w:lvlText w:val="%9."/>
      <w:lvlJc w:val="right"/>
      <w:pPr>
        <w:tabs>
          <w:tab w:val="num" w:pos="6480"/>
        </w:tabs>
        <w:ind w:left="6480" w:hanging="180"/>
      </w:pPr>
    </w:lvl>
  </w:abstractNum>
  <w:abstractNum w:abstractNumId="4" w15:restartNumberingAfterBreak="0">
    <w:nsid w:val="16295C3A"/>
    <w:multiLevelType w:val="hybridMultilevel"/>
    <w:tmpl w:val="C60EBB20"/>
    <w:lvl w:ilvl="0" w:tplc="5FC0B43A">
      <w:start w:val="1"/>
      <w:numFmt w:val="bullet"/>
      <w:lvlText w:val="-"/>
      <w:lvlJc w:val="left"/>
      <w:pPr>
        <w:ind w:left="720" w:hanging="360"/>
      </w:pPr>
      <w:rPr>
        <w:rFonts w:ascii="Arial" w:eastAsiaTheme="majorEastAsia" w:hAnsi="Arial" w:hint="default"/>
      </w:rPr>
    </w:lvl>
    <w:lvl w:ilvl="1" w:tplc="9B28DECE">
      <w:start w:val="1"/>
      <w:numFmt w:val="bullet"/>
      <w:lvlText w:val="o"/>
      <w:lvlJc w:val="left"/>
      <w:pPr>
        <w:ind w:left="1440" w:hanging="360"/>
      </w:pPr>
      <w:rPr>
        <w:rFonts w:ascii="Courier New" w:hAnsi="Courier New" w:hint="default"/>
      </w:rPr>
    </w:lvl>
    <w:lvl w:ilvl="2" w:tplc="20560D14">
      <w:start w:val="1"/>
      <w:numFmt w:val="bullet"/>
      <w:lvlText w:val=""/>
      <w:lvlJc w:val="left"/>
      <w:pPr>
        <w:ind w:left="2160" w:hanging="360"/>
      </w:pPr>
      <w:rPr>
        <w:rFonts w:ascii="Wingdings" w:hAnsi="Wingdings" w:hint="default"/>
      </w:rPr>
    </w:lvl>
    <w:lvl w:ilvl="3" w:tplc="0454728E">
      <w:start w:val="1"/>
      <w:numFmt w:val="bullet"/>
      <w:lvlText w:val=""/>
      <w:lvlJc w:val="left"/>
      <w:pPr>
        <w:ind w:left="2880" w:hanging="360"/>
      </w:pPr>
      <w:rPr>
        <w:rFonts w:ascii="Symbol" w:hAnsi="Symbol" w:hint="default"/>
      </w:rPr>
    </w:lvl>
    <w:lvl w:ilvl="4" w:tplc="3B6E543A">
      <w:start w:val="1"/>
      <w:numFmt w:val="bullet"/>
      <w:lvlText w:val="o"/>
      <w:lvlJc w:val="left"/>
      <w:pPr>
        <w:ind w:left="3600" w:hanging="360"/>
      </w:pPr>
      <w:rPr>
        <w:rFonts w:ascii="Courier New" w:hAnsi="Courier New" w:hint="default"/>
      </w:rPr>
    </w:lvl>
    <w:lvl w:ilvl="5" w:tplc="A366EA4A">
      <w:start w:val="1"/>
      <w:numFmt w:val="bullet"/>
      <w:lvlText w:val=""/>
      <w:lvlJc w:val="left"/>
      <w:pPr>
        <w:ind w:left="4320" w:hanging="360"/>
      </w:pPr>
      <w:rPr>
        <w:rFonts w:ascii="Wingdings" w:hAnsi="Wingdings" w:hint="default"/>
      </w:rPr>
    </w:lvl>
    <w:lvl w:ilvl="6" w:tplc="BE5A123C">
      <w:start w:val="1"/>
      <w:numFmt w:val="bullet"/>
      <w:lvlText w:val=""/>
      <w:lvlJc w:val="left"/>
      <w:pPr>
        <w:ind w:left="5040" w:hanging="360"/>
      </w:pPr>
      <w:rPr>
        <w:rFonts w:ascii="Symbol" w:hAnsi="Symbol" w:hint="default"/>
      </w:rPr>
    </w:lvl>
    <w:lvl w:ilvl="7" w:tplc="D3FCFA86">
      <w:start w:val="1"/>
      <w:numFmt w:val="bullet"/>
      <w:lvlText w:val="o"/>
      <w:lvlJc w:val="left"/>
      <w:pPr>
        <w:ind w:left="5760" w:hanging="360"/>
      </w:pPr>
      <w:rPr>
        <w:rFonts w:ascii="Courier New" w:hAnsi="Courier New" w:hint="default"/>
      </w:rPr>
    </w:lvl>
    <w:lvl w:ilvl="8" w:tplc="6F6CFDA8">
      <w:start w:val="1"/>
      <w:numFmt w:val="bullet"/>
      <w:lvlText w:val=""/>
      <w:lvlJc w:val="left"/>
      <w:pPr>
        <w:ind w:left="6480" w:hanging="360"/>
      </w:pPr>
      <w:rPr>
        <w:rFonts w:ascii="Wingdings" w:hAnsi="Wingdings" w:hint="default"/>
      </w:rPr>
    </w:lvl>
  </w:abstractNum>
  <w:abstractNum w:abstractNumId="5" w15:restartNumberingAfterBreak="0">
    <w:nsid w:val="1C4E095B"/>
    <w:multiLevelType w:val="hybridMultilevel"/>
    <w:tmpl w:val="347A9556"/>
    <w:lvl w:ilvl="0" w:tplc="8048D9AA">
      <w:start w:val="1"/>
      <w:numFmt w:val="bullet"/>
      <w:lvlText w:val=""/>
      <w:lvlJc w:val="left"/>
      <w:pPr>
        <w:ind w:left="360" w:hanging="360"/>
      </w:pPr>
      <w:rPr>
        <w:rFonts w:ascii="Symbol" w:hAnsi="Symbol" w:hint="default"/>
      </w:rPr>
    </w:lvl>
    <w:lvl w:ilvl="1" w:tplc="0F44F36A">
      <w:start w:val="1"/>
      <w:numFmt w:val="bullet"/>
      <w:lvlText w:val="o"/>
      <w:lvlJc w:val="left"/>
      <w:pPr>
        <w:ind w:left="1080" w:hanging="360"/>
      </w:pPr>
      <w:rPr>
        <w:rFonts w:ascii="Courier New" w:hAnsi="Courier New" w:cs="Courier New" w:hint="default"/>
      </w:rPr>
    </w:lvl>
    <w:lvl w:ilvl="2" w:tplc="D6D2AF02">
      <w:start w:val="1"/>
      <w:numFmt w:val="bullet"/>
      <w:lvlText w:val=""/>
      <w:lvlJc w:val="left"/>
      <w:pPr>
        <w:ind w:left="1800" w:hanging="360"/>
      </w:pPr>
      <w:rPr>
        <w:rFonts w:ascii="Wingdings" w:hAnsi="Wingdings" w:hint="default"/>
      </w:rPr>
    </w:lvl>
    <w:lvl w:ilvl="3" w:tplc="8AF2E250">
      <w:start w:val="1"/>
      <w:numFmt w:val="bullet"/>
      <w:lvlText w:val=""/>
      <w:lvlJc w:val="left"/>
      <w:pPr>
        <w:ind w:left="2520" w:hanging="360"/>
      </w:pPr>
      <w:rPr>
        <w:rFonts w:ascii="Symbol" w:hAnsi="Symbol" w:hint="default"/>
      </w:rPr>
    </w:lvl>
    <w:lvl w:ilvl="4" w:tplc="CAA47170">
      <w:start w:val="1"/>
      <w:numFmt w:val="bullet"/>
      <w:lvlText w:val="o"/>
      <w:lvlJc w:val="left"/>
      <w:pPr>
        <w:ind w:left="3240" w:hanging="360"/>
      </w:pPr>
      <w:rPr>
        <w:rFonts w:ascii="Courier New" w:hAnsi="Courier New" w:cs="Courier New" w:hint="default"/>
      </w:rPr>
    </w:lvl>
    <w:lvl w:ilvl="5" w:tplc="3886C4DC">
      <w:start w:val="1"/>
      <w:numFmt w:val="bullet"/>
      <w:lvlText w:val=""/>
      <w:lvlJc w:val="left"/>
      <w:pPr>
        <w:ind w:left="3960" w:hanging="360"/>
      </w:pPr>
      <w:rPr>
        <w:rFonts w:ascii="Wingdings" w:hAnsi="Wingdings" w:hint="default"/>
      </w:rPr>
    </w:lvl>
    <w:lvl w:ilvl="6" w:tplc="E24AAEC6">
      <w:start w:val="1"/>
      <w:numFmt w:val="bullet"/>
      <w:lvlText w:val=""/>
      <w:lvlJc w:val="left"/>
      <w:pPr>
        <w:ind w:left="4680" w:hanging="360"/>
      </w:pPr>
      <w:rPr>
        <w:rFonts w:ascii="Symbol" w:hAnsi="Symbol" w:hint="default"/>
      </w:rPr>
    </w:lvl>
    <w:lvl w:ilvl="7" w:tplc="76867A98">
      <w:start w:val="1"/>
      <w:numFmt w:val="bullet"/>
      <w:lvlText w:val="o"/>
      <w:lvlJc w:val="left"/>
      <w:pPr>
        <w:ind w:left="5400" w:hanging="360"/>
      </w:pPr>
      <w:rPr>
        <w:rFonts w:ascii="Courier New" w:hAnsi="Courier New" w:cs="Courier New" w:hint="default"/>
      </w:rPr>
    </w:lvl>
    <w:lvl w:ilvl="8" w:tplc="A4665C1C">
      <w:start w:val="1"/>
      <w:numFmt w:val="bullet"/>
      <w:lvlText w:val=""/>
      <w:lvlJc w:val="left"/>
      <w:pPr>
        <w:ind w:left="6120" w:hanging="360"/>
      </w:pPr>
      <w:rPr>
        <w:rFonts w:ascii="Wingdings" w:hAnsi="Wingdings" w:hint="default"/>
      </w:rPr>
    </w:lvl>
  </w:abstractNum>
  <w:abstractNum w:abstractNumId="6" w15:restartNumberingAfterBreak="0">
    <w:nsid w:val="1EB378D0"/>
    <w:multiLevelType w:val="hybridMultilevel"/>
    <w:tmpl w:val="0B425A18"/>
    <w:lvl w:ilvl="0" w:tplc="BCF6D49A">
      <w:start w:val="1"/>
      <w:numFmt w:val="bullet"/>
      <w:lvlText w:val="-"/>
      <w:lvlJc w:val="left"/>
      <w:pPr>
        <w:ind w:left="720" w:hanging="360"/>
      </w:pPr>
      <w:rPr>
        <w:rFonts w:ascii="Verdana" w:eastAsia="Calibri" w:hAnsi="Verdana" w:cs="Times New Roman" w:hint="default"/>
      </w:rPr>
    </w:lvl>
    <w:lvl w:ilvl="1" w:tplc="9264876C">
      <w:start w:val="1"/>
      <w:numFmt w:val="bullet"/>
      <w:lvlText w:val="o"/>
      <w:lvlJc w:val="left"/>
      <w:pPr>
        <w:ind w:left="1440" w:hanging="360"/>
      </w:pPr>
      <w:rPr>
        <w:rFonts w:ascii="Courier New" w:hAnsi="Courier New" w:cs="Courier New" w:hint="default"/>
      </w:rPr>
    </w:lvl>
    <w:lvl w:ilvl="2" w:tplc="D396A83A">
      <w:start w:val="1"/>
      <w:numFmt w:val="bullet"/>
      <w:lvlText w:val=""/>
      <w:lvlJc w:val="left"/>
      <w:pPr>
        <w:ind w:left="2160" w:hanging="360"/>
      </w:pPr>
      <w:rPr>
        <w:rFonts w:ascii="Wingdings" w:hAnsi="Wingdings" w:hint="default"/>
      </w:rPr>
    </w:lvl>
    <w:lvl w:ilvl="3" w:tplc="32A40E56">
      <w:start w:val="1"/>
      <w:numFmt w:val="bullet"/>
      <w:lvlText w:val=""/>
      <w:lvlJc w:val="left"/>
      <w:pPr>
        <w:ind w:left="2880" w:hanging="360"/>
      </w:pPr>
      <w:rPr>
        <w:rFonts w:ascii="Symbol" w:hAnsi="Symbol" w:hint="default"/>
      </w:rPr>
    </w:lvl>
    <w:lvl w:ilvl="4" w:tplc="3E1E95DC">
      <w:start w:val="1"/>
      <w:numFmt w:val="bullet"/>
      <w:lvlText w:val="o"/>
      <w:lvlJc w:val="left"/>
      <w:pPr>
        <w:ind w:left="3600" w:hanging="360"/>
      </w:pPr>
      <w:rPr>
        <w:rFonts w:ascii="Courier New" w:hAnsi="Courier New" w:cs="Courier New" w:hint="default"/>
      </w:rPr>
    </w:lvl>
    <w:lvl w:ilvl="5" w:tplc="B592102E">
      <w:start w:val="1"/>
      <w:numFmt w:val="bullet"/>
      <w:lvlText w:val=""/>
      <w:lvlJc w:val="left"/>
      <w:pPr>
        <w:ind w:left="4320" w:hanging="360"/>
      </w:pPr>
      <w:rPr>
        <w:rFonts w:ascii="Wingdings" w:hAnsi="Wingdings" w:hint="default"/>
      </w:rPr>
    </w:lvl>
    <w:lvl w:ilvl="6" w:tplc="02CCCF9A">
      <w:start w:val="1"/>
      <w:numFmt w:val="bullet"/>
      <w:lvlText w:val=""/>
      <w:lvlJc w:val="left"/>
      <w:pPr>
        <w:ind w:left="5040" w:hanging="360"/>
      </w:pPr>
      <w:rPr>
        <w:rFonts w:ascii="Symbol" w:hAnsi="Symbol" w:hint="default"/>
      </w:rPr>
    </w:lvl>
    <w:lvl w:ilvl="7" w:tplc="D86E7E42">
      <w:start w:val="1"/>
      <w:numFmt w:val="bullet"/>
      <w:lvlText w:val="o"/>
      <w:lvlJc w:val="left"/>
      <w:pPr>
        <w:ind w:left="5760" w:hanging="360"/>
      </w:pPr>
      <w:rPr>
        <w:rFonts w:ascii="Courier New" w:hAnsi="Courier New" w:cs="Courier New" w:hint="default"/>
      </w:rPr>
    </w:lvl>
    <w:lvl w:ilvl="8" w:tplc="1396ACE2">
      <w:start w:val="1"/>
      <w:numFmt w:val="bullet"/>
      <w:lvlText w:val=""/>
      <w:lvlJc w:val="left"/>
      <w:pPr>
        <w:ind w:left="6480" w:hanging="360"/>
      </w:pPr>
      <w:rPr>
        <w:rFonts w:ascii="Wingdings" w:hAnsi="Wingdings" w:hint="default"/>
      </w:rPr>
    </w:lvl>
  </w:abstractNum>
  <w:abstractNum w:abstractNumId="7" w15:restartNumberingAfterBreak="0">
    <w:nsid w:val="1EE334A9"/>
    <w:multiLevelType w:val="hybridMultilevel"/>
    <w:tmpl w:val="F9D04CCE"/>
    <w:lvl w:ilvl="0" w:tplc="CE8EA5D8">
      <w:start w:val="1"/>
      <w:numFmt w:val="bullet"/>
      <w:lvlText w:val=""/>
      <w:lvlJc w:val="left"/>
      <w:pPr>
        <w:ind w:left="360" w:hanging="360"/>
      </w:pPr>
      <w:rPr>
        <w:rFonts w:ascii="Symbol" w:hAnsi="Symbol" w:hint="default"/>
        <w:sz w:val="20"/>
        <w:szCs w:val="20"/>
      </w:rPr>
    </w:lvl>
    <w:lvl w:ilvl="1" w:tplc="D38AF7F2">
      <w:start w:val="1"/>
      <w:numFmt w:val="bullet"/>
      <w:lvlText w:val="o"/>
      <w:lvlJc w:val="left"/>
      <w:pPr>
        <w:ind w:left="1080" w:hanging="360"/>
      </w:pPr>
      <w:rPr>
        <w:rFonts w:ascii="Courier New" w:hAnsi="Courier New" w:cs="Courier New" w:hint="default"/>
      </w:rPr>
    </w:lvl>
    <w:lvl w:ilvl="2" w:tplc="80825CA6">
      <w:start w:val="1"/>
      <w:numFmt w:val="bullet"/>
      <w:lvlText w:val=""/>
      <w:lvlJc w:val="left"/>
      <w:pPr>
        <w:ind w:left="1800" w:hanging="360"/>
      </w:pPr>
      <w:rPr>
        <w:rFonts w:ascii="Wingdings" w:hAnsi="Wingdings" w:hint="default"/>
      </w:rPr>
    </w:lvl>
    <w:lvl w:ilvl="3" w:tplc="E9A61358">
      <w:start w:val="1"/>
      <w:numFmt w:val="bullet"/>
      <w:lvlText w:val=""/>
      <w:lvlJc w:val="left"/>
      <w:pPr>
        <w:ind w:left="2520" w:hanging="360"/>
      </w:pPr>
      <w:rPr>
        <w:rFonts w:ascii="Symbol" w:hAnsi="Symbol" w:hint="default"/>
      </w:rPr>
    </w:lvl>
    <w:lvl w:ilvl="4" w:tplc="8530F5B6">
      <w:start w:val="1"/>
      <w:numFmt w:val="bullet"/>
      <w:lvlText w:val="o"/>
      <w:lvlJc w:val="left"/>
      <w:pPr>
        <w:ind w:left="3240" w:hanging="360"/>
      </w:pPr>
      <w:rPr>
        <w:rFonts w:ascii="Courier New" w:hAnsi="Courier New" w:cs="Courier New" w:hint="default"/>
      </w:rPr>
    </w:lvl>
    <w:lvl w:ilvl="5" w:tplc="D6621212">
      <w:start w:val="1"/>
      <w:numFmt w:val="bullet"/>
      <w:lvlText w:val=""/>
      <w:lvlJc w:val="left"/>
      <w:pPr>
        <w:ind w:left="3960" w:hanging="360"/>
      </w:pPr>
      <w:rPr>
        <w:rFonts w:ascii="Wingdings" w:hAnsi="Wingdings" w:hint="default"/>
      </w:rPr>
    </w:lvl>
    <w:lvl w:ilvl="6" w:tplc="B3869FDA">
      <w:start w:val="1"/>
      <w:numFmt w:val="bullet"/>
      <w:lvlText w:val=""/>
      <w:lvlJc w:val="left"/>
      <w:pPr>
        <w:ind w:left="4680" w:hanging="360"/>
      </w:pPr>
      <w:rPr>
        <w:rFonts w:ascii="Symbol" w:hAnsi="Symbol" w:hint="default"/>
      </w:rPr>
    </w:lvl>
    <w:lvl w:ilvl="7" w:tplc="EE5CD19E">
      <w:start w:val="1"/>
      <w:numFmt w:val="bullet"/>
      <w:lvlText w:val="o"/>
      <w:lvlJc w:val="left"/>
      <w:pPr>
        <w:ind w:left="5400" w:hanging="360"/>
      </w:pPr>
      <w:rPr>
        <w:rFonts w:ascii="Courier New" w:hAnsi="Courier New" w:cs="Courier New" w:hint="default"/>
      </w:rPr>
    </w:lvl>
    <w:lvl w:ilvl="8" w:tplc="387C78C0">
      <w:start w:val="1"/>
      <w:numFmt w:val="bullet"/>
      <w:lvlText w:val=""/>
      <w:lvlJc w:val="left"/>
      <w:pPr>
        <w:ind w:left="6120" w:hanging="360"/>
      </w:pPr>
      <w:rPr>
        <w:rFonts w:ascii="Wingdings" w:hAnsi="Wingdings" w:hint="default"/>
      </w:rPr>
    </w:lvl>
  </w:abstractNum>
  <w:abstractNum w:abstractNumId="8" w15:restartNumberingAfterBreak="0">
    <w:nsid w:val="284237E0"/>
    <w:multiLevelType w:val="hybridMultilevel"/>
    <w:tmpl w:val="A4C6AE4C"/>
    <w:lvl w:ilvl="0" w:tplc="4A807532">
      <w:start w:val="1"/>
      <w:numFmt w:val="decimal"/>
      <w:pStyle w:val="Numberedlist"/>
      <w:lvlText w:val="%1."/>
      <w:lvlJc w:val="left"/>
      <w:pPr>
        <w:ind w:left="1080" w:hanging="360"/>
      </w:pPr>
      <w:rPr>
        <w:rFonts w:ascii="Verdana" w:hAnsi="Verdana" w:hint="default"/>
        <w:sz w:val="20"/>
      </w:rPr>
    </w:lvl>
    <w:lvl w:ilvl="1" w:tplc="6302BCC6">
      <w:start w:val="1"/>
      <w:numFmt w:val="lowerLetter"/>
      <w:lvlText w:val="%2."/>
      <w:lvlJc w:val="left"/>
      <w:pPr>
        <w:ind w:left="1800" w:hanging="360"/>
      </w:pPr>
    </w:lvl>
    <w:lvl w:ilvl="2" w:tplc="ACEED5B6">
      <w:start w:val="1"/>
      <w:numFmt w:val="lowerRoman"/>
      <w:lvlText w:val="%3."/>
      <w:lvlJc w:val="right"/>
      <w:pPr>
        <w:ind w:left="2520" w:hanging="180"/>
      </w:pPr>
    </w:lvl>
    <w:lvl w:ilvl="3" w:tplc="53CACD88">
      <w:start w:val="1"/>
      <w:numFmt w:val="decimal"/>
      <w:lvlText w:val="%4."/>
      <w:lvlJc w:val="left"/>
      <w:pPr>
        <w:ind w:left="3240" w:hanging="360"/>
      </w:pPr>
    </w:lvl>
    <w:lvl w:ilvl="4" w:tplc="5A724792">
      <w:start w:val="1"/>
      <w:numFmt w:val="lowerLetter"/>
      <w:lvlText w:val="%5."/>
      <w:lvlJc w:val="left"/>
      <w:pPr>
        <w:ind w:left="3960" w:hanging="360"/>
      </w:pPr>
    </w:lvl>
    <w:lvl w:ilvl="5" w:tplc="2F068952">
      <w:start w:val="1"/>
      <w:numFmt w:val="lowerRoman"/>
      <w:lvlText w:val="%6."/>
      <w:lvlJc w:val="right"/>
      <w:pPr>
        <w:ind w:left="4680" w:hanging="180"/>
      </w:pPr>
    </w:lvl>
    <w:lvl w:ilvl="6" w:tplc="7A02270E">
      <w:start w:val="1"/>
      <w:numFmt w:val="decimal"/>
      <w:lvlText w:val="%7."/>
      <w:lvlJc w:val="left"/>
      <w:pPr>
        <w:ind w:left="5400" w:hanging="360"/>
      </w:pPr>
    </w:lvl>
    <w:lvl w:ilvl="7" w:tplc="CE424612">
      <w:start w:val="1"/>
      <w:numFmt w:val="lowerLetter"/>
      <w:lvlText w:val="%8."/>
      <w:lvlJc w:val="left"/>
      <w:pPr>
        <w:ind w:left="6120" w:hanging="360"/>
      </w:pPr>
    </w:lvl>
    <w:lvl w:ilvl="8" w:tplc="72DAA72E">
      <w:start w:val="1"/>
      <w:numFmt w:val="lowerRoman"/>
      <w:lvlText w:val="%9."/>
      <w:lvlJc w:val="right"/>
      <w:pPr>
        <w:ind w:left="6840" w:hanging="180"/>
      </w:pPr>
    </w:lvl>
  </w:abstractNum>
  <w:abstractNum w:abstractNumId="9" w15:restartNumberingAfterBreak="0">
    <w:nsid w:val="2D804D13"/>
    <w:multiLevelType w:val="hybridMultilevel"/>
    <w:tmpl w:val="2FAC35D4"/>
    <w:lvl w:ilvl="0" w:tplc="5AE0C058">
      <w:start w:val="1"/>
      <w:numFmt w:val="bullet"/>
      <w:lvlText w:val=""/>
      <w:lvlJc w:val="left"/>
      <w:pPr>
        <w:ind w:left="360" w:hanging="360"/>
      </w:pPr>
      <w:rPr>
        <w:rFonts w:ascii="Symbol" w:hAnsi="Symbol" w:hint="default"/>
      </w:rPr>
    </w:lvl>
    <w:lvl w:ilvl="1" w:tplc="7E4C8FA0">
      <w:start w:val="1"/>
      <w:numFmt w:val="bullet"/>
      <w:lvlText w:val="o"/>
      <w:lvlJc w:val="left"/>
      <w:pPr>
        <w:ind w:left="1080" w:hanging="360"/>
      </w:pPr>
      <w:rPr>
        <w:rFonts w:ascii="Courier New" w:hAnsi="Courier New" w:cs="Courier New" w:hint="default"/>
      </w:rPr>
    </w:lvl>
    <w:lvl w:ilvl="2" w:tplc="6F8CB344">
      <w:start w:val="1"/>
      <w:numFmt w:val="bullet"/>
      <w:lvlText w:val=""/>
      <w:lvlJc w:val="left"/>
      <w:pPr>
        <w:ind w:left="1800" w:hanging="360"/>
      </w:pPr>
      <w:rPr>
        <w:rFonts w:ascii="Wingdings" w:hAnsi="Wingdings" w:hint="default"/>
      </w:rPr>
    </w:lvl>
    <w:lvl w:ilvl="3" w:tplc="C7F82C4C">
      <w:start w:val="1"/>
      <w:numFmt w:val="bullet"/>
      <w:lvlText w:val=""/>
      <w:lvlJc w:val="left"/>
      <w:pPr>
        <w:ind w:left="2520" w:hanging="360"/>
      </w:pPr>
      <w:rPr>
        <w:rFonts w:ascii="Symbol" w:hAnsi="Symbol" w:hint="default"/>
      </w:rPr>
    </w:lvl>
    <w:lvl w:ilvl="4" w:tplc="C5666D8C">
      <w:start w:val="1"/>
      <w:numFmt w:val="bullet"/>
      <w:lvlText w:val="o"/>
      <w:lvlJc w:val="left"/>
      <w:pPr>
        <w:ind w:left="3240" w:hanging="360"/>
      </w:pPr>
      <w:rPr>
        <w:rFonts w:ascii="Courier New" w:hAnsi="Courier New" w:cs="Courier New" w:hint="default"/>
      </w:rPr>
    </w:lvl>
    <w:lvl w:ilvl="5" w:tplc="363E753C">
      <w:start w:val="1"/>
      <w:numFmt w:val="bullet"/>
      <w:lvlText w:val=""/>
      <w:lvlJc w:val="left"/>
      <w:pPr>
        <w:ind w:left="3960" w:hanging="360"/>
      </w:pPr>
      <w:rPr>
        <w:rFonts w:ascii="Wingdings" w:hAnsi="Wingdings" w:hint="default"/>
      </w:rPr>
    </w:lvl>
    <w:lvl w:ilvl="6" w:tplc="DAD25D1A">
      <w:start w:val="1"/>
      <w:numFmt w:val="bullet"/>
      <w:lvlText w:val=""/>
      <w:lvlJc w:val="left"/>
      <w:pPr>
        <w:ind w:left="4680" w:hanging="360"/>
      </w:pPr>
      <w:rPr>
        <w:rFonts w:ascii="Symbol" w:hAnsi="Symbol" w:hint="default"/>
      </w:rPr>
    </w:lvl>
    <w:lvl w:ilvl="7" w:tplc="1A56A56A">
      <w:start w:val="1"/>
      <w:numFmt w:val="bullet"/>
      <w:lvlText w:val="o"/>
      <w:lvlJc w:val="left"/>
      <w:pPr>
        <w:ind w:left="5400" w:hanging="360"/>
      </w:pPr>
      <w:rPr>
        <w:rFonts w:ascii="Courier New" w:hAnsi="Courier New" w:cs="Courier New" w:hint="default"/>
      </w:rPr>
    </w:lvl>
    <w:lvl w:ilvl="8" w:tplc="5A0C16CE">
      <w:start w:val="1"/>
      <w:numFmt w:val="bullet"/>
      <w:lvlText w:val=""/>
      <w:lvlJc w:val="left"/>
      <w:pPr>
        <w:ind w:left="6120" w:hanging="360"/>
      </w:pPr>
      <w:rPr>
        <w:rFonts w:ascii="Wingdings" w:hAnsi="Wingdings" w:hint="default"/>
      </w:rPr>
    </w:lvl>
  </w:abstractNum>
  <w:abstractNum w:abstractNumId="10" w15:restartNumberingAfterBreak="0">
    <w:nsid w:val="2DDE64C7"/>
    <w:multiLevelType w:val="hybridMultilevel"/>
    <w:tmpl w:val="DC1CB1DE"/>
    <w:lvl w:ilvl="0" w:tplc="1F347B60">
      <w:start w:val="1"/>
      <w:numFmt w:val="bullet"/>
      <w:lvlText w:val=""/>
      <w:lvlJc w:val="left"/>
      <w:pPr>
        <w:ind w:left="720" w:hanging="360"/>
      </w:pPr>
      <w:rPr>
        <w:rFonts w:ascii="Symbol" w:hAnsi="Symbol" w:hint="default"/>
      </w:rPr>
    </w:lvl>
    <w:lvl w:ilvl="1" w:tplc="741E0BF2">
      <w:start w:val="1"/>
      <w:numFmt w:val="bullet"/>
      <w:lvlText w:val="o"/>
      <w:lvlJc w:val="left"/>
      <w:pPr>
        <w:ind w:left="1440" w:hanging="360"/>
      </w:pPr>
      <w:rPr>
        <w:rFonts w:ascii="Courier New" w:hAnsi="Courier New" w:cs="Courier New" w:hint="default"/>
      </w:rPr>
    </w:lvl>
    <w:lvl w:ilvl="2" w:tplc="9358279A">
      <w:start w:val="1"/>
      <w:numFmt w:val="bullet"/>
      <w:lvlText w:val=""/>
      <w:lvlJc w:val="left"/>
      <w:pPr>
        <w:ind w:left="2160" w:hanging="360"/>
      </w:pPr>
      <w:rPr>
        <w:rFonts w:ascii="Wingdings" w:hAnsi="Wingdings" w:hint="default"/>
      </w:rPr>
    </w:lvl>
    <w:lvl w:ilvl="3" w:tplc="994202A8">
      <w:start w:val="1"/>
      <w:numFmt w:val="bullet"/>
      <w:lvlText w:val=""/>
      <w:lvlJc w:val="left"/>
      <w:pPr>
        <w:ind w:left="2880" w:hanging="360"/>
      </w:pPr>
      <w:rPr>
        <w:rFonts w:ascii="Symbol" w:hAnsi="Symbol" w:hint="default"/>
      </w:rPr>
    </w:lvl>
    <w:lvl w:ilvl="4" w:tplc="696A8FFE">
      <w:start w:val="1"/>
      <w:numFmt w:val="bullet"/>
      <w:lvlText w:val="o"/>
      <w:lvlJc w:val="left"/>
      <w:pPr>
        <w:ind w:left="3600" w:hanging="360"/>
      </w:pPr>
      <w:rPr>
        <w:rFonts w:ascii="Courier New" w:hAnsi="Courier New" w:cs="Courier New" w:hint="default"/>
      </w:rPr>
    </w:lvl>
    <w:lvl w:ilvl="5" w:tplc="90EE65B0">
      <w:start w:val="1"/>
      <w:numFmt w:val="bullet"/>
      <w:lvlText w:val=""/>
      <w:lvlJc w:val="left"/>
      <w:pPr>
        <w:ind w:left="4320" w:hanging="360"/>
      </w:pPr>
      <w:rPr>
        <w:rFonts w:ascii="Wingdings" w:hAnsi="Wingdings" w:hint="default"/>
      </w:rPr>
    </w:lvl>
    <w:lvl w:ilvl="6" w:tplc="A6FE0C24">
      <w:start w:val="1"/>
      <w:numFmt w:val="bullet"/>
      <w:lvlText w:val=""/>
      <w:lvlJc w:val="left"/>
      <w:pPr>
        <w:ind w:left="5040" w:hanging="360"/>
      </w:pPr>
      <w:rPr>
        <w:rFonts w:ascii="Symbol" w:hAnsi="Symbol" w:hint="default"/>
      </w:rPr>
    </w:lvl>
    <w:lvl w:ilvl="7" w:tplc="09EAA3C0">
      <w:start w:val="1"/>
      <w:numFmt w:val="bullet"/>
      <w:lvlText w:val="o"/>
      <w:lvlJc w:val="left"/>
      <w:pPr>
        <w:ind w:left="5760" w:hanging="360"/>
      </w:pPr>
      <w:rPr>
        <w:rFonts w:ascii="Courier New" w:hAnsi="Courier New" w:cs="Courier New" w:hint="default"/>
      </w:rPr>
    </w:lvl>
    <w:lvl w:ilvl="8" w:tplc="7774FFF2">
      <w:start w:val="1"/>
      <w:numFmt w:val="bullet"/>
      <w:lvlText w:val=""/>
      <w:lvlJc w:val="left"/>
      <w:pPr>
        <w:ind w:left="6480" w:hanging="360"/>
      </w:pPr>
      <w:rPr>
        <w:rFonts w:ascii="Wingdings" w:hAnsi="Wingdings" w:hint="default"/>
      </w:rPr>
    </w:lvl>
  </w:abstractNum>
  <w:abstractNum w:abstractNumId="11" w15:restartNumberingAfterBreak="0">
    <w:nsid w:val="344E48CD"/>
    <w:multiLevelType w:val="multilevel"/>
    <w:tmpl w:val="2F96E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6A46F88"/>
    <w:multiLevelType w:val="hybridMultilevel"/>
    <w:tmpl w:val="078621D6"/>
    <w:lvl w:ilvl="0" w:tplc="8DBC0778">
      <w:start w:val="1"/>
      <w:numFmt w:val="bullet"/>
      <w:lvlText w:val=""/>
      <w:lvlJc w:val="left"/>
      <w:pPr>
        <w:ind w:left="360" w:hanging="360"/>
      </w:pPr>
      <w:rPr>
        <w:rFonts w:ascii="Symbol" w:hAnsi="Symbol" w:hint="default"/>
      </w:rPr>
    </w:lvl>
    <w:lvl w:ilvl="1" w:tplc="D1704814">
      <w:start w:val="1"/>
      <w:numFmt w:val="bullet"/>
      <w:lvlText w:val="o"/>
      <w:lvlJc w:val="left"/>
      <w:pPr>
        <w:ind w:left="1080" w:hanging="360"/>
      </w:pPr>
      <w:rPr>
        <w:rFonts w:ascii="Courier New" w:hAnsi="Courier New" w:cs="Courier New" w:hint="default"/>
      </w:rPr>
    </w:lvl>
    <w:lvl w:ilvl="2" w:tplc="7B9A58F0">
      <w:start w:val="1"/>
      <w:numFmt w:val="bullet"/>
      <w:lvlText w:val=""/>
      <w:lvlJc w:val="left"/>
      <w:pPr>
        <w:ind w:left="1800" w:hanging="360"/>
      </w:pPr>
      <w:rPr>
        <w:rFonts w:ascii="Wingdings" w:hAnsi="Wingdings" w:hint="default"/>
      </w:rPr>
    </w:lvl>
    <w:lvl w:ilvl="3" w:tplc="7060AD42">
      <w:start w:val="1"/>
      <w:numFmt w:val="bullet"/>
      <w:lvlText w:val=""/>
      <w:lvlJc w:val="left"/>
      <w:pPr>
        <w:ind w:left="2520" w:hanging="360"/>
      </w:pPr>
      <w:rPr>
        <w:rFonts w:ascii="Symbol" w:hAnsi="Symbol" w:hint="default"/>
      </w:rPr>
    </w:lvl>
    <w:lvl w:ilvl="4" w:tplc="281633DE">
      <w:start w:val="1"/>
      <w:numFmt w:val="bullet"/>
      <w:lvlText w:val="o"/>
      <w:lvlJc w:val="left"/>
      <w:pPr>
        <w:ind w:left="3240" w:hanging="360"/>
      </w:pPr>
      <w:rPr>
        <w:rFonts w:ascii="Courier New" w:hAnsi="Courier New" w:cs="Courier New" w:hint="default"/>
      </w:rPr>
    </w:lvl>
    <w:lvl w:ilvl="5" w:tplc="21F64956">
      <w:start w:val="1"/>
      <w:numFmt w:val="bullet"/>
      <w:lvlText w:val=""/>
      <w:lvlJc w:val="left"/>
      <w:pPr>
        <w:ind w:left="3960" w:hanging="360"/>
      </w:pPr>
      <w:rPr>
        <w:rFonts w:ascii="Wingdings" w:hAnsi="Wingdings" w:hint="default"/>
      </w:rPr>
    </w:lvl>
    <w:lvl w:ilvl="6" w:tplc="BF52242E">
      <w:start w:val="1"/>
      <w:numFmt w:val="bullet"/>
      <w:lvlText w:val=""/>
      <w:lvlJc w:val="left"/>
      <w:pPr>
        <w:ind w:left="4680" w:hanging="360"/>
      </w:pPr>
      <w:rPr>
        <w:rFonts w:ascii="Symbol" w:hAnsi="Symbol" w:hint="default"/>
      </w:rPr>
    </w:lvl>
    <w:lvl w:ilvl="7" w:tplc="6F78E5C6">
      <w:start w:val="1"/>
      <w:numFmt w:val="bullet"/>
      <w:lvlText w:val="o"/>
      <w:lvlJc w:val="left"/>
      <w:pPr>
        <w:ind w:left="5400" w:hanging="360"/>
      </w:pPr>
      <w:rPr>
        <w:rFonts w:ascii="Courier New" w:hAnsi="Courier New" w:cs="Courier New" w:hint="default"/>
      </w:rPr>
    </w:lvl>
    <w:lvl w:ilvl="8" w:tplc="5D32B502">
      <w:start w:val="1"/>
      <w:numFmt w:val="bullet"/>
      <w:lvlText w:val=""/>
      <w:lvlJc w:val="left"/>
      <w:pPr>
        <w:ind w:left="6120" w:hanging="360"/>
      </w:pPr>
      <w:rPr>
        <w:rFonts w:ascii="Wingdings" w:hAnsi="Wingdings" w:hint="default"/>
      </w:rPr>
    </w:lvl>
  </w:abstractNum>
  <w:abstractNum w:abstractNumId="13" w15:restartNumberingAfterBreak="0">
    <w:nsid w:val="43596141"/>
    <w:multiLevelType w:val="multilevel"/>
    <w:tmpl w:val="626AEB22"/>
    <w:styleLink w:val="Formatvorlage1"/>
    <w:lvl w:ilvl="0">
      <w:start w:val="1"/>
      <w:numFmt w:val="upperRoman"/>
      <w:pStyle w:val="Formatvorlage1"/>
      <w:lvlText w:val="%1"/>
      <w:lvlJc w:val="left"/>
      <w:pPr>
        <w:ind w:left="432" w:hanging="432"/>
      </w:pPr>
      <w:rPr>
        <w:rFonts w:hint="default"/>
        <w:b/>
        <w:i w:val="0"/>
        <w:sz w:val="24"/>
        <w:szCs w:val="24"/>
      </w:rPr>
    </w:lvl>
    <w:lvl w:ilvl="1">
      <w:start w:val="1"/>
      <w:numFmt w:val="decimal"/>
      <w:lvlText w:val="%1.%2"/>
      <w:lvlJc w:val="left"/>
      <w:pPr>
        <w:ind w:left="576" w:hanging="576"/>
      </w:pPr>
      <w:rPr>
        <w:rFonts w:hint="default"/>
        <w:b/>
        <w:i w:val="0"/>
        <w:sz w:val="24"/>
      </w:rPr>
    </w:lvl>
    <w:lvl w:ilvl="2">
      <w:start w:val="1"/>
      <w:numFmt w:val="decimal"/>
      <w:lvlText w:val="%1.%2.%3"/>
      <w:lvlJc w:val="left"/>
      <w:pPr>
        <w:ind w:left="720" w:hanging="720"/>
      </w:pPr>
      <w:rPr>
        <w:b/>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3">
      <w:start w:val="1"/>
      <w:numFmt w:val="decimal"/>
      <w:lvlText w:val="%1.%2.%3.%4"/>
      <w:lvlJc w:val="left"/>
      <w:pPr>
        <w:ind w:left="864" w:hanging="864"/>
      </w:pPr>
      <w:rPr>
        <w:b/>
        <w:bCs w:val="0"/>
        <w:i w:val="0"/>
        <w:iCs w:val="0"/>
        <w:caps w:val="0"/>
        <w:smallCaps w:val="0"/>
        <w:strike w:val="0"/>
        <w:vanish w:val="0"/>
        <w:spacing w:val="0"/>
        <w:position w:val="0"/>
        <w:sz w:val="24"/>
        <w:u w:val="none"/>
        <w:vertAlign w:val="baseline"/>
        <w14:textOutline w14:w="0" w14:cap="rnd" w14:cmpd="sng" w14:algn="ctr">
          <w14:noFill/>
          <w14:prstDash w14:val="solid"/>
          <w14:bevel/>
        </w14:textOutline>
        <w14:ligatures w14:val="none"/>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964269E"/>
    <w:multiLevelType w:val="hybridMultilevel"/>
    <w:tmpl w:val="823A8722"/>
    <w:styleLink w:val="ECHABulletlist"/>
    <w:lvl w:ilvl="0" w:tplc="AFA00CD6">
      <w:start w:val="1"/>
      <w:numFmt w:val="bullet"/>
      <w:pStyle w:val="ECHABulletlist"/>
      <w:lvlText w:val=""/>
      <w:lvlJc w:val="left"/>
      <w:pPr>
        <w:tabs>
          <w:tab w:val="num" w:pos="720"/>
        </w:tabs>
        <w:ind w:left="720" w:hanging="360"/>
      </w:pPr>
      <w:rPr>
        <w:rFonts w:ascii="Symbol" w:hAnsi="Symbol" w:hint="default"/>
      </w:rPr>
    </w:lvl>
    <w:lvl w:ilvl="1" w:tplc="ABCAEF58">
      <w:start w:val="1"/>
      <w:numFmt w:val="bullet"/>
      <w:lvlText w:val=""/>
      <w:lvlJc w:val="left"/>
      <w:pPr>
        <w:tabs>
          <w:tab w:val="num" w:pos="1440"/>
        </w:tabs>
        <w:ind w:left="1440" w:hanging="360"/>
      </w:pPr>
      <w:rPr>
        <w:rFonts w:ascii="Symbol" w:hAnsi="Symbol" w:cs="Courier New" w:hint="default"/>
      </w:rPr>
    </w:lvl>
    <w:lvl w:ilvl="2" w:tplc="8524307E">
      <w:start w:val="1"/>
      <w:numFmt w:val="bullet"/>
      <w:lvlText w:val=""/>
      <w:lvlJc w:val="left"/>
      <w:pPr>
        <w:tabs>
          <w:tab w:val="num" w:pos="2160"/>
        </w:tabs>
        <w:ind w:left="2160" w:hanging="360"/>
      </w:pPr>
      <w:rPr>
        <w:rFonts w:ascii="Symbol" w:hAnsi="Symbol" w:hint="default"/>
      </w:rPr>
    </w:lvl>
    <w:lvl w:ilvl="3" w:tplc="A9386014">
      <w:start w:val="1"/>
      <w:numFmt w:val="bullet"/>
      <w:lvlText w:val=""/>
      <w:lvlJc w:val="left"/>
      <w:pPr>
        <w:tabs>
          <w:tab w:val="num" w:pos="2880"/>
        </w:tabs>
        <w:ind w:left="2880" w:hanging="360"/>
      </w:pPr>
      <w:rPr>
        <w:rFonts w:ascii="Symbol" w:hAnsi="Symbol" w:hint="default"/>
      </w:rPr>
    </w:lvl>
    <w:lvl w:ilvl="4" w:tplc="634E3F22">
      <w:start w:val="1"/>
      <w:numFmt w:val="bullet"/>
      <w:lvlText w:val=""/>
      <w:lvlJc w:val="left"/>
      <w:pPr>
        <w:tabs>
          <w:tab w:val="num" w:pos="3600"/>
        </w:tabs>
        <w:ind w:left="3600" w:hanging="360"/>
      </w:pPr>
      <w:rPr>
        <w:rFonts w:ascii="Symbol" w:hAnsi="Symbol" w:cs="Courier New" w:hint="default"/>
      </w:rPr>
    </w:lvl>
    <w:lvl w:ilvl="5" w:tplc="6BD2C544">
      <w:start w:val="1"/>
      <w:numFmt w:val="bullet"/>
      <w:lvlText w:val=""/>
      <w:lvlJc w:val="left"/>
      <w:pPr>
        <w:tabs>
          <w:tab w:val="num" w:pos="4320"/>
        </w:tabs>
        <w:ind w:left="4320" w:hanging="360"/>
      </w:pPr>
      <w:rPr>
        <w:rFonts w:ascii="Symbol" w:hAnsi="Symbol" w:hint="default"/>
      </w:rPr>
    </w:lvl>
    <w:lvl w:ilvl="6" w:tplc="49E0A862">
      <w:start w:val="1"/>
      <w:numFmt w:val="bullet"/>
      <w:lvlText w:val=""/>
      <w:lvlJc w:val="left"/>
      <w:pPr>
        <w:tabs>
          <w:tab w:val="num" w:pos="5040"/>
        </w:tabs>
        <w:ind w:left="5040" w:hanging="360"/>
      </w:pPr>
      <w:rPr>
        <w:rFonts w:ascii="Symbol" w:hAnsi="Symbol" w:hint="default"/>
      </w:rPr>
    </w:lvl>
    <w:lvl w:ilvl="7" w:tplc="5476C46E">
      <w:start w:val="1"/>
      <w:numFmt w:val="bullet"/>
      <w:lvlText w:val=""/>
      <w:lvlJc w:val="left"/>
      <w:pPr>
        <w:tabs>
          <w:tab w:val="num" w:pos="5760"/>
        </w:tabs>
        <w:ind w:left="5760" w:hanging="360"/>
      </w:pPr>
      <w:rPr>
        <w:rFonts w:ascii="Symbol" w:hAnsi="Symbol" w:cs="Courier New" w:hint="default"/>
      </w:rPr>
    </w:lvl>
    <w:lvl w:ilvl="8" w:tplc="65B667D6">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02120B1"/>
    <w:multiLevelType w:val="hybridMultilevel"/>
    <w:tmpl w:val="BAEEE68A"/>
    <w:lvl w:ilvl="0" w:tplc="F01608E0">
      <w:start w:val="1"/>
      <w:numFmt w:val="bullet"/>
      <w:pStyle w:val="Listepuces"/>
      <w:lvlText w:val=""/>
      <w:lvlJc w:val="left"/>
      <w:pPr>
        <w:tabs>
          <w:tab w:val="num" w:pos="425"/>
        </w:tabs>
        <w:ind w:left="425" w:hanging="425"/>
      </w:pPr>
      <w:rPr>
        <w:rFonts w:ascii="Symbol" w:hAnsi="Symbol" w:hint="default"/>
        <w:sz w:val="16"/>
      </w:rPr>
    </w:lvl>
    <w:lvl w:ilvl="1" w:tplc="FA6ED638">
      <w:start w:val="1"/>
      <w:numFmt w:val="bullet"/>
      <w:lvlText w:val="o"/>
      <w:lvlJc w:val="left"/>
      <w:pPr>
        <w:tabs>
          <w:tab w:val="num" w:pos="1440"/>
        </w:tabs>
        <w:ind w:left="1440" w:hanging="360"/>
      </w:pPr>
      <w:rPr>
        <w:rFonts w:ascii="Courier New" w:hAnsi="Courier New" w:hint="default"/>
      </w:rPr>
    </w:lvl>
    <w:lvl w:ilvl="2" w:tplc="D08C0B5E">
      <w:start w:val="1"/>
      <w:numFmt w:val="bullet"/>
      <w:lvlText w:val=""/>
      <w:lvlJc w:val="left"/>
      <w:pPr>
        <w:tabs>
          <w:tab w:val="num" w:pos="2160"/>
        </w:tabs>
        <w:ind w:left="2160" w:hanging="360"/>
      </w:pPr>
      <w:rPr>
        <w:rFonts w:ascii="Wingdings" w:hAnsi="Wingdings" w:hint="default"/>
      </w:rPr>
    </w:lvl>
    <w:lvl w:ilvl="3" w:tplc="81F88A1A">
      <w:start w:val="1"/>
      <w:numFmt w:val="bullet"/>
      <w:lvlText w:val=""/>
      <w:lvlJc w:val="left"/>
      <w:pPr>
        <w:tabs>
          <w:tab w:val="num" w:pos="2880"/>
        </w:tabs>
        <w:ind w:left="2880" w:hanging="360"/>
      </w:pPr>
      <w:rPr>
        <w:rFonts w:ascii="Symbol" w:hAnsi="Symbol" w:hint="default"/>
      </w:rPr>
    </w:lvl>
    <w:lvl w:ilvl="4" w:tplc="6E620726">
      <w:start w:val="1"/>
      <w:numFmt w:val="bullet"/>
      <w:lvlText w:val="o"/>
      <w:lvlJc w:val="left"/>
      <w:pPr>
        <w:tabs>
          <w:tab w:val="num" w:pos="3600"/>
        </w:tabs>
        <w:ind w:left="3600" w:hanging="360"/>
      </w:pPr>
      <w:rPr>
        <w:rFonts w:ascii="Courier New" w:hAnsi="Courier New" w:hint="default"/>
      </w:rPr>
    </w:lvl>
    <w:lvl w:ilvl="5" w:tplc="B15488C0">
      <w:start w:val="1"/>
      <w:numFmt w:val="bullet"/>
      <w:lvlText w:val=""/>
      <w:lvlJc w:val="left"/>
      <w:pPr>
        <w:tabs>
          <w:tab w:val="num" w:pos="4320"/>
        </w:tabs>
        <w:ind w:left="4320" w:hanging="360"/>
      </w:pPr>
      <w:rPr>
        <w:rFonts w:ascii="Wingdings" w:hAnsi="Wingdings" w:hint="default"/>
      </w:rPr>
    </w:lvl>
    <w:lvl w:ilvl="6" w:tplc="8CEA556A">
      <w:start w:val="1"/>
      <w:numFmt w:val="bullet"/>
      <w:lvlText w:val=""/>
      <w:lvlJc w:val="left"/>
      <w:pPr>
        <w:tabs>
          <w:tab w:val="num" w:pos="5040"/>
        </w:tabs>
        <w:ind w:left="5040" w:hanging="360"/>
      </w:pPr>
      <w:rPr>
        <w:rFonts w:ascii="Symbol" w:hAnsi="Symbol" w:hint="default"/>
      </w:rPr>
    </w:lvl>
    <w:lvl w:ilvl="7" w:tplc="21DEC640">
      <w:start w:val="1"/>
      <w:numFmt w:val="bullet"/>
      <w:lvlText w:val="o"/>
      <w:lvlJc w:val="left"/>
      <w:pPr>
        <w:tabs>
          <w:tab w:val="num" w:pos="5760"/>
        </w:tabs>
        <w:ind w:left="5760" w:hanging="360"/>
      </w:pPr>
      <w:rPr>
        <w:rFonts w:ascii="Courier New" w:hAnsi="Courier New" w:hint="default"/>
      </w:rPr>
    </w:lvl>
    <w:lvl w:ilvl="8" w:tplc="28222BFA">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707B6B"/>
    <w:multiLevelType w:val="hybridMultilevel"/>
    <w:tmpl w:val="0442A34E"/>
    <w:lvl w:ilvl="0" w:tplc="559CA37E">
      <w:start w:val="1"/>
      <w:numFmt w:val="bullet"/>
      <w:lvlText w:val=""/>
      <w:lvlJc w:val="left"/>
      <w:pPr>
        <w:ind w:left="720" w:hanging="360"/>
      </w:pPr>
      <w:rPr>
        <w:rFonts w:ascii="Symbol" w:hAnsi="Symbol" w:hint="default"/>
      </w:rPr>
    </w:lvl>
    <w:lvl w:ilvl="1" w:tplc="AA004634">
      <w:start w:val="1"/>
      <w:numFmt w:val="bullet"/>
      <w:lvlText w:val="-"/>
      <w:lvlJc w:val="left"/>
      <w:pPr>
        <w:ind w:left="1455" w:hanging="375"/>
      </w:pPr>
      <w:rPr>
        <w:rFonts w:ascii="Verdana" w:eastAsia="Times New Roman" w:hAnsi="Verdana" w:cs="Times New Roman" w:hint="default"/>
      </w:rPr>
    </w:lvl>
    <w:lvl w:ilvl="2" w:tplc="C31C7E34">
      <w:start w:val="1"/>
      <w:numFmt w:val="bullet"/>
      <w:lvlText w:val=""/>
      <w:lvlJc w:val="left"/>
      <w:pPr>
        <w:ind w:left="2160" w:hanging="360"/>
      </w:pPr>
      <w:rPr>
        <w:rFonts w:ascii="Wingdings" w:hAnsi="Wingdings" w:hint="default"/>
      </w:rPr>
    </w:lvl>
    <w:lvl w:ilvl="3" w:tplc="32D21EF6">
      <w:start w:val="1"/>
      <w:numFmt w:val="bullet"/>
      <w:lvlText w:val=""/>
      <w:lvlJc w:val="left"/>
      <w:pPr>
        <w:ind w:left="2880" w:hanging="360"/>
      </w:pPr>
      <w:rPr>
        <w:rFonts w:ascii="Symbol" w:hAnsi="Symbol" w:hint="default"/>
      </w:rPr>
    </w:lvl>
    <w:lvl w:ilvl="4" w:tplc="26923644">
      <w:start w:val="1"/>
      <w:numFmt w:val="bullet"/>
      <w:lvlText w:val="o"/>
      <w:lvlJc w:val="left"/>
      <w:pPr>
        <w:ind w:left="3600" w:hanging="360"/>
      </w:pPr>
      <w:rPr>
        <w:rFonts w:ascii="Courier New" w:hAnsi="Courier New" w:cs="Courier New" w:hint="default"/>
      </w:rPr>
    </w:lvl>
    <w:lvl w:ilvl="5" w:tplc="5A7CCF9E">
      <w:start w:val="1"/>
      <w:numFmt w:val="bullet"/>
      <w:lvlText w:val=""/>
      <w:lvlJc w:val="left"/>
      <w:pPr>
        <w:ind w:left="4320" w:hanging="360"/>
      </w:pPr>
      <w:rPr>
        <w:rFonts w:ascii="Wingdings" w:hAnsi="Wingdings" w:hint="default"/>
      </w:rPr>
    </w:lvl>
    <w:lvl w:ilvl="6" w:tplc="6484A874">
      <w:start w:val="1"/>
      <w:numFmt w:val="bullet"/>
      <w:lvlText w:val=""/>
      <w:lvlJc w:val="left"/>
      <w:pPr>
        <w:ind w:left="5040" w:hanging="360"/>
      </w:pPr>
      <w:rPr>
        <w:rFonts w:ascii="Symbol" w:hAnsi="Symbol" w:hint="default"/>
      </w:rPr>
    </w:lvl>
    <w:lvl w:ilvl="7" w:tplc="E3C0BABA">
      <w:start w:val="1"/>
      <w:numFmt w:val="bullet"/>
      <w:lvlText w:val="o"/>
      <w:lvlJc w:val="left"/>
      <w:pPr>
        <w:ind w:left="5760" w:hanging="360"/>
      </w:pPr>
      <w:rPr>
        <w:rFonts w:ascii="Courier New" w:hAnsi="Courier New" w:cs="Courier New" w:hint="default"/>
      </w:rPr>
    </w:lvl>
    <w:lvl w:ilvl="8" w:tplc="14A42ACE">
      <w:start w:val="1"/>
      <w:numFmt w:val="bullet"/>
      <w:lvlText w:val=""/>
      <w:lvlJc w:val="left"/>
      <w:pPr>
        <w:ind w:left="6480" w:hanging="360"/>
      </w:pPr>
      <w:rPr>
        <w:rFonts w:ascii="Wingdings" w:hAnsi="Wingdings" w:hint="default"/>
      </w:rPr>
    </w:lvl>
  </w:abstractNum>
  <w:abstractNum w:abstractNumId="17" w15:restartNumberingAfterBreak="0">
    <w:nsid w:val="69133EF2"/>
    <w:multiLevelType w:val="hybridMultilevel"/>
    <w:tmpl w:val="15AA8AAC"/>
    <w:lvl w:ilvl="0" w:tplc="92B49A2E">
      <w:start w:val="1"/>
      <w:numFmt w:val="bullet"/>
      <w:lvlText w:val=""/>
      <w:lvlJc w:val="left"/>
      <w:pPr>
        <w:ind w:left="360" w:hanging="360"/>
      </w:pPr>
      <w:rPr>
        <w:rFonts w:ascii="Symbol" w:hAnsi="Symbol" w:hint="default"/>
      </w:rPr>
    </w:lvl>
    <w:lvl w:ilvl="1" w:tplc="440029A6">
      <w:start w:val="1"/>
      <w:numFmt w:val="bullet"/>
      <w:lvlText w:val="o"/>
      <w:lvlJc w:val="left"/>
      <w:pPr>
        <w:ind w:left="1080" w:hanging="360"/>
      </w:pPr>
      <w:rPr>
        <w:rFonts w:ascii="Courier New" w:hAnsi="Courier New" w:cs="Courier New" w:hint="default"/>
      </w:rPr>
    </w:lvl>
    <w:lvl w:ilvl="2" w:tplc="0EC4FC58">
      <w:start w:val="1"/>
      <w:numFmt w:val="bullet"/>
      <w:lvlText w:val=""/>
      <w:lvlJc w:val="left"/>
      <w:pPr>
        <w:ind w:left="1800" w:hanging="360"/>
      </w:pPr>
      <w:rPr>
        <w:rFonts w:ascii="Wingdings" w:hAnsi="Wingdings" w:hint="default"/>
      </w:rPr>
    </w:lvl>
    <w:lvl w:ilvl="3" w:tplc="4094EE74">
      <w:start w:val="1"/>
      <w:numFmt w:val="bullet"/>
      <w:lvlText w:val=""/>
      <w:lvlJc w:val="left"/>
      <w:pPr>
        <w:ind w:left="2520" w:hanging="360"/>
      </w:pPr>
      <w:rPr>
        <w:rFonts w:ascii="Symbol" w:hAnsi="Symbol" w:hint="default"/>
      </w:rPr>
    </w:lvl>
    <w:lvl w:ilvl="4" w:tplc="7A4880AE">
      <w:start w:val="1"/>
      <w:numFmt w:val="bullet"/>
      <w:lvlText w:val="o"/>
      <w:lvlJc w:val="left"/>
      <w:pPr>
        <w:ind w:left="3240" w:hanging="360"/>
      </w:pPr>
      <w:rPr>
        <w:rFonts w:ascii="Courier New" w:hAnsi="Courier New" w:cs="Courier New" w:hint="default"/>
      </w:rPr>
    </w:lvl>
    <w:lvl w:ilvl="5" w:tplc="0EBC86BE">
      <w:start w:val="1"/>
      <w:numFmt w:val="bullet"/>
      <w:lvlText w:val=""/>
      <w:lvlJc w:val="left"/>
      <w:pPr>
        <w:ind w:left="3960" w:hanging="360"/>
      </w:pPr>
      <w:rPr>
        <w:rFonts w:ascii="Wingdings" w:hAnsi="Wingdings" w:hint="default"/>
      </w:rPr>
    </w:lvl>
    <w:lvl w:ilvl="6" w:tplc="946A3806">
      <w:start w:val="1"/>
      <w:numFmt w:val="bullet"/>
      <w:lvlText w:val=""/>
      <w:lvlJc w:val="left"/>
      <w:pPr>
        <w:ind w:left="4680" w:hanging="360"/>
      </w:pPr>
      <w:rPr>
        <w:rFonts w:ascii="Symbol" w:hAnsi="Symbol" w:hint="default"/>
      </w:rPr>
    </w:lvl>
    <w:lvl w:ilvl="7" w:tplc="C5CA7880">
      <w:start w:val="1"/>
      <w:numFmt w:val="bullet"/>
      <w:lvlText w:val="o"/>
      <w:lvlJc w:val="left"/>
      <w:pPr>
        <w:ind w:left="5400" w:hanging="360"/>
      </w:pPr>
      <w:rPr>
        <w:rFonts w:ascii="Courier New" w:hAnsi="Courier New" w:cs="Courier New" w:hint="default"/>
      </w:rPr>
    </w:lvl>
    <w:lvl w:ilvl="8" w:tplc="493A94AA">
      <w:start w:val="1"/>
      <w:numFmt w:val="bullet"/>
      <w:lvlText w:val=""/>
      <w:lvlJc w:val="left"/>
      <w:pPr>
        <w:ind w:left="6120" w:hanging="360"/>
      </w:pPr>
      <w:rPr>
        <w:rFonts w:ascii="Wingdings" w:hAnsi="Wingdings" w:hint="default"/>
      </w:rPr>
    </w:lvl>
  </w:abstractNum>
  <w:abstractNum w:abstractNumId="18" w15:restartNumberingAfterBreak="0">
    <w:nsid w:val="6C097628"/>
    <w:multiLevelType w:val="hybridMultilevel"/>
    <w:tmpl w:val="604A6488"/>
    <w:lvl w:ilvl="0" w:tplc="0E22B1B8">
      <w:start w:val="1"/>
      <w:numFmt w:val="bullet"/>
      <w:lvlText w:val=""/>
      <w:lvlJc w:val="left"/>
      <w:pPr>
        <w:ind w:left="360" w:hanging="360"/>
      </w:pPr>
      <w:rPr>
        <w:rFonts w:ascii="Symbol" w:hAnsi="Symbol" w:hint="default"/>
      </w:rPr>
    </w:lvl>
    <w:lvl w:ilvl="1" w:tplc="5A1A0602">
      <w:start w:val="1"/>
      <w:numFmt w:val="bullet"/>
      <w:lvlText w:val="o"/>
      <w:lvlJc w:val="left"/>
      <w:pPr>
        <w:ind w:left="1080" w:hanging="360"/>
      </w:pPr>
      <w:rPr>
        <w:rFonts w:ascii="Courier New" w:hAnsi="Courier New" w:cs="Courier New" w:hint="default"/>
      </w:rPr>
    </w:lvl>
    <w:lvl w:ilvl="2" w:tplc="BB262C40">
      <w:start w:val="1"/>
      <w:numFmt w:val="bullet"/>
      <w:lvlText w:val=""/>
      <w:lvlJc w:val="left"/>
      <w:pPr>
        <w:ind w:left="1800" w:hanging="360"/>
      </w:pPr>
      <w:rPr>
        <w:rFonts w:ascii="Wingdings" w:hAnsi="Wingdings" w:hint="default"/>
      </w:rPr>
    </w:lvl>
    <w:lvl w:ilvl="3" w:tplc="050C13AC">
      <w:start w:val="1"/>
      <w:numFmt w:val="bullet"/>
      <w:lvlText w:val=""/>
      <w:lvlJc w:val="left"/>
      <w:pPr>
        <w:ind w:left="2520" w:hanging="360"/>
      </w:pPr>
      <w:rPr>
        <w:rFonts w:ascii="Symbol" w:hAnsi="Symbol" w:hint="default"/>
      </w:rPr>
    </w:lvl>
    <w:lvl w:ilvl="4" w:tplc="FD868FC0">
      <w:start w:val="1"/>
      <w:numFmt w:val="bullet"/>
      <w:lvlText w:val="o"/>
      <w:lvlJc w:val="left"/>
      <w:pPr>
        <w:ind w:left="3240" w:hanging="360"/>
      </w:pPr>
      <w:rPr>
        <w:rFonts w:ascii="Courier New" w:hAnsi="Courier New" w:cs="Courier New" w:hint="default"/>
      </w:rPr>
    </w:lvl>
    <w:lvl w:ilvl="5" w:tplc="1B4C828E">
      <w:start w:val="1"/>
      <w:numFmt w:val="bullet"/>
      <w:lvlText w:val=""/>
      <w:lvlJc w:val="left"/>
      <w:pPr>
        <w:ind w:left="3960" w:hanging="360"/>
      </w:pPr>
      <w:rPr>
        <w:rFonts w:ascii="Wingdings" w:hAnsi="Wingdings" w:hint="default"/>
      </w:rPr>
    </w:lvl>
    <w:lvl w:ilvl="6" w:tplc="1ECCED8E">
      <w:start w:val="1"/>
      <w:numFmt w:val="bullet"/>
      <w:lvlText w:val=""/>
      <w:lvlJc w:val="left"/>
      <w:pPr>
        <w:ind w:left="4680" w:hanging="360"/>
      </w:pPr>
      <w:rPr>
        <w:rFonts w:ascii="Symbol" w:hAnsi="Symbol" w:hint="default"/>
      </w:rPr>
    </w:lvl>
    <w:lvl w:ilvl="7" w:tplc="1D1078EA">
      <w:start w:val="1"/>
      <w:numFmt w:val="bullet"/>
      <w:lvlText w:val="o"/>
      <w:lvlJc w:val="left"/>
      <w:pPr>
        <w:ind w:left="5400" w:hanging="360"/>
      </w:pPr>
      <w:rPr>
        <w:rFonts w:ascii="Courier New" w:hAnsi="Courier New" w:cs="Courier New" w:hint="default"/>
      </w:rPr>
    </w:lvl>
    <w:lvl w:ilvl="8" w:tplc="0D745E2E">
      <w:start w:val="1"/>
      <w:numFmt w:val="bullet"/>
      <w:lvlText w:val=""/>
      <w:lvlJc w:val="left"/>
      <w:pPr>
        <w:ind w:left="6120" w:hanging="360"/>
      </w:pPr>
      <w:rPr>
        <w:rFonts w:ascii="Wingdings" w:hAnsi="Wingdings" w:hint="default"/>
      </w:rPr>
    </w:lvl>
  </w:abstractNum>
  <w:abstractNum w:abstractNumId="19" w15:restartNumberingAfterBreak="0">
    <w:nsid w:val="77D27C0B"/>
    <w:multiLevelType w:val="multilevel"/>
    <w:tmpl w:val="C2F82FA0"/>
    <w:lvl w:ilvl="0">
      <w:start w:val="1"/>
      <w:numFmt w:val="decimal"/>
      <w:pStyle w:val="Titre1"/>
      <w:lvlText w:val="%1"/>
      <w:lvlJc w:val="left"/>
      <w:pPr>
        <w:tabs>
          <w:tab w:val="num" w:pos="4055"/>
        </w:tabs>
        <w:ind w:left="4055" w:hanging="4055"/>
      </w:pPr>
      <w:rPr>
        <w:rFonts w:ascii="Verdana" w:hAnsi="Verdana" w:hint="default"/>
        <w:b/>
        <w:i w:val="0"/>
        <w:sz w:val="28"/>
        <w:szCs w:val="28"/>
        <w:lang w:val="en-US"/>
      </w:rPr>
    </w:lvl>
    <w:lvl w:ilvl="1">
      <w:start w:val="1"/>
      <w:numFmt w:val="decimal"/>
      <w:pStyle w:val="Titre2"/>
      <w:lvlText w:val="%1.%2"/>
      <w:lvlJc w:val="left"/>
      <w:pPr>
        <w:tabs>
          <w:tab w:val="num" w:pos="1077"/>
        </w:tabs>
        <w:ind w:left="1077" w:hanging="1077"/>
      </w:pPr>
      <w:rPr>
        <w:rFonts w:ascii="Verdana" w:hAnsi="Verdana" w:hint="default"/>
        <w:b/>
        <w:i w:val="0"/>
        <w:sz w:val="24"/>
      </w:rPr>
    </w:lvl>
    <w:lvl w:ilvl="2">
      <w:start w:val="1"/>
      <w:numFmt w:val="decimal"/>
      <w:pStyle w:val="Titre3"/>
      <w:lvlText w:val="%1.%2.%3"/>
      <w:lvlJc w:val="left"/>
      <w:pPr>
        <w:tabs>
          <w:tab w:val="num" w:pos="4480"/>
        </w:tabs>
        <w:ind w:left="4480" w:hanging="1077"/>
      </w:pPr>
      <w:rPr>
        <w:rFonts w:ascii="Verdana" w:hAnsi="Verdana" w:hint="default"/>
        <w:b/>
        <w:i w:val="0"/>
        <w:sz w:val="24"/>
      </w:rPr>
    </w:lvl>
    <w:lvl w:ilvl="3">
      <w:start w:val="1"/>
      <w:numFmt w:val="decimal"/>
      <w:lvlText w:val="%1.%2.%3.%4"/>
      <w:lvlJc w:val="left"/>
      <w:pPr>
        <w:tabs>
          <w:tab w:val="num" w:pos="1928"/>
        </w:tabs>
        <w:ind w:left="1928" w:hanging="1077"/>
      </w:pPr>
      <w:rPr>
        <w:rFonts w:ascii="Verdana" w:hAnsi="Verdana" w:hint="default"/>
        <w:b/>
        <w:i w:val="0"/>
        <w:sz w:val="22"/>
        <w:szCs w:val="22"/>
      </w:rPr>
    </w:lvl>
    <w:lvl w:ilvl="4">
      <w:start w:val="1"/>
      <w:numFmt w:val="decimal"/>
      <w:pStyle w:val="Titre5"/>
      <w:lvlText w:val="%1.%2.%3.%4.%5"/>
      <w:lvlJc w:val="left"/>
      <w:pPr>
        <w:tabs>
          <w:tab w:val="num" w:pos="1843"/>
        </w:tabs>
        <w:ind w:left="1843" w:hanging="1843"/>
      </w:pPr>
      <w:rPr>
        <w:rFonts w:ascii="Times New Roman" w:hAnsi="Times New Roman" w:hint="default"/>
        <w:b/>
        <w:i w:val="0"/>
        <w:sz w:val="24"/>
      </w:rPr>
    </w:lvl>
    <w:lvl w:ilvl="5">
      <w:start w:val="1"/>
      <w:numFmt w:val="none"/>
      <w:pStyle w:val="Titre6"/>
      <w:lvlText w:val="%1.%2.%3.%4.%5.%61."/>
      <w:lvlJc w:val="left"/>
      <w:pPr>
        <w:tabs>
          <w:tab w:val="num" w:pos="1843"/>
        </w:tabs>
        <w:ind w:left="1843" w:hanging="1843"/>
      </w:pPr>
      <w:rPr>
        <w:rFonts w:hint="default"/>
        <w:b/>
        <w:i w:val="0"/>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0" w15:restartNumberingAfterBreak="0">
    <w:nsid w:val="7B0F451A"/>
    <w:multiLevelType w:val="hybridMultilevel"/>
    <w:tmpl w:val="7EBC705C"/>
    <w:lvl w:ilvl="0" w:tplc="064AAC52">
      <w:start w:val="1"/>
      <w:numFmt w:val="bullet"/>
      <w:lvlText w:val=""/>
      <w:lvlJc w:val="left"/>
      <w:pPr>
        <w:ind w:left="360" w:hanging="360"/>
      </w:pPr>
      <w:rPr>
        <w:rFonts w:ascii="Symbol" w:hAnsi="Symbol" w:hint="default"/>
      </w:rPr>
    </w:lvl>
    <w:lvl w:ilvl="1" w:tplc="3D066112">
      <w:start w:val="1"/>
      <w:numFmt w:val="bullet"/>
      <w:lvlText w:val="o"/>
      <w:lvlJc w:val="left"/>
      <w:pPr>
        <w:ind w:left="1080" w:hanging="360"/>
      </w:pPr>
      <w:rPr>
        <w:rFonts w:ascii="Courier New" w:hAnsi="Courier New" w:cs="Courier New" w:hint="default"/>
      </w:rPr>
    </w:lvl>
    <w:lvl w:ilvl="2" w:tplc="48845CC0">
      <w:start w:val="1"/>
      <w:numFmt w:val="bullet"/>
      <w:lvlText w:val=""/>
      <w:lvlJc w:val="left"/>
      <w:pPr>
        <w:ind w:left="1800" w:hanging="360"/>
      </w:pPr>
      <w:rPr>
        <w:rFonts w:ascii="Wingdings" w:hAnsi="Wingdings" w:hint="default"/>
      </w:rPr>
    </w:lvl>
    <w:lvl w:ilvl="3" w:tplc="87A2E45C">
      <w:start w:val="1"/>
      <w:numFmt w:val="bullet"/>
      <w:lvlText w:val=""/>
      <w:lvlJc w:val="left"/>
      <w:pPr>
        <w:ind w:left="2520" w:hanging="360"/>
      </w:pPr>
      <w:rPr>
        <w:rFonts w:ascii="Symbol" w:hAnsi="Symbol" w:hint="default"/>
      </w:rPr>
    </w:lvl>
    <w:lvl w:ilvl="4" w:tplc="5E626530">
      <w:start w:val="1"/>
      <w:numFmt w:val="bullet"/>
      <w:lvlText w:val="o"/>
      <w:lvlJc w:val="left"/>
      <w:pPr>
        <w:ind w:left="3240" w:hanging="360"/>
      </w:pPr>
      <w:rPr>
        <w:rFonts w:ascii="Courier New" w:hAnsi="Courier New" w:cs="Courier New" w:hint="default"/>
      </w:rPr>
    </w:lvl>
    <w:lvl w:ilvl="5" w:tplc="6F8A65AC">
      <w:start w:val="1"/>
      <w:numFmt w:val="bullet"/>
      <w:lvlText w:val=""/>
      <w:lvlJc w:val="left"/>
      <w:pPr>
        <w:ind w:left="3960" w:hanging="360"/>
      </w:pPr>
      <w:rPr>
        <w:rFonts w:ascii="Wingdings" w:hAnsi="Wingdings" w:hint="default"/>
      </w:rPr>
    </w:lvl>
    <w:lvl w:ilvl="6" w:tplc="FB023C4C">
      <w:start w:val="1"/>
      <w:numFmt w:val="bullet"/>
      <w:lvlText w:val=""/>
      <w:lvlJc w:val="left"/>
      <w:pPr>
        <w:ind w:left="4680" w:hanging="360"/>
      </w:pPr>
      <w:rPr>
        <w:rFonts w:ascii="Symbol" w:hAnsi="Symbol" w:hint="default"/>
      </w:rPr>
    </w:lvl>
    <w:lvl w:ilvl="7" w:tplc="9FF610E8">
      <w:start w:val="1"/>
      <w:numFmt w:val="bullet"/>
      <w:lvlText w:val="o"/>
      <w:lvlJc w:val="left"/>
      <w:pPr>
        <w:ind w:left="5400" w:hanging="360"/>
      </w:pPr>
      <w:rPr>
        <w:rFonts w:ascii="Courier New" w:hAnsi="Courier New" w:cs="Courier New" w:hint="default"/>
      </w:rPr>
    </w:lvl>
    <w:lvl w:ilvl="8" w:tplc="0600AD1C">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3"/>
  </w:num>
  <w:num w:numId="4">
    <w:abstractNumId w:val="8"/>
  </w:num>
  <w:num w:numId="5">
    <w:abstractNumId w:val="19"/>
  </w:num>
  <w:num w:numId="6">
    <w:abstractNumId w:val="15"/>
  </w:num>
  <w:num w:numId="7">
    <w:abstractNumId w:val="13"/>
  </w:num>
  <w:num w:numId="8">
    <w:abstractNumId w:val="4"/>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6"/>
  </w:num>
  <w:num w:numId="14">
    <w:abstractNumId w:val="12"/>
  </w:num>
  <w:num w:numId="15">
    <w:abstractNumId w:val="17"/>
  </w:num>
  <w:num w:numId="16">
    <w:abstractNumId w:val="9"/>
  </w:num>
  <w:num w:numId="17">
    <w:abstractNumId w:val="18"/>
  </w:num>
  <w:num w:numId="18">
    <w:abstractNumId w:val="1"/>
  </w:num>
  <w:num w:numId="19">
    <w:abstractNumId w:val="20"/>
  </w:num>
  <w:num w:numId="20">
    <w:abstractNumId w:val="5"/>
  </w:num>
  <w:num w:numId="21">
    <w:abstractNumId w:val="7"/>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en-IE" w:vendorID="64" w:dllVersion="131078" w:nlCheck="1" w:checkStyle="1"/>
  <w:activeWritingStyle w:appName="MSWord" w:lang="de-DE" w:vendorID="64" w:dllVersion="131078" w:nlCheck="1" w:checkStyle="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4B"/>
    <w:rsid w:val="00027B1F"/>
    <w:rsid w:val="000322F5"/>
    <w:rsid w:val="000577C4"/>
    <w:rsid w:val="00061D3D"/>
    <w:rsid w:val="000828E8"/>
    <w:rsid w:val="000B35DC"/>
    <w:rsid w:val="000B524C"/>
    <w:rsid w:val="000E2882"/>
    <w:rsid w:val="000E38C5"/>
    <w:rsid w:val="001021A4"/>
    <w:rsid w:val="0011314C"/>
    <w:rsid w:val="00121374"/>
    <w:rsid w:val="00127023"/>
    <w:rsid w:val="00147D7A"/>
    <w:rsid w:val="0015493D"/>
    <w:rsid w:val="00171734"/>
    <w:rsid w:val="001A1D26"/>
    <w:rsid w:val="001B0030"/>
    <w:rsid w:val="001C0F24"/>
    <w:rsid w:val="001C4ECB"/>
    <w:rsid w:val="001C4F9F"/>
    <w:rsid w:val="001D2A77"/>
    <w:rsid w:val="00212A24"/>
    <w:rsid w:val="00213419"/>
    <w:rsid w:val="002319D5"/>
    <w:rsid w:val="00253C01"/>
    <w:rsid w:val="00255748"/>
    <w:rsid w:val="002626FE"/>
    <w:rsid w:val="00273E18"/>
    <w:rsid w:val="00282FF9"/>
    <w:rsid w:val="002B6603"/>
    <w:rsid w:val="002C2B8C"/>
    <w:rsid w:val="002C7304"/>
    <w:rsid w:val="002E7280"/>
    <w:rsid w:val="002F4101"/>
    <w:rsid w:val="00303FCD"/>
    <w:rsid w:val="00324C4B"/>
    <w:rsid w:val="003444B9"/>
    <w:rsid w:val="00345CF0"/>
    <w:rsid w:val="00357587"/>
    <w:rsid w:val="00370060"/>
    <w:rsid w:val="00392E28"/>
    <w:rsid w:val="003E0F7C"/>
    <w:rsid w:val="00400799"/>
    <w:rsid w:val="00404A04"/>
    <w:rsid w:val="00441E01"/>
    <w:rsid w:val="00450D8F"/>
    <w:rsid w:val="00461F09"/>
    <w:rsid w:val="00483747"/>
    <w:rsid w:val="00485022"/>
    <w:rsid w:val="00495480"/>
    <w:rsid w:val="004A4533"/>
    <w:rsid w:val="004C4121"/>
    <w:rsid w:val="004C5060"/>
    <w:rsid w:val="004E1797"/>
    <w:rsid w:val="00502515"/>
    <w:rsid w:val="00540724"/>
    <w:rsid w:val="00543FFE"/>
    <w:rsid w:val="00556A84"/>
    <w:rsid w:val="00563EB3"/>
    <w:rsid w:val="0057356E"/>
    <w:rsid w:val="0058264B"/>
    <w:rsid w:val="00586489"/>
    <w:rsid w:val="005A4E6D"/>
    <w:rsid w:val="005D09D9"/>
    <w:rsid w:val="005D5A69"/>
    <w:rsid w:val="005D5A85"/>
    <w:rsid w:val="005E5744"/>
    <w:rsid w:val="005E67C7"/>
    <w:rsid w:val="0062112B"/>
    <w:rsid w:val="0062241E"/>
    <w:rsid w:val="00625A6B"/>
    <w:rsid w:val="006376DC"/>
    <w:rsid w:val="00641D1A"/>
    <w:rsid w:val="00647707"/>
    <w:rsid w:val="00667E75"/>
    <w:rsid w:val="00680AB0"/>
    <w:rsid w:val="00681A9A"/>
    <w:rsid w:val="00687879"/>
    <w:rsid w:val="006900E2"/>
    <w:rsid w:val="0069248A"/>
    <w:rsid w:val="006A23FE"/>
    <w:rsid w:val="006C25E1"/>
    <w:rsid w:val="006D31C8"/>
    <w:rsid w:val="006E1511"/>
    <w:rsid w:val="006E6890"/>
    <w:rsid w:val="006F79EA"/>
    <w:rsid w:val="00706001"/>
    <w:rsid w:val="00714056"/>
    <w:rsid w:val="007261B3"/>
    <w:rsid w:val="00727259"/>
    <w:rsid w:val="00741E8B"/>
    <w:rsid w:val="0074729A"/>
    <w:rsid w:val="00750E91"/>
    <w:rsid w:val="007566FE"/>
    <w:rsid w:val="00757056"/>
    <w:rsid w:val="00783F8F"/>
    <w:rsid w:val="007F0C19"/>
    <w:rsid w:val="00813FDE"/>
    <w:rsid w:val="0082175B"/>
    <w:rsid w:val="00825813"/>
    <w:rsid w:val="008312E8"/>
    <w:rsid w:val="00837EF3"/>
    <w:rsid w:val="00856F24"/>
    <w:rsid w:val="0088712F"/>
    <w:rsid w:val="008A7F9E"/>
    <w:rsid w:val="008B5DE5"/>
    <w:rsid w:val="008E3F1C"/>
    <w:rsid w:val="009104B8"/>
    <w:rsid w:val="0094309D"/>
    <w:rsid w:val="00947DB4"/>
    <w:rsid w:val="00953FB1"/>
    <w:rsid w:val="00970A20"/>
    <w:rsid w:val="00970BAC"/>
    <w:rsid w:val="00981BAB"/>
    <w:rsid w:val="00995653"/>
    <w:rsid w:val="009B2FB5"/>
    <w:rsid w:val="009B3460"/>
    <w:rsid w:val="009C4944"/>
    <w:rsid w:val="009D3C21"/>
    <w:rsid w:val="009E0BC5"/>
    <w:rsid w:val="009E28C5"/>
    <w:rsid w:val="009E2E72"/>
    <w:rsid w:val="009E550B"/>
    <w:rsid w:val="00A2057E"/>
    <w:rsid w:val="00A21496"/>
    <w:rsid w:val="00A21FD4"/>
    <w:rsid w:val="00A22FD9"/>
    <w:rsid w:val="00A2463B"/>
    <w:rsid w:val="00A31102"/>
    <w:rsid w:val="00A5152B"/>
    <w:rsid w:val="00A63126"/>
    <w:rsid w:val="00A94167"/>
    <w:rsid w:val="00AA6CA4"/>
    <w:rsid w:val="00AE06CB"/>
    <w:rsid w:val="00B03983"/>
    <w:rsid w:val="00B21BA9"/>
    <w:rsid w:val="00B86736"/>
    <w:rsid w:val="00BC1D4B"/>
    <w:rsid w:val="00BF5049"/>
    <w:rsid w:val="00C05740"/>
    <w:rsid w:val="00C33B63"/>
    <w:rsid w:val="00C567E7"/>
    <w:rsid w:val="00C76832"/>
    <w:rsid w:val="00C949BA"/>
    <w:rsid w:val="00CF2ED6"/>
    <w:rsid w:val="00D261CE"/>
    <w:rsid w:val="00D3495B"/>
    <w:rsid w:val="00D42959"/>
    <w:rsid w:val="00D43017"/>
    <w:rsid w:val="00D6507C"/>
    <w:rsid w:val="00D80797"/>
    <w:rsid w:val="00D854F9"/>
    <w:rsid w:val="00DA6157"/>
    <w:rsid w:val="00DA7376"/>
    <w:rsid w:val="00DD3F27"/>
    <w:rsid w:val="00DE1DD3"/>
    <w:rsid w:val="00DF6D4C"/>
    <w:rsid w:val="00E05489"/>
    <w:rsid w:val="00E605B6"/>
    <w:rsid w:val="00E74509"/>
    <w:rsid w:val="00E90BDE"/>
    <w:rsid w:val="00E936FE"/>
    <w:rsid w:val="00EA6D49"/>
    <w:rsid w:val="00EC69D4"/>
    <w:rsid w:val="00ED0058"/>
    <w:rsid w:val="00ED1F84"/>
    <w:rsid w:val="00ED7954"/>
    <w:rsid w:val="00EF5E76"/>
    <w:rsid w:val="00F213D9"/>
    <w:rsid w:val="00F324AF"/>
    <w:rsid w:val="00F768B9"/>
    <w:rsid w:val="00F87C25"/>
    <w:rsid w:val="00F9628B"/>
    <w:rsid w:val="00FA3420"/>
    <w:rsid w:val="00FD36D8"/>
    <w:rsid w:val="00FF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A5D0"/>
  <w15:docId w15:val="{FBE7FBCE-0FF8-42F9-990E-784457B0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4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748"/>
    <w:pPr>
      <w:spacing w:after="180" w:line="240" w:lineRule="auto"/>
    </w:pPr>
    <w:rPr>
      <w:rFonts w:ascii="Times New Roman" w:hAnsi="Times New Roman" w:cs="Times New Roman"/>
      <w:sz w:val="24"/>
      <w:szCs w:val="24"/>
    </w:rPr>
  </w:style>
  <w:style w:type="paragraph" w:styleId="Titre1">
    <w:name w:val="heading 1"/>
    <w:basedOn w:val="Normal"/>
    <w:next w:val="Corpsdetexte"/>
    <w:link w:val="Titre1Car"/>
    <w:uiPriority w:val="9"/>
    <w:qFormat/>
    <w:pPr>
      <w:keepNext/>
      <w:keepLines/>
      <w:numPr>
        <w:numId w:val="5"/>
      </w:numPr>
      <w:tabs>
        <w:tab w:val="clear" w:pos="4055"/>
        <w:tab w:val="left" w:pos="567"/>
        <w:tab w:val="left" w:pos="1276"/>
        <w:tab w:val="left" w:pos="1701"/>
      </w:tabs>
      <w:spacing w:after="240"/>
      <w:ind w:left="0" w:firstLine="0"/>
      <w:jc w:val="both"/>
      <w:outlineLvl w:val="0"/>
    </w:pPr>
    <w:rPr>
      <w:rFonts w:ascii="Verdana" w:hAnsi="Verdana"/>
      <w:b/>
      <w:color w:val="0046AD"/>
      <w:sz w:val="28"/>
    </w:rPr>
  </w:style>
  <w:style w:type="paragraph" w:styleId="Titre2">
    <w:name w:val="heading 2"/>
    <w:basedOn w:val="Titre1"/>
    <w:next w:val="Corpsdetexte"/>
    <w:link w:val="Titre2Car"/>
    <w:qFormat/>
    <w:pPr>
      <w:keepLines w:val="0"/>
      <w:numPr>
        <w:ilvl w:val="1"/>
      </w:numPr>
      <w:tabs>
        <w:tab w:val="left" w:pos="839"/>
      </w:tabs>
      <w:spacing w:before="360" w:after="200"/>
      <w:outlineLvl w:val="1"/>
    </w:pPr>
    <w:rPr>
      <w:rFonts w:cs="Arial"/>
      <w:sz w:val="24"/>
      <w:szCs w:val="22"/>
    </w:rPr>
  </w:style>
  <w:style w:type="paragraph" w:styleId="Titre3">
    <w:name w:val="heading 3"/>
    <w:basedOn w:val="Titre2"/>
    <w:next w:val="Corpsdetexte"/>
    <w:link w:val="Titre3Car"/>
    <w:qFormat/>
    <w:pPr>
      <w:numPr>
        <w:ilvl w:val="2"/>
      </w:numPr>
      <w:ind w:left="1077"/>
      <w:outlineLvl w:val="2"/>
    </w:pPr>
    <w:rPr>
      <w:bCs/>
      <w:color w:val="000000"/>
      <w:sz w:val="22"/>
    </w:rPr>
  </w:style>
  <w:style w:type="paragraph" w:styleId="Titre4">
    <w:name w:val="heading 4"/>
    <w:basedOn w:val="Titre3"/>
    <w:next w:val="Corpsdetexte"/>
    <w:link w:val="Titre4Car"/>
    <w:qFormat/>
    <w:pPr>
      <w:numPr>
        <w:ilvl w:val="0"/>
        <w:numId w:val="0"/>
      </w:numPr>
      <w:outlineLvl w:val="3"/>
    </w:pPr>
  </w:style>
  <w:style w:type="paragraph" w:styleId="Titre5">
    <w:name w:val="heading 5"/>
    <w:basedOn w:val="Titre3"/>
    <w:next w:val="Corpsdetexte"/>
    <w:link w:val="Titre5Car"/>
    <w:qFormat/>
    <w:pPr>
      <w:numPr>
        <w:ilvl w:val="4"/>
      </w:numPr>
      <w:outlineLvl w:val="4"/>
    </w:pPr>
    <w:rPr>
      <w:bCs w:val="0"/>
      <w:iCs/>
      <w:sz w:val="20"/>
      <w:szCs w:val="26"/>
    </w:rPr>
  </w:style>
  <w:style w:type="paragraph" w:styleId="Titre6">
    <w:name w:val="heading 6"/>
    <w:basedOn w:val="Titre5"/>
    <w:next w:val="Corpsdetexte"/>
    <w:link w:val="Titre6Car"/>
    <w:qFormat/>
    <w:pPr>
      <w:numPr>
        <w:ilvl w:val="5"/>
      </w:numPr>
      <w:outlineLvl w:val="5"/>
    </w:pPr>
    <w:rPr>
      <w:bCs/>
      <w:szCs w:val="22"/>
    </w:rPr>
  </w:style>
  <w:style w:type="paragraph" w:styleId="Titre7">
    <w:name w:val="heading 7"/>
    <w:basedOn w:val="Titre5"/>
    <w:next w:val="Corpsdetexte"/>
    <w:link w:val="Titre7Car"/>
    <w:qFormat/>
    <w:pPr>
      <w:numPr>
        <w:ilvl w:val="6"/>
      </w:numPr>
      <w:outlineLvl w:val="6"/>
    </w:pPr>
    <w:rPr>
      <w:szCs w:val="24"/>
    </w:rPr>
  </w:style>
  <w:style w:type="paragraph" w:styleId="Titre8">
    <w:name w:val="heading 8"/>
    <w:basedOn w:val="Titre5"/>
    <w:next w:val="Corpsdetexte"/>
    <w:link w:val="Titre8Car"/>
    <w:qFormat/>
    <w:pPr>
      <w:numPr>
        <w:ilvl w:val="7"/>
      </w:numPr>
      <w:outlineLvl w:val="7"/>
    </w:pPr>
    <w:rPr>
      <w:iCs w:val="0"/>
      <w:szCs w:val="24"/>
    </w:rPr>
  </w:style>
  <w:style w:type="paragraph" w:styleId="Titre9">
    <w:name w:val="heading 9"/>
    <w:basedOn w:val="Titre5"/>
    <w:next w:val="Corpsdetexte"/>
    <w:link w:val="Titre9Car"/>
    <w:qFormat/>
    <w:pPr>
      <w:numPr>
        <w:ilvl w:val="8"/>
      </w:numPr>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pPr>
      <w:spacing w:after="0"/>
    </w:p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eastAsia="Times New Roman" w:hAnsi="Tahoma" w:cs="Tahoma"/>
      <w:sz w:val="16"/>
      <w:szCs w:val="16"/>
      <w:lang w:eastAsia="fi-FI"/>
    </w:rPr>
  </w:style>
  <w:style w:type="paragraph" w:styleId="Corpsdetexte">
    <w:name w:val="Body Text"/>
    <w:basedOn w:val="Normal"/>
    <w:link w:val="CorpsdetexteCar"/>
    <w:pPr>
      <w:spacing w:after="240"/>
    </w:pPr>
  </w:style>
  <w:style w:type="character" w:customStyle="1" w:styleId="CorpsdetexteCar">
    <w:name w:val="Corps de texte Car"/>
    <w:basedOn w:val="Policepardfaut"/>
    <w:link w:val="Corpsdetexte"/>
    <w:rPr>
      <w:rFonts w:ascii="Verdana" w:eastAsia="Times New Roman" w:hAnsi="Verdana" w:cs="Times New Roman"/>
      <w:sz w:val="20"/>
      <w:szCs w:val="20"/>
      <w:lang w:eastAsia="fi-FI"/>
    </w:rPr>
  </w:style>
  <w:style w:type="paragraph" w:styleId="Retrait1religne">
    <w:name w:val="Body Text First Indent"/>
    <w:basedOn w:val="Corpsdetexte"/>
    <w:link w:val="Retrait1religneCar"/>
    <w:semiHidden/>
    <w:pPr>
      <w:spacing w:after="120"/>
      <w:ind w:firstLine="210"/>
    </w:pPr>
  </w:style>
  <w:style w:type="character" w:customStyle="1" w:styleId="Retrait1religneCar">
    <w:name w:val="Retrait 1re ligne Car"/>
    <w:basedOn w:val="CorpsdetexteCar"/>
    <w:link w:val="Retrait1religne"/>
    <w:semiHidden/>
    <w:rPr>
      <w:rFonts w:ascii="Verdana" w:eastAsia="Times New Roman" w:hAnsi="Verdana" w:cs="Times New Roman"/>
      <w:sz w:val="20"/>
      <w:szCs w:val="20"/>
      <w:lang w:eastAsia="fi-FI"/>
    </w:r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basedOn w:val="Policepardfaut"/>
    <w:link w:val="Retraitcorpsdetexte"/>
    <w:uiPriority w:val="99"/>
    <w:semiHidden/>
    <w:rPr>
      <w:rFonts w:ascii="Verdana" w:eastAsia="Times New Roman" w:hAnsi="Verdana" w:cs="Times New Roman"/>
      <w:sz w:val="20"/>
      <w:szCs w:val="20"/>
      <w:lang w:eastAsia="fi-FI"/>
    </w:rPr>
  </w:style>
  <w:style w:type="paragraph" w:styleId="Retraitcorpset1relig">
    <w:name w:val="Body Text First Indent 2"/>
    <w:basedOn w:val="Normal"/>
    <w:link w:val="Retraitcorpset1religCar"/>
    <w:semiHidden/>
    <w:pPr>
      <w:spacing w:after="120"/>
      <w:ind w:left="283" w:firstLine="210"/>
    </w:pPr>
  </w:style>
  <w:style w:type="character" w:customStyle="1" w:styleId="Retraitcorpset1religCar">
    <w:name w:val="Retrait corps et 1re lig. Car"/>
    <w:basedOn w:val="RetraitcorpsdetexteCar"/>
    <w:link w:val="Retraitcorpset1relig"/>
    <w:semiHidden/>
    <w:rPr>
      <w:rFonts w:ascii="Verdana" w:eastAsia="Times New Roman" w:hAnsi="Verdana" w:cs="Times New Roman"/>
      <w:sz w:val="20"/>
      <w:szCs w:val="20"/>
      <w:lang w:eastAsia="fi-FI"/>
    </w:rPr>
  </w:style>
  <w:style w:type="character" w:customStyle="1" w:styleId="Bold">
    <w:name w:val="Bold"/>
    <w:basedOn w:val="Policepardfaut"/>
    <w:rPr>
      <w:rFonts w:ascii="Verdana" w:hAnsi="Verdana"/>
      <w:b/>
      <w:sz w:val="20"/>
    </w:rPr>
  </w:style>
  <w:style w:type="paragraph" w:customStyle="1" w:styleId="BulletedList1-usermanual">
    <w:name w:val="Bulleted List 1 - user manual"/>
    <w:basedOn w:val="Normal"/>
    <w:pPr>
      <w:numPr>
        <w:numId w:val="1"/>
      </w:numPr>
      <w:spacing w:line="360" w:lineRule="auto"/>
    </w:pPr>
  </w:style>
  <w:style w:type="paragraph" w:styleId="Lgende">
    <w:name w:val="caption"/>
    <w:basedOn w:val="Normal"/>
    <w:next w:val="Normal"/>
    <w:link w:val="LgendeCar"/>
    <w:unhideWhenUsed/>
    <w:qFormat/>
    <w:pPr>
      <w:spacing w:after="200"/>
    </w:pPr>
    <w:rPr>
      <w:rFonts w:ascii="Verdana" w:hAnsi="Verdana"/>
      <w:b/>
      <w:bCs/>
      <w:sz w:val="20"/>
      <w:szCs w:val="20"/>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qFormat/>
  </w:style>
  <w:style w:type="character" w:customStyle="1" w:styleId="CommentaireCar">
    <w:name w:val="Commentaire Car"/>
    <w:basedOn w:val="Policepardfaut"/>
    <w:link w:val="Commentaire"/>
    <w:uiPriority w:val="99"/>
    <w:rPr>
      <w:rFonts w:ascii="Verdana" w:eastAsia="Times New Roman" w:hAnsi="Verdana" w:cs="Times New Roman"/>
      <w:sz w:val="20"/>
      <w:szCs w:val="20"/>
      <w:lang w:eastAsia="fi-FI"/>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rFonts w:ascii="Verdana" w:eastAsia="Times New Roman" w:hAnsi="Verdana" w:cs="Times New Roman"/>
      <w:b/>
      <w:bCs/>
      <w:sz w:val="20"/>
      <w:szCs w:val="20"/>
      <w:lang w:eastAsia="fi-FI"/>
    </w:rPr>
  </w:style>
  <w:style w:type="paragraph" w:styleId="Pieddepage">
    <w:name w:val="footer"/>
    <w:basedOn w:val="Normal"/>
    <w:link w:val="PieddepageCar"/>
    <w:uiPriority w:val="99"/>
    <w:pPr>
      <w:spacing w:line="160" w:lineRule="exact"/>
    </w:pPr>
    <w:rPr>
      <w:spacing w:val="2"/>
      <w:sz w:val="13"/>
    </w:rPr>
  </w:style>
  <w:style w:type="character" w:customStyle="1" w:styleId="PieddepageCar">
    <w:name w:val="Pied de page Car"/>
    <w:basedOn w:val="Policepardfaut"/>
    <w:link w:val="Pieddepage"/>
    <w:uiPriority w:val="99"/>
    <w:rPr>
      <w:rFonts w:ascii="Verdana" w:eastAsia="Times New Roman" w:hAnsi="Verdana" w:cs="Times New Roman"/>
      <w:spacing w:val="2"/>
      <w:sz w:val="13"/>
      <w:szCs w:val="20"/>
      <w:lang w:eastAsia="fi-FI"/>
    </w:rPr>
  </w:style>
  <w:style w:type="paragraph" w:customStyle="1" w:styleId="Disclaimer">
    <w:name w:val="Disclaimer"/>
    <w:basedOn w:val="Pieddepage"/>
    <w:pPr>
      <w:spacing w:before="120" w:line="140" w:lineRule="exact"/>
    </w:pPr>
    <w:rPr>
      <w:spacing w:val="0"/>
      <w:sz w:val="11"/>
    </w:rPr>
  </w:style>
  <w:style w:type="numbering" w:customStyle="1" w:styleId="ECHABulletlist">
    <w:name w:val="ECHA Bullet list"/>
    <w:basedOn w:val="Aucuneliste"/>
    <w:pPr>
      <w:numPr>
        <w:numId w:val="2"/>
      </w:numPr>
    </w:pPr>
  </w:style>
  <w:style w:type="numbering" w:customStyle="1" w:styleId="ECHANumberlist">
    <w:name w:val="ECHA Number list"/>
    <w:basedOn w:val="Aucuneliste"/>
    <w:pPr>
      <w:numPr>
        <w:numId w:val="3"/>
      </w:numPr>
    </w:pPr>
  </w:style>
  <w:style w:type="paragraph" w:customStyle="1" w:styleId="Figurecaption">
    <w:name w:val="Figure caption"/>
    <w:basedOn w:val="Corpsdetexte"/>
    <w:link w:val="FigurecaptionChar"/>
    <w:pPr>
      <w:spacing w:before="120" w:after="120"/>
    </w:pPr>
    <w:rPr>
      <w:b/>
    </w:rPr>
  </w:style>
  <w:style w:type="character" w:customStyle="1" w:styleId="FigurecaptionChar">
    <w:name w:val="Figure caption Char"/>
    <w:basedOn w:val="CorpsdetexteCar"/>
    <w:link w:val="Figurecaption"/>
    <w:rPr>
      <w:rFonts w:ascii="Verdana" w:eastAsia="Times New Roman" w:hAnsi="Verdana" w:cs="Times New Roman"/>
      <w:b/>
      <w:sz w:val="20"/>
      <w:szCs w:val="20"/>
      <w:lang w:eastAsia="fi-FI"/>
    </w:rPr>
  </w:style>
  <w:style w:type="character" w:styleId="Lienhypertextesuivivisit">
    <w:name w:val="FollowedHyperlink"/>
    <w:basedOn w:val="Policepardfaut"/>
    <w:rPr>
      <w:rFonts w:ascii="Verdana" w:hAnsi="Verdana"/>
      <w:color w:val="800080"/>
      <w:sz w:val="20"/>
      <w:u w:val="single"/>
    </w:rPr>
  </w:style>
  <w:style w:type="character" w:styleId="Appelnotedebasdep">
    <w:name w:val="footnote reference"/>
    <w:basedOn w:val="Policepardfaut"/>
    <w:uiPriority w:val="99"/>
    <w:qFormat/>
    <w:rPr>
      <w:rFonts w:ascii="Verdana" w:hAnsi="Verdana"/>
      <w:sz w:val="18"/>
      <w:vertAlign w:val="superscript"/>
    </w:rPr>
  </w:style>
  <w:style w:type="paragraph" w:styleId="Notedebasdepage">
    <w:name w:val="footnote text"/>
    <w:basedOn w:val="Normal"/>
    <w:link w:val="NotedebasdepageCar"/>
    <w:uiPriority w:val="99"/>
    <w:qFormat/>
    <w:rPr>
      <w:sz w:val="18"/>
    </w:rPr>
  </w:style>
  <w:style w:type="character" w:customStyle="1" w:styleId="NotedebasdepageCar">
    <w:name w:val="Note de bas de page Car"/>
    <w:basedOn w:val="Policepardfaut"/>
    <w:link w:val="Notedebasdepage"/>
    <w:uiPriority w:val="99"/>
    <w:rPr>
      <w:rFonts w:ascii="Verdana" w:eastAsia="Times New Roman" w:hAnsi="Verdana" w:cs="Times New Roman"/>
      <w:sz w:val="18"/>
      <w:szCs w:val="20"/>
      <w:lang w:eastAsia="fi-FI"/>
    </w:rPr>
  </w:style>
  <w:style w:type="paragraph" w:customStyle="1" w:styleId="Footnotes">
    <w:name w:val="Footnotes"/>
    <w:basedOn w:val="Corpsdetexte"/>
    <w:qFormat/>
    <w:pPr>
      <w:spacing w:after="0"/>
    </w:pPr>
    <w:rPr>
      <w:sz w:val="18"/>
    </w:rPr>
  </w:style>
  <w:style w:type="paragraph" w:styleId="En-tte">
    <w:name w:val="header"/>
    <w:basedOn w:val="Normal"/>
    <w:link w:val="En-tteCar"/>
    <w:pPr>
      <w:tabs>
        <w:tab w:val="left" w:pos="4536"/>
        <w:tab w:val="left" w:pos="7088"/>
        <w:tab w:val="left" w:pos="8789"/>
      </w:tabs>
    </w:pPr>
  </w:style>
  <w:style w:type="character" w:customStyle="1" w:styleId="En-tteCar">
    <w:name w:val="En-tête Car"/>
    <w:basedOn w:val="Policepardfaut"/>
    <w:link w:val="En-tte"/>
    <w:rPr>
      <w:rFonts w:ascii="Verdana" w:eastAsia="Times New Roman" w:hAnsi="Verdana" w:cs="Times New Roman"/>
      <w:sz w:val="20"/>
      <w:szCs w:val="20"/>
      <w:lang w:eastAsia="fi-FI"/>
    </w:rPr>
  </w:style>
  <w:style w:type="character" w:customStyle="1" w:styleId="Titre1Car">
    <w:name w:val="Titre 1 Car"/>
    <w:basedOn w:val="Policepardfaut"/>
    <w:link w:val="Titre1"/>
    <w:uiPriority w:val="9"/>
    <w:rPr>
      <w:rFonts w:ascii="Verdana" w:hAnsi="Verdana" w:cs="Times New Roman"/>
      <w:b/>
      <w:color w:val="0046AD"/>
      <w:sz w:val="28"/>
      <w:szCs w:val="24"/>
    </w:rPr>
  </w:style>
  <w:style w:type="character" w:customStyle="1" w:styleId="Titre2Car">
    <w:name w:val="Titre 2 Car"/>
    <w:basedOn w:val="Policepardfaut"/>
    <w:link w:val="Titre2"/>
    <w:rPr>
      <w:rFonts w:ascii="Verdana" w:hAnsi="Verdana" w:cs="Arial"/>
      <w:b/>
      <w:color w:val="0046AD"/>
      <w:sz w:val="24"/>
    </w:rPr>
  </w:style>
  <w:style w:type="character" w:customStyle="1" w:styleId="Titre3Car">
    <w:name w:val="Titre 3 Car"/>
    <w:basedOn w:val="Policepardfaut"/>
    <w:link w:val="Titre3"/>
    <w:rPr>
      <w:rFonts w:ascii="Verdana" w:hAnsi="Verdana" w:cs="Arial"/>
      <w:b/>
      <w:bCs/>
      <w:color w:val="000000"/>
    </w:rPr>
  </w:style>
  <w:style w:type="character" w:customStyle="1" w:styleId="Titre4Car">
    <w:name w:val="Titre 4 Car"/>
    <w:basedOn w:val="Policepardfaut"/>
    <w:link w:val="Titre4"/>
    <w:rPr>
      <w:rFonts w:ascii="Verdana" w:hAnsi="Verdana" w:cs="Arial"/>
      <w:b/>
      <w:bCs/>
      <w:color w:val="000000"/>
    </w:rPr>
  </w:style>
  <w:style w:type="character" w:customStyle="1" w:styleId="Titre5Car">
    <w:name w:val="Titre 5 Car"/>
    <w:basedOn w:val="Policepardfaut"/>
    <w:link w:val="Titre5"/>
    <w:rPr>
      <w:rFonts w:ascii="Verdana" w:hAnsi="Verdana" w:cs="Arial"/>
      <w:b/>
      <w:iCs/>
      <w:color w:val="000000"/>
      <w:sz w:val="20"/>
      <w:szCs w:val="26"/>
    </w:rPr>
  </w:style>
  <w:style w:type="character" w:customStyle="1" w:styleId="Titre6Car">
    <w:name w:val="Titre 6 Car"/>
    <w:basedOn w:val="Policepardfaut"/>
    <w:link w:val="Titre6"/>
    <w:rPr>
      <w:rFonts w:ascii="Verdana" w:hAnsi="Verdana" w:cs="Arial"/>
      <w:b/>
      <w:bCs/>
      <w:iCs/>
      <w:color w:val="000000"/>
      <w:sz w:val="20"/>
    </w:rPr>
  </w:style>
  <w:style w:type="character" w:customStyle="1" w:styleId="Titre7Car">
    <w:name w:val="Titre 7 Car"/>
    <w:basedOn w:val="Policepardfaut"/>
    <w:link w:val="Titre7"/>
    <w:rPr>
      <w:rFonts w:ascii="Verdana" w:hAnsi="Verdana" w:cs="Arial"/>
      <w:b/>
      <w:iCs/>
      <w:color w:val="000000"/>
      <w:sz w:val="20"/>
      <w:szCs w:val="24"/>
    </w:rPr>
  </w:style>
  <w:style w:type="character" w:customStyle="1" w:styleId="Titre8Car">
    <w:name w:val="Titre 8 Car"/>
    <w:basedOn w:val="Policepardfaut"/>
    <w:link w:val="Titre8"/>
    <w:rPr>
      <w:rFonts w:ascii="Verdana" w:hAnsi="Verdana" w:cs="Arial"/>
      <w:b/>
      <w:color w:val="000000"/>
      <w:sz w:val="20"/>
      <w:szCs w:val="24"/>
    </w:rPr>
  </w:style>
  <w:style w:type="character" w:customStyle="1" w:styleId="Titre9Car">
    <w:name w:val="Titre 9 Car"/>
    <w:basedOn w:val="Policepardfaut"/>
    <w:link w:val="Titre9"/>
    <w:rPr>
      <w:rFonts w:ascii="Verdana" w:hAnsi="Verdana" w:cs="Arial"/>
      <w:b/>
      <w:iCs/>
      <w:color w:val="000000"/>
      <w:sz w:val="20"/>
    </w:rPr>
  </w:style>
  <w:style w:type="character" w:styleId="Lienhypertexte">
    <w:name w:val="Hyperlink"/>
    <w:basedOn w:val="Policepardfaut"/>
    <w:uiPriority w:val="99"/>
    <w:rPr>
      <w:rFonts w:ascii="Verdana" w:hAnsi="Verdana"/>
      <w:color w:val="0000FF"/>
      <w:sz w:val="20"/>
      <w:u w:val="single"/>
    </w:rPr>
  </w:style>
  <w:style w:type="character" w:customStyle="1" w:styleId="Italic">
    <w:name w:val="Italic"/>
    <w:basedOn w:val="Policepardfaut"/>
    <w:rPr>
      <w:rFonts w:ascii="Verdana" w:hAnsi="Verdana"/>
      <w:i/>
      <w:sz w:val="20"/>
    </w:rPr>
  </w:style>
  <w:style w:type="paragraph" w:customStyle="1" w:styleId="Leipteksti1">
    <w:name w:val="Leipäteksti1"/>
    <w:basedOn w:val="Normal"/>
    <w:semiHidden/>
    <w:pPr>
      <w:ind w:left="2608"/>
    </w:pPr>
  </w:style>
  <w:style w:type="table" w:styleId="Listeclaire-Accent1">
    <w:name w:val="Light List Accent 1"/>
    <w:basedOn w:val="TableauNormal"/>
    <w:uiPriority w:val="61"/>
    <w:pPr>
      <w:spacing w:after="0" w:line="240" w:lineRule="auto"/>
    </w:pPr>
    <w:rPr>
      <w:rFonts w:ascii="Verdana" w:hAnsi="Verdana"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umberedlist">
    <w:name w:val="Numbered list"/>
    <w:basedOn w:val="BulletedList1-usermanual"/>
    <w:next w:val="Corpsdetexte"/>
    <w:pPr>
      <w:numPr>
        <w:numId w:val="4"/>
      </w:numPr>
    </w:pPr>
  </w:style>
  <w:style w:type="character" w:styleId="Numrodepage">
    <w:name w:val="page number"/>
    <w:basedOn w:val="Policepardfaut"/>
    <w:rPr>
      <w:rFonts w:ascii="Verdana" w:hAnsi="Verdana"/>
      <w:sz w:val="20"/>
    </w:rPr>
  </w:style>
  <w:style w:type="character" w:styleId="Emphaseple">
    <w:name w:val="Subtle Emphasis"/>
    <w:basedOn w:val="Policepardfaut"/>
    <w:uiPriority w:val="19"/>
    <w:rPr>
      <w:i/>
      <w:iCs/>
      <w:color w:val="808080" w:themeColor="text1" w:themeTint="7F"/>
    </w:rPr>
  </w:style>
  <w:style w:type="paragraph" w:customStyle="1" w:styleId="Tablecaption">
    <w:name w:val="Table caption"/>
    <w:basedOn w:val="Corpsdetexte"/>
    <w:link w:val="TablecaptionChar"/>
    <w:pPr>
      <w:spacing w:before="120" w:after="120"/>
    </w:pPr>
    <w:rPr>
      <w:b/>
    </w:rPr>
  </w:style>
  <w:style w:type="character" w:customStyle="1" w:styleId="TablecaptionChar">
    <w:name w:val="Table caption Char"/>
    <w:basedOn w:val="CorpsdetexteCar"/>
    <w:link w:val="Tablecaption"/>
    <w:rPr>
      <w:rFonts w:ascii="Verdana" w:eastAsia="Times New Roman" w:hAnsi="Verdana" w:cs="Times New Roman"/>
      <w:b/>
      <w:sz w:val="20"/>
      <w:szCs w:val="20"/>
      <w:lang w:eastAsia="fi-FI"/>
    </w:rPr>
  </w:style>
  <w:style w:type="table" w:styleId="Tableaucolor1">
    <w:name w:val="Table Colorful 1"/>
    <w:basedOn w:val="TableauNormal"/>
    <w:pPr>
      <w:widowControl w:val="0"/>
      <w:spacing w:after="0" w:line="240" w:lineRule="auto"/>
    </w:pPr>
    <w:rPr>
      <w:rFonts w:ascii="Verdana" w:hAnsi="Verdana"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Grilledutableau">
    <w:name w:val="Table Grid"/>
    <w:basedOn w:val="TableauNormal"/>
    <w:uiPriority w:val="59"/>
    <w:pPr>
      <w:widowControl w:val="0"/>
      <w:spacing w:after="0" w:line="240" w:lineRule="auto"/>
    </w:pPr>
    <w:rPr>
      <w:rFonts w:ascii="Verdana" w:hAnsi="Verdan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Corpsdetexte"/>
    <w:pPr>
      <w:spacing w:after="120"/>
    </w:pPr>
    <w:rPr>
      <w:b/>
      <w:color w:val="FFCC00"/>
      <w:sz w:val="18"/>
      <w:szCs w:val="18"/>
    </w:rPr>
  </w:style>
  <w:style w:type="paragraph" w:customStyle="1" w:styleId="Tabletext">
    <w:name w:val="Tabletext"/>
    <w:basedOn w:val="Corpsdetexte"/>
    <w:link w:val="TabletextChar"/>
    <w:qFormat/>
    <w:pPr>
      <w:spacing w:after="0"/>
    </w:pPr>
    <w:rPr>
      <w:sz w:val="18"/>
    </w:rPr>
  </w:style>
  <w:style w:type="paragraph" w:styleId="TM1">
    <w:name w:val="toc 1"/>
    <w:basedOn w:val="Normal"/>
    <w:next w:val="Normal"/>
    <w:uiPriority w:val="39"/>
    <w:qFormat/>
    <w:pPr>
      <w:tabs>
        <w:tab w:val="right" w:leader="dot" w:pos="9639"/>
      </w:tabs>
      <w:spacing w:after="120"/>
      <w:ind w:left="425" w:hanging="425"/>
    </w:pPr>
    <w:rPr>
      <w:b/>
    </w:rPr>
  </w:style>
  <w:style w:type="paragraph" w:styleId="TM2">
    <w:name w:val="toc 2"/>
    <w:basedOn w:val="Normal"/>
    <w:next w:val="Normal"/>
    <w:uiPriority w:val="39"/>
    <w:qFormat/>
    <w:pPr>
      <w:tabs>
        <w:tab w:val="right" w:leader="dot" w:pos="9639"/>
      </w:tabs>
      <w:spacing w:after="120"/>
      <w:ind w:left="567" w:hanging="567"/>
    </w:pPr>
    <w:rPr>
      <w:sz w:val="18"/>
    </w:rPr>
  </w:style>
  <w:style w:type="paragraph" w:styleId="TM3">
    <w:name w:val="toc 3"/>
    <w:basedOn w:val="Normal"/>
    <w:next w:val="Normal"/>
    <w:uiPriority w:val="39"/>
    <w:qFormat/>
    <w:pPr>
      <w:tabs>
        <w:tab w:val="right" w:leader="dot" w:pos="9639"/>
      </w:tabs>
      <w:spacing w:after="120"/>
      <w:ind w:left="851" w:hanging="851"/>
    </w:pPr>
    <w:rPr>
      <w:sz w:val="18"/>
    </w:rPr>
  </w:style>
  <w:style w:type="paragraph" w:styleId="TM4">
    <w:name w:val="toc 4"/>
    <w:basedOn w:val="Normal"/>
    <w:next w:val="Normal"/>
    <w:uiPriority w:val="39"/>
    <w:semiHidden/>
    <w:pPr>
      <w:spacing w:after="100"/>
      <w:ind w:left="600"/>
    </w:pPr>
  </w:style>
  <w:style w:type="paragraph" w:styleId="TM5">
    <w:name w:val="toc 5"/>
    <w:basedOn w:val="Normal"/>
    <w:next w:val="Normal"/>
    <w:uiPriority w:val="39"/>
    <w:semiHidden/>
    <w:pPr>
      <w:spacing w:after="100"/>
      <w:ind w:left="800"/>
    </w:pPr>
  </w:style>
  <w:style w:type="paragraph" w:styleId="TM6">
    <w:name w:val="toc 6"/>
    <w:basedOn w:val="Normal"/>
    <w:next w:val="Normal"/>
    <w:uiPriority w:val="39"/>
    <w:semiHidden/>
    <w:pPr>
      <w:spacing w:after="100"/>
      <w:ind w:left="1000"/>
    </w:pPr>
  </w:style>
  <w:style w:type="paragraph" w:styleId="TM7">
    <w:name w:val="toc 7"/>
    <w:basedOn w:val="Normal"/>
    <w:next w:val="Normal"/>
    <w:uiPriority w:val="39"/>
    <w:semiHidden/>
    <w:pPr>
      <w:spacing w:after="100"/>
      <w:ind w:left="1200"/>
    </w:pPr>
  </w:style>
  <w:style w:type="paragraph" w:styleId="TM8">
    <w:name w:val="toc 8"/>
    <w:basedOn w:val="Normal"/>
    <w:next w:val="Normal"/>
    <w:uiPriority w:val="39"/>
    <w:semiHidden/>
    <w:pPr>
      <w:spacing w:after="100"/>
      <w:ind w:left="1400"/>
    </w:pPr>
  </w:style>
  <w:style w:type="paragraph" w:styleId="TM9">
    <w:name w:val="toc 9"/>
    <w:basedOn w:val="Normal"/>
    <w:next w:val="Normal"/>
    <w:uiPriority w:val="39"/>
    <w:semiHidden/>
    <w:pPr>
      <w:spacing w:after="100"/>
      <w:ind w:left="1600"/>
    </w:pPr>
  </w:style>
  <w:style w:type="paragraph" w:styleId="En-ttedetabledesmatires">
    <w:name w:val="TOC Heading"/>
    <w:basedOn w:val="Titre1"/>
    <w:next w:val="Normal"/>
    <w:uiPriority w:val="39"/>
    <w:unhideWhenUsed/>
    <w:qFormat/>
    <w:pPr>
      <w:numPr>
        <w:numId w:val="0"/>
      </w:numPr>
      <w:spacing w:before="480" w:line="276" w:lineRule="auto"/>
      <w:outlineLvl w:val="9"/>
    </w:pPr>
    <w:rPr>
      <w:rFonts w:eastAsiaTheme="majorEastAsia" w:cstheme="majorBidi"/>
      <w:bCs/>
      <w:szCs w:val="28"/>
      <w:lang w:eastAsia="en-GB"/>
    </w:rPr>
  </w:style>
  <w:style w:type="paragraph" w:customStyle="1" w:styleId="Tabletext0">
    <w:name w:val="Table text"/>
    <w:link w:val="TabletextCar"/>
    <w:pPr>
      <w:keepNext/>
      <w:keepLines/>
      <w:spacing w:before="54" w:after="54" w:line="240" w:lineRule="auto"/>
    </w:pPr>
    <w:rPr>
      <w:rFonts w:ascii="Times New Roman" w:hAnsi="Times New Roman" w:cs="Times New Roman"/>
      <w:sz w:val="20"/>
      <w:szCs w:val="20"/>
      <w:lang w:val="en-US" w:eastAsia="da-DK"/>
    </w:rPr>
  </w:style>
  <w:style w:type="paragraph" w:customStyle="1" w:styleId="CoverTitle">
    <w:name w:val="Cover Title"/>
    <w:basedOn w:val="Corpsdetexte"/>
    <w:next w:val="Corpsdetexte"/>
    <w:pPr>
      <w:spacing w:before="2160"/>
      <w:jc w:val="center"/>
    </w:pPr>
    <w:rPr>
      <w:rFonts w:ascii="Times New Roman Bold" w:hAnsi="Times New Roman Bold"/>
      <w:b/>
      <w:sz w:val="32"/>
    </w:rPr>
  </w:style>
  <w:style w:type="character" w:customStyle="1" w:styleId="LgendeCar">
    <w:name w:val="Légende Car"/>
    <w:link w:val="Lgende"/>
    <w:rPr>
      <w:rFonts w:ascii="Verdana" w:hAnsi="Verdana" w:cs="Times New Roman"/>
      <w:b/>
      <w:bCs/>
      <w:sz w:val="20"/>
      <w:szCs w:val="20"/>
    </w:rPr>
  </w:style>
  <w:style w:type="character" w:customStyle="1" w:styleId="TabletextCar">
    <w:name w:val="Table text Car"/>
    <w:link w:val="Tabletext0"/>
    <w:rPr>
      <w:rFonts w:ascii="Times New Roman" w:hAnsi="Times New Roman" w:cs="Times New Roman"/>
      <w:sz w:val="20"/>
      <w:szCs w:val="20"/>
      <w:lang w:val="en-US" w:eastAsia="da-DK"/>
    </w:rPr>
  </w:style>
  <w:style w:type="paragraph" w:styleId="Listepuces">
    <w:name w:val="List Bullet"/>
    <w:next w:val="Corpsdetexte"/>
    <w:pPr>
      <w:numPr>
        <w:numId w:val="6"/>
      </w:numPr>
      <w:tabs>
        <w:tab w:val="clear" w:pos="425"/>
        <w:tab w:val="left" w:pos="357"/>
      </w:tabs>
      <w:spacing w:after="0" w:line="240" w:lineRule="auto"/>
      <w:ind w:left="357" w:hanging="357"/>
      <w:jc w:val="both"/>
    </w:pPr>
    <w:rPr>
      <w:rFonts w:ascii="Times New Roman" w:hAnsi="Times New Roman" w:cs="Times New Roman"/>
      <w:sz w:val="24"/>
      <w:szCs w:val="20"/>
    </w:rPr>
  </w:style>
  <w:style w:type="paragraph" w:customStyle="1" w:styleId="Default">
    <w:name w:val="Default"/>
    <w:link w:val="DefaultZchn"/>
    <w:pPr>
      <w:spacing w:after="0" w:line="240" w:lineRule="auto"/>
    </w:pPr>
    <w:rPr>
      <w:rFonts w:ascii="Times New Roman" w:hAnsi="Times New Roman" w:cs="Times New Roman"/>
      <w:color w:val="000000"/>
      <w:sz w:val="24"/>
      <w:szCs w:val="24"/>
      <w:lang w:eastAsia="en-GB"/>
    </w:rPr>
  </w:style>
  <w:style w:type="paragraph" w:customStyle="1" w:styleId="NormalLeft">
    <w:name w:val="Normal Left"/>
    <w:basedOn w:val="Normal"/>
    <w:pPr>
      <w:widowControl w:val="0"/>
      <w:spacing w:before="120" w:after="120"/>
      <w:jc w:val="both"/>
    </w:pPr>
    <w:rPr>
      <w:rFonts w:ascii="Verdana" w:hAnsi="Verdana"/>
      <w:sz w:val="20"/>
      <w:szCs w:val="20"/>
      <w:lang w:eastAsia="en-GB"/>
    </w:rPr>
  </w:style>
  <w:style w:type="paragraph" w:styleId="Paragraphedeliste">
    <w:name w:val="List Paragraph"/>
    <w:basedOn w:val="Normal"/>
    <w:link w:val="ParagraphedelisteCar"/>
    <w:uiPriority w:val="34"/>
    <w:qFormat/>
    <w:pPr>
      <w:ind w:left="720"/>
      <w:contextualSpacing/>
    </w:pPr>
  </w:style>
  <w:style w:type="character" w:styleId="Accentuation">
    <w:name w:val="Emphasis"/>
    <w:basedOn w:val="Policepardfaut"/>
    <w:qFormat/>
    <w:rPr>
      <w:i/>
      <w:iCs/>
    </w:rPr>
  </w:style>
  <w:style w:type="character" w:styleId="Textedelespacerserv">
    <w:name w:val="Placeholder Text"/>
    <w:basedOn w:val="Policepardfaut"/>
    <w:uiPriority w:val="99"/>
    <w:semiHidden/>
    <w:rPr>
      <w:color w:val="808080"/>
    </w:rPr>
  </w:style>
  <w:style w:type="paragraph" w:styleId="Sansinterligne">
    <w:name w:val="No Spacing"/>
    <w:link w:val="SansinterligneCar"/>
    <w:uiPriority w:val="1"/>
    <w:qFormat/>
    <w:pPr>
      <w:spacing w:after="0" w:line="240" w:lineRule="auto"/>
    </w:pPr>
    <w:rPr>
      <w:rFonts w:eastAsiaTheme="minorEastAsia"/>
      <w:lang w:val="en-US" w:eastAsia="ja-JP"/>
    </w:rPr>
  </w:style>
  <w:style w:type="character" w:customStyle="1" w:styleId="SansinterligneCar">
    <w:name w:val="Sans interligne Car"/>
    <w:basedOn w:val="Policepardfaut"/>
    <w:link w:val="Sansinterligne"/>
    <w:uiPriority w:val="1"/>
    <w:rPr>
      <w:rFonts w:eastAsiaTheme="minorEastAsia"/>
      <w:lang w:val="en-US" w:eastAsia="ja-JP"/>
    </w:rPr>
  </w:style>
  <w:style w:type="paragraph" w:customStyle="1" w:styleId="TableRowHeader">
    <w:name w:val="Table Row Header"/>
    <w:basedOn w:val="Normal"/>
    <w:pPr>
      <w:keepNext/>
      <w:keepLines/>
      <w:spacing w:before="54" w:after="54"/>
      <w:ind w:left="113"/>
      <w:jc w:val="both"/>
    </w:pPr>
    <w:rPr>
      <w:rFonts w:ascii="Verdana" w:hAnsi="Verdana"/>
      <w:b/>
      <w:bCs/>
      <w:sz w:val="20"/>
      <w:szCs w:val="22"/>
      <w:lang w:eastAsia="da-DK"/>
    </w:rPr>
  </w:style>
  <w:style w:type="paragraph" w:customStyle="1" w:styleId="StyleTableRowHeaderItalic">
    <w:name w:val="Style Table Row Header + Italic"/>
    <w:basedOn w:val="TableRowHeader"/>
    <w:rPr>
      <w:i/>
      <w:iCs/>
    </w:rPr>
  </w:style>
  <w:style w:type="character" w:styleId="lev">
    <w:name w:val="Strong"/>
    <w:uiPriority w:val="22"/>
    <w:qFormat/>
    <w:rPr>
      <w:b/>
      <w:bCs/>
    </w:rPr>
  </w:style>
  <w:style w:type="paragraph" w:styleId="Rvision">
    <w:name w:val="Revision"/>
    <w:hidden/>
    <w:uiPriority w:val="99"/>
    <w:semiHidden/>
    <w:pPr>
      <w:spacing w:after="0" w:line="240" w:lineRule="auto"/>
    </w:pPr>
    <w:rPr>
      <w:rFonts w:ascii="Times New Roman" w:hAnsi="Times New Roman" w:cs="Times New Roman"/>
      <w:sz w:val="24"/>
      <w:szCs w:val="24"/>
      <w:lang w:val="en-US"/>
    </w:rPr>
  </w:style>
  <w:style w:type="table" w:customStyle="1" w:styleId="TableGrid1">
    <w:name w:val="Table Grid1"/>
    <w:basedOn w:val="TableauNormal"/>
    <w:next w:val="Grilledutableau"/>
    <w:pPr>
      <w:widowControl w:val="0"/>
      <w:spacing w:after="0" w:line="240" w:lineRule="auto"/>
    </w:pPr>
    <w:rPr>
      <w:rFonts w:ascii="Verdana" w:hAnsi="Verdan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auGrille1Clair-Accentuation1">
    <w:name w:val="Grid Table 1 Light Accent 1"/>
    <w:basedOn w:val="TableauNormal"/>
    <w:uiPriority w:val="46"/>
    <w:pPr>
      <w:spacing w:after="0" w:line="240" w:lineRule="auto"/>
    </w:pPr>
    <w:rPr>
      <w:rFonts w:ascii="Times New Roman" w:hAnsi="Times New Roman" w:cs="Times New Roman"/>
      <w:sz w:val="20"/>
      <w:szCs w:val="20"/>
      <w:lang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pPr>
      <w:spacing w:after="0" w:line="240" w:lineRule="auto"/>
    </w:pPr>
    <w:rPr>
      <w:rFonts w:ascii="Times New Roman" w:hAnsi="Times New Roman" w:cs="Times New Roman"/>
      <w:sz w:val="20"/>
      <w:szCs w:val="20"/>
      <w:lang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one" w:sz="4" w:space="0" w:color="000000"/>
          <w:insideV w:val="none" w:sz="4" w:space="0" w:color="000000"/>
        </w:tcBorders>
        <w:shd w:val="clear" w:color="auto" w:fill="4F81BD" w:themeFill="accent1"/>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6">
    <w:name w:val="Grid Table 4 Accent 6"/>
    <w:basedOn w:val="TableauNormal"/>
    <w:uiPriority w:val="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one" w:sz="4" w:space="0" w:color="000000"/>
          <w:insideV w:val="none" w:sz="4" w:space="0" w:color="000000"/>
        </w:tcBorders>
        <w:shd w:val="clear" w:color="auto" w:fill="F79646" w:themeFill="accent6"/>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4">
    <w:name w:val="Grid Table 4"/>
    <w:basedOn w:val="Tableau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5Fonc-Accentuation1">
    <w:name w:val="Grid Table 5 Dark Accent 1"/>
    <w:basedOn w:val="Tableau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Liste4-Accentuation1">
    <w:name w:val="List Table 4 Accent 1"/>
    <w:basedOn w:val="Tableau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one" w:sz="4" w:space="0" w:color="000000"/>
        </w:tcBorders>
        <w:shd w:val="clear" w:color="auto" w:fill="4F81BD" w:themeFill="accent1"/>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Policepardfaut"/>
    <w:uiPriority w:val="99"/>
    <w:semiHidden/>
    <w:unhideWhenUsed/>
    <w:rPr>
      <w:color w:val="605E5C"/>
      <w:shd w:val="clear" w:color="auto" w:fill="E1DFDD"/>
    </w:rPr>
  </w:style>
  <w:style w:type="numbering" w:customStyle="1" w:styleId="Aucuneliste1">
    <w:name w:val="Aucune liste1"/>
    <w:next w:val="Aucuneliste"/>
    <w:uiPriority w:val="99"/>
    <w:semiHidden/>
    <w:unhideWhenUsed/>
  </w:style>
  <w:style w:type="table" w:customStyle="1" w:styleId="Grilledutableau1">
    <w:name w:val="Grille du tableau1"/>
    <w:basedOn w:val="TableauNormal"/>
    <w:next w:val="Grilledutableau"/>
    <w:uiPriority w:val="39"/>
    <w:pPr>
      <w:spacing w:after="180" w:line="240" w:lineRule="auto"/>
    </w:pPr>
    <w:rPr>
      <w:rFonts w:ascii="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1">
    <w:name w:val="value1"/>
    <w:rPr>
      <w:vanish w:val="0"/>
      <w:color w:val="4A6463"/>
      <w:sz w:val="29"/>
      <w:szCs w:val="29"/>
    </w:rPr>
  </w:style>
  <w:style w:type="character" w:customStyle="1" w:styleId="i6picklistvalue">
    <w:name w:val="i6picklistvalue"/>
    <w:basedOn w:val="Policepardfaut"/>
  </w:style>
  <w:style w:type="character" w:customStyle="1" w:styleId="NichtaufgelsteErwhnung1">
    <w:name w:val="Nicht aufgelöste Erwähnung1"/>
    <w:basedOn w:val="Policepardfaut"/>
    <w:uiPriority w:val="99"/>
    <w:semiHidden/>
    <w:unhideWhenUsed/>
    <w:rPr>
      <w:color w:val="605E5C"/>
      <w:shd w:val="clear" w:color="auto" w:fill="E1DFDD"/>
    </w:rPr>
  </w:style>
  <w:style w:type="character" w:customStyle="1" w:styleId="identifier">
    <w:name w:val="identifier"/>
    <w:basedOn w:val="Policepardfaut"/>
  </w:style>
  <w:style w:type="character" w:customStyle="1" w:styleId="id-label">
    <w:name w:val="id-label"/>
    <w:basedOn w:val="Policepardfaut"/>
  </w:style>
  <w:style w:type="paragraph" w:customStyle="1" w:styleId="2berschrift">
    <w:name w:val="2. Überschrift"/>
    <w:basedOn w:val="Normal"/>
    <w:link w:val="2berschriftZchn"/>
    <w:qFormat/>
    <w:pPr>
      <w:spacing w:after="0" w:line="276" w:lineRule="auto"/>
      <w:jc w:val="both"/>
    </w:pPr>
    <w:rPr>
      <w:rFonts w:asciiTheme="minorHAnsi" w:hAnsiTheme="minorHAnsi" w:cstheme="minorHAnsi"/>
      <w:b/>
      <w:sz w:val="22"/>
      <w:szCs w:val="20"/>
      <w:lang w:val="de-DE" w:eastAsia="de-DE"/>
    </w:rPr>
  </w:style>
  <w:style w:type="character" w:customStyle="1" w:styleId="2berschriftZchn">
    <w:name w:val="2. Überschrift Zchn"/>
    <w:basedOn w:val="Policepardfaut"/>
    <w:link w:val="2berschrift"/>
    <w:rPr>
      <w:rFonts w:cstheme="minorHAnsi"/>
      <w:b/>
      <w:szCs w:val="20"/>
      <w:lang w:val="de-DE" w:eastAsia="de-DE"/>
    </w:rPr>
  </w:style>
  <w:style w:type="character" w:customStyle="1" w:styleId="TabletextChar">
    <w:name w:val="Tabletext Char"/>
    <w:basedOn w:val="Policepardfaut"/>
    <w:link w:val="Tabletext"/>
    <w:rPr>
      <w:rFonts w:ascii="Times New Roman" w:hAnsi="Times New Roman" w:cs="Times New Roman"/>
      <w:sz w:val="18"/>
      <w:szCs w:val="24"/>
    </w:rPr>
  </w:style>
  <w:style w:type="paragraph" w:customStyle="1" w:styleId="5ZeichenvorTexthngend">
    <w:name w:val="5ZeichenvorTexthängend"/>
    <w:basedOn w:val="Normal"/>
    <w:pPr>
      <w:spacing w:after="0" w:line="300" w:lineRule="auto"/>
      <w:ind w:left="624" w:hanging="624"/>
      <w:jc w:val="both"/>
    </w:pPr>
    <w:rPr>
      <w:rFonts w:ascii="Calibri" w:hAnsi="Calibri"/>
      <w:sz w:val="22"/>
      <w:szCs w:val="20"/>
      <w:lang w:val="de-DE" w:eastAsia="de-DE"/>
    </w:rPr>
  </w:style>
  <w:style w:type="character" w:customStyle="1" w:styleId="markedcontent">
    <w:name w:val="markedcontent"/>
    <w:basedOn w:val="Policepardfaut"/>
  </w:style>
  <w:style w:type="character" w:customStyle="1" w:styleId="UnresolvedMention1">
    <w:name w:val="Unresolved Mention1"/>
    <w:basedOn w:val="Policepardfaut"/>
    <w:uiPriority w:val="99"/>
    <w:semiHidden/>
    <w:unhideWhenUsed/>
    <w:rPr>
      <w:color w:val="605E5C"/>
      <w:shd w:val="clear" w:color="auto" w:fill="E1DFDD"/>
    </w:rPr>
  </w:style>
  <w:style w:type="character" w:customStyle="1" w:styleId="colorbrandlbue">
    <w:name w:val="color__brandlbue"/>
    <w:basedOn w:val="Policepardfaut"/>
  </w:style>
  <w:style w:type="paragraph" w:customStyle="1" w:styleId="EndNoteBibliographyTitle">
    <w:name w:val="EndNote Bibliography Title"/>
    <w:basedOn w:val="Normal"/>
    <w:link w:val="EndNoteBibliographyTitleZchn"/>
    <w:pPr>
      <w:spacing w:after="0"/>
      <w:jc w:val="center"/>
    </w:pPr>
    <w:rPr>
      <w:color w:val="000000"/>
      <w:lang w:val="en-US" w:eastAsia="en-GB"/>
    </w:rPr>
  </w:style>
  <w:style w:type="character" w:customStyle="1" w:styleId="DefaultZchn">
    <w:name w:val="Default Zchn"/>
    <w:basedOn w:val="Policepardfaut"/>
    <w:link w:val="Default"/>
    <w:rPr>
      <w:rFonts w:ascii="Times New Roman" w:hAnsi="Times New Roman" w:cs="Times New Roman"/>
      <w:color w:val="000000"/>
      <w:sz w:val="24"/>
      <w:szCs w:val="24"/>
      <w:lang w:eastAsia="en-GB"/>
    </w:rPr>
  </w:style>
  <w:style w:type="character" w:customStyle="1" w:styleId="EndNoteBibliographyTitleZchn">
    <w:name w:val="EndNote Bibliography Title Zchn"/>
    <w:basedOn w:val="DefaultZchn"/>
    <w:link w:val="EndNoteBibliographyTitle"/>
    <w:rPr>
      <w:rFonts w:ascii="Times New Roman" w:hAnsi="Times New Roman" w:cs="Times New Roman"/>
      <w:color w:val="000000"/>
      <w:sz w:val="24"/>
      <w:szCs w:val="24"/>
      <w:lang w:val="en-US" w:eastAsia="en-GB"/>
    </w:rPr>
  </w:style>
  <w:style w:type="paragraph" w:customStyle="1" w:styleId="EndNoteBibliography">
    <w:name w:val="EndNote Bibliography"/>
    <w:basedOn w:val="Normal"/>
    <w:link w:val="EndNoteBibliographyZchn"/>
    <w:pPr>
      <w:jc w:val="both"/>
    </w:pPr>
    <w:rPr>
      <w:color w:val="000000"/>
      <w:lang w:val="en-US" w:eastAsia="en-GB"/>
    </w:rPr>
  </w:style>
  <w:style w:type="character" w:customStyle="1" w:styleId="EndNoteBibliographyZchn">
    <w:name w:val="EndNote Bibliography Zchn"/>
    <w:basedOn w:val="DefaultZchn"/>
    <w:link w:val="EndNoteBibliography"/>
    <w:rPr>
      <w:rFonts w:ascii="Times New Roman" w:hAnsi="Times New Roman" w:cs="Times New Roman"/>
      <w:color w:val="000000"/>
      <w:sz w:val="24"/>
      <w:szCs w:val="24"/>
      <w:lang w:val="en-US" w:eastAsia="en-GB"/>
    </w:rPr>
  </w:style>
  <w:style w:type="paragraph" w:customStyle="1" w:styleId="tabelle">
    <w:name w:val="tabelle"/>
    <w:basedOn w:val="Normal"/>
    <w:link w:val="tabelleZchn"/>
    <w:qFormat/>
    <w:pPr>
      <w:widowControl w:val="0"/>
      <w:tabs>
        <w:tab w:val="center" w:pos="4536"/>
        <w:tab w:val="right" w:pos="9072"/>
      </w:tabs>
      <w:spacing w:after="0"/>
      <w:jc w:val="both"/>
    </w:pPr>
    <w:rPr>
      <w:rFonts w:ascii="Verdana" w:eastAsiaTheme="minorHAnsi" w:hAnsi="Verdana" w:cstheme="minorBidi"/>
      <w:color w:val="000000"/>
      <w:sz w:val="16"/>
      <w:szCs w:val="20"/>
      <w:lang w:eastAsia="en-GB"/>
    </w:rPr>
  </w:style>
  <w:style w:type="character" w:customStyle="1" w:styleId="tabelleZchn">
    <w:name w:val="tabelle Zchn"/>
    <w:basedOn w:val="Policepardfaut"/>
    <w:link w:val="tabelle"/>
    <w:rPr>
      <w:rFonts w:ascii="Verdana" w:eastAsiaTheme="minorHAnsi" w:hAnsi="Verdana"/>
      <w:color w:val="000000"/>
      <w:sz w:val="16"/>
      <w:szCs w:val="20"/>
      <w:lang w:eastAsia="en-GB"/>
    </w:rPr>
  </w:style>
  <w:style w:type="numbering" w:customStyle="1" w:styleId="Formatvorlage1">
    <w:name w:val="Formatvorlage1"/>
    <w:uiPriority w:val="99"/>
    <w:pPr>
      <w:numPr>
        <w:numId w:val="7"/>
      </w:numPr>
    </w:pPr>
  </w:style>
  <w:style w:type="paragraph" w:styleId="Textebrut">
    <w:name w:val="Plain Text"/>
    <w:basedOn w:val="Normal"/>
    <w:link w:val="TextebrutCar"/>
    <w:uiPriority w:val="99"/>
    <w:unhideWhenUsed/>
    <w:pPr>
      <w:spacing w:after="0"/>
    </w:pPr>
    <w:rPr>
      <w:rFonts w:ascii="Calibri" w:eastAsiaTheme="minorHAnsi" w:hAnsi="Calibri" w:cstheme="minorBidi"/>
      <w:sz w:val="22"/>
      <w:szCs w:val="21"/>
      <w:lang w:val="de-DE"/>
    </w:rPr>
  </w:style>
  <w:style w:type="character" w:customStyle="1" w:styleId="TextebrutCar">
    <w:name w:val="Texte brut Car"/>
    <w:basedOn w:val="Policepardfaut"/>
    <w:link w:val="Textebrut"/>
    <w:uiPriority w:val="99"/>
    <w:rPr>
      <w:rFonts w:ascii="Calibri" w:eastAsiaTheme="minorHAnsi" w:hAnsi="Calibri"/>
      <w:szCs w:val="21"/>
      <w:lang w:val="de-DE"/>
    </w:rPr>
  </w:style>
  <w:style w:type="paragraph" w:customStyle="1" w:styleId="CharCharCharChar">
    <w:name w:val="Char Char Char Char"/>
    <w:basedOn w:val="Normal"/>
    <w:pPr>
      <w:spacing w:after="0"/>
    </w:pPr>
    <w:rPr>
      <w:lang w:val="pl-PL" w:eastAsia="pl-PL"/>
    </w:rPr>
  </w:style>
  <w:style w:type="table" w:customStyle="1" w:styleId="Grilledutableau2">
    <w:name w:val="Grille du tableau2"/>
    <w:basedOn w:val="TableauNormal"/>
    <w:next w:val="Grilledutableau"/>
    <w:uiPriority w:val="59"/>
    <w:pPr>
      <w:spacing w:after="180" w:line="240" w:lineRule="auto"/>
    </w:pPr>
    <w:rPr>
      <w:rFonts w:ascii="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pPr>
      <w:spacing w:after="180" w:line="240" w:lineRule="auto"/>
    </w:pPr>
    <w:rPr>
      <w:rFonts w:ascii="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basedOn w:val="Policepardfaut"/>
    <w:link w:val="Paragraphedeliste"/>
    <w:uiPriority w:val="34"/>
    <w:rPr>
      <w:rFonts w:ascii="Times New Roman" w:hAnsi="Times New Roman" w:cs="Times New Roman"/>
      <w:sz w:val="24"/>
      <w:szCs w:val="24"/>
    </w:rPr>
  </w:style>
  <w:style w:type="paragraph" w:styleId="NormalWeb">
    <w:name w:val="Normal (Web)"/>
    <w:basedOn w:val="Normal"/>
    <w:uiPriority w:val="99"/>
    <w:semiHidden/>
    <w:unhideWhenUsed/>
  </w:style>
  <w:style w:type="paragraph" w:customStyle="1" w:styleId="Tables">
    <w:name w:val="Tables"/>
    <w:basedOn w:val="Normal"/>
    <w:next w:val="Normal"/>
    <w:link w:val="TablesChar"/>
    <w:qFormat/>
    <w:pPr>
      <w:keepNext/>
      <w:spacing w:before="120" w:after="120"/>
      <w:jc w:val="both"/>
    </w:pPr>
    <w:rPr>
      <w:rFonts w:ascii="Times New Roman Bold" w:hAnsi="Times New Roman Bold"/>
      <w:bCs/>
      <w:szCs w:val="20"/>
    </w:rPr>
  </w:style>
  <w:style w:type="character" w:customStyle="1" w:styleId="TablesChar">
    <w:name w:val="Tables Char"/>
    <w:basedOn w:val="Policepardfaut"/>
    <w:link w:val="Tables"/>
    <w:rPr>
      <w:rFonts w:ascii="Times New Roman Bold" w:hAnsi="Times New Roman Bold" w:cs="Times New Roman"/>
      <w:bCs/>
      <w:sz w:val="24"/>
      <w:szCs w:val="20"/>
    </w:rPr>
  </w:style>
  <w:style w:type="table" w:customStyle="1" w:styleId="Grilledutableau4">
    <w:name w:val="Grille du tableau4"/>
    <w:basedOn w:val="TableauNormal"/>
    <w:next w:val="Grilledutableau"/>
    <w:uiPriority w:val="59"/>
    <w:pPr>
      <w:widowControl w:val="0"/>
      <w:spacing w:after="0" w:line="240" w:lineRule="auto"/>
    </w:pPr>
    <w:rPr>
      <w:rFonts w:ascii="Verdana" w:hAnsi="Verdan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
    <w:name w:val="Grille du tableau11"/>
    <w:basedOn w:val="TableauNormal"/>
    <w:next w:val="Grilledutableau"/>
    <w:uiPriority w:val="39"/>
    <w:pPr>
      <w:widowControl w:val="0"/>
      <w:spacing w:after="0" w:line="240" w:lineRule="auto"/>
    </w:pPr>
    <w:rPr>
      <w:rFonts w:ascii="Verdana" w:hAnsi="Verdana"/>
      <w:sz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Grille4-Accentuation51">
    <w:name w:val="Tableau Grille 4 - Accentuation 51"/>
    <w:basedOn w:val="TableauNormal"/>
    <w:next w:val="TableauGrille4-Accentuation5"/>
    <w:uiPriority w:val="49"/>
    <w:pPr>
      <w:spacing w:after="0" w:line="240" w:lineRule="auto"/>
    </w:pPr>
    <w:rPr>
      <w:rFonts w:eastAsia="Calibri"/>
      <w:lang w:val="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one" w:sz="4" w:space="0" w:color="000000"/>
          <w:insideV w:val="none" w:sz="4" w:space="0" w:color="000000"/>
        </w:tcBorders>
        <w:shd w:val="clear" w:color="auto" w:fill="4472C4"/>
      </w:tcPr>
    </w:tblStylePr>
    <w:tblStylePr w:type="lastRow">
      <w:rPr>
        <w:b/>
        <w:bCs/>
      </w:rPr>
      <w:tblPr/>
      <w:tcPr>
        <w:tcBorders>
          <w:top w:val="sing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4-Accentuation5">
    <w:name w:val="Grid Table 4 Accent 5"/>
    <w:basedOn w:val="Tableau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one" w:sz="4" w:space="0" w:color="000000"/>
          <w:insideV w:val="none" w:sz="4" w:space="0" w:color="000000"/>
        </w:tcBorders>
        <w:shd w:val="clear" w:color="auto" w:fill="4BACC6" w:themeFill="accent5"/>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Aucuneliste2">
    <w:name w:val="Aucune liste2"/>
    <w:next w:val="Aucuneliste"/>
    <w:uiPriority w:val="99"/>
    <w:semiHidden/>
    <w:unhideWhenUsed/>
  </w:style>
  <w:style w:type="table" w:customStyle="1" w:styleId="TableauGrille4-Accentuation52">
    <w:name w:val="Tableau Grille 4 - Accentuation 52"/>
    <w:basedOn w:val="TableauNormal"/>
    <w:next w:val="TableauGrille4-Accentuation5"/>
    <w:uiPriority w:val="49"/>
    <w:pPr>
      <w:spacing w:after="0" w:line="240" w:lineRule="auto"/>
    </w:pPr>
    <w:rPr>
      <w:rFonts w:eastAsia="Calibri"/>
      <w:lang w:val="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one" w:sz="4" w:space="0" w:color="000000"/>
          <w:insideV w:val="none" w:sz="4" w:space="0" w:color="000000"/>
        </w:tcBorders>
        <w:shd w:val="clear" w:color="auto" w:fill="4472C4"/>
      </w:tcPr>
    </w:tblStylePr>
    <w:tblStylePr w:type="lastRow">
      <w:rPr>
        <w:b/>
        <w:bCs/>
      </w:rPr>
      <w:tblPr/>
      <w:tcPr>
        <w:tcBorders>
          <w:top w:val="sing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511">
    <w:name w:val="Tableau Grille 4 - Accentuation 511"/>
    <w:basedOn w:val="TableauNormal"/>
    <w:next w:val="TableauGrille4-Accentuation5"/>
    <w:uiPriority w:val="49"/>
    <w:pPr>
      <w:spacing w:after="0" w:line="240" w:lineRule="auto"/>
    </w:pPr>
    <w:rPr>
      <w:rFonts w:eastAsia="Calibri"/>
      <w:lang w:val="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one" w:sz="4" w:space="0" w:color="000000"/>
          <w:insideV w:val="none" w:sz="4" w:space="0" w:color="000000"/>
        </w:tcBorders>
        <w:shd w:val="clear" w:color="auto" w:fill="4472C4"/>
      </w:tcPr>
    </w:tblStylePr>
    <w:tblStylePr w:type="lastRow">
      <w:rPr>
        <w:b/>
        <w:bCs/>
      </w:rPr>
      <w:tblPr/>
      <w:tcPr>
        <w:tcBorders>
          <w:top w:val="sing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512">
    <w:name w:val="Tableau Grille 4 - Accentuation 512"/>
    <w:basedOn w:val="TableauNormal"/>
    <w:next w:val="TableauGrille4-Accentuation5"/>
    <w:uiPriority w:val="49"/>
    <w:pPr>
      <w:spacing w:after="0" w:line="240" w:lineRule="auto"/>
    </w:pPr>
    <w:rPr>
      <w:rFonts w:eastAsia="Calibri"/>
      <w:lang w:val="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one" w:sz="4" w:space="0" w:color="000000"/>
          <w:insideV w:val="none" w:sz="4" w:space="0" w:color="000000"/>
        </w:tcBorders>
        <w:shd w:val="clear" w:color="auto" w:fill="4472C4"/>
      </w:tcPr>
    </w:tblStylePr>
    <w:tblStylePr w:type="lastRow">
      <w:rPr>
        <w:b/>
        <w:bCs/>
      </w:rPr>
      <w:tblPr/>
      <w:tcPr>
        <w:tcBorders>
          <w:top w:val="sing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Sous-titre">
    <w:name w:val="Subtitle"/>
    <w:basedOn w:val="Normal"/>
    <w:next w:val="Normal"/>
    <w:link w:val="Sous-titreCar"/>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Pr>
      <w:rFonts w:eastAsiaTheme="minorEastAsia"/>
      <w:color w:val="5A5A5A" w:themeColor="text1" w:themeTint="A5"/>
      <w:spacing w:val="15"/>
    </w:rPr>
  </w:style>
  <w:style w:type="paragraph" w:styleId="Titre">
    <w:name w:val="Title"/>
    <w:basedOn w:val="Normal"/>
    <w:next w:val="Normal"/>
    <w:link w:val="TitreCar"/>
    <w:uiPriority w:val="10"/>
    <w:qFormat/>
    <w:pPr>
      <w:spacing w:after="0"/>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table" w:customStyle="1" w:styleId="Grilledutableau5">
    <w:name w:val="Grille du tableau5"/>
    <w:basedOn w:val="TableauNormal"/>
    <w:next w:val="Grilledutableau"/>
    <w:uiPriority w:val="39"/>
    <w:pPr>
      <w:spacing w:after="0" w:line="240" w:lineRule="auto"/>
    </w:pPr>
    <w:rPr>
      <w:rFonts w:eastAsiaTheme="minorHAnsi"/>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auGrille4-Accentuation3">
    <w:name w:val="Grid Table 4 Accent 3"/>
    <w:basedOn w:val="TableauNormal"/>
    <w:uiPriority w:val="49"/>
    <w:pPr>
      <w:spacing w:after="0" w:line="240" w:lineRule="auto"/>
    </w:pPr>
    <w:rPr>
      <w:rFonts w:eastAsiaTheme="minorHAnsi"/>
      <w:lang w:val="fr-F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insideV w:val="none" w:sz="4" w:space="0" w:color="000000"/>
        </w:tcBorders>
        <w:shd w:val="clear" w:color="auto" w:fill="9BBB59" w:themeFill="accent3"/>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ormal1">
    <w:name w:val="Normal1"/>
    <w:basedOn w:val="Normal"/>
    <w:rsid w:val="0057356E"/>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3868">
      <w:bodyDiv w:val="1"/>
      <w:marLeft w:val="0"/>
      <w:marRight w:val="0"/>
      <w:marTop w:val="0"/>
      <w:marBottom w:val="0"/>
      <w:divBdr>
        <w:top w:val="none" w:sz="0" w:space="0" w:color="auto"/>
        <w:left w:val="none" w:sz="0" w:space="0" w:color="auto"/>
        <w:bottom w:val="none" w:sz="0" w:space="0" w:color="auto"/>
        <w:right w:val="none" w:sz="0" w:space="0" w:color="auto"/>
      </w:divBdr>
    </w:div>
    <w:div w:id="8671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doi.org/10.1787/9789264304741-en" TargetMode="External"/><Relationship Id="rId3" Type="http://schemas.openxmlformats.org/officeDocument/2006/relationships/customXml" Target="../customXml/item3.xml"/><Relationship Id="rId21" Type="http://schemas.openxmlformats.org/officeDocument/2006/relationships/hyperlink" Target="https://comptox.epa.gov/dashboard/chemical/bioactivity-toxcast-models/DTXSID3025178"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one.oecd.org/document/env/jm/mono(2009)11/en/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neris.fr/substances/f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eur-lex.europa.eu/LexUriServ/LexUriServ.do?uri=CELEX:32004L0037:en:NO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cha.europa.eu/documents/10162/4df27360-03aa-3c93-54f0-08f8366f42f3" TargetMode="External"/><Relationship Id="rId27" Type="http://schemas.openxmlformats.org/officeDocument/2006/relationships/hyperlink" Target="http://www.epa.gov/test-guidelinespesticid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dir/2020/2184/oj" TargetMode="External"/><Relationship Id="rId3" Type="http://schemas.openxmlformats.org/officeDocument/2006/relationships/hyperlink" Target="https://echa.europa.eu/fr/registration-dossier/-/registered-dossier/14992/1/2" TargetMode="External"/><Relationship Id="rId7" Type="http://schemas.openxmlformats.org/officeDocument/2006/relationships/hyperlink" Target="https://eur-lex.europa.eu/legal-content/EN/TXT/?uri=CELEX%3A02004L0037-20220405&amp;qid=1681807546211" TargetMode="External"/><Relationship Id="rId12" Type="http://schemas.openxmlformats.org/officeDocument/2006/relationships/hyperlink" Target="https://eur-lex.europa.eu/legal-content/EN/TXT/PDF/?uri=CELEX:32023R0707&amp;from=EN" TargetMode="External"/><Relationship Id="rId2" Type="http://schemas.openxmlformats.org/officeDocument/2006/relationships/hyperlink" Target="https://gestis-database.dguv.de/data?name=014540" TargetMode="External"/><Relationship Id="rId1" Type="http://schemas.openxmlformats.org/officeDocument/2006/relationships/hyperlink" Target="https://eur-lex.europa.eu/legal-content/EN/TXT/PDF/?uri=CELEX:32012L0018&amp;from=IT" TargetMode="External"/><Relationship Id="rId6" Type="http://schemas.openxmlformats.org/officeDocument/2006/relationships/hyperlink" Target="https://www.norman-network.com/nds/common/" TargetMode="External"/><Relationship Id="rId11" Type="http://schemas.openxmlformats.org/officeDocument/2006/relationships/hyperlink" Target="https://www.norman-network.com/nds/common/" TargetMode="External"/><Relationship Id="rId5" Type="http://schemas.openxmlformats.org/officeDocument/2006/relationships/hyperlink" Target="https://echa.europa.eu/fr/information-on-chemicals/cl-inventory-database/-/discli/details/115877" TargetMode="External"/><Relationship Id="rId10" Type="http://schemas.openxmlformats.org/officeDocument/2006/relationships/hyperlink" Target="https://echa.europa.eu/documents/10162/13641/rac_opinion_epoxiconazole_restr_en.pdf/54ccece3-6775-4489-a997-d208d2f2eb05" TargetMode="External"/><Relationship Id="rId4" Type="http://schemas.openxmlformats.org/officeDocument/2006/relationships/hyperlink" Target="http://echa.europa.eu/web/guest/information-on-chemicals/cl-inventory-database" TargetMode="External"/><Relationship Id="rId9" Type="http://schemas.openxmlformats.org/officeDocument/2006/relationships/hyperlink" Target="https://echa.europa.eu/fr/registration-dossier/-/registered-dossier/14992/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83ADF725FEC40B954A0C574AB2C64" ma:contentTypeVersion="6" ma:contentTypeDescription="Create a new document." ma:contentTypeScope="" ma:versionID="fc08ee29ccd7add25442fc0a69d3747e">
  <xsd:schema xmlns:xsd="http://www.w3.org/2001/XMLSchema" xmlns:xs="http://www.w3.org/2001/XMLSchema" xmlns:p="http://schemas.microsoft.com/office/2006/metadata/properties" xmlns:ns2="b80ede5c-af4c-4bf2-9a87-706a3579dc11" xmlns:ns3="03956ed6-227c-4b07-8ccf-696c57f91a1e" xmlns:ns4="4811b924-dee2-413a-bdc8-2cc023473c17" targetNamespace="http://schemas.microsoft.com/office/2006/metadata/properties" ma:root="true" ma:fieldsID="bc0f4aeb1d351832a52a33d1f28c79a4" ns2:_="" ns3:_="" ns4:_="">
    <xsd:import namespace="b80ede5c-af4c-4bf2-9a87-706a3579dc11"/>
    <xsd:import namespace="03956ed6-227c-4b07-8ccf-696c57f91a1e"/>
    <xsd:import namespace="4811b924-dee2-413a-bdc8-2cc023473c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ECHAProcessTaxHTField0" minOccurs="0"/>
                <xsd:element ref="ns2:TaxCatchAll" minOccurs="0"/>
                <xsd:element ref="ns4:ECHASecClassTaxHTField0" minOccurs="0"/>
                <xsd:element ref="ns4:ECHADocumentTypeTaxHTField0" minOccurs="0"/>
                <xsd:element ref="ns4: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956ed6-227c-4b07-8ccf-696c57f91a1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ProcessTaxHTField0" ma:index="12" nillable="true" ma:displayName="Process_0" ma:hidden="true" ma:internalName="ECHAProcessTaxHTField0">
      <xsd:simpleType>
        <xsd:restriction base="dms:Note"/>
      </xsd:simpleType>
    </xsd:element>
    <xsd:element name="ECHASecClassTaxHTField0" ma:index="14" nillable="true" ma:displayName="Security classification_0" ma:hidden="true" ma:internalName="ECHASecClassTaxHTField0">
      <xsd:simpleType>
        <xsd:restriction base="dms:Note"/>
      </xsd:simpleType>
    </xsd:element>
    <xsd:element name="ECHADocumentTypeTaxHTField0" ma:index="15" nillable="true" ma:displayName="Document type_0" ma:hidden="true" ma:internalName="ECHADocumentTypeTaxHTField0">
      <xsd:simpleType>
        <xsd:restriction base="dms:Note"/>
      </xsd:simpleType>
    </xsd:element>
    <xsd:element name="ECHACategoryTaxHTField0" ma:index="16" nillable="true" ma:displayName="Category_0" ma:hidden="true" ma:internalName="ECHACategoryTaxHTField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CHAProcessTaxHTField0 xmlns="4811b924-dee2-413a-bdc8-2cc023473c17" xsi:nil="true"/>
    <ECHACategoryTaxHTField0 xmlns="4811b924-dee2-413a-bdc8-2cc023473c17" xsi:nil="true"/>
    <TaxCatchAll xmlns="b80ede5c-af4c-4bf2-9a87-706a3579dc11">
      <Value>1</Value>
    </TaxCatchAll>
    <ECHADocumentTypeTaxHTField0 xmlns="4811b924-dee2-413a-bdc8-2cc023473c17" xsi:nil="true"/>
    <ECHASecClassTaxHTField0 xmlns="4811b924-dee2-413a-bdc8-2cc023473c17">Internal|a0307bc2-faf9-4068-8aeb-b713e4fa2a0f</ECHASecClassTaxHTField0>
    <_dlc_DocId xmlns="b80ede5c-af4c-4bf2-9a87-706a3579dc11">ACTV3-2031409557-73535</_dlc_DocId>
    <_dlc_DocIdUrl xmlns="b80ede5c-af4c-4bf2-9a87-706a3579dc11">
      <Url>https://activity.echa.europa.eu/sites/act-3/process-3-10/_layouts/15/DocIdRedir.aspx?ID=ACTV3-2031409557-73535</Url>
      <Description>ACTV3-2031409557-73535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4D63-7575-4570-A116-C6CFC92D9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ede5c-af4c-4bf2-9a87-706a3579dc11"/>
    <ds:schemaRef ds:uri="03956ed6-227c-4b07-8ccf-696c57f91a1e"/>
    <ds:schemaRef ds:uri="4811b924-dee2-413a-bdc8-2cc02347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EFC31-9280-43DB-8494-1A9104EA97EC}">
  <ds:schemaRefs>
    <ds:schemaRef ds:uri="http://schemas.microsoft.com/sharepoint/events"/>
  </ds:schemaRefs>
</ds:datastoreItem>
</file>

<file path=customXml/itemProps3.xml><?xml version="1.0" encoding="utf-8"?>
<ds:datastoreItem xmlns:ds="http://schemas.openxmlformats.org/officeDocument/2006/customXml" ds:itemID="{D5E8A5F7-E49C-49B2-B51F-AD4ABA89A5FF}">
  <ds:schemaRef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4811b924-dee2-413a-bdc8-2cc023473c17"/>
    <ds:schemaRef ds:uri="03956ed6-227c-4b07-8ccf-696c57f91a1e"/>
    <ds:schemaRef ds:uri="b80ede5c-af4c-4bf2-9a87-706a3579dc11"/>
  </ds:schemaRefs>
</ds:datastoreItem>
</file>

<file path=customXml/itemProps4.xml><?xml version="1.0" encoding="utf-8"?>
<ds:datastoreItem xmlns:ds="http://schemas.openxmlformats.org/officeDocument/2006/customXml" ds:itemID="{D57611BB-BA80-430B-957C-B5DA81F539C1}">
  <ds:schemaRefs>
    <ds:schemaRef ds:uri="http://schemas.microsoft.com/sharepoint/v3/contenttype/forms"/>
  </ds:schemaRefs>
</ds:datastoreItem>
</file>

<file path=customXml/itemProps5.xml><?xml version="1.0" encoding="utf-8"?>
<ds:datastoreItem xmlns:ds="http://schemas.openxmlformats.org/officeDocument/2006/customXml" ds:itemID="{9E3233A4-AAB2-4799-B034-9FC4BC36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115</Pages>
  <Words>32824</Words>
  <Characters>180533</Characters>
  <Application>Microsoft Office Word</Application>
  <DocSecurity>0</DocSecurity>
  <Lines>1504</Lines>
  <Paragraphs>425</Paragraphs>
  <ScaleCrop>false</ScaleCrop>
  <HeadingPairs>
    <vt:vector size="2" baseType="variant">
      <vt:variant>
        <vt:lpstr>Titre</vt:lpstr>
      </vt:variant>
      <vt:variant>
        <vt:i4>1</vt:i4>
      </vt:variant>
    </vt:vector>
  </HeadingPairs>
  <TitlesOfParts>
    <vt:vector size="1" baseType="lpstr">
      <vt:lpstr/>
    </vt:vector>
  </TitlesOfParts>
  <Company>European Chemicals Agency</Company>
  <LinksUpToDate>false</LinksUpToDate>
  <CharactersWithSpaces>212932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KUSTER Jonathan</dc:creator>
  <cp:keywords/>
  <dc:description/>
  <cp:lastModifiedBy>CHARRON Isabelle</cp:lastModifiedBy>
  <cp:revision>3</cp:revision>
  <cp:lastPrinted>2023-06-07T11:50:00Z</cp:lastPrinted>
  <dcterms:created xsi:type="dcterms:W3CDTF">2023-10-03T17:03:00Z</dcterms:created>
  <dcterms:modified xsi:type="dcterms:W3CDTF">2023-10-03T17:06:00Z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0x010100ADF83ADF725FEC40B954A0C574AB2C64</vt:lpwstr>
  </property>
  <property fmtid="{D5CDD505-2E9C-101B-9397-08002B2CF9AE}" pid="3" name="_dlc_DocIdItemGuid">
    <vt:lpwstr>9ec43b85-b406-4c44-b24e-74d6dbffc41d</vt:lpwstr>
  </property>
  <property fmtid="{D5CDD505-2E9C-101B-9397-08002B2CF9AE}" pid="4" name="ECHAProcess">
    <vt:lpwstr/>
  </property>
  <property fmtid="{D5CDD505-2E9C-101B-9397-08002B2CF9AE}" pid="5" name="ECHADocumentType">
    <vt:lpwstr/>
  </property>
  <property fmtid="{D5CDD505-2E9C-101B-9397-08002B2CF9AE}" pid="6" name="ECHACategory">
    <vt:lpwstr/>
  </property>
  <property fmtid="{D5CDD505-2E9C-101B-9397-08002B2CF9AE}" pid="7" name="ECHASecClass">
    <vt:lpwstr>1;#Internal|a0307bc2-faf9-4068-8aeb-b713e4fa2a0f</vt:lpwstr>
  </property>
</Properties>
</file>