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06EB1E1" w14:textId="77777777" w:rsidR="005C0576" w:rsidRDefault="005C0576"/>
    <w:tbl>
      <w:tblPr>
        <w:tblW w:w="4140" w:type="dxa"/>
        <w:tblInd w:w="-57" w:type="dxa"/>
        <w:tblLayout w:type="fixed"/>
        <w:tblCellMar>
          <w:top w:w="57" w:type="dxa"/>
          <w:left w:w="57" w:type="dxa"/>
          <w:bottom w:w="57" w:type="dxa"/>
          <w:right w:w="57" w:type="dxa"/>
        </w:tblCellMar>
        <w:tblLook w:val="0000" w:firstRow="0" w:lastRow="0" w:firstColumn="0" w:lastColumn="0" w:noHBand="0" w:noVBand="0"/>
      </w:tblPr>
      <w:tblGrid>
        <w:gridCol w:w="1526"/>
        <w:gridCol w:w="967"/>
        <w:gridCol w:w="1647"/>
      </w:tblGrid>
      <w:tr w:rsidR="005C0576" w:rsidRPr="00DA6489" w14:paraId="423DF00B" w14:textId="77777777" w:rsidTr="00257308">
        <w:trPr>
          <w:trHeight w:val="368"/>
        </w:trPr>
        <w:tc>
          <w:tcPr>
            <w:tcW w:w="4140" w:type="dxa"/>
            <w:gridSpan w:val="3"/>
            <w:shd w:val="clear" w:color="auto" w:fill="auto"/>
          </w:tcPr>
          <w:p w14:paraId="71AAD86E" w14:textId="77777777" w:rsidR="005C0576" w:rsidRPr="00DA6489" w:rsidRDefault="00520523">
            <w:pPr>
              <w:widowControl w:val="0"/>
              <w:jc w:val="center"/>
              <w:rPr>
                <w:b/>
              </w:rPr>
            </w:pPr>
            <w:r w:rsidRPr="00DA6489">
              <w:rPr>
                <w:b/>
              </w:rPr>
              <w:t>RÉPUBLIQUE FRANÇAISE</w:t>
            </w:r>
          </w:p>
        </w:tc>
      </w:tr>
      <w:tr w:rsidR="005C0576" w:rsidRPr="00DA6489" w14:paraId="3FD745B1" w14:textId="77777777" w:rsidTr="00257308">
        <w:trPr>
          <w:trHeight w:hRule="exact" w:val="113"/>
        </w:trPr>
        <w:tc>
          <w:tcPr>
            <w:tcW w:w="1526" w:type="dxa"/>
            <w:shd w:val="clear" w:color="auto" w:fill="auto"/>
          </w:tcPr>
          <w:p w14:paraId="5D2EA80B" w14:textId="77777777" w:rsidR="005C0576" w:rsidRPr="00DA6489" w:rsidRDefault="005C0576">
            <w:pPr>
              <w:widowControl w:val="0"/>
            </w:pPr>
          </w:p>
        </w:tc>
        <w:tc>
          <w:tcPr>
            <w:tcW w:w="967" w:type="dxa"/>
            <w:tcBorders>
              <w:bottom w:val="single" w:sz="2" w:space="0" w:color="000000"/>
            </w:tcBorders>
            <w:shd w:val="clear" w:color="auto" w:fill="auto"/>
          </w:tcPr>
          <w:p w14:paraId="61F183DD" w14:textId="77777777" w:rsidR="005C0576" w:rsidRPr="00DA6489" w:rsidRDefault="005C0576">
            <w:pPr>
              <w:widowControl w:val="0"/>
            </w:pPr>
          </w:p>
        </w:tc>
        <w:tc>
          <w:tcPr>
            <w:tcW w:w="1647" w:type="dxa"/>
            <w:shd w:val="clear" w:color="auto" w:fill="auto"/>
          </w:tcPr>
          <w:p w14:paraId="095C9546" w14:textId="77777777" w:rsidR="005C0576" w:rsidRPr="00DA6489" w:rsidRDefault="005C0576">
            <w:pPr>
              <w:widowControl w:val="0"/>
            </w:pPr>
          </w:p>
        </w:tc>
      </w:tr>
      <w:tr w:rsidR="005C0576" w:rsidRPr="00DA6489" w14:paraId="5A9EB7DA" w14:textId="77777777">
        <w:tc>
          <w:tcPr>
            <w:tcW w:w="4140" w:type="dxa"/>
            <w:gridSpan w:val="3"/>
            <w:shd w:val="clear" w:color="auto" w:fill="auto"/>
          </w:tcPr>
          <w:p w14:paraId="40997809" w14:textId="521714BA" w:rsidR="005C0576" w:rsidRPr="00DA6489" w:rsidRDefault="00550B55">
            <w:pPr>
              <w:widowControl w:val="0"/>
              <w:jc w:val="center"/>
              <w:rPr>
                <w:b/>
              </w:rPr>
            </w:pPr>
            <w:r w:rsidRPr="00DA6489">
              <w:rPr>
                <w:b/>
              </w:rPr>
              <w:t>Ministère de de la transition écologique, de la biodiversité et des négociations internationales sur le climat et la nature</w:t>
            </w:r>
          </w:p>
        </w:tc>
      </w:tr>
    </w:tbl>
    <w:p w14:paraId="16000415" w14:textId="77777777" w:rsidR="005C0576" w:rsidRPr="00DA6489" w:rsidRDefault="005C0576"/>
    <w:p w14:paraId="19A963F6" w14:textId="54E5A9C4" w:rsidR="005C0576" w:rsidRPr="00DA6489" w:rsidRDefault="008079B8">
      <w:r w:rsidRPr="00DA6489">
        <w:t>Direction générale de la prévention des risques</w:t>
      </w:r>
    </w:p>
    <w:p w14:paraId="6C4243BF" w14:textId="77777777" w:rsidR="00550B55" w:rsidRPr="00DA6489" w:rsidRDefault="00550B55">
      <w:pPr>
        <w:jc w:val="center"/>
        <w:rPr>
          <w:b/>
        </w:rPr>
      </w:pPr>
    </w:p>
    <w:p w14:paraId="126C8F0A" w14:textId="580C55BE" w:rsidR="005C0576" w:rsidRPr="00DA6489" w:rsidRDefault="00520523">
      <w:pPr>
        <w:jc w:val="center"/>
        <w:rPr>
          <w:b/>
        </w:rPr>
      </w:pPr>
      <w:r w:rsidRPr="00DA6489">
        <w:rPr>
          <w:b/>
        </w:rPr>
        <w:t>Arrêté du XX</w:t>
      </w:r>
    </w:p>
    <w:p w14:paraId="69B82EB9" w14:textId="77777777" w:rsidR="005C0576" w:rsidRPr="00DA6489" w:rsidRDefault="00520523">
      <w:pPr>
        <w:jc w:val="center"/>
        <w:rPr>
          <w:b/>
        </w:rPr>
      </w:pPr>
      <w:proofErr w:type="gramStart"/>
      <w:r w:rsidRPr="00DA6489">
        <w:rPr>
          <w:b/>
        </w:rPr>
        <w:t>relatif</w:t>
      </w:r>
      <w:proofErr w:type="gramEnd"/>
      <w:r w:rsidRPr="00DA6489">
        <w:rPr>
          <w:b/>
        </w:rPr>
        <w:t xml:space="preserve"> aux meilleures techniques disponibles (MTD) applicables à certaines installations classées du secteur du traitement des métaux ferreux par galvanisation discontinue relevant du régime de l’autorisation au titre des rubriques 3230c ou 3260 de la nomenclature des installations classées pour la protection de l’environnement</w:t>
      </w:r>
    </w:p>
    <w:p w14:paraId="59E562F8" w14:textId="77777777" w:rsidR="005C0576" w:rsidRPr="00DA6489" w:rsidRDefault="005C0576">
      <w:pPr>
        <w:jc w:val="center"/>
        <w:rPr>
          <w:b/>
        </w:rPr>
      </w:pPr>
    </w:p>
    <w:p w14:paraId="5012B649" w14:textId="5AF592D9" w:rsidR="005C0576" w:rsidRPr="00DA6489" w:rsidRDefault="00520523">
      <w:pPr>
        <w:jc w:val="center"/>
        <w:rPr>
          <w:b/>
        </w:rPr>
      </w:pPr>
      <w:r w:rsidRPr="00DA6489">
        <w:rPr>
          <w:b/>
        </w:rPr>
        <w:t>NOR : XX</w:t>
      </w:r>
    </w:p>
    <w:p w14:paraId="2CFB1133" w14:textId="2DA303A3" w:rsidR="000C4674" w:rsidRPr="00DA6489" w:rsidRDefault="000C4674" w:rsidP="000C4674">
      <w:pPr>
        <w:rPr>
          <w:i/>
        </w:rPr>
      </w:pPr>
      <w:r w:rsidRPr="00DA6489">
        <w:rPr>
          <w:b/>
          <w:i/>
        </w:rPr>
        <w:t xml:space="preserve">Publics concernés : </w:t>
      </w:r>
      <w:r w:rsidRPr="00DA6489">
        <w:rPr>
          <w:i/>
        </w:rPr>
        <w:t>les exploitants d’installations</w:t>
      </w:r>
      <w:r w:rsidRPr="00DA6489">
        <w:rPr>
          <w:rStyle w:val="TextedebullesCar"/>
          <w:rFonts w:cs="Times New Roman"/>
          <w:i/>
          <w:color w:val="000000" w:themeColor="text1"/>
        </w:rPr>
        <w:t xml:space="preserve"> </w:t>
      </w:r>
      <w:r w:rsidRPr="00DA6489">
        <w:rPr>
          <w:rStyle w:val="Policepardfaut1"/>
          <w:rFonts w:cs="Times New Roman"/>
          <w:i/>
          <w:color w:val="000000" w:themeColor="text1"/>
        </w:rPr>
        <w:t>classées pour la protection de l’environnement</w:t>
      </w:r>
      <w:r w:rsidR="005F03BA">
        <w:rPr>
          <w:rStyle w:val="Policepardfaut1"/>
          <w:rFonts w:cs="Times New Roman"/>
          <w:i/>
          <w:color w:val="000000" w:themeColor="text1"/>
        </w:rPr>
        <w:t xml:space="preserve"> qui </w:t>
      </w:r>
      <w:r w:rsidR="005F03BA" w:rsidRPr="00C77961">
        <w:rPr>
          <w:rStyle w:val="Policepardfaut1"/>
          <w:rFonts w:cs="Times New Roman"/>
          <w:i/>
          <w:color w:val="000000" w:themeColor="text1"/>
        </w:rPr>
        <w:t>pratiquent la galvanisation discontinue et qui relève</w:t>
      </w:r>
      <w:r w:rsidRPr="00C77961">
        <w:rPr>
          <w:i/>
        </w:rPr>
        <w:t xml:space="preserve"> du régime de l’autorisation au titre des rubriques 3230c (application de couches de protection de métal en fusion avec une capacité de traitement supérieure à 2 tonnes d'acier brut par heure) et/ou 3260 (traitement de surface de métaux ou de matières plastiques par un procédé électrolytique ou chimique pour lequel le volume des cuves affectées au traitement est supérieur à 30 m</w:t>
      </w:r>
      <w:r w:rsidRPr="00C77961">
        <w:rPr>
          <w:i/>
          <w:vertAlign w:val="superscript"/>
        </w:rPr>
        <w:t>3</w:t>
      </w:r>
      <w:r w:rsidRPr="00C77961">
        <w:rPr>
          <w:i/>
        </w:rPr>
        <w:t>) de la nomenclature des installations classées pour la protection de l’environnement</w:t>
      </w:r>
      <w:r w:rsidR="005F03BA" w:rsidRPr="00C77961">
        <w:rPr>
          <w:i/>
        </w:rPr>
        <w:t>.</w:t>
      </w:r>
    </w:p>
    <w:p w14:paraId="36CF9856" w14:textId="252A65D4" w:rsidR="000C4674" w:rsidRPr="00DA6489" w:rsidRDefault="000C4674" w:rsidP="000C4674">
      <w:pPr>
        <w:rPr>
          <w:i/>
        </w:rPr>
      </w:pPr>
      <w:r w:rsidRPr="00DA6489">
        <w:rPr>
          <w:b/>
          <w:i/>
        </w:rPr>
        <w:t xml:space="preserve">Objet : </w:t>
      </w:r>
      <w:r w:rsidRPr="00DA6489">
        <w:rPr>
          <w:i/>
        </w:rPr>
        <w:t>fixation de prescriptions relatives aux meilleures techniques disponibles applicables aux installations classées</w:t>
      </w:r>
      <w:r w:rsidRPr="00DA6489">
        <w:rPr>
          <w:rStyle w:val="TextedebullesCar"/>
          <w:rFonts w:cs="Times New Roman"/>
          <w:i/>
          <w:color w:val="000000" w:themeColor="text1"/>
        </w:rPr>
        <w:t xml:space="preserve"> </w:t>
      </w:r>
      <w:r w:rsidRPr="00DA6489">
        <w:rPr>
          <w:rStyle w:val="Policepardfaut1"/>
          <w:rFonts w:cs="Times New Roman"/>
          <w:i/>
          <w:color w:val="000000" w:themeColor="text1"/>
        </w:rPr>
        <w:t xml:space="preserve">pour la protection de l’environnement </w:t>
      </w:r>
      <w:r w:rsidRPr="00DA6489">
        <w:rPr>
          <w:i/>
        </w:rPr>
        <w:t xml:space="preserve">relevant du régime de l’autorisation au titre des rubriques 3230c et/ou 3260, lorsqu’elles </w:t>
      </w:r>
      <w:r w:rsidR="002827F5">
        <w:rPr>
          <w:i/>
        </w:rPr>
        <w:t xml:space="preserve">pratiquent </w:t>
      </w:r>
      <w:r w:rsidRPr="00DA6489">
        <w:rPr>
          <w:i/>
        </w:rPr>
        <w:t>de la galvanisation discontinue, en application des chapitres I</w:t>
      </w:r>
      <w:r w:rsidRPr="00DA6489">
        <w:rPr>
          <w:i/>
          <w:vertAlign w:val="superscript"/>
        </w:rPr>
        <w:t xml:space="preserve">er </w:t>
      </w:r>
      <w:r w:rsidRPr="00DA6489">
        <w:rPr>
          <w:i/>
        </w:rPr>
        <w:t xml:space="preserve">et II de la directive n° 2010/75/UE du 24 novembre 2010 relative aux émissions industrielles et </w:t>
      </w:r>
      <w:r w:rsidR="00A55B8B">
        <w:rPr>
          <w:i/>
        </w:rPr>
        <w:t>aux émissions de l’élevage</w:t>
      </w:r>
      <w:r w:rsidRPr="00DA6489">
        <w:rPr>
          <w:i/>
        </w:rPr>
        <w:t xml:space="preserve"> et de la décision d’exécution (UE) 2022/2110</w:t>
      </w:r>
      <w:r w:rsidRPr="00DA6489" w:rsidDel="008A74D3">
        <w:rPr>
          <w:i/>
        </w:rPr>
        <w:t xml:space="preserve"> </w:t>
      </w:r>
      <w:r w:rsidRPr="00DA6489">
        <w:rPr>
          <w:i/>
        </w:rPr>
        <w:t xml:space="preserve">de la Commission du 11 octobre 2022 établissant les conclusions sur les meilleures techniques disponibles (MTD), au titre de la directive n° 2010/75/UE du Parlement européen et du Conseil relative aux émissions industrielles, dans les industries de transformation des métaux ferreux. </w:t>
      </w:r>
    </w:p>
    <w:p w14:paraId="5513E7AB" w14:textId="61DA56A1" w:rsidR="000C4674" w:rsidRPr="00DA6489" w:rsidRDefault="000C4674" w:rsidP="000C4674">
      <w:pPr>
        <w:rPr>
          <w:i/>
        </w:rPr>
      </w:pPr>
      <w:r w:rsidRPr="00DA6489">
        <w:rPr>
          <w:b/>
          <w:i/>
        </w:rPr>
        <w:t xml:space="preserve">Entrée en vigueur : </w:t>
      </w:r>
      <w:r w:rsidRPr="00DA6489">
        <w:rPr>
          <w:i/>
          <w:iCs/>
        </w:rPr>
        <w:t>le présent arrêté entre en vigueur le lendemain de sa publication. P</w:t>
      </w:r>
      <w:r w:rsidRPr="00DA6489">
        <w:rPr>
          <w:i/>
        </w:rPr>
        <w:t xml:space="preserve">our les installations existantes avant le 5 novembre 2022, l’arrêté est applicable </w:t>
      </w:r>
      <w:r w:rsidRPr="00DA6489">
        <w:rPr>
          <w:rStyle w:val="Policepardfaut1"/>
          <w:rFonts w:cs="Times New Roman"/>
          <w:i/>
          <w:iCs/>
          <w:color w:val="000000" w:themeColor="text1"/>
        </w:rPr>
        <w:t>au</w:t>
      </w:r>
      <w:r w:rsidRPr="00DA6489">
        <w:rPr>
          <w:rFonts w:cs="Times New Roman"/>
          <w:i/>
          <w:iCs/>
          <w:color w:val="000000" w:themeColor="text1"/>
        </w:rPr>
        <w:t xml:space="preserve"> 4 novembre 2026, </w:t>
      </w:r>
      <w:r w:rsidRPr="00DA6489">
        <w:rPr>
          <w:rStyle w:val="Policepardfaut1"/>
          <w:rFonts w:cs="Times New Roman"/>
          <w:i/>
          <w:iCs/>
          <w:color w:val="000000" w:themeColor="text1"/>
        </w:rPr>
        <w:t>lorsqu’il s’agit de l’activité principale</w:t>
      </w:r>
      <w:r w:rsidRPr="00DA6489">
        <w:rPr>
          <w:i/>
        </w:rPr>
        <w:t>. Pour les installations autorisées après le 4 novembre 2022, il est applicable dès leur mise en service.</w:t>
      </w:r>
    </w:p>
    <w:p w14:paraId="596B58F7" w14:textId="6F83FC8F" w:rsidR="000C4674" w:rsidRPr="00DA6489" w:rsidRDefault="000C4674" w:rsidP="000C4674">
      <w:pPr>
        <w:rPr>
          <w:i/>
        </w:rPr>
      </w:pPr>
      <w:r w:rsidRPr="00DA6489">
        <w:rPr>
          <w:b/>
          <w:i/>
        </w:rPr>
        <w:t xml:space="preserve">Application : </w:t>
      </w:r>
      <w:r w:rsidRPr="00DA6489">
        <w:rPr>
          <w:i/>
        </w:rPr>
        <w:t xml:space="preserve">le présent arrêté définit les dispositions relatives aux meilleures techniques disponibles applicables aux installations classées pour la protection de l’environnement soumises à autorisation au titre des rubriques n° 3230c et/ou 3260 de la nomenclature des installations classées pour la protection de l’environnement, lorsqu’elles </w:t>
      </w:r>
      <w:r w:rsidR="002827F5">
        <w:rPr>
          <w:i/>
        </w:rPr>
        <w:t>pratiquent</w:t>
      </w:r>
      <w:r w:rsidRPr="00DA6489">
        <w:rPr>
          <w:i/>
        </w:rPr>
        <w:t xml:space="preserve"> de la galvanisation discontinue, en application des chapitres I</w:t>
      </w:r>
      <w:r w:rsidRPr="00DA6489">
        <w:rPr>
          <w:i/>
          <w:vertAlign w:val="superscript"/>
        </w:rPr>
        <w:t>er</w:t>
      </w:r>
      <w:r w:rsidRPr="00DA6489">
        <w:rPr>
          <w:i/>
        </w:rPr>
        <w:t xml:space="preserve"> et II de la directive n° 2010/75/UE du 24 novembre 2010 relative aux émissions industrielles </w:t>
      </w:r>
      <w:r w:rsidR="00A55B8B">
        <w:rPr>
          <w:i/>
        </w:rPr>
        <w:t xml:space="preserve">et aux émissions  de l’élevages </w:t>
      </w:r>
      <w:r w:rsidRPr="00DA6489">
        <w:rPr>
          <w:i/>
        </w:rPr>
        <w:t>.</w:t>
      </w:r>
      <w:r w:rsidR="00A55B8B">
        <w:rPr>
          <w:i/>
        </w:rPr>
        <w:t>Il est pris au titre de l’article L.</w:t>
      </w:r>
      <w:r w:rsidR="00D96D0F">
        <w:rPr>
          <w:i/>
        </w:rPr>
        <w:t xml:space="preserve"> </w:t>
      </w:r>
      <w:r w:rsidR="00A55B8B">
        <w:rPr>
          <w:i/>
        </w:rPr>
        <w:t>512-5 du code de l’environnement.</w:t>
      </w:r>
    </w:p>
    <w:p w14:paraId="78685383" w14:textId="56D8CF9C" w:rsidR="005C0576" w:rsidRPr="00DA6489" w:rsidRDefault="005C0576" w:rsidP="000C4674">
      <w:pPr>
        <w:rPr>
          <w:i/>
        </w:rPr>
      </w:pPr>
    </w:p>
    <w:p w14:paraId="5558B813" w14:textId="77777777" w:rsidR="005C0576" w:rsidRPr="00DA6489" w:rsidRDefault="005C0576"/>
    <w:p w14:paraId="479A8665" w14:textId="6E5495E9" w:rsidR="005C0576" w:rsidRPr="00DA6489" w:rsidRDefault="00520523">
      <w:pPr>
        <w:ind w:firstLine="709"/>
        <w:rPr>
          <w:b/>
        </w:rPr>
      </w:pPr>
      <w:r w:rsidRPr="00DA6489">
        <w:rPr>
          <w:b/>
        </w:rPr>
        <w:t xml:space="preserve">La </w:t>
      </w:r>
      <w:r w:rsidR="00550B55" w:rsidRPr="00DA6489">
        <w:rPr>
          <w:b/>
          <w:bCs/>
        </w:rPr>
        <w:t>ministre de la transition écologique, de la biodiversité et des négociations internationales sur le climat et la nature</w:t>
      </w:r>
      <w:r w:rsidRPr="00DA6489">
        <w:rPr>
          <w:b/>
        </w:rPr>
        <w:t xml:space="preserve">, </w:t>
      </w:r>
    </w:p>
    <w:p w14:paraId="0E22B433" w14:textId="3FE4615B" w:rsidR="00F75F3F" w:rsidRPr="00DA6489" w:rsidRDefault="00F75F3F">
      <w:pPr>
        <w:ind w:firstLine="708"/>
      </w:pPr>
      <w:r w:rsidRPr="00DA6489">
        <w:t xml:space="preserve">Vu le règlement (CE) </w:t>
      </w:r>
      <w:r w:rsidR="000C4674" w:rsidRPr="00DA6489">
        <w:t>n°</w:t>
      </w:r>
      <w:r w:rsidRPr="00DA6489">
        <w:t>1907/2006 du Parlement européen et du Conseil du 18 décembre 2006 concernant l'enregistrement, l'évaluation et l'autorisation des substances chimiques, ainsi que les restrictions applicables à ces substances (REACH), instituant une agence européenne des produits chimiques, modifiant la directive 1999/45/CE et abrogeant le règlement (CEE) n</w:t>
      </w:r>
      <w:r w:rsidR="00702296">
        <w:t>°</w:t>
      </w:r>
      <w:r w:rsidRPr="00DA6489">
        <w:t xml:space="preserve">  793/93 du Conseil et le règlement (CE) </w:t>
      </w:r>
      <w:r w:rsidR="000C4674" w:rsidRPr="00DA6489">
        <w:t>n°</w:t>
      </w:r>
      <w:r w:rsidR="00702296">
        <w:t xml:space="preserve"> </w:t>
      </w:r>
      <w:r w:rsidRPr="00DA6489">
        <w:t>1488/94 de la Commission ainsi que la directive 76/769/CEE du Conseil et les directives 91/155/CEE, 93/67/CEE, 93/105/CE et 2000/21/CE de la Commission ;</w:t>
      </w:r>
    </w:p>
    <w:p w14:paraId="6467C465" w14:textId="77777777" w:rsidR="00F75F3F" w:rsidRPr="00DA6489" w:rsidRDefault="00F75F3F" w:rsidP="00DA6489">
      <w:pPr>
        <w:widowControl w:val="0"/>
        <w:spacing w:after="0"/>
        <w:ind w:firstLine="708"/>
      </w:pPr>
      <w:r w:rsidRPr="00DA6489">
        <w:t>Vu la directive 2008/98/CE du Parlement européen et du Conseil du 19 novembre 2008 relative aux déchets et abrogeant certaines directives ;</w:t>
      </w:r>
    </w:p>
    <w:p w14:paraId="7BE6358C" w14:textId="77777777" w:rsidR="00F75F3F" w:rsidRPr="00DA6489" w:rsidRDefault="00F75F3F" w:rsidP="00F75F3F">
      <w:pPr>
        <w:widowControl w:val="0"/>
        <w:spacing w:after="0"/>
      </w:pPr>
    </w:p>
    <w:p w14:paraId="49A13A6A" w14:textId="528C1CC9" w:rsidR="005C0576" w:rsidRPr="00DA6489" w:rsidRDefault="00520523">
      <w:pPr>
        <w:ind w:firstLine="708"/>
      </w:pPr>
      <w:r w:rsidRPr="00DA6489">
        <w:t xml:space="preserve">Vu la directive 2010/75/UE </w:t>
      </w:r>
      <w:r w:rsidR="00702296">
        <w:t xml:space="preserve">modifiée </w:t>
      </w:r>
      <w:r w:rsidRPr="00DA6489">
        <w:t xml:space="preserve">du Parlement européen et du Conseil du 24 novembre 2010 relative aux émissions industrielles </w:t>
      </w:r>
      <w:r w:rsidR="000C4674" w:rsidRPr="00DA6489">
        <w:t xml:space="preserve">et aux émissions de l’élevage </w:t>
      </w:r>
      <w:r w:rsidRPr="00DA6489">
        <w:t>(prévention et réduction intégrées de la pollution) ;</w:t>
      </w:r>
    </w:p>
    <w:p w14:paraId="494AC667" w14:textId="77777777" w:rsidR="00722F7C" w:rsidRPr="00DA6489" w:rsidRDefault="00520523">
      <w:pPr>
        <w:ind w:firstLine="708"/>
      </w:pPr>
      <w:r w:rsidRPr="00DA6489">
        <w:t xml:space="preserve">Vu la décision d’exécution (UE) 2022/2110 de la Commission du 11 octobre 2022 établissant les meilleures techniques disponibles (MTD), au titre de la directive 2010/75/UE du Parlement européen et du Conseil relative aux émissions industrielles, </w:t>
      </w:r>
      <w:r w:rsidR="008A74D3" w:rsidRPr="00DA6489">
        <w:t xml:space="preserve">dans </w:t>
      </w:r>
      <w:r w:rsidRPr="00DA6489">
        <w:t>les industries de transformation des métaux ferreux ;</w:t>
      </w:r>
    </w:p>
    <w:p w14:paraId="54AA4BB6" w14:textId="77777777" w:rsidR="005C0576" w:rsidRPr="00DA6489" w:rsidRDefault="00520523">
      <w:pPr>
        <w:ind w:firstLine="708"/>
      </w:pPr>
      <w:r w:rsidRPr="00DA6489">
        <w:t xml:space="preserve">Vu le code de l’environnement, </w:t>
      </w:r>
      <w:r w:rsidR="00E222A6" w:rsidRPr="00DA6489">
        <w:t>notamment le titre VIII de son livre I</w:t>
      </w:r>
      <w:r w:rsidR="00E222A6" w:rsidRPr="00DA6489">
        <w:rPr>
          <w:vertAlign w:val="superscript"/>
        </w:rPr>
        <w:t>er</w:t>
      </w:r>
      <w:r w:rsidR="00E222A6" w:rsidRPr="00DA6489">
        <w:t xml:space="preserve"> et le titre I</w:t>
      </w:r>
      <w:r w:rsidR="00E222A6" w:rsidRPr="00DA6489">
        <w:rPr>
          <w:vertAlign w:val="superscript"/>
        </w:rPr>
        <w:t>er</w:t>
      </w:r>
      <w:r w:rsidR="00E222A6" w:rsidRPr="00DA6489">
        <w:t xml:space="preserve"> de son livre V ;</w:t>
      </w:r>
    </w:p>
    <w:p w14:paraId="24276D58" w14:textId="2929B4AA" w:rsidR="005C0576" w:rsidRPr="00DA6489" w:rsidRDefault="00520523">
      <w:pPr>
        <w:ind w:firstLine="708"/>
      </w:pPr>
      <w:r w:rsidRPr="00DA6489">
        <w:t xml:space="preserve">Vu la nomenclature des installations classées pour la protection de l’environnement définie en annexe </w:t>
      </w:r>
      <w:r w:rsidR="000C4674" w:rsidRPr="00DA6489">
        <w:t xml:space="preserve">à </w:t>
      </w:r>
      <w:r w:rsidRPr="00DA6489">
        <w:t>l’article R. 511-9 du code de l’environnement ;</w:t>
      </w:r>
    </w:p>
    <w:p w14:paraId="179A95D9" w14:textId="7136C52D" w:rsidR="00F75F3F" w:rsidRPr="00DA6489" w:rsidRDefault="00F75F3F" w:rsidP="00F75F3F">
      <w:pPr>
        <w:ind w:firstLine="708"/>
      </w:pPr>
      <w:r w:rsidRPr="00DA6489">
        <w:t xml:space="preserve">Vu l’arrêté du 2 février 1998 </w:t>
      </w:r>
      <w:r w:rsidR="000C4674" w:rsidRPr="00DA6489">
        <w:t xml:space="preserve">modifié </w:t>
      </w:r>
      <w:r w:rsidRPr="00DA6489">
        <w:t>relatif aux prélèvements et à la consommation d’eau ainsi qu’aux émissions de toute nature des installations classées pour la protection de l’environnement soumises à autorisation ;</w:t>
      </w:r>
    </w:p>
    <w:p w14:paraId="2073673F" w14:textId="77777777" w:rsidR="005C0576" w:rsidRPr="00DA6489" w:rsidRDefault="00520523">
      <w:pPr>
        <w:ind w:firstLine="708"/>
      </w:pPr>
      <w:r w:rsidRPr="00DA6489">
        <w:t>Vu l’arrêté du 30 juin 2006 relatif aux prescriptions générales applicables aux installations relevant du régime de l'autorisation au titre de la rubrique n° 3260 de la nomenclature des installations classées pour la protection de l'environnement ;</w:t>
      </w:r>
    </w:p>
    <w:p w14:paraId="064CA552" w14:textId="77777777" w:rsidR="005C0576" w:rsidRPr="00DA6489" w:rsidRDefault="00520523">
      <w:pPr>
        <w:ind w:firstLine="708"/>
      </w:pPr>
      <w:r w:rsidRPr="00DA6489">
        <w:t>Vu l’arrêté du 2 mai 2013 relatif aux définitions, liste et critères de la directive 2010/75/UE du Parlement européen et du Conseil du 24 novembre 2010 relative aux émissions industrielles (prévention et réduction intégrées de la pollution) ;</w:t>
      </w:r>
    </w:p>
    <w:p w14:paraId="456EEE91" w14:textId="77777777" w:rsidR="005C0576" w:rsidRPr="00DA6489" w:rsidRDefault="00520523">
      <w:pPr>
        <w:ind w:firstLine="708"/>
      </w:pPr>
      <w:r w:rsidRPr="00DA6489">
        <w:t>Vu l’avis des organisations professionnelles intéressées ;</w:t>
      </w:r>
    </w:p>
    <w:p w14:paraId="4BC2F7DB" w14:textId="77777777" w:rsidR="005C0576" w:rsidRPr="00DA6489" w:rsidRDefault="00520523">
      <w:pPr>
        <w:ind w:firstLine="708"/>
      </w:pPr>
      <w:r w:rsidRPr="00DA6489">
        <w:t>Vu l’avis des ministres intéressés ;</w:t>
      </w:r>
    </w:p>
    <w:p w14:paraId="11AB7BD5" w14:textId="77777777" w:rsidR="005C0576" w:rsidRPr="00DA6489" w:rsidRDefault="00520523">
      <w:pPr>
        <w:ind w:firstLine="708"/>
      </w:pPr>
      <w:r w:rsidRPr="00DA6489">
        <w:t>Vu l’avis du Conseil supérieur de la prévention des risques technologiques du XXX ;</w:t>
      </w:r>
    </w:p>
    <w:p w14:paraId="7ABA43BC" w14:textId="77777777" w:rsidR="005C0576" w:rsidRPr="00DA6489" w:rsidRDefault="00520523">
      <w:pPr>
        <w:ind w:firstLine="708"/>
      </w:pPr>
      <w:r w:rsidRPr="00DA6489">
        <w:t>Vu les observations formulées lors de la consultation publique réalisée du XXX au XXX en application de l’article L. 123-19-1 du code de l’environnement,</w:t>
      </w:r>
    </w:p>
    <w:p w14:paraId="56C58DB0" w14:textId="77777777" w:rsidR="00636254" w:rsidRPr="00DA6489" w:rsidRDefault="00636254"/>
    <w:p w14:paraId="73D985A8" w14:textId="77777777" w:rsidR="005C0576" w:rsidRPr="00DA6489" w:rsidRDefault="00520523" w:rsidP="007A14CF">
      <w:pPr>
        <w:jc w:val="center"/>
        <w:rPr>
          <w:bCs/>
        </w:rPr>
      </w:pPr>
      <w:r w:rsidRPr="00DA6489">
        <w:rPr>
          <w:bCs/>
        </w:rPr>
        <w:t>Arrête :</w:t>
      </w:r>
    </w:p>
    <w:p w14:paraId="7AE96D5F" w14:textId="77777777" w:rsidR="005C0576" w:rsidRPr="00DA6489" w:rsidRDefault="00520523" w:rsidP="008A74D3">
      <w:pPr>
        <w:pStyle w:val="Article"/>
      </w:pPr>
      <w:r w:rsidRPr="00DA6489">
        <w:t>Article 1</w:t>
      </w:r>
      <w:r w:rsidRPr="00DA6489">
        <w:rPr>
          <w:vertAlign w:val="superscript"/>
        </w:rPr>
        <w:t>er</w:t>
      </w:r>
      <w:r w:rsidR="008A74D3" w:rsidRPr="00DA6489">
        <w:t xml:space="preserve"> </w:t>
      </w:r>
    </w:p>
    <w:p w14:paraId="6815D2B7" w14:textId="12DFB8AE" w:rsidR="007B5C1C" w:rsidRPr="00DA6489" w:rsidRDefault="00D12E38">
      <w:r w:rsidRPr="00DA6489">
        <w:lastRenderedPageBreak/>
        <w:t>I.</w:t>
      </w:r>
      <w:r w:rsidR="00074C2A" w:rsidRPr="00DA6489">
        <w:t xml:space="preserve"> – </w:t>
      </w:r>
      <w:r w:rsidR="00520523" w:rsidRPr="00DA6489">
        <w:t xml:space="preserve">Le présent arrêté fixe les prescriptions applicables </w:t>
      </w:r>
      <w:r w:rsidR="00910F31" w:rsidRPr="00DA6489">
        <w:t>au</w:t>
      </w:r>
      <w:r w:rsidR="00684BCD" w:rsidRPr="00DA6489">
        <w:t>x</w:t>
      </w:r>
      <w:r w:rsidR="00074C2A" w:rsidRPr="00DA6489">
        <w:t xml:space="preserve"> </w:t>
      </w:r>
      <w:r w:rsidR="007B5C1C" w:rsidRPr="00DA6489">
        <w:t xml:space="preserve">activités de galvanisation discontinue </w:t>
      </w:r>
      <w:r w:rsidR="00702296">
        <w:t>mises en œuvre</w:t>
      </w:r>
      <w:r w:rsidR="00702296" w:rsidRPr="00DA6489">
        <w:t xml:space="preserve"> </w:t>
      </w:r>
      <w:r w:rsidR="007B5C1C" w:rsidRPr="00DA6489">
        <w:t xml:space="preserve">dans une installation classée pour la protection de l’environnement soumise à autorisation </w:t>
      </w:r>
      <w:r w:rsidR="00074C2A" w:rsidRPr="00DA6489">
        <w:t>au titre de l’</w:t>
      </w:r>
      <w:r w:rsidR="007B5C1C" w:rsidRPr="00DA6489">
        <w:t xml:space="preserve">une </w:t>
      </w:r>
      <w:r w:rsidR="00074C2A" w:rsidRPr="00DA6489">
        <w:t xml:space="preserve">au moins </w:t>
      </w:r>
      <w:r w:rsidR="007B5C1C" w:rsidRPr="00DA6489">
        <w:t>des rubriques suivantes :</w:t>
      </w:r>
    </w:p>
    <w:p w14:paraId="2841A467" w14:textId="5DD4A329" w:rsidR="005C0576" w:rsidRPr="00DA6489" w:rsidRDefault="00074C2A" w:rsidP="00074C2A">
      <w:r w:rsidRPr="00DA6489">
        <w:t xml:space="preserve">- </w:t>
      </w:r>
      <w:r w:rsidR="00520523" w:rsidRPr="00DA6489">
        <w:t xml:space="preserve">3230c : </w:t>
      </w:r>
      <w:r w:rsidRPr="00DA6489">
        <w:t>a</w:t>
      </w:r>
      <w:r w:rsidR="00520523" w:rsidRPr="00DA6489">
        <w:t>pplication de couches de protection de métal en fusion avec une capacité de traitement supérieure à 2 tonnes d'acier brut par heure ;</w:t>
      </w:r>
    </w:p>
    <w:p w14:paraId="794CC8CC" w14:textId="41844997" w:rsidR="005C0576" w:rsidRPr="00DA6489" w:rsidRDefault="00074C2A" w:rsidP="00074C2A">
      <w:r w:rsidRPr="00DA6489">
        <w:t xml:space="preserve">- </w:t>
      </w:r>
      <w:r w:rsidR="00520523" w:rsidRPr="00DA6489">
        <w:t xml:space="preserve">3260 : </w:t>
      </w:r>
      <w:r w:rsidRPr="00DA6489">
        <w:t>t</w:t>
      </w:r>
      <w:r w:rsidR="00520523" w:rsidRPr="00DA6489">
        <w:t>raitement de surface de métaux ou de matières plastiques par un procédé électrolytique ou chimique pour lequel le volume des cuves affectées au traitement est supérieur à 30 m</w:t>
      </w:r>
      <w:r w:rsidR="00520523" w:rsidRPr="00DA6489">
        <w:rPr>
          <w:vertAlign w:val="superscript"/>
        </w:rPr>
        <w:t>3</w:t>
      </w:r>
      <w:r w:rsidR="00D12E38" w:rsidRPr="00DA6489">
        <w:rPr>
          <w:vertAlign w:val="superscript"/>
        </w:rPr>
        <w:t>.</w:t>
      </w:r>
    </w:p>
    <w:p w14:paraId="11C041F5" w14:textId="29B29617" w:rsidR="005C0576" w:rsidRPr="00DA6489" w:rsidRDefault="00D12E38">
      <w:r w:rsidRPr="00DA6489">
        <w:t>II.</w:t>
      </w:r>
      <w:r w:rsidR="00074C2A" w:rsidRPr="00DA6489">
        <w:t xml:space="preserve"> – </w:t>
      </w:r>
      <w:r w:rsidR="00520523" w:rsidRPr="00DA6489">
        <w:t>Les installations ou activités suivantes sont exclues du champ d’application du présent arrêté :</w:t>
      </w:r>
    </w:p>
    <w:p w14:paraId="17AF139F" w14:textId="5BD65180" w:rsidR="005C0576" w:rsidRPr="00DA6489" w:rsidRDefault="00074C2A" w:rsidP="00074C2A">
      <w:r w:rsidRPr="00DA6489">
        <w:t xml:space="preserve">- </w:t>
      </w:r>
      <w:r w:rsidR="00520523" w:rsidRPr="00DA6489">
        <w:t>le revêtement métallique par pulvérisation à chaud ;</w:t>
      </w:r>
    </w:p>
    <w:p w14:paraId="32907668" w14:textId="48018021" w:rsidR="005C0576" w:rsidRPr="00DA6489" w:rsidRDefault="00074C2A" w:rsidP="00074C2A">
      <w:r w:rsidRPr="00DA6489">
        <w:t xml:space="preserve">- </w:t>
      </w:r>
      <w:r w:rsidR="00520523" w:rsidRPr="00DA6489">
        <w:t>la galvanoplastie et le dépôt chimique ;</w:t>
      </w:r>
    </w:p>
    <w:p w14:paraId="6B1B3DBC" w14:textId="389720BB" w:rsidR="005C0576" w:rsidRPr="00DA6489" w:rsidRDefault="00074C2A" w:rsidP="00074C2A">
      <w:r w:rsidRPr="00DA6489">
        <w:t xml:space="preserve">- </w:t>
      </w:r>
      <w:r w:rsidR="00520523" w:rsidRPr="00DA6489">
        <w:t>le laminage à froid ;</w:t>
      </w:r>
    </w:p>
    <w:p w14:paraId="0F1C39DB" w14:textId="6C79942F" w:rsidR="00910F31" w:rsidRPr="00DA6489" w:rsidRDefault="00074C2A" w:rsidP="00074C2A">
      <w:r w:rsidRPr="00DA6489">
        <w:t xml:space="preserve">- </w:t>
      </w:r>
      <w:r w:rsidR="00520523" w:rsidRPr="00DA6489">
        <w:t>le tréfilage ;</w:t>
      </w:r>
    </w:p>
    <w:p w14:paraId="48E4310B" w14:textId="42DD7E02" w:rsidR="005C0576" w:rsidRPr="00DA6489" w:rsidRDefault="00074C2A" w:rsidP="00074C2A">
      <w:r w:rsidRPr="00DA6489">
        <w:t xml:space="preserve">- </w:t>
      </w:r>
      <w:r w:rsidR="00D12E38" w:rsidRPr="00DA6489">
        <w:t>l</w:t>
      </w:r>
      <w:r w:rsidR="00520523" w:rsidRPr="00DA6489">
        <w:t>a galvanisation continue.</w:t>
      </w:r>
    </w:p>
    <w:p w14:paraId="753A4C75" w14:textId="77777777" w:rsidR="005C0576" w:rsidRPr="00DA6489" w:rsidRDefault="00520523">
      <w:pPr>
        <w:pStyle w:val="Article"/>
      </w:pPr>
      <w:r w:rsidRPr="00DA6489">
        <w:t>Article 2</w:t>
      </w:r>
    </w:p>
    <w:p w14:paraId="783F3AA2" w14:textId="1B12C540" w:rsidR="005C0576" w:rsidRPr="00DA6489" w:rsidRDefault="00D12E38" w:rsidP="00C92F5E">
      <w:r w:rsidRPr="00DA6489">
        <w:t>I.</w:t>
      </w:r>
      <w:r w:rsidR="00C92F5E" w:rsidRPr="00DA6489">
        <w:t xml:space="preserve"> – </w:t>
      </w:r>
      <w:r w:rsidR="00520523" w:rsidRPr="00DA6489">
        <w:t xml:space="preserve">Les prescriptions de l’annexe </w:t>
      </w:r>
      <w:r w:rsidR="00DA6489" w:rsidRPr="00DA6489">
        <w:t xml:space="preserve">I </w:t>
      </w:r>
      <w:r w:rsidR="00520523" w:rsidRPr="00DA6489">
        <w:t>sont immédiatement applicables</w:t>
      </w:r>
      <w:r w:rsidRPr="00DA6489">
        <w:t> </w:t>
      </w:r>
      <w:r w:rsidR="00520523" w:rsidRPr="00DA6489">
        <w:t>aux installations</w:t>
      </w:r>
      <w:r w:rsidR="00074C2A" w:rsidRPr="00DA6489">
        <w:t xml:space="preserve"> nouvelles, aux extensions ou au remplacement complet des installations existantes</w:t>
      </w:r>
      <w:r w:rsidR="00F037BA" w:rsidRPr="00DA6489">
        <w:t xml:space="preserve"> </w:t>
      </w:r>
      <w:r w:rsidR="00097A79">
        <w:t>classées</w:t>
      </w:r>
      <w:r w:rsidR="00052A84" w:rsidRPr="00DA6489">
        <w:t xml:space="preserve"> </w:t>
      </w:r>
      <w:r w:rsidR="00052A84" w:rsidRPr="00DA6489">
        <w:rPr>
          <w:rFonts w:cs="Times New Roman"/>
          <w:color w:val="000000" w:themeColor="text1"/>
        </w:rPr>
        <w:t>au titre d’une ou plusieurs rubriques listées à l’article 1</w:t>
      </w:r>
      <w:r w:rsidR="00052A84" w:rsidRPr="00DA6489">
        <w:rPr>
          <w:rFonts w:cs="Times New Roman"/>
          <w:color w:val="000000" w:themeColor="text1"/>
          <w:vertAlign w:val="superscript"/>
        </w:rPr>
        <w:t>er</w:t>
      </w:r>
      <w:r w:rsidR="00052A84" w:rsidRPr="00DA6489">
        <w:rPr>
          <w:rFonts w:cs="Times New Roman"/>
          <w:color w:val="000000" w:themeColor="text1"/>
        </w:rPr>
        <w:t xml:space="preserve">, </w:t>
      </w:r>
      <w:r w:rsidR="007E146C" w:rsidRPr="00DA6489">
        <w:t>autorisées après le 4 novembre 2022.</w:t>
      </w:r>
    </w:p>
    <w:p w14:paraId="2CB95875" w14:textId="650708F5" w:rsidR="005C0576" w:rsidRPr="00DA6489" w:rsidRDefault="001E3DBB">
      <w:r w:rsidRPr="00DA6489">
        <w:t>Les autres modifications de l'installation portées à la connaissance du préfet en application du II de l'</w:t>
      </w:r>
      <w:hyperlink r:id="rId8" w:tooltip="Code de l'environnement - art. R181-46" w:history="1">
        <w:r w:rsidRPr="00DA6489">
          <w:rPr>
            <w:rStyle w:val="Lienhypertexte"/>
            <w:color w:val="auto"/>
            <w:u w:val="none"/>
          </w:rPr>
          <w:t>article R. 181-46 du code de l'environnement</w:t>
        </w:r>
      </w:hyperlink>
      <w:r w:rsidRPr="00DA6489">
        <w:t xml:space="preserve"> après </w:t>
      </w:r>
      <w:r w:rsidR="000C4674" w:rsidRPr="00DA6489">
        <w:t xml:space="preserve">la </w:t>
      </w:r>
      <w:r w:rsidRPr="00DA6489">
        <w:t>date prévue au I</w:t>
      </w:r>
      <w:r w:rsidR="004324A3" w:rsidRPr="00DA6489">
        <w:t xml:space="preserve"> du présent article</w:t>
      </w:r>
      <w:r w:rsidRPr="00DA6489">
        <w:t>, prennent en compte autant que possible les prescriptions du présent arrêté.</w:t>
      </w:r>
    </w:p>
    <w:p w14:paraId="5D8340DE" w14:textId="26923F6C" w:rsidR="005C0576" w:rsidRPr="00DA6489" w:rsidRDefault="001E7C13">
      <w:r w:rsidRPr="00DA6489">
        <w:t>II.</w:t>
      </w:r>
      <w:r w:rsidR="00C92F5E" w:rsidRPr="00DA6489">
        <w:t xml:space="preserve"> – </w:t>
      </w:r>
      <w:r w:rsidR="00520523" w:rsidRPr="00DA6489">
        <w:t xml:space="preserve">Les prescriptions de l’annexe sont applicables </w:t>
      </w:r>
      <w:r w:rsidRPr="00DA6489">
        <w:t xml:space="preserve">au 4 novembre 2026 pour </w:t>
      </w:r>
      <w:r w:rsidR="00652248" w:rsidRPr="00DA6489">
        <w:t xml:space="preserve">les </w:t>
      </w:r>
      <w:r w:rsidR="00520523" w:rsidRPr="00DA6489">
        <w:t>installations</w:t>
      </w:r>
      <w:r w:rsidR="00812209" w:rsidRPr="00DA6489">
        <w:t xml:space="preserve"> </w:t>
      </w:r>
      <w:r w:rsidRPr="00DA6489">
        <w:t>autorisées avant le 5 novembre 2022</w:t>
      </w:r>
      <w:r w:rsidR="00520523" w:rsidRPr="00DA6489">
        <w:t>, dont les conclusions sur les meilleures techniques disponibles relatives à la rubrique principale</w:t>
      </w:r>
      <w:r w:rsidR="00C92F5E" w:rsidRPr="00DA6489">
        <w:t>, telles que mentionnées</w:t>
      </w:r>
      <w:r w:rsidR="00520523" w:rsidRPr="00DA6489">
        <w:t xml:space="preserve"> à l’article R. 515-61 du code de l’environnement</w:t>
      </w:r>
      <w:r w:rsidR="00C92F5E" w:rsidRPr="00DA6489">
        <w:t>,</w:t>
      </w:r>
      <w:r w:rsidR="00520523" w:rsidRPr="00DA6489">
        <w:t xml:space="preserve"> sont celles de la décision d’exécution (UE) 2022/2110</w:t>
      </w:r>
      <w:r w:rsidR="00915B42" w:rsidRPr="00DA6489">
        <w:t xml:space="preserve"> susvisée</w:t>
      </w:r>
      <w:r w:rsidR="00E222A6" w:rsidRPr="00DA6489">
        <w:t>.</w:t>
      </w:r>
    </w:p>
    <w:p w14:paraId="0F5C5F9D" w14:textId="7F562058" w:rsidR="005C0576" w:rsidRPr="00DA6489" w:rsidRDefault="001E7C13">
      <w:r w:rsidRPr="00DA6489">
        <w:t xml:space="preserve">III. </w:t>
      </w:r>
      <w:r w:rsidR="00C92F5E" w:rsidRPr="00DA6489">
        <w:t xml:space="preserve">– </w:t>
      </w:r>
      <w:r w:rsidR="00520523" w:rsidRPr="00DA6489">
        <w:t xml:space="preserve">Les prescriptions de l’annexe sont applicables aux installations </w:t>
      </w:r>
      <w:r w:rsidR="00097A79">
        <w:t xml:space="preserve">classées </w:t>
      </w:r>
      <w:r w:rsidR="00652248" w:rsidRPr="00DA6489">
        <w:rPr>
          <w:rFonts w:cs="Times New Roman"/>
          <w:color w:val="000000" w:themeColor="text1"/>
        </w:rPr>
        <w:t>au titre d’une ou plusieurs rubriques listées à l’article 1</w:t>
      </w:r>
      <w:r w:rsidR="00652248" w:rsidRPr="00DA6489">
        <w:rPr>
          <w:rFonts w:cs="Times New Roman"/>
          <w:color w:val="000000" w:themeColor="text1"/>
          <w:vertAlign w:val="superscript"/>
        </w:rPr>
        <w:t>er</w:t>
      </w:r>
      <w:r w:rsidR="00652248" w:rsidRPr="00DA6489">
        <w:rPr>
          <w:rFonts w:cs="Times New Roman"/>
          <w:color w:val="000000" w:themeColor="text1"/>
        </w:rPr>
        <w:t xml:space="preserve"> </w:t>
      </w:r>
      <w:r w:rsidR="00520523" w:rsidRPr="00DA6489">
        <w:t>autorisées avant le 5 novembre 2022, dont les conclusions sur les meilleures techniques disponibles relatives à la rubrique principale</w:t>
      </w:r>
      <w:r w:rsidR="00F037BA" w:rsidRPr="00DA6489">
        <w:t xml:space="preserve">, telles que mentionnées </w:t>
      </w:r>
      <w:r w:rsidR="00520523" w:rsidRPr="00DA6489">
        <w:t xml:space="preserve">à l’article R. 515-61 </w:t>
      </w:r>
      <w:r w:rsidR="00F037BA" w:rsidRPr="00DA6489">
        <w:t xml:space="preserve">du code de l’environnement, </w:t>
      </w:r>
      <w:r w:rsidR="00520523" w:rsidRPr="00DA6489">
        <w:t>ne sont pas celles de la décision d’exécution (UE) 2022/2110</w:t>
      </w:r>
      <w:r w:rsidR="00915B42" w:rsidRPr="00DA6489">
        <w:t xml:space="preserve"> susvisé</w:t>
      </w:r>
      <w:r w:rsidR="000B6924" w:rsidRPr="00DA6489">
        <w:t>e</w:t>
      </w:r>
      <w:r w:rsidR="00C060D3" w:rsidRPr="00DA6489">
        <w:t xml:space="preserve"> </w:t>
      </w:r>
      <w:r w:rsidR="00520523" w:rsidRPr="00DA6489">
        <w:t>:</w:t>
      </w:r>
    </w:p>
    <w:p w14:paraId="65CCD124" w14:textId="7C4060DD" w:rsidR="005C0576" w:rsidRPr="00DA6489" w:rsidRDefault="00F037BA" w:rsidP="00F037BA">
      <w:r w:rsidRPr="00DA6489">
        <w:t xml:space="preserve">- </w:t>
      </w:r>
      <w:r w:rsidR="00DC44EE" w:rsidRPr="00DA6489">
        <w:t xml:space="preserve">dans un délai de </w:t>
      </w:r>
      <w:r w:rsidR="00915B42" w:rsidRPr="00DA6489">
        <w:t xml:space="preserve">quatre </w:t>
      </w:r>
      <w:r w:rsidR="00520523" w:rsidRPr="00DA6489">
        <w:t xml:space="preserve">ans </w:t>
      </w:r>
      <w:r w:rsidR="00DC44EE" w:rsidRPr="00DA6489">
        <w:t>à compter de la date de publication au Journal officiel de l'Union européenne</w:t>
      </w:r>
      <w:r w:rsidR="00E84B8D" w:rsidRPr="00DA6489">
        <w:t xml:space="preserve">, postérieure au </w:t>
      </w:r>
      <w:r w:rsidR="008C0291" w:rsidRPr="00DA6489">
        <w:t>5</w:t>
      </w:r>
      <w:r w:rsidRPr="00DA6489">
        <w:t xml:space="preserve"> </w:t>
      </w:r>
      <w:r w:rsidR="00E84B8D" w:rsidRPr="00DA6489">
        <w:t xml:space="preserve">novembre 2022, </w:t>
      </w:r>
      <w:r w:rsidR="00DC44EE" w:rsidRPr="00DA6489">
        <w:t xml:space="preserve">de la décision d'exécution établissant les conclusions sur les meilleures techniques disponibles relatives à la rubrique principale </w:t>
      </w:r>
      <w:r w:rsidR="00520523" w:rsidRPr="00DA6489">
        <w:t xml:space="preserve">prévue </w:t>
      </w:r>
      <w:r w:rsidRPr="00DA6489">
        <w:t xml:space="preserve">au même </w:t>
      </w:r>
      <w:r w:rsidR="00520523" w:rsidRPr="00DA6489">
        <w:t>article R. 515-61 ;</w:t>
      </w:r>
    </w:p>
    <w:p w14:paraId="7D803A60" w14:textId="4CD102E8" w:rsidR="005C0576" w:rsidRPr="00DA6489" w:rsidRDefault="00F037BA" w:rsidP="00F037BA">
      <w:r w:rsidRPr="00DA6489">
        <w:t xml:space="preserve">- </w:t>
      </w:r>
      <w:r w:rsidR="00915B42" w:rsidRPr="00DA6489">
        <w:t xml:space="preserve">à </w:t>
      </w:r>
      <w:r w:rsidR="00520523" w:rsidRPr="00DA6489">
        <w:t xml:space="preserve">compter du </w:t>
      </w:r>
      <w:r w:rsidR="00E7407D" w:rsidRPr="00DA6489">
        <w:t xml:space="preserve">5 </w:t>
      </w:r>
      <w:r w:rsidR="00915B42" w:rsidRPr="00DA6489">
        <w:t xml:space="preserve">novembre </w:t>
      </w:r>
      <w:r w:rsidR="00520523" w:rsidRPr="00DA6489">
        <w:t xml:space="preserve">2026, lorsque </w:t>
      </w:r>
      <w:r w:rsidRPr="00DA6489">
        <w:t xml:space="preserve">cette publication </w:t>
      </w:r>
      <w:r w:rsidR="00520523" w:rsidRPr="00DA6489">
        <w:t xml:space="preserve">au Journal officiel de l’Union européenne de la décision d’exécution établissant les conclusions sur les meilleures techniques disponibles relatives à la rubrique principale prévues à l’article R. 515-61 est intervenue entre le </w:t>
      </w:r>
      <w:r w:rsidR="00915B42" w:rsidRPr="00DA6489">
        <w:t xml:space="preserve">4 novembre 2020 </w:t>
      </w:r>
      <w:r w:rsidR="00520523" w:rsidRPr="00DA6489">
        <w:t xml:space="preserve">et le </w:t>
      </w:r>
      <w:r w:rsidR="00915B42" w:rsidRPr="00DA6489">
        <w:t>4 novembre 2022</w:t>
      </w:r>
      <w:r w:rsidR="00520523" w:rsidRPr="00DA6489">
        <w:t>.</w:t>
      </w:r>
    </w:p>
    <w:p w14:paraId="3B4C6F15" w14:textId="6DA5905C" w:rsidR="00E84B8D" w:rsidRPr="00DA6489" w:rsidRDefault="00F037BA" w:rsidP="00E84B8D">
      <w:r w:rsidRPr="00DA6489">
        <w:t>IV. – Aux dates prévues par les I, II et III</w:t>
      </w:r>
      <w:r w:rsidR="00484151" w:rsidRPr="00DA6489">
        <w:t xml:space="preserve"> du présent article</w:t>
      </w:r>
      <w:r w:rsidR="00E84B8D" w:rsidRPr="00DA6489">
        <w:t>, l’exploitant met en œuvre les meilleures techniques disponibles telles que décrites en annexe ou garantissant un niveau de protection de l’environnement équivalent dans les conditions fixées au II de l’article R. 515-62</w:t>
      </w:r>
      <w:r w:rsidRPr="00DA6489">
        <w:t xml:space="preserve"> du code de l’environnement</w:t>
      </w:r>
      <w:r w:rsidR="00E84B8D" w:rsidRPr="00DA6489">
        <w:t xml:space="preserve">, sauf si l’arrêté préfectoral fixe des prescriptions particulières en application de l’article R. 515-63 du même code. Il veille à ce que l’installation respecte les </w:t>
      </w:r>
      <w:r w:rsidR="00E84B8D" w:rsidRPr="00DA6489">
        <w:lastRenderedPageBreak/>
        <w:t xml:space="preserve">valeurs limites d’émissions </w:t>
      </w:r>
      <w:r w:rsidR="00E84B8D" w:rsidRPr="00DA6489">
        <w:rPr>
          <w:rFonts w:cs="Times New Roman"/>
          <w:color w:val="000000" w:themeColor="text1"/>
        </w:rPr>
        <w:t>ainsi que les niveaux de performance environnementale fixés</w:t>
      </w:r>
      <w:r w:rsidR="00E84B8D" w:rsidRPr="00DA6489">
        <w:t xml:space="preserve"> dans l’annexe.</w:t>
      </w:r>
    </w:p>
    <w:p w14:paraId="7E4E5C5B" w14:textId="77777777" w:rsidR="001F2645" w:rsidRPr="00DA6489" w:rsidRDefault="001F2645" w:rsidP="00E84B8D">
      <w:pPr>
        <w:jc w:val="center"/>
      </w:pPr>
    </w:p>
    <w:p w14:paraId="1F3A0632" w14:textId="259624E6" w:rsidR="00E84B8D" w:rsidRPr="00DA6489" w:rsidRDefault="00E84B8D" w:rsidP="00E84B8D">
      <w:pPr>
        <w:jc w:val="center"/>
        <w:rPr>
          <w:b/>
          <w:bCs/>
        </w:rPr>
      </w:pPr>
      <w:r w:rsidRPr="00DA6489">
        <w:rPr>
          <w:b/>
          <w:bCs/>
        </w:rPr>
        <w:t>Article 3</w:t>
      </w:r>
    </w:p>
    <w:p w14:paraId="100C7ED0" w14:textId="77777777" w:rsidR="00E84B8D" w:rsidRPr="00DA6489" w:rsidRDefault="00E84B8D" w:rsidP="00F56DE0"/>
    <w:p w14:paraId="4A69B273" w14:textId="109FF37B" w:rsidR="00E84B8D" w:rsidRPr="00DA6489" w:rsidRDefault="00E84B8D" w:rsidP="00E84B8D">
      <w:r w:rsidRPr="00DA6489">
        <w:t xml:space="preserve">I. </w:t>
      </w:r>
      <w:r w:rsidR="000C1CBB" w:rsidRPr="00DA6489">
        <w:t>–</w:t>
      </w:r>
      <w:r w:rsidRPr="00DA6489">
        <w:t xml:space="preserve"> </w:t>
      </w:r>
      <w:r w:rsidR="000C1CBB" w:rsidRPr="00DA6489">
        <w:t>L</w:t>
      </w:r>
      <w:r w:rsidRPr="00DA6489">
        <w:t>’exploitant peut solliciter une dérogation afin que soient définies des valeurs limites d’émissions qui excèdent les valeurs fixées par l’annexe, sous réserve du respect des dispositions prévues par les articles R. 515-</w:t>
      </w:r>
      <w:r w:rsidR="000C4674" w:rsidRPr="00DA6489">
        <w:t xml:space="preserve">68 </w:t>
      </w:r>
      <w:r w:rsidRPr="00DA6489">
        <w:t>à R. 515-69 du code de l’environnement.</w:t>
      </w:r>
    </w:p>
    <w:p w14:paraId="53EFCB28" w14:textId="516028FF" w:rsidR="00E84B8D" w:rsidRPr="00DA6489" w:rsidRDefault="00E84B8D" w:rsidP="00E84B8D">
      <w:r w:rsidRPr="00DA6489">
        <w:t>Lorsque la valeur limite d’émission sollicitée excède les niveaux d’émission associés aux conclusions sur les meilleures techniques disponibles de la décision d’exécution (UE) 2022/2110</w:t>
      </w:r>
      <w:r w:rsidR="000C1CBB" w:rsidRPr="00DA6489">
        <w:t xml:space="preserve"> susvisée</w:t>
      </w:r>
      <w:r w:rsidRPr="00DA6489">
        <w:t>, la demande de l’exploitant est formulée et instruite dans les formes prévues au I de l’article L. 515-29 du code de l’environnement et selon la procédure prévue au R. 515-68 du même code.</w:t>
      </w:r>
    </w:p>
    <w:p w14:paraId="31518E28" w14:textId="7C282FB8" w:rsidR="00E84B8D" w:rsidRPr="00DA6489" w:rsidRDefault="00E84B8D" w:rsidP="00E84B8D">
      <w:pPr>
        <w:rPr>
          <w:rFonts w:cs="Times New Roman"/>
          <w:color w:val="000000" w:themeColor="text1"/>
        </w:rPr>
      </w:pPr>
      <w:r w:rsidRPr="00DA6489">
        <w:rPr>
          <w:rFonts w:cs="Times New Roman"/>
          <w:color w:val="000000" w:themeColor="text1"/>
        </w:rPr>
        <w:t>Dans les autres cas, la demande est formulée et instruite dans le respect des dispositions particulières prévues par l’annexe.</w:t>
      </w:r>
    </w:p>
    <w:p w14:paraId="08D74C34" w14:textId="6350CC5D" w:rsidR="003E3579" w:rsidRPr="00DA6489" w:rsidRDefault="003E3579" w:rsidP="003E3579">
      <w:pPr>
        <w:rPr>
          <w:rFonts w:cs="Times New Roman"/>
        </w:rPr>
      </w:pPr>
      <w:r w:rsidRPr="00DA6489">
        <w:rPr>
          <w:rFonts w:cs="Times New Roman"/>
        </w:rPr>
        <w:t>II. - </w:t>
      </w:r>
      <w:r w:rsidR="008C0291" w:rsidRPr="00DA6489" w:rsidDel="008C0291">
        <w:rPr>
          <w:rFonts w:cs="Times New Roman"/>
        </w:rPr>
        <w:t xml:space="preserve"> </w:t>
      </w:r>
      <w:r w:rsidR="008C0291" w:rsidRPr="00DA6489">
        <w:rPr>
          <w:rFonts w:cs="Times New Roman"/>
        </w:rPr>
        <w:t>L</w:t>
      </w:r>
      <w:r w:rsidRPr="00DA6489">
        <w:rPr>
          <w:rFonts w:cs="Times New Roman"/>
        </w:rPr>
        <w:t>’exploitant peut solliciter,</w:t>
      </w:r>
      <w:r w:rsidRPr="00DA6489">
        <w:t xml:space="preserve"> en application du II de l'</w:t>
      </w:r>
      <w:hyperlink r:id="rId9" w:tooltip="Code de l'environnement - art. R181-46" w:history="1">
        <w:r w:rsidRPr="00DA6489">
          <w:rPr>
            <w:rStyle w:val="Lienhypertexte"/>
            <w:color w:val="auto"/>
            <w:u w:val="none"/>
          </w:rPr>
          <w:t>article R. 181-46 du code de l'environnement</w:t>
        </w:r>
      </w:hyperlink>
      <w:r w:rsidRPr="00DA6489">
        <w:t xml:space="preserve">, </w:t>
      </w:r>
      <w:r w:rsidRPr="00DA6489">
        <w:rPr>
          <w:rFonts w:cs="Times New Roman"/>
        </w:rPr>
        <w:t xml:space="preserve"> un aménagement des niveaux de performance environnementale. La demande de l’exploitant est formulée et instruite dans le respect des dispositions particulières prévues par l’annexe </w:t>
      </w:r>
      <w:r w:rsidR="002E35C6" w:rsidRPr="00DA6489">
        <w:rPr>
          <w:rFonts w:cs="Times New Roman"/>
        </w:rPr>
        <w:t xml:space="preserve">I </w:t>
      </w:r>
      <w:r w:rsidRPr="00DA6489">
        <w:rPr>
          <w:rFonts w:cs="Times New Roman"/>
        </w:rPr>
        <w:t>au présent arrêté.</w:t>
      </w:r>
    </w:p>
    <w:p w14:paraId="1AB1A8EA" w14:textId="77777777" w:rsidR="00F56DE0" w:rsidRPr="00DA6489" w:rsidRDefault="00F56DE0" w:rsidP="00F56DE0"/>
    <w:p w14:paraId="2CA9DF84" w14:textId="77777777" w:rsidR="00F36C3A" w:rsidRPr="00DA6489" w:rsidRDefault="00520523" w:rsidP="00F36C3A">
      <w:pPr>
        <w:pStyle w:val="Article"/>
      </w:pPr>
      <w:r w:rsidRPr="00DA6489">
        <w:t xml:space="preserve">Article </w:t>
      </w:r>
      <w:r w:rsidR="00F56DE0" w:rsidRPr="00DA6489">
        <w:t>4</w:t>
      </w:r>
    </w:p>
    <w:p w14:paraId="0BF0A1E0" w14:textId="26F3BDDF" w:rsidR="00683113" w:rsidRPr="00DA6489" w:rsidRDefault="00F36C3A" w:rsidP="00357805">
      <w:pPr>
        <w:pStyle w:val="Article"/>
        <w:jc w:val="both"/>
        <w:rPr>
          <w:b w:val="0"/>
          <w:bCs/>
        </w:rPr>
      </w:pPr>
      <w:r w:rsidRPr="00DA6489">
        <w:rPr>
          <w:b w:val="0"/>
        </w:rPr>
        <w:t>I</w:t>
      </w:r>
      <w:r w:rsidR="00713B98" w:rsidRPr="00DA6489">
        <w:rPr>
          <w:b w:val="0"/>
        </w:rPr>
        <w:t>.</w:t>
      </w:r>
      <w:r w:rsidR="000C1CBB" w:rsidRPr="00DA6489">
        <w:rPr>
          <w:b w:val="0"/>
        </w:rPr>
        <w:t xml:space="preserve"> – </w:t>
      </w:r>
      <w:r w:rsidR="00683113" w:rsidRPr="00DA6489">
        <w:rPr>
          <w:b w:val="0"/>
          <w:bCs/>
        </w:rPr>
        <w:t xml:space="preserve">Pour </w:t>
      </w:r>
      <w:r w:rsidR="00702296">
        <w:rPr>
          <w:b w:val="0"/>
          <w:bCs/>
        </w:rPr>
        <w:t>les activités de galvanisation discontinue mise</w:t>
      </w:r>
      <w:r w:rsidR="00604572">
        <w:rPr>
          <w:b w:val="0"/>
          <w:bCs/>
        </w:rPr>
        <w:t>s</w:t>
      </w:r>
      <w:r w:rsidR="00702296">
        <w:rPr>
          <w:b w:val="0"/>
          <w:bCs/>
        </w:rPr>
        <w:t xml:space="preserve"> en œuvre dans </w:t>
      </w:r>
      <w:r w:rsidR="00683113" w:rsidRPr="00DA6489">
        <w:rPr>
          <w:b w:val="0"/>
          <w:bCs/>
        </w:rPr>
        <w:t xml:space="preserve">une installation classée soumise à autorisation </w:t>
      </w:r>
      <w:r w:rsidR="000C1CBB" w:rsidRPr="00DA6489">
        <w:rPr>
          <w:b w:val="0"/>
          <w:bCs/>
        </w:rPr>
        <w:t>au titre de la rubrique</w:t>
      </w:r>
      <w:r w:rsidR="00683113" w:rsidRPr="00DA6489">
        <w:rPr>
          <w:b w:val="0"/>
          <w:bCs/>
        </w:rPr>
        <w:t xml:space="preserve"> 3230c</w:t>
      </w:r>
      <w:r w:rsidR="003C29A0" w:rsidRPr="00DA6489">
        <w:rPr>
          <w:b w:val="0"/>
          <w:bCs/>
        </w:rPr>
        <w:t xml:space="preserve"> de la</w:t>
      </w:r>
      <w:r w:rsidR="00F75F3F" w:rsidRPr="00DA6489">
        <w:rPr>
          <w:b w:val="0"/>
          <w:bCs/>
        </w:rPr>
        <w:t xml:space="preserve"> </w:t>
      </w:r>
      <w:r w:rsidR="003C29A0" w:rsidRPr="00DA6489">
        <w:rPr>
          <w:b w:val="0"/>
          <w:bCs/>
        </w:rPr>
        <w:t>nomenclature des installations classées pour la protection de l’environnement</w:t>
      </w:r>
      <w:r w:rsidR="00683113" w:rsidRPr="00DA6489">
        <w:rPr>
          <w:b w:val="0"/>
          <w:bCs/>
        </w:rPr>
        <w:t xml:space="preserve"> : </w:t>
      </w:r>
    </w:p>
    <w:p w14:paraId="297EB677" w14:textId="77777777" w:rsidR="00F36C3A" w:rsidRPr="00DA6489" w:rsidRDefault="00683113" w:rsidP="00683113">
      <w:pPr>
        <w:pStyle w:val="Article"/>
        <w:jc w:val="left"/>
        <w:rPr>
          <w:b w:val="0"/>
          <w:bCs/>
        </w:rPr>
      </w:pPr>
      <w:r w:rsidRPr="00DA6489">
        <w:rPr>
          <w:b w:val="0"/>
        </w:rPr>
        <w:t>1</w:t>
      </w:r>
      <w:r w:rsidR="00713B98" w:rsidRPr="00DA6489">
        <w:rPr>
          <w:b w:val="0"/>
        </w:rPr>
        <w:t>°</w:t>
      </w:r>
      <w:r w:rsidRPr="00DA6489">
        <w:rPr>
          <w:b w:val="0"/>
          <w:bCs/>
        </w:rPr>
        <w:t xml:space="preserve"> Les</w:t>
      </w:r>
      <w:r w:rsidR="00F36C3A" w:rsidRPr="00DA6489">
        <w:rPr>
          <w:b w:val="0"/>
          <w:bCs/>
        </w:rPr>
        <w:t xml:space="preserve"> dispositions du présent arrêté, sauf si elles sont moins contraignantes, prévalent sur les dispositions ayant le même objet des articles de </w:t>
      </w:r>
      <w:hyperlink r:id="rId10" w:tooltip="Arrêté du 02/02/98 relatif aux prélèvements et à la consommation d'eau ainsi qu'aux émissions de toute nature des installations classées pour la protection de l'environnement soumises à autorisation" w:history="1">
        <w:r w:rsidR="00F36C3A" w:rsidRPr="00DA6489">
          <w:rPr>
            <w:rStyle w:val="Lienhypertexte"/>
            <w:b w:val="0"/>
            <w:bCs/>
            <w:color w:val="auto"/>
            <w:u w:val="none"/>
          </w:rPr>
          <w:t>l'arrêté du 2 février 1998 susvisé</w:t>
        </w:r>
      </w:hyperlink>
      <w:r w:rsidR="00F36C3A" w:rsidRPr="00DA6489">
        <w:rPr>
          <w:b w:val="0"/>
          <w:bCs/>
        </w:rPr>
        <w:t xml:space="preserve"> suivants :</w:t>
      </w:r>
    </w:p>
    <w:p w14:paraId="7D2AAD85" w14:textId="77777777" w:rsidR="00631A2F" w:rsidRPr="00DA6489" w:rsidRDefault="00631A2F" w:rsidP="00631A2F">
      <w:pPr>
        <w:spacing w:after="0"/>
      </w:pPr>
      <w:r w:rsidRPr="00DA6489">
        <w:t>- articles 18 à 20, relatifs aux traitements des effluents et à la limitation des odeurs provenant de ces derniers ;</w:t>
      </w:r>
    </w:p>
    <w:p w14:paraId="694FD3A8" w14:textId="77777777" w:rsidR="00367A52" w:rsidRPr="00DA6489" w:rsidRDefault="00367A52" w:rsidP="00683113">
      <w:pPr>
        <w:pStyle w:val="Article"/>
        <w:spacing w:after="0"/>
        <w:jc w:val="left"/>
        <w:rPr>
          <w:b w:val="0"/>
          <w:bCs/>
        </w:rPr>
      </w:pPr>
      <w:r w:rsidRPr="00DA6489">
        <w:rPr>
          <w:b w:val="0"/>
          <w:bCs/>
        </w:rPr>
        <w:t>- article 21 relatif aux valeurs limites d'émission, fréquences et modalités de contrôle des rejets</w:t>
      </w:r>
      <w:r w:rsidR="00683113" w:rsidRPr="00DA6489">
        <w:rPr>
          <w:b w:val="0"/>
          <w:bCs/>
        </w:rPr>
        <w:t xml:space="preserve"> </w:t>
      </w:r>
      <w:r w:rsidRPr="00DA6489">
        <w:rPr>
          <w:b w:val="0"/>
          <w:bCs/>
        </w:rPr>
        <w:t>dans l'air et dans l'eau ;</w:t>
      </w:r>
    </w:p>
    <w:p w14:paraId="3677B61D" w14:textId="77777777" w:rsidR="00631A2F" w:rsidRPr="00DA6489" w:rsidRDefault="00631A2F" w:rsidP="00631A2F">
      <w:pPr>
        <w:spacing w:after="0"/>
      </w:pPr>
      <w:r w:rsidRPr="00DA6489">
        <w:t>- article 22 relatif aux objectifs de qualité des eaux et autres dispositions relatives au milieu récepteur ;</w:t>
      </w:r>
    </w:p>
    <w:p w14:paraId="29924776" w14:textId="77777777" w:rsidR="00367A52" w:rsidRPr="00DA6489" w:rsidRDefault="00367A52" w:rsidP="00683113">
      <w:pPr>
        <w:pStyle w:val="Article"/>
        <w:spacing w:after="0"/>
        <w:jc w:val="left"/>
        <w:rPr>
          <w:b w:val="0"/>
          <w:bCs/>
        </w:rPr>
      </w:pPr>
      <w:r w:rsidRPr="00DA6489">
        <w:rPr>
          <w:b w:val="0"/>
          <w:bCs/>
        </w:rPr>
        <w:t>- article 24 relatif au système d'unités ;</w:t>
      </w:r>
    </w:p>
    <w:p w14:paraId="6BCC33EF" w14:textId="77777777" w:rsidR="00367A52" w:rsidRPr="00DA6489" w:rsidRDefault="00367A52" w:rsidP="00683113">
      <w:pPr>
        <w:pStyle w:val="Article"/>
        <w:spacing w:after="0"/>
        <w:jc w:val="left"/>
        <w:rPr>
          <w:b w:val="0"/>
          <w:bCs/>
        </w:rPr>
      </w:pPr>
      <w:r w:rsidRPr="00DA6489">
        <w:rPr>
          <w:b w:val="0"/>
          <w:bCs/>
        </w:rPr>
        <w:t>- article 27 relatif aux valeurs limites d'émissions dans l'air ;</w:t>
      </w:r>
    </w:p>
    <w:p w14:paraId="13F14F43" w14:textId="77777777" w:rsidR="00367A52" w:rsidRPr="00DA6489" w:rsidRDefault="00367A52" w:rsidP="00683113">
      <w:pPr>
        <w:pStyle w:val="Article"/>
        <w:spacing w:after="0"/>
        <w:jc w:val="left"/>
        <w:rPr>
          <w:b w:val="0"/>
          <w:bCs/>
        </w:rPr>
      </w:pPr>
      <w:r w:rsidRPr="00DA6489">
        <w:rPr>
          <w:b w:val="0"/>
          <w:bCs/>
        </w:rPr>
        <w:t>- article 28 relatif à l'application de l'article 27 pour certains rejets canalisés ;</w:t>
      </w:r>
    </w:p>
    <w:p w14:paraId="2B7A857F" w14:textId="77777777" w:rsidR="00367A52" w:rsidRPr="00DA6489" w:rsidRDefault="00367A52" w:rsidP="00683113">
      <w:pPr>
        <w:pStyle w:val="Article"/>
        <w:spacing w:after="0"/>
        <w:jc w:val="left"/>
        <w:rPr>
          <w:b w:val="0"/>
          <w:bCs/>
        </w:rPr>
      </w:pPr>
      <w:r w:rsidRPr="00DA6489">
        <w:rPr>
          <w:b w:val="0"/>
          <w:bCs/>
        </w:rPr>
        <w:t>- article 28-1 relatif au plan de gestion de solvants organiques ;</w:t>
      </w:r>
    </w:p>
    <w:p w14:paraId="16602FE8" w14:textId="4BA4E785" w:rsidR="00CD450D" w:rsidRPr="00DA6489" w:rsidRDefault="00353539" w:rsidP="00683113">
      <w:pPr>
        <w:pStyle w:val="Article"/>
        <w:spacing w:after="0"/>
        <w:jc w:val="left"/>
        <w:rPr>
          <w:b w:val="0"/>
          <w:bCs/>
        </w:rPr>
      </w:pPr>
      <w:r w:rsidRPr="00DA6489">
        <w:rPr>
          <w:b w:val="0"/>
          <w:bCs/>
        </w:rPr>
        <w:t>- a</w:t>
      </w:r>
      <w:r w:rsidR="00CD450D" w:rsidRPr="00DA6489">
        <w:rPr>
          <w:b w:val="0"/>
          <w:bCs/>
        </w:rPr>
        <w:t xml:space="preserve">rticle 30 </w:t>
      </w:r>
      <w:r w:rsidR="00A95591" w:rsidRPr="00DA6489">
        <w:rPr>
          <w:b w:val="0"/>
          <w:bCs/>
        </w:rPr>
        <w:t>relatif à certaines installations</w:t>
      </w:r>
      <w:r w:rsidR="000C1CBB" w:rsidRPr="00DA6489">
        <w:rPr>
          <w:b w:val="0"/>
          <w:bCs/>
        </w:rPr>
        <w:t> ;</w:t>
      </w:r>
    </w:p>
    <w:p w14:paraId="031A97CC" w14:textId="77777777" w:rsidR="00631A2F" w:rsidRPr="00DA6489" w:rsidRDefault="00631A2F" w:rsidP="00631A2F">
      <w:pPr>
        <w:spacing w:after="0"/>
      </w:pPr>
      <w:r w:rsidRPr="00DA6489">
        <w:t>- article 31 relatif aux obligations sur les rejets en lien avec les caractéristiques du milieu récepteur ;</w:t>
      </w:r>
    </w:p>
    <w:p w14:paraId="2E3E2FA6" w14:textId="77777777" w:rsidR="00367A52" w:rsidRPr="00DA6489" w:rsidRDefault="00367A52" w:rsidP="00683113">
      <w:pPr>
        <w:pStyle w:val="Article"/>
        <w:spacing w:after="0"/>
        <w:jc w:val="left"/>
        <w:rPr>
          <w:b w:val="0"/>
          <w:bCs/>
        </w:rPr>
      </w:pPr>
      <w:r w:rsidRPr="00DA6489">
        <w:rPr>
          <w:b w:val="0"/>
          <w:bCs/>
        </w:rPr>
        <w:t>- article 32 relatif aux valeurs limites d'émission pour les effluents aqueux ;</w:t>
      </w:r>
    </w:p>
    <w:p w14:paraId="22B6B22D" w14:textId="77777777" w:rsidR="00367A52" w:rsidRPr="00DA6489" w:rsidRDefault="00367A52" w:rsidP="00683113">
      <w:pPr>
        <w:pStyle w:val="Article"/>
        <w:spacing w:after="0"/>
        <w:jc w:val="left"/>
        <w:rPr>
          <w:b w:val="0"/>
          <w:bCs/>
        </w:rPr>
      </w:pPr>
      <w:r w:rsidRPr="00DA6489">
        <w:rPr>
          <w:b w:val="0"/>
          <w:bCs/>
        </w:rPr>
        <w:t>- article 33 relatif à certaines activités industrielles ;</w:t>
      </w:r>
    </w:p>
    <w:p w14:paraId="55DE1BAC" w14:textId="77777777" w:rsidR="00367A52" w:rsidRPr="00DA6489" w:rsidRDefault="00367A52" w:rsidP="00683113">
      <w:pPr>
        <w:pStyle w:val="Article"/>
        <w:spacing w:after="0"/>
        <w:jc w:val="left"/>
        <w:rPr>
          <w:b w:val="0"/>
          <w:bCs/>
        </w:rPr>
      </w:pPr>
      <w:r w:rsidRPr="00DA6489">
        <w:rPr>
          <w:b w:val="0"/>
          <w:bCs/>
        </w:rPr>
        <w:t>- article 47 relatif au bruit ;</w:t>
      </w:r>
    </w:p>
    <w:p w14:paraId="44D87F95" w14:textId="77777777" w:rsidR="002F3859" w:rsidRPr="00DA6489" w:rsidRDefault="002F3859" w:rsidP="002F3859">
      <w:pPr>
        <w:spacing w:after="0"/>
      </w:pPr>
      <w:r w:rsidRPr="00DA6489">
        <w:t>- article 48 relatif aux vibrations mécaniques ;</w:t>
      </w:r>
    </w:p>
    <w:p w14:paraId="40A358C3" w14:textId="77777777" w:rsidR="00631A2F" w:rsidRPr="00DA6489" w:rsidRDefault="00631A2F" w:rsidP="00683113">
      <w:pPr>
        <w:pStyle w:val="Article"/>
        <w:spacing w:after="0"/>
        <w:jc w:val="left"/>
        <w:rPr>
          <w:b w:val="0"/>
          <w:bCs/>
        </w:rPr>
      </w:pPr>
      <w:r w:rsidRPr="00DA6489">
        <w:rPr>
          <w:b w:val="0"/>
          <w:bCs/>
        </w:rPr>
        <w:t>- articles 49 à 50 relatifs aux conditions de rejets ;</w:t>
      </w:r>
    </w:p>
    <w:p w14:paraId="5590FE51" w14:textId="77777777" w:rsidR="00367A52" w:rsidRPr="00DA6489" w:rsidRDefault="00367A52" w:rsidP="00683113">
      <w:pPr>
        <w:pStyle w:val="Article"/>
        <w:spacing w:after="0"/>
        <w:jc w:val="left"/>
        <w:rPr>
          <w:b w:val="0"/>
          <w:bCs/>
        </w:rPr>
      </w:pPr>
      <w:r w:rsidRPr="00DA6489">
        <w:rPr>
          <w:b w:val="0"/>
          <w:bCs/>
        </w:rPr>
        <w:t>- article 51 relatif aux appareils de mesure et aux prélèvements ;</w:t>
      </w:r>
    </w:p>
    <w:p w14:paraId="36793C39" w14:textId="77777777" w:rsidR="00367A52" w:rsidRPr="00DA6489" w:rsidRDefault="00367A52" w:rsidP="00683113">
      <w:pPr>
        <w:pStyle w:val="Article"/>
        <w:spacing w:after="0"/>
        <w:jc w:val="left"/>
        <w:rPr>
          <w:b w:val="0"/>
          <w:bCs/>
        </w:rPr>
      </w:pPr>
      <w:r w:rsidRPr="00DA6489">
        <w:rPr>
          <w:b w:val="0"/>
          <w:bCs/>
        </w:rPr>
        <w:t>- article 59 relatif à la surveillance des émissions dans l'air ;</w:t>
      </w:r>
    </w:p>
    <w:p w14:paraId="64082588" w14:textId="77777777" w:rsidR="00367A52" w:rsidRPr="00DA6489" w:rsidRDefault="00367A52" w:rsidP="00683113">
      <w:pPr>
        <w:pStyle w:val="Article"/>
        <w:spacing w:after="0"/>
        <w:jc w:val="left"/>
        <w:rPr>
          <w:b w:val="0"/>
          <w:bCs/>
        </w:rPr>
      </w:pPr>
      <w:r w:rsidRPr="00DA6489">
        <w:rPr>
          <w:b w:val="0"/>
          <w:bCs/>
        </w:rPr>
        <w:lastRenderedPageBreak/>
        <w:t>- article 60 relatif à la surveillance des émissions dans l'eau ;</w:t>
      </w:r>
    </w:p>
    <w:p w14:paraId="5ED58087" w14:textId="366647F2" w:rsidR="00367A52" w:rsidRPr="00DA6489" w:rsidRDefault="00367A52" w:rsidP="00F36C3A">
      <w:r w:rsidRPr="00DA6489">
        <w:rPr>
          <w:bCs/>
        </w:rPr>
        <w:t>- article 72 relatif aux ateliers d'électrolyse de chlorures alcalins</w:t>
      </w:r>
      <w:r w:rsidR="00B92028" w:rsidRPr="00DA6489">
        <w:rPr>
          <w:b/>
          <w:bCs/>
        </w:rPr>
        <w:t>.</w:t>
      </w:r>
    </w:p>
    <w:p w14:paraId="3FB099C1" w14:textId="17739E8D" w:rsidR="00683113" w:rsidRPr="00DA6489" w:rsidRDefault="00683113" w:rsidP="00683113">
      <w:pPr>
        <w:spacing w:after="0"/>
      </w:pPr>
      <w:r w:rsidRPr="00DA6489">
        <w:rPr>
          <w:bCs/>
        </w:rPr>
        <w:t>2</w:t>
      </w:r>
      <w:r w:rsidR="00713B98" w:rsidRPr="00DA6489">
        <w:rPr>
          <w:bCs/>
        </w:rPr>
        <w:t>°</w:t>
      </w:r>
      <w:r w:rsidRPr="00DA6489">
        <w:rPr>
          <w:b/>
          <w:bCs/>
        </w:rPr>
        <w:t xml:space="preserve"> </w:t>
      </w:r>
      <w:r w:rsidRPr="00DA6489">
        <w:t>Les dispositions des articles suivants de l'arrêté du 2 février 1998 susvisé sont applicables aux installations mentionnées</w:t>
      </w:r>
      <w:r w:rsidR="000C1CBB" w:rsidRPr="00DA6489">
        <w:t xml:space="preserve"> au I de</w:t>
      </w:r>
      <w:r w:rsidRPr="00DA6489">
        <w:t xml:space="preserve"> l'article 1</w:t>
      </w:r>
      <w:r w:rsidRPr="00DA6489">
        <w:rPr>
          <w:vertAlign w:val="superscript"/>
        </w:rPr>
        <w:t>er</w:t>
      </w:r>
      <w:r w:rsidR="000C1CBB" w:rsidRPr="00DA6489">
        <w:t xml:space="preserve"> </w:t>
      </w:r>
      <w:r w:rsidRPr="00DA6489">
        <w:t>:</w:t>
      </w:r>
    </w:p>
    <w:p w14:paraId="75074B5D" w14:textId="77777777" w:rsidR="001561E9" w:rsidRPr="00DA6489" w:rsidRDefault="001561E9" w:rsidP="00683113">
      <w:pPr>
        <w:spacing w:after="0"/>
      </w:pPr>
    </w:p>
    <w:p w14:paraId="33E32F37" w14:textId="40233BB2" w:rsidR="00683113" w:rsidRPr="00DA6489" w:rsidRDefault="00683113" w:rsidP="00683113">
      <w:pPr>
        <w:spacing w:after="0"/>
      </w:pPr>
      <w:r w:rsidRPr="00DA6489">
        <w:t>- article 1</w:t>
      </w:r>
      <w:r w:rsidRPr="00DA6489">
        <w:rPr>
          <w:vertAlign w:val="superscript"/>
        </w:rPr>
        <w:t>er</w:t>
      </w:r>
      <w:r w:rsidRPr="00DA6489">
        <w:t xml:space="preserve"> relatif au champ d'application ;</w:t>
      </w:r>
    </w:p>
    <w:p w14:paraId="2D971158" w14:textId="77777777" w:rsidR="00683113" w:rsidRPr="00DA6489" w:rsidRDefault="00683113" w:rsidP="00683113">
      <w:pPr>
        <w:spacing w:after="0"/>
      </w:pPr>
      <w:r w:rsidRPr="00DA6489">
        <w:t>-</w:t>
      </w:r>
      <w:r w:rsidR="00631A2F" w:rsidRPr="00DA6489">
        <w:t xml:space="preserve"> </w:t>
      </w:r>
      <w:r w:rsidRPr="00DA6489">
        <w:t>article</w:t>
      </w:r>
      <w:r w:rsidR="00631A2F" w:rsidRPr="00DA6489">
        <w:t xml:space="preserve"> </w:t>
      </w:r>
      <w:r w:rsidRPr="00DA6489">
        <w:t>2 relatif aux dispositions générales de conception, d'aménagement, d'entretien et d'exploitation des installations ;</w:t>
      </w:r>
    </w:p>
    <w:p w14:paraId="178137EF" w14:textId="77777777" w:rsidR="00683113" w:rsidRPr="00DA6489" w:rsidRDefault="00683113" w:rsidP="00683113">
      <w:pPr>
        <w:spacing w:after="0"/>
      </w:pPr>
      <w:r w:rsidRPr="00DA6489">
        <w:t>- article 4 relatif à la prévention des envols de poussières et matières diverses, aux canalisations de transport des effluents, aux plans des réseaux d'alimentation et de collecte ;</w:t>
      </w:r>
    </w:p>
    <w:p w14:paraId="534B92EE" w14:textId="77777777" w:rsidR="00683113" w:rsidRPr="00DA6489" w:rsidRDefault="00683113" w:rsidP="00683113">
      <w:pPr>
        <w:spacing w:after="0"/>
      </w:pPr>
      <w:r w:rsidRPr="00DA6489">
        <w:t>- article 5 relatif aux réserves de produits et consommables ;</w:t>
      </w:r>
    </w:p>
    <w:p w14:paraId="15509CC4" w14:textId="77777777" w:rsidR="00683113" w:rsidRPr="00DA6489" w:rsidRDefault="00683113" w:rsidP="00683113">
      <w:pPr>
        <w:spacing w:after="0"/>
      </w:pPr>
      <w:r w:rsidRPr="00DA6489">
        <w:t>- article 6 relatif à l'intégration paysagère et à la propreté ;</w:t>
      </w:r>
    </w:p>
    <w:p w14:paraId="509AB8AF" w14:textId="3809209A" w:rsidR="00683113" w:rsidRPr="00DA6489" w:rsidRDefault="00683113" w:rsidP="00683113">
      <w:pPr>
        <w:spacing w:after="0"/>
      </w:pPr>
      <w:r w:rsidRPr="00DA6489">
        <w:t xml:space="preserve">- </w:t>
      </w:r>
      <w:r w:rsidR="000C4674" w:rsidRPr="00DA6489">
        <w:t>à l’</w:t>
      </w:r>
      <w:r w:rsidRPr="00DA6489">
        <w:t xml:space="preserve">article 6 bis, </w:t>
      </w:r>
      <w:r w:rsidR="000C4674" w:rsidRPr="00DA6489">
        <w:t xml:space="preserve">le </w:t>
      </w:r>
      <w:r w:rsidRPr="00DA6489">
        <w:t xml:space="preserve">paragraphe III, relatif à la transmission des résultats de surveillance à l'inspection des installations classées, et </w:t>
      </w:r>
      <w:r w:rsidR="000C4674" w:rsidRPr="00DA6489">
        <w:t xml:space="preserve">le </w:t>
      </w:r>
      <w:r w:rsidRPr="00DA6489">
        <w:t>paragraphe IV, relatif à la surveillance des eaux souterraines et des sols ;</w:t>
      </w:r>
    </w:p>
    <w:p w14:paraId="5AABF53A" w14:textId="77777777" w:rsidR="00683113" w:rsidRPr="00DA6489" w:rsidRDefault="00683113" w:rsidP="00683113">
      <w:pPr>
        <w:spacing w:after="0"/>
      </w:pPr>
      <w:r w:rsidRPr="00DA6489">
        <w:t>- articles 14 à 17 relatifs aux prélèvements d'eau ;</w:t>
      </w:r>
    </w:p>
    <w:p w14:paraId="11EBA23E" w14:textId="77777777" w:rsidR="00683113" w:rsidRPr="00DA6489" w:rsidRDefault="00683113" w:rsidP="00683113">
      <w:pPr>
        <w:spacing w:after="0"/>
      </w:pPr>
      <w:r w:rsidRPr="00DA6489">
        <w:t>- article 23 relatif au plan de protection de l'atmosphère ;</w:t>
      </w:r>
    </w:p>
    <w:p w14:paraId="17BBD4C8" w14:textId="77777777" w:rsidR="00683113" w:rsidRPr="00DA6489" w:rsidRDefault="00683113" w:rsidP="00683113">
      <w:pPr>
        <w:spacing w:after="0"/>
      </w:pPr>
      <w:r w:rsidRPr="00DA6489">
        <w:t>- article 25 relatif aux rejets sur ou dans les sols, ainsi qu'aux émissions de substances dans les eaux souterraines ;</w:t>
      </w:r>
    </w:p>
    <w:p w14:paraId="1BDEAF3C" w14:textId="77777777" w:rsidR="00683113" w:rsidRPr="00DA6489" w:rsidRDefault="00683113" w:rsidP="00683113">
      <w:pPr>
        <w:spacing w:after="0"/>
      </w:pPr>
      <w:r w:rsidRPr="00DA6489">
        <w:t>- article 26 relatif à la réduction de la pollution de l'air à la source ;</w:t>
      </w:r>
    </w:p>
    <w:p w14:paraId="07C6FAE3" w14:textId="2D614266" w:rsidR="00683113" w:rsidRPr="00DA6489" w:rsidRDefault="00683113" w:rsidP="00683113">
      <w:pPr>
        <w:spacing w:after="0"/>
      </w:pPr>
      <w:r w:rsidRPr="00DA6489">
        <w:t>- article 29 relatif au niveau et au débit d'odeur ;</w:t>
      </w:r>
    </w:p>
    <w:p w14:paraId="779379D4" w14:textId="77777777" w:rsidR="00683113" w:rsidRPr="00DA6489" w:rsidRDefault="00683113" w:rsidP="00683113">
      <w:pPr>
        <w:spacing w:after="0"/>
      </w:pPr>
      <w:r w:rsidRPr="00DA6489">
        <w:t>- article 36 à 42 relatifs à l'épandage ;</w:t>
      </w:r>
    </w:p>
    <w:p w14:paraId="6FB5B006" w14:textId="77777777" w:rsidR="00683113" w:rsidRPr="00DA6489" w:rsidRDefault="00683113" w:rsidP="00683113">
      <w:pPr>
        <w:spacing w:after="0"/>
      </w:pPr>
      <w:r w:rsidRPr="00DA6489">
        <w:t>- article 43 relatif aux eaux pluviales ;</w:t>
      </w:r>
    </w:p>
    <w:p w14:paraId="282ED9AE" w14:textId="77777777" w:rsidR="00683113" w:rsidRPr="00DA6489" w:rsidRDefault="00683113" w:rsidP="00683113">
      <w:pPr>
        <w:spacing w:after="0"/>
      </w:pPr>
      <w:r w:rsidRPr="00DA6489">
        <w:t>- articles 44 à 46 relatifs au stockage et à l'élimination des déchets ;</w:t>
      </w:r>
    </w:p>
    <w:p w14:paraId="2861B9A9" w14:textId="77777777" w:rsidR="00AC087F" w:rsidRPr="00DA6489" w:rsidRDefault="00AC087F" w:rsidP="00683113">
      <w:pPr>
        <w:spacing w:after="0"/>
      </w:pPr>
      <w:r w:rsidRPr="00DA6489">
        <w:t>- articles 52 à 57 relatifs aux conditions de rejets ;</w:t>
      </w:r>
    </w:p>
    <w:p w14:paraId="481C4CE1" w14:textId="77777777" w:rsidR="00683113" w:rsidRPr="00DA6489" w:rsidRDefault="00683113" w:rsidP="00683113">
      <w:pPr>
        <w:spacing w:after="0"/>
      </w:pPr>
      <w:r w:rsidRPr="00DA6489">
        <w:t>- article 58 relatif à la surveillance des émissions ;</w:t>
      </w:r>
    </w:p>
    <w:p w14:paraId="00BE2E55" w14:textId="77777777" w:rsidR="00683113" w:rsidRPr="00DA6489" w:rsidRDefault="00683113" w:rsidP="00683113">
      <w:pPr>
        <w:spacing w:after="0"/>
      </w:pPr>
      <w:r w:rsidRPr="00DA6489">
        <w:t>- article 59 bis relatif à l'interdiction de brûlage à l'air libre ;</w:t>
      </w:r>
    </w:p>
    <w:p w14:paraId="1B041726" w14:textId="77777777" w:rsidR="00683113" w:rsidRPr="00DA6489" w:rsidRDefault="00683113" w:rsidP="00683113">
      <w:pPr>
        <w:spacing w:after="0"/>
      </w:pPr>
      <w:r w:rsidRPr="00DA6489">
        <w:t>- article 63 à 66 relatifs à la surveillance des effets sur l'environnement ;</w:t>
      </w:r>
    </w:p>
    <w:p w14:paraId="06F8BCFD" w14:textId="77777777" w:rsidR="00683113" w:rsidRPr="00DA6489" w:rsidRDefault="00683113" w:rsidP="00683113">
      <w:pPr>
        <w:spacing w:after="0"/>
      </w:pPr>
      <w:r w:rsidRPr="00DA6489">
        <w:t>- articles 67 et 68 relatifs aux modalités générales d'application.</w:t>
      </w:r>
    </w:p>
    <w:p w14:paraId="0F76ED06" w14:textId="77777777" w:rsidR="00367A52" w:rsidRPr="00DA6489" w:rsidRDefault="00367A52" w:rsidP="00F36C3A"/>
    <w:p w14:paraId="606FB65D" w14:textId="469A4271" w:rsidR="00631A2F" w:rsidRPr="00DA6489" w:rsidRDefault="00F36C3A">
      <w:pPr>
        <w:pStyle w:val="Article"/>
        <w:jc w:val="both"/>
        <w:rPr>
          <w:b w:val="0"/>
          <w:bCs/>
        </w:rPr>
      </w:pPr>
      <w:r w:rsidRPr="00DA6489">
        <w:rPr>
          <w:b w:val="0"/>
        </w:rPr>
        <w:t>I</w:t>
      </w:r>
      <w:r w:rsidR="00631A2F" w:rsidRPr="00DA6489">
        <w:rPr>
          <w:b w:val="0"/>
        </w:rPr>
        <w:t>I.</w:t>
      </w:r>
      <w:r w:rsidR="000C1CBB" w:rsidRPr="00DA6489">
        <w:rPr>
          <w:b w:val="0"/>
        </w:rPr>
        <w:t xml:space="preserve"> – </w:t>
      </w:r>
      <w:r w:rsidR="00631A2F" w:rsidRPr="00DA6489">
        <w:rPr>
          <w:b w:val="0"/>
          <w:bCs/>
        </w:rPr>
        <w:t>Pour</w:t>
      </w:r>
      <w:r w:rsidR="00702296">
        <w:rPr>
          <w:b w:val="0"/>
          <w:bCs/>
        </w:rPr>
        <w:t xml:space="preserve"> les activités de galvanisation discontinue mise</w:t>
      </w:r>
      <w:r w:rsidR="00604572">
        <w:rPr>
          <w:b w:val="0"/>
          <w:bCs/>
        </w:rPr>
        <w:t>s</w:t>
      </w:r>
      <w:r w:rsidR="00702296">
        <w:rPr>
          <w:b w:val="0"/>
          <w:bCs/>
        </w:rPr>
        <w:t xml:space="preserve"> en œuvre dans</w:t>
      </w:r>
      <w:r w:rsidR="00631A2F" w:rsidRPr="00DA6489">
        <w:rPr>
          <w:b w:val="0"/>
          <w:bCs/>
        </w:rPr>
        <w:t xml:space="preserve"> une installation classée soumise à autorisation </w:t>
      </w:r>
      <w:r w:rsidR="000C1CBB" w:rsidRPr="00DA6489">
        <w:rPr>
          <w:b w:val="0"/>
          <w:bCs/>
        </w:rPr>
        <w:t>au titre de la rubrique</w:t>
      </w:r>
      <w:r w:rsidR="00631A2F" w:rsidRPr="00DA6489">
        <w:rPr>
          <w:b w:val="0"/>
          <w:bCs/>
        </w:rPr>
        <w:t xml:space="preserve"> 3260</w:t>
      </w:r>
      <w:r w:rsidR="00344C60" w:rsidRPr="00DA6489">
        <w:rPr>
          <w:b w:val="0"/>
          <w:bCs/>
        </w:rPr>
        <w:t xml:space="preserve"> de la nomenclature des installations classées pour la protection de l’environnement</w:t>
      </w:r>
      <w:r w:rsidR="00631A2F" w:rsidRPr="00DA6489">
        <w:rPr>
          <w:b w:val="0"/>
          <w:bCs/>
        </w:rPr>
        <w:t xml:space="preserve"> : </w:t>
      </w:r>
    </w:p>
    <w:p w14:paraId="38B3F24D" w14:textId="77777777" w:rsidR="00AC087F" w:rsidRPr="00DA6489" w:rsidRDefault="00631A2F" w:rsidP="0019178D">
      <w:pPr>
        <w:pStyle w:val="Article"/>
        <w:jc w:val="both"/>
        <w:rPr>
          <w:b w:val="0"/>
          <w:bCs/>
        </w:rPr>
      </w:pPr>
      <w:r w:rsidRPr="00DA6489">
        <w:rPr>
          <w:b w:val="0"/>
        </w:rPr>
        <w:t>1</w:t>
      </w:r>
      <w:r w:rsidR="00344C60" w:rsidRPr="00DA6489">
        <w:rPr>
          <w:b w:val="0"/>
        </w:rPr>
        <w:t>°</w:t>
      </w:r>
      <w:r w:rsidRPr="00DA6489">
        <w:rPr>
          <w:b w:val="0"/>
          <w:bCs/>
        </w:rPr>
        <w:t xml:space="preserve"> Les dispositions du présent arrêté, sauf si elles sont moins contraignantes, prévalent sur les dispositions ayant le même objet des articles </w:t>
      </w:r>
      <w:r w:rsidR="00344C60" w:rsidRPr="00DA6489">
        <w:rPr>
          <w:b w:val="0"/>
          <w:bCs/>
        </w:rPr>
        <w:t xml:space="preserve">suivants de l’arrêté ministériel </w:t>
      </w:r>
      <w:r w:rsidRPr="00DA6489">
        <w:rPr>
          <w:b w:val="0"/>
          <w:bCs/>
        </w:rPr>
        <w:t>du 30 juin 2006 su</w:t>
      </w:r>
      <w:r w:rsidR="00344C60" w:rsidRPr="00DA6489">
        <w:rPr>
          <w:b w:val="0"/>
          <w:bCs/>
        </w:rPr>
        <w:t>svisé</w:t>
      </w:r>
      <w:r w:rsidR="00F31C20" w:rsidRPr="00DA6489">
        <w:rPr>
          <w:b w:val="0"/>
          <w:bCs/>
        </w:rPr>
        <w:t> :</w:t>
      </w:r>
    </w:p>
    <w:p w14:paraId="6A635454" w14:textId="152EF64D" w:rsidR="00AC087F" w:rsidRPr="00DA6489" w:rsidRDefault="00AC087F" w:rsidP="0019178D">
      <w:pPr>
        <w:pStyle w:val="Article"/>
        <w:spacing w:after="0"/>
        <w:jc w:val="both"/>
        <w:rPr>
          <w:b w:val="0"/>
          <w:bCs/>
        </w:rPr>
      </w:pPr>
      <w:r w:rsidRPr="00DA6489">
        <w:rPr>
          <w:b w:val="0"/>
          <w:bCs/>
        </w:rPr>
        <w:t>- article</w:t>
      </w:r>
      <w:r w:rsidR="00C060D3" w:rsidRPr="00DA6489">
        <w:rPr>
          <w:b w:val="0"/>
          <w:bCs/>
        </w:rPr>
        <w:t>s</w:t>
      </w:r>
      <w:r w:rsidRPr="00DA6489">
        <w:rPr>
          <w:b w:val="0"/>
          <w:bCs/>
        </w:rPr>
        <w:t xml:space="preserve"> 19 à 20</w:t>
      </w:r>
      <w:r w:rsidR="000C1CBB" w:rsidRPr="00DA6489">
        <w:rPr>
          <w:b w:val="0"/>
          <w:bCs/>
        </w:rPr>
        <w:t xml:space="preserve"> </w:t>
      </w:r>
      <w:r w:rsidRPr="00DA6489">
        <w:rPr>
          <w:b w:val="0"/>
          <w:bCs/>
        </w:rPr>
        <w:t xml:space="preserve">bis et 22 </w:t>
      </w:r>
      <w:r w:rsidR="00C060D3" w:rsidRPr="00DA6489">
        <w:rPr>
          <w:b w:val="0"/>
          <w:bCs/>
        </w:rPr>
        <w:t>relatifs</w:t>
      </w:r>
      <w:r w:rsidRPr="00DA6489">
        <w:rPr>
          <w:b w:val="0"/>
          <w:bCs/>
        </w:rPr>
        <w:t xml:space="preserve"> aux valeurs limites d'émission pour les effluents aqueux ;</w:t>
      </w:r>
    </w:p>
    <w:p w14:paraId="7FA70AFB" w14:textId="77777777" w:rsidR="00F31C20" w:rsidRPr="00DA6489" w:rsidRDefault="00AC087F" w:rsidP="0019178D">
      <w:pPr>
        <w:pStyle w:val="Article"/>
        <w:spacing w:after="0"/>
        <w:jc w:val="both"/>
        <w:rPr>
          <w:b w:val="0"/>
          <w:bCs/>
        </w:rPr>
      </w:pPr>
      <w:r w:rsidRPr="00DA6489">
        <w:rPr>
          <w:b w:val="0"/>
          <w:bCs/>
        </w:rPr>
        <w:t>- article 21 relatif aux système</w:t>
      </w:r>
      <w:r w:rsidR="00C060D3" w:rsidRPr="00DA6489">
        <w:rPr>
          <w:b w:val="0"/>
          <w:bCs/>
        </w:rPr>
        <w:t>s</w:t>
      </w:r>
      <w:r w:rsidRPr="00DA6489">
        <w:rPr>
          <w:b w:val="0"/>
          <w:bCs/>
        </w:rPr>
        <w:t xml:space="preserve"> de rinçage ;</w:t>
      </w:r>
    </w:p>
    <w:p w14:paraId="465D31AD" w14:textId="77777777" w:rsidR="00AC087F" w:rsidRPr="00DA6489" w:rsidRDefault="00AC087F" w:rsidP="0019178D">
      <w:pPr>
        <w:pStyle w:val="Article"/>
        <w:spacing w:after="0"/>
        <w:jc w:val="both"/>
        <w:rPr>
          <w:b w:val="0"/>
          <w:bCs/>
        </w:rPr>
      </w:pPr>
      <w:r w:rsidRPr="00DA6489">
        <w:rPr>
          <w:b w:val="0"/>
          <w:bCs/>
        </w:rPr>
        <w:t>- article 25 relatif à la surveillance des émissions dans l'air ;</w:t>
      </w:r>
    </w:p>
    <w:p w14:paraId="0047824F" w14:textId="77777777" w:rsidR="00AC087F" w:rsidRPr="00DA6489" w:rsidRDefault="00AC087F" w:rsidP="0019178D">
      <w:pPr>
        <w:pStyle w:val="Article"/>
        <w:spacing w:after="0"/>
        <w:jc w:val="both"/>
        <w:rPr>
          <w:b w:val="0"/>
          <w:bCs/>
        </w:rPr>
      </w:pPr>
      <w:r w:rsidRPr="00DA6489">
        <w:rPr>
          <w:b w:val="0"/>
          <w:bCs/>
        </w:rPr>
        <w:t>- article 26 relatif aux valeurs limites de rejets dans l’air ;</w:t>
      </w:r>
    </w:p>
    <w:p w14:paraId="525EB69D" w14:textId="77777777" w:rsidR="002F3859" w:rsidRPr="00DA6489" w:rsidRDefault="002F3859" w:rsidP="0019178D">
      <w:pPr>
        <w:pStyle w:val="Article"/>
        <w:spacing w:after="0"/>
        <w:jc w:val="both"/>
        <w:rPr>
          <w:b w:val="0"/>
          <w:bCs/>
        </w:rPr>
      </w:pPr>
      <w:r w:rsidRPr="00DA6489">
        <w:rPr>
          <w:b w:val="0"/>
          <w:bCs/>
        </w:rPr>
        <w:t xml:space="preserve">- article 31 et 32 </w:t>
      </w:r>
      <w:proofErr w:type="gramStart"/>
      <w:r w:rsidRPr="00DA6489">
        <w:rPr>
          <w:b w:val="0"/>
          <w:bCs/>
        </w:rPr>
        <w:t>relatif</w:t>
      </w:r>
      <w:proofErr w:type="gramEnd"/>
      <w:r w:rsidRPr="00DA6489">
        <w:rPr>
          <w:b w:val="0"/>
          <w:bCs/>
        </w:rPr>
        <w:t xml:space="preserve"> au bruit ;</w:t>
      </w:r>
    </w:p>
    <w:p w14:paraId="16907B6F" w14:textId="77777777" w:rsidR="002F3859" w:rsidRPr="00DA6489" w:rsidRDefault="002F3859">
      <w:pPr>
        <w:spacing w:after="0"/>
      </w:pPr>
      <w:r w:rsidRPr="00DA6489">
        <w:t>- article 34 relatif à la surveillance des rejets en eau ;</w:t>
      </w:r>
    </w:p>
    <w:p w14:paraId="3FDBFD62" w14:textId="77777777" w:rsidR="00AC087F" w:rsidRPr="00DA6489" w:rsidRDefault="002F3859">
      <w:pPr>
        <w:spacing w:after="0"/>
      </w:pPr>
      <w:r w:rsidRPr="00DA6489">
        <w:t>- article 35 relatif à la surveillance des rejets dans l’air ;</w:t>
      </w:r>
    </w:p>
    <w:p w14:paraId="75946AF2" w14:textId="77777777" w:rsidR="001561E9" w:rsidRPr="00DA6489" w:rsidRDefault="001561E9">
      <w:pPr>
        <w:spacing w:after="0"/>
      </w:pPr>
    </w:p>
    <w:p w14:paraId="59D7B7A7" w14:textId="073D0B5E" w:rsidR="00AC087F" w:rsidRPr="00DA6489" w:rsidRDefault="00631A2F">
      <w:pPr>
        <w:spacing w:after="0"/>
      </w:pPr>
      <w:r w:rsidRPr="00DA6489">
        <w:rPr>
          <w:bCs/>
        </w:rPr>
        <w:t>2</w:t>
      </w:r>
      <w:r w:rsidR="00344C60" w:rsidRPr="00DA6489">
        <w:rPr>
          <w:bCs/>
        </w:rPr>
        <w:t>°</w:t>
      </w:r>
      <w:r w:rsidRPr="00DA6489">
        <w:rPr>
          <w:b/>
          <w:bCs/>
        </w:rPr>
        <w:t xml:space="preserve"> </w:t>
      </w:r>
      <w:r w:rsidRPr="00DA6489">
        <w:t xml:space="preserve">Les dispositions des articles suivants de l'arrêté du 30 juin 2006 susvisé sont applicables aux </w:t>
      </w:r>
      <w:r w:rsidR="00702296">
        <w:t>activités</w:t>
      </w:r>
      <w:r w:rsidR="00702296" w:rsidRPr="00DA6489">
        <w:t xml:space="preserve"> </w:t>
      </w:r>
      <w:r w:rsidRPr="00DA6489">
        <w:t xml:space="preserve">mentionnées </w:t>
      </w:r>
      <w:r w:rsidR="000C1CBB" w:rsidRPr="00DA6489">
        <w:t>au I de</w:t>
      </w:r>
      <w:r w:rsidRPr="00DA6489">
        <w:t xml:space="preserve"> l'article 1</w:t>
      </w:r>
      <w:r w:rsidRPr="00DA6489">
        <w:rPr>
          <w:vertAlign w:val="superscript"/>
        </w:rPr>
        <w:t>er</w:t>
      </w:r>
      <w:r w:rsidR="00AF70F8" w:rsidRPr="00DA6489">
        <w:t>.</w:t>
      </w:r>
    </w:p>
    <w:p w14:paraId="43AD77AE" w14:textId="77777777" w:rsidR="001561E9" w:rsidRPr="00DA6489" w:rsidRDefault="001561E9">
      <w:pPr>
        <w:spacing w:after="0"/>
      </w:pPr>
    </w:p>
    <w:p w14:paraId="70D52B45" w14:textId="079CB519" w:rsidR="00AC087F" w:rsidRPr="00DA6489" w:rsidRDefault="00AC087F">
      <w:pPr>
        <w:spacing w:after="0"/>
      </w:pPr>
      <w:r w:rsidRPr="00DA6489">
        <w:t>- article 1</w:t>
      </w:r>
      <w:r w:rsidRPr="00DA6489">
        <w:rPr>
          <w:vertAlign w:val="superscript"/>
        </w:rPr>
        <w:t>er</w:t>
      </w:r>
      <w:r w:rsidR="000C1CBB" w:rsidRPr="00DA6489">
        <w:t xml:space="preserve"> </w:t>
      </w:r>
      <w:r w:rsidRPr="00DA6489">
        <w:t>relatif au champ d'application ;</w:t>
      </w:r>
    </w:p>
    <w:p w14:paraId="3CE9E6D6" w14:textId="2B90BFCA" w:rsidR="00AC087F" w:rsidRPr="00DA6489" w:rsidRDefault="00AC087F">
      <w:pPr>
        <w:spacing w:after="0"/>
      </w:pPr>
      <w:r w:rsidRPr="00DA6489">
        <w:t>- article 1</w:t>
      </w:r>
      <w:r w:rsidR="000C1CBB" w:rsidRPr="00DA6489">
        <w:t xml:space="preserve"> </w:t>
      </w:r>
      <w:r w:rsidRPr="00DA6489">
        <w:t>bis relatif aux définitions ;</w:t>
      </w:r>
    </w:p>
    <w:p w14:paraId="74496174" w14:textId="77777777" w:rsidR="00AC087F" w:rsidRPr="00DA6489" w:rsidRDefault="00AC087F">
      <w:pPr>
        <w:spacing w:after="0"/>
      </w:pPr>
      <w:r w:rsidRPr="00DA6489">
        <w:t>- article 2 relatif à l'intégration paysagère et à la propreté ;</w:t>
      </w:r>
    </w:p>
    <w:p w14:paraId="3E2C8472" w14:textId="77777777" w:rsidR="00AC087F" w:rsidRPr="00DA6489" w:rsidRDefault="00AC087F">
      <w:pPr>
        <w:spacing w:after="0"/>
      </w:pPr>
      <w:r w:rsidRPr="00DA6489">
        <w:lastRenderedPageBreak/>
        <w:t>- article 3 relatif aux dispositions générales de conception et d’aménagement ;</w:t>
      </w:r>
    </w:p>
    <w:p w14:paraId="4CE1D311" w14:textId="77777777" w:rsidR="00AC087F" w:rsidRPr="00DA6489" w:rsidRDefault="00AC087F">
      <w:pPr>
        <w:spacing w:after="0"/>
      </w:pPr>
      <w:r w:rsidRPr="00DA6489">
        <w:t xml:space="preserve">- article 4 relatif à la ventilation des locaux ; </w:t>
      </w:r>
    </w:p>
    <w:p w14:paraId="0E6B2239" w14:textId="77777777" w:rsidR="00AC087F" w:rsidRPr="00DA6489" w:rsidRDefault="00AC087F">
      <w:pPr>
        <w:spacing w:after="0"/>
      </w:pPr>
      <w:r w:rsidRPr="00DA6489">
        <w:t>- article 5 relatif à l’électricité et à l’incendie ;</w:t>
      </w:r>
    </w:p>
    <w:p w14:paraId="3F0C9F87" w14:textId="77777777" w:rsidR="00AC087F" w:rsidRPr="00DA6489" w:rsidRDefault="00AC087F">
      <w:pPr>
        <w:spacing w:after="0"/>
      </w:pPr>
      <w:r w:rsidRPr="00DA6489">
        <w:t>- article 6 relatif aux stockages et aux r</w:t>
      </w:r>
      <w:r w:rsidR="00C060D3" w:rsidRPr="00DA6489">
        <w:t>é</w:t>
      </w:r>
      <w:r w:rsidRPr="00DA6489">
        <w:t>tentions ;</w:t>
      </w:r>
    </w:p>
    <w:p w14:paraId="6250C812" w14:textId="77777777" w:rsidR="00AC087F" w:rsidRPr="00DA6489" w:rsidRDefault="00AC087F">
      <w:pPr>
        <w:spacing w:after="0"/>
      </w:pPr>
      <w:r w:rsidRPr="00DA6489">
        <w:t xml:space="preserve">- article 7 relatif aux canalisations de transport des effluents, aux plans des réseaux d'alimentation et de collecte ; </w:t>
      </w:r>
    </w:p>
    <w:p w14:paraId="5018460F" w14:textId="6D54A7E1" w:rsidR="00AC087F" w:rsidRPr="00DA6489" w:rsidRDefault="00AC087F" w:rsidP="00AC087F">
      <w:pPr>
        <w:spacing w:after="0"/>
      </w:pPr>
      <w:r w:rsidRPr="00DA6489">
        <w:t>- article 8 relatif aux rejets sur ou dans les sols des eaux pluviales, ainsi qu'aux émissions de substances dans les eaux souterraines</w:t>
      </w:r>
      <w:r w:rsidR="000C1CBB" w:rsidRPr="00DA6489">
        <w:t> ;</w:t>
      </w:r>
    </w:p>
    <w:p w14:paraId="4E44A063" w14:textId="050ACDA6" w:rsidR="00AC087F" w:rsidRPr="00DA6489" w:rsidRDefault="00AC087F" w:rsidP="00AC087F">
      <w:pPr>
        <w:spacing w:after="0"/>
      </w:pPr>
      <w:r w:rsidRPr="00DA6489">
        <w:t>- article 9 relatif aux confinements des eaux susceptibles d’être polluées lors d'un accident ou d'un incendie</w:t>
      </w:r>
      <w:r w:rsidR="000C1CBB" w:rsidRPr="00DA6489">
        <w:t> ;</w:t>
      </w:r>
    </w:p>
    <w:p w14:paraId="39C9E83B" w14:textId="77777777" w:rsidR="00AC087F" w:rsidRPr="00DA6489" w:rsidRDefault="00AC087F" w:rsidP="00AC087F">
      <w:pPr>
        <w:spacing w:after="0"/>
      </w:pPr>
      <w:r w:rsidRPr="00DA6489">
        <w:t>- article 10 relatif aux dispositions générales de conception et d’aménagement incendie ;</w:t>
      </w:r>
    </w:p>
    <w:p w14:paraId="11DEF95A" w14:textId="77777777" w:rsidR="00AC087F" w:rsidRPr="00DA6489" w:rsidRDefault="00AC087F" w:rsidP="00AC087F">
      <w:pPr>
        <w:spacing w:after="0"/>
      </w:pPr>
      <w:r w:rsidRPr="00DA6489">
        <w:t>- article 11 relatif aux fiches de sécurité ;</w:t>
      </w:r>
    </w:p>
    <w:p w14:paraId="3210A3F9" w14:textId="77777777" w:rsidR="00AC087F" w:rsidRPr="00DA6489" w:rsidRDefault="00AC087F" w:rsidP="00AC087F">
      <w:pPr>
        <w:spacing w:after="0"/>
      </w:pPr>
      <w:r w:rsidRPr="00DA6489">
        <w:t>- article</w:t>
      </w:r>
      <w:r w:rsidR="00C060D3" w:rsidRPr="00DA6489">
        <w:t>s</w:t>
      </w:r>
      <w:r w:rsidRPr="00DA6489">
        <w:t xml:space="preserve"> 12 et 14 </w:t>
      </w:r>
      <w:r w:rsidR="001561E9" w:rsidRPr="00DA6489">
        <w:t>relatifs</w:t>
      </w:r>
      <w:r w:rsidRPr="00DA6489">
        <w:t xml:space="preserve"> aux réserves de produits et consommables ;</w:t>
      </w:r>
    </w:p>
    <w:p w14:paraId="436F5CBA" w14:textId="578EE37B" w:rsidR="00AC087F" w:rsidRPr="00DA6489" w:rsidRDefault="00AC087F" w:rsidP="00AC087F">
      <w:pPr>
        <w:spacing w:after="0"/>
      </w:pPr>
      <w:r w:rsidRPr="00DA6489">
        <w:t xml:space="preserve">- </w:t>
      </w:r>
      <w:r w:rsidR="000C4674" w:rsidRPr="00DA6489">
        <w:t>à l’</w:t>
      </w:r>
      <w:r w:rsidRPr="00DA6489">
        <w:t>article 13 relatif aux consignes d'exploitation de l'ensemble des installations</w:t>
      </w:r>
      <w:r w:rsidR="00DB415D" w:rsidRPr="00DA6489">
        <w:t>,</w:t>
      </w:r>
      <w:r w:rsidR="00D57200">
        <w:t xml:space="preserve"> </w:t>
      </w:r>
      <w:r w:rsidRPr="00DA6489">
        <w:t>aux plans des réseaux d'alimentation et aux personnels nommément désignés spécialement formés aux substances toxiques</w:t>
      </w:r>
      <w:r w:rsidR="000C1CBB" w:rsidRPr="00DA6489">
        <w:t> ;</w:t>
      </w:r>
    </w:p>
    <w:p w14:paraId="22451A2C" w14:textId="77777777" w:rsidR="00AC087F" w:rsidRPr="00DA6489" w:rsidRDefault="00AC087F" w:rsidP="00AC087F">
      <w:pPr>
        <w:spacing w:after="0"/>
      </w:pPr>
      <w:r w:rsidRPr="00DA6489">
        <w:t>- articles 15 et 16 relatifs aux prélèvements d'eau ;</w:t>
      </w:r>
    </w:p>
    <w:p w14:paraId="5009D237" w14:textId="77777777" w:rsidR="00AC087F" w:rsidRPr="00DA6489" w:rsidRDefault="00AC087F" w:rsidP="00AC087F">
      <w:pPr>
        <w:spacing w:after="0"/>
      </w:pPr>
      <w:r w:rsidRPr="00DA6489">
        <w:t>- articles 17 relatifs aux traitements des effluents ;</w:t>
      </w:r>
    </w:p>
    <w:p w14:paraId="4450BAB3" w14:textId="77777777" w:rsidR="00575D51" w:rsidRDefault="00AC087F" w:rsidP="002F3859">
      <w:pPr>
        <w:spacing w:after="0"/>
      </w:pPr>
      <w:r w:rsidRPr="00DA6489">
        <w:t>- article 23 relatif au raccordement à une installation de traitement ;</w:t>
      </w:r>
    </w:p>
    <w:p w14:paraId="00B75677" w14:textId="4F7A6276" w:rsidR="00575D51" w:rsidRPr="00DA6489" w:rsidRDefault="00575D51" w:rsidP="002F3859">
      <w:pPr>
        <w:spacing w:after="0"/>
      </w:pPr>
      <w:r>
        <w:t>- article 24 relatif aux odeurs ;</w:t>
      </w:r>
    </w:p>
    <w:p w14:paraId="5995003C" w14:textId="78BD19FE" w:rsidR="00AC087F" w:rsidRPr="00DA6489" w:rsidRDefault="00AC087F" w:rsidP="002F3859">
      <w:pPr>
        <w:spacing w:after="0"/>
      </w:pPr>
      <w:r w:rsidRPr="00DA6489">
        <w:t>- article</w:t>
      </w:r>
      <w:r w:rsidR="002F3859" w:rsidRPr="00DA6489">
        <w:t>s</w:t>
      </w:r>
      <w:r w:rsidRPr="00DA6489">
        <w:t xml:space="preserve"> 27 à </w:t>
      </w:r>
      <w:r w:rsidR="002F3859" w:rsidRPr="00DA6489">
        <w:t xml:space="preserve">30 </w:t>
      </w:r>
      <w:r w:rsidRPr="00DA6489">
        <w:t xml:space="preserve">relatifs aux </w:t>
      </w:r>
      <w:r w:rsidR="00DB415D" w:rsidRPr="00DA6489">
        <w:t>déchets</w:t>
      </w:r>
      <w:r w:rsidRPr="00DA6489">
        <w:t xml:space="preserve"> ;</w:t>
      </w:r>
    </w:p>
    <w:p w14:paraId="4436E712" w14:textId="77777777" w:rsidR="002F3859" w:rsidRPr="00DA6489" w:rsidRDefault="002F3859" w:rsidP="00B37662">
      <w:pPr>
        <w:spacing w:after="0"/>
      </w:pPr>
      <w:r w:rsidRPr="00DA6489">
        <w:t>- article 33 relatif à la surveillance</w:t>
      </w:r>
      <w:r w:rsidR="00B37662" w:rsidRPr="00DA6489">
        <w:t> ;</w:t>
      </w:r>
    </w:p>
    <w:p w14:paraId="094B7F40" w14:textId="77777777" w:rsidR="00B37662" w:rsidRPr="00DA6489" w:rsidRDefault="00B37662" w:rsidP="00B37662">
      <w:pPr>
        <w:spacing w:after="0"/>
      </w:pPr>
      <w:r w:rsidRPr="00DA6489">
        <w:t>- article 36 relatif à la surveillance des eaux souterraines ;</w:t>
      </w:r>
    </w:p>
    <w:p w14:paraId="305D6855" w14:textId="6393A009" w:rsidR="00B37662" w:rsidRPr="00DA6489" w:rsidRDefault="00B37662" w:rsidP="00B37662">
      <w:pPr>
        <w:spacing w:after="0"/>
      </w:pPr>
      <w:r w:rsidRPr="00DA6489">
        <w:t>- article 37 relatif à la présomption de pollution des sols</w:t>
      </w:r>
      <w:r w:rsidR="0092516A" w:rsidRPr="00DA6489">
        <w:t> ;</w:t>
      </w:r>
    </w:p>
    <w:p w14:paraId="452A3DC9" w14:textId="50CFC71A" w:rsidR="00833FD1" w:rsidRPr="00DA6489" w:rsidRDefault="00DB415D" w:rsidP="00833FD1">
      <w:pPr>
        <w:spacing w:after="0"/>
      </w:pPr>
      <w:r w:rsidRPr="00DA6489">
        <w:t>- article 38 relatif au cessation définitive de toutes ses activités</w:t>
      </w:r>
      <w:r w:rsidR="0092516A" w:rsidRPr="00DA6489">
        <w:t> ;</w:t>
      </w:r>
    </w:p>
    <w:p w14:paraId="3697A857" w14:textId="6682D5C5" w:rsidR="00DB415D" w:rsidRDefault="00DB415D" w:rsidP="00833FD1">
      <w:pPr>
        <w:spacing w:after="0"/>
      </w:pPr>
      <w:r w:rsidRPr="00DA6489">
        <w:t>- article 39 relatif aux demandes de prélèvements et analyses.</w:t>
      </w:r>
    </w:p>
    <w:p w14:paraId="444FD490" w14:textId="77777777" w:rsidR="00575D51" w:rsidRPr="00DA6489" w:rsidRDefault="00575D51" w:rsidP="00833FD1">
      <w:pPr>
        <w:spacing w:after="0"/>
      </w:pPr>
    </w:p>
    <w:p w14:paraId="2BC62776" w14:textId="77777777" w:rsidR="00DB415D" w:rsidRPr="00DA6489" w:rsidRDefault="00DB415D" w:rsidP="00833FD1">
      <w:pPr>
        <w:spacing w:after="0"/>
      </w:pPr>
    </w:p>
    <w:p w14:paraId="009121A3" w14:textId="2E463C22" w:rsidR="00683113" w:rsidRPr="00DA6489" w:rsidRDefault="00910F31" w:rsidP="00833FD1">
      <w:pPr>
        <w:spacing w:after="0"/>
      </w:pPr>
      <w:r w:rsidRPr="00DA6489">
        <w:rPr>
          <w:bCs/>
        </w:rPr>
        <w:t>III</w:t>
      </w:r>
      <w:r w:rsidR="00683113" w:rsidRPr="00DA6489">
        <w:rPr>
          <w:bCs/>
        </w:rPr>
        <w:t>.</w:t>
      </w:r>
      <w:r w:rsidR="000C1CBB" w:rsidRPr="00DA6489">
        <w:rPr>
          <w:bCs/>
        </w:rPr>
        <w:t xml:space="preserve"> – </w:t>
      </w:r>
      <w:r w:rsidR="00683113" w:rsidRPr="00DA6489">
        <w:t>Les I</w:t>
      </w:r>
      <w:r w:rsidR="00670921" w:rsidRPr="00DA6489">
        <w:t xml:space="preserve"> et</w:t>
      </w:r>
      <w:r w:rsidRPr="00DA6489">
        <w:t xml:space="preserve"> </w:t>
      </w:r>
      <w:r w:rsidR="00683113" w:rsidRPr="00DA6489">
        <w:t>II du présent article sont sans préjudice de l'applicabilité des modifications ultérieures de l'arrêté du 2 février 1998 et de l’arrêté du 30 juin 2006 susvisés.</w:t>
      </w:r>
    </w:p>
    <w:p w14:paraId="5AC426FB" w14:textId="77777777" w:rsidR="00A702EF" w:rsidRPr="00DA6489" w:rsidRDefault="00A702EF" w:rsidP="00833FD1">
      <w:pPr>
        <w:spacing w:after="0"/>
      </w:pPr>
    </w:p>
    <w:p w14:paraId="321850F0" w14:textId="18DC2C08" w:rsidR="00A702EF" w:rsidRPr="00DA6489" w:rsidRDefault="00622DC4">
      <w:pPr>
        <w:spacing w:after="0"/>
        <w:rPr>
          <w:bCs/>
        </w:rPr>
      </w:pPr>
      <w:r w:rsidRPr="00DA6489">
        <w:rPr>
          <w:bCs/>
        </w:rPr>
        <w:t>IV.</w:t>
      </w:r>
      <w:r w:rsidR="000C1CBB" w:rsidRPr="00DA6489">
        <w:rPr>
          <w:bCs/>
        </w:rPr>
        <w:t xml:space="preserve"> – </w:t>
      </w:r>
      <w:r w:rsidRPr="00DA6489">
        <w:rPr>
          <w:bCs/>
        </w:rPr>
        <w:t xml:space="preserve">Pour une installation classée soumise à autorisation </w:t>
      </w:r>
      <w:r w:rsidR="0082562D" w:rsidRPr="00DA6489">
        <w:rPr>
          <w:bCs/>
        </w:rPr>
        <w:t>au titre de la rubrique</w:t>
      </w:r>
      <w:r w:rsidRPr="00DA6489">
        <w:rPr>
          <w:bCs/>
        </w:rPr>
        <w:t xml:space="preserve"> 3260 et </w:t>
      </w:r>
      <w:r w:rsidR="0082562D" w:rsidRPr="00DA6489">
        <w:rPr>
          <w:bCs/>
        </w:rPr>
        <w:t>de la rubrique</w:t>
      </w:r>
      <w:r w:rsidRPr="00DA6489">
        <w:rPr>
          <w:bCs/>
        </w:rPr>
        <w:t xml:space="preserve"> </w:t>
      </w:r>
      <w:r w:rsidR="003E3579" w:rsidRPr="00DA6489">
        <w:rPr>
          <w:bCs/>
        </w:rPr>
        <w:t>3230c</w:t>
      </w:r>
      <w:r w:rsidRPr="00DA6489">
        <w:rPr>
          <w:bCs/>
        </w:rPr>
        <w:t>,</w:t>
      </w:r>
      <w:r w:rsidR="00C0350E" w:rsidRPr="00DA6489">
        <w:rPr>
          <w:bCs/>
        </w:rPr>
        <w:t xml:space="preserve"> </w:t>
      </w:r>
      <w:r w:rsidR="0089140B" w:rsidRPr="00DA6489">
        <w:rPr>
          <w:bCs/>
        </w:rPr>
        <w:t xml:space="preserve">lorsque </w:t>
      </w:r>
      <w:r w:rsidR="00C0350E" w:rsidRPr="00DA6489">
        <w:rPr>
          <w:bCs/>
        </w:rPr>
        <w:t>l</w:t>
      </w:r>
      <w:r w:rsidRPr="00DA6489">
        <w:rPr>
          <w:bCs/>
        </w:rPr>
        <w:t>es dispositions</w:t>
      </w:r>
      <w:r w:rsidR="0089140B" w:rsidRPr="00DA6489">
        <w:rPr>
          <w:bCs/>
        </w:rPr>
        <w:t xml:space="preserve"> mentionnées au 2° du I et du II ont le même objet, les plus contraignantes de ces dispositions </w:t>
      </w:r>
      <w:r w:rsidR="00C0350E" w:rsidRPr="00DA6489">
        <w:rPr>
          <w:bCs/>
        </w:rPr>
        <w:t>prévalent</w:t>
      </w:r>
      <w:r w:rsidRPr="00DA6489">
        <w:rPr>
          <w:bCs/>
        </w:rPr>
        <w:t>.</w:t>
      </w:r>
    </w:p>
    <w:p w14:paraId="69E5DFC0" w14:textId="77777777" w:rsidR="00DF4DFE" w:rsidRPr="00DA6489" w:rsidRDefault="00DF4DFE" w:rsidP="00833FD1">
      <w:pPr>
        <w:spacing w:after="0"/>
      </w:pPr>
    </w:p>
    <w:p w14:paraId="20B53029" w14:textId="77777777" w:rsidR="00F56DE0" w:rsidRPr="00DA6489" w:rsidRDefault="00F56DE0">
      <w:pPr>
        <w:pStyle w:val="Article"/>
      </w:pPr>
    </w:p>
    <w:p w14:paraId="62055927" w14:textId="1E0771B1" w:rsidR="005C0576" w:rsidRPr="00DA6489" w:rsidRDefault="00520523">
      <w:pPr>
        <w:pStyle w:val="Article"/>
        <w:rPr>
          <w:szCs w:val="22"/>
        </w:rPr>
      </w:pPr>
      <w:r w:rsidRPr="00DA6489">
        <w:rPr>
          <w:szCs w:val="22"/>
        </w:rPr>
        <w:t xml:space="preserve">Article </w:t>
      </w:r>
      <w:r w:rsidR="003E3579" w:rsidRPr="00DA6489">
        <w:rPr>
          <w:szCs w:val="22"/>
        </w:rPr>
        <w:t>5</w:t>
      </w:r>
    </w:p>
    <w:p w14:paraId="023A1938" w14:textId="4BE9BB83" w:rsidR="00F56DE0" w:rsidRPr="00DA6489" w:rsidRDefault="00F56DE0" w:rsidP="00F56DE0">
      <w:pPr>
        <w:pStyle w:val="Article"/>
        <w:jc w:val="both"/>
        <w:rPr>
          <w:b w:val="0"/>
          <w:bCs/>
          <w:szCs w:val="22"/>
        </w:rPr>
      </w:pPr>
      <w:r w:rsidRPr="00DA6489">
        <w:rPr>
          <w:b w:val="0"/>
          <w:bCs/>
          <w:szCs w:val="22"/>
        </w:rPr>
        <w:t xml:space="preserve">Lorsque le présent arrêté le prévoit, des dérogations aux dispositions fixées par son annexe peuvent être accordées après avis du Conseil supérieur de la prévention des risques technologiques sous réserve du respect des dispositions </w:t>
      </w:r>
      <w:r w:rsidR="000C4674" w:rsidRPr="00DA6489">
        <w:rPr>
          <w:b w:val="0"/>
          <w:bCs/>
          <w:szCs w:val="22"/>
        </w:rPr>
        <w:t xml:space="preserve">issues de la réglementation de </w:t>
      </w:r>
      <w:r w:rsidR="00575D51" w:rsidRPr="00DA6489">
        <w:rPr>
          <w:b w:val="0"/>
          <w:bCs/>
          <w:szCs w:val="22"/>
        </w:rPr>
        <w:t>l’</w:t>
      </w:r>
      <w:r w:rsidR="00575D51">
        <w:rPr>
          <w:b w:val="0"/>
          <w:bCs/>
          <w:szCs w:val="22"/>
        </w:rPr>
        <w:t>U</w:t>
      </w:r>
      <w:r w:rsidR="00575D51" w:rsidRPr="00DA6489">
        <w:rPr>
          <w:b w:val="0"/>
          <w:bCs/>
          <w:szCs w:val="22"/>
        </w:rPr>
        <w:t xml:space="preserve">nion </w:t>
      </w:r>
      <w:r w:rsidR="000C4674" w:rsidRPr="00DA6489">
        <w:rPr>
          <w:b w:val="0"/>
          <w:bCs/>
          <w:szCs w:val="22"/>
        </w:rPr>
        <w:t>européenne.</w:t>
      </w:r>
    </w:p>
    <w:p w14:paraId="09E629FA" w14:textId="77777777" w:rsidR="00F56DE0" w:rsidRPr="00DA6489" w:rsidRDefault="00F56DE0" w:rsidP="00F56DE0"/>
    <w:p w14:paraId="5DE50AE0" w14:textId="1EA144FB" w:rsidR="00F56DE0" w:rsidRPr="00DA6489" w:rsidRDefault="00F56DE0" w:rsidP="00F56DE0">
      <w:pPr>
        <w:pStyle w:val="Article"/>
        <w:rPr>
          <w:szCs w:val="22"/>
        </w:rPr>
      </w:pPr>
      <w:r w:rsidRPr="00DA6489">
        <w:rPr>
          <w:szCs w:val="22"/>
        </w:rPr>
        <w:t xml:space="preserve">Article </w:t>
      </w:r>
      <w:r w:rsidR="003E3579" w:rsidRPr="00DA6489">
        <w:rPr>
          <w:szCs w:val="22"/>
        </w:rPr>
        <w:t>6</w:t>
      </w:r>
    </w:p>
    <w:p w14:paraId="36DF26E8" w14:textId="77777777" w:rsidR="00F56DE0" w:rsidRPr="00DA6489" w:rsidRDefault="00F56DE0" w:rsidP="00F56DE0"/>
    <w:p w14:paraId="394E875E" w14:textId="2475E2D5" w:rsidR="00F56DE0" w:rsidRPr="00DA6489" w:rsidRDefault="00F56DE0" w:rsidP="00F56DE0">
      <w:r w:rsidRPr="00DA6489">
        <w:t xml:space="preserve">Après le </w:t>
      </w:r>
      <w:r w:rsidR="000C4674" w:rsidRPr="00DA6489">
        <w:t xml:space="preserve">quinzième </w:t>
      </w:r>
      <w:r w:rsidRPr="00DA6489">
        <w:t>alinéa de l’article 1</w:t>
      </w:r>
      <w:r w:rsidRPr="00DA6489">
        <w:rPr>
          <w:vertAlign w:val="superscript"/>
        </w:rPr>
        <w:t>er</w:t>
      </w:r>
      <w:r w:rsidR="0098083F" w:rsidRPr="00DA6489">
        <w:t xml:space="preserve"> de l’arrêté du 2 février 1998 susvisé et après le </w:t>
      </w:r>
      <w:r w:rsidR="00807BF3" w:rsidRPr="00DA6489">
        <w:t xml:space="preserve">deuxième </w:t>
      </w:r>
      <w:r w:rsidR="0098083F" w:rsidRPr="00DA6489">
        <w:t>alinéa de l’article 1</w:t>
      </w:r>
      <w:r w:rsidR="0098083F" w:rsidRPr="00DA6489">
        <w:rPr>
          <w:vertAlign w:val="superscript"/>
        </w:rPr>
        <w:t>er</w:t>
      </w:r>
      <w:r w:rsidR="0098083F" w:rsidRPr="00DA6489">
        <w:t xml:space="preserve"> de l’arrêté du 30 juin 2006 susvisé</w:t>
      </w:r>
      <w:r w:rsidRPr="00DA6489">
        <w:t xml:space="preserve">, </w:t>
      </w:r>
      <w:r w:rsidR="0098083F" w:rsidRPr="00DA6489">
        <w:rPr>
          <w:rFonts w:cs="Times New Roman"/>
          <w:color w:val="000000" w:themeColor="text1"/>
        </w:rPr>
        <w:t xml:space="preserve">il est inséré un </w:t>
      </w:r>
      <w:r w:rsidRPr="00DA6489">
        <w:rPr>
          <w:rFonts w:cs="Times New Roman"/>
          <w:color w:val="000000" w:themeColor="text1"/>
        </w:rPr>
        <w:t xml:space="preserve">alinéa </w:t>
      </w:r>
      <w:r w:rsidR="0098083F" w:rsidRPr="00DA6489">
        <w:rPr>
          <w:rFonts w:cs="Times New Roman"/>
          <w:color w:val="000000" w:themeColor="text1"/>
        </w:rPr>
        <w:t>ainsi rédigé </w:t>
      </w:r>
      <w:r w:rsidRPr="00DA6489">
        <w:t>:</w:t>
      </w:r>
    </w:p>
    <w:p w14:paraId="14ABF97E" w14:textId="60CB6A6D" w:rsidR="00F56DE0" w:rsidRPr="00DA6489" w:rsidRDefault="00F56DE0" w:rsidP="00F56DE0">
      <w:r w:rsidRPr="00DA6489">
        <w:t>« En ce qui concerne les valeurs limites, les fréquences et modalités de contrôle des rejets dans l’air</w:t>
      </w:r>
      <w:r w:rsidR="00E228B4" w:rsidRPr="00DA6489">
        <w:t xml:space="preserve"> et l’eau</w:t>
      </w:r>
      <w:r w:rsidRPr="00DA6489">
        <w:t xml:space="preserve"> applicables aux </w:t>
      </w:r>
      <w:r w:rsidR="00575D51">
        <w:t>activités</w:t>
      </w:r>
      <w:r w:rsidR="00575D51" w:rsidRPr="00DA6489">
        <w:t xml:space="preserve"> </w:t>
      </w:r>
      <w:r w:rsidR="0098083F" w:rsidRPr="00DA6489">
        <w:t>mentionné</w:t>
      </w:r>
      <w:r w:rsidR="00D94B1B" w:rsidRPr="00DA6489">
        <w:t>e</w:t>
      </w:r>
      <w:r w:rsidR="0098083F" w:rsidRPr="00DA6489">
        <w:t>s au I de</w:t>
      </w:r>
      <w:r w:rsidRPr="00DA6489">
        <w:t xml:space="preserve"> l’article 1</w:t>
      </w:r>
      <w:r w:rsidRPr="00DA6489">
        <w:rPr>
          <w:vertAlign w:val="superscript"/>
        </w:rPr>
        <w:t>er</w:t>
      </w:r>
      <w:r w:rsidRPr="00DA6489">
        <w:t xml:space="preserve"> de l’arrêté du XX relatif </w:t>
      </w:r>
      <w:r w:rsidR="00A648F9" w:rsidRPr="00DA6489">
        <w:t xml:space="preserve">aux meilleures techniques disponibles (MTD) </w:t>
      </w:r>
      <w:r w:rsidR="00910F31" w:rsidRPr="00DA6489">
        <w:t xml:space="preserve">applicables à certaines installations classées du </w:t>
      </w:r>
      <w:r w:rsidR="00910F31" w:rsidRPr="00DA6489">
        <w:lastRenderedPageBreak/>
        <w:t>secteur du traitement des métaux ferreux par galvanisation discontinue relevant du régime de l’autorisation au titre des rubriques 3230c ou 3260 de la nomenclature des installations classées pour la protection de l’environnement</w:t>
      </w:r>
      <w:r w:rsidRPr="00DA6489">
        <w:t>, les dispositions fixées dans l’arrêté du XX susmentionné prévalen</w:t>
      </w:r>
      <w:r w:rsidR="00422ECB" w:rsidRPr="00DA6489">
        <w:t>t.</w:t>
      </w:r>
      <w:r w:rsidR="0098083F" w:rsidRPr="00DA6489">
        <w:t> ».</w:t>
      </w:r>
    </w:p>
    <w:p w14:paraId="505E17DD" w14:textId="77777777" w:rsidR="00F56DE0" w:rsidRPr="00DA6489" w:rsidRDefault="00F56DE0" w:rsidP="00F56DE0">
      <w:pPr>
        <w:pStyle w:val="Article"/>
        <w:jc w:val="both"/>
        <w:rPr>
          <w:b w:val="0"/>
          <w:bCs/>
          <w:szCs w:val="22"/>
        </w:rPr>
      </w:pPr>
    </w:p>
    <w:p w14:paraId="44C654C6" w14:textId="3917552B" w:rsidR="005C0576" w:rsidRPr="00DA6489" w:rsidRDefault="00520523">
      <w:pPr>
        <w:pStyle w:val="Article"/>
        <w:rPr>
          <w:szCs w:val="22"/>
        </w:rPr>
      </w:pPr>
      <w:r w:rsidRPr="00DA6489">
        <w:rPr>
          <w:szCs w:val="22"/>
        </w:rPr>
        <w:t xml:space="preserve">Article </w:t>
      </w:r>
      <w:r w:rsidR="003E3579" w:rsidRPr="00DA6489">
        <w:rPr>
          <w:szCs w:val="22"/>
        </w:rPr>
        <w:t>7</w:t>
      </w:r>
    </w:p>
    <w:p w14:paraId="07AF0175" w14:textId="52FB545F" w:rsidR="005C0576" w:rsidRPr="00DA6489" w:rsidRDefault="00520523">
      <w:r w:rsidRPr="00DA6489">
        <w:t>L</w:t>
      </w:r>
      <w:r w:rsidR="002608B9">
        <w:t>a</w:t>
      </w:r>
      <w:r w:rsidRPr="00DA6489">
        <w:t xml:space="preserve"> direct</w:t>
      </w:r>
      <w:r w:rsidR="002608B9">
        <w:t>rice</w:t>
      </w:r>
      <w:r w:rsidR="00604572">
        <w:t xml:space="preserve"> </w:t>
      </w:r>
      <w:r w:rsidRPr="00DA6489">
        <w:t>général</w:t>
      </w:r>
      <w:r w:rsidR="002608B9">
        <w:t>e</w:t>
      </w:r>
      <w:r w:rsidR="00604572">
        <w:t xml:space="preserve"> </w:t>
      </w:r>
      <w:r w:rsidRPr="00DA6489">
        <w:t xml:space="preserve">de la prévention des risques </w:t>
      </w:r>
      <w:r w:rsidR="00604572">
        <w:t>par intérim</w:t>
      </w:r>
      <w:r w:rsidR="00604572" w:rsidRPr="00DA6489">
        <w:t xml:space="preserve"> </w:t>
      </w:r>
      <w:r w:rsidRPr="00DA6489">
        <w:t>est chargé</w:t>
      </w:r>
      <w:r w:rsidR="00604572">
        <w:t>e</w:t>
      </w:r>
      <w:r w:rsidRPr="00DA6489">
        <w:t xml:space="preserve"> de l’exécution du présent arrêté, qui sera publié au </w:t>
      </w:r>
      <w:r w:rsidRPr="00DA6489">
        <w:rPr>
          <w:i/>
          <w:iCs/>
        </w:rPr>
        <w:t>Journal officiel</w:t>
      </w:r>
      <w:r w:rsidRPr="00DA6489">
        <w:t xml:space="preserve"> de la République française.</w:t>
      </w:r>
    </w:p>
    <w:p w14:paraId="5FD78A98" w14:textId="77777777" w:rsidR="005C0576" w:rsidRPr="00DA6489" w:rsidRDefault="005C0576"/>
    <w:p w14:paraId="6AECBFAF" w14:textId="77777777" w:rsidR="005C0576" w:rsidRPr="00DA6489" w:rsidRDefault="00520523">
      <w:r w:rsidRPr="00DA6489">
        <w:t>Fait le XX</w:t>
      </w:r>
    </w:p>
    <w:p w14:paraId="7EB75E01" w14:textId="4732F6B3" w:rsidR="001D0B9B" w:rsidRPr="00DA6489" w:rsidRDefault="00520523">
      <w:r w:rsidRPr="00DA6489">
        <w:t>Pour l</w:t>
      </w:r>
      <w:r w:rsidR="0068302F" w:rsidRPr="00DA6489">
        <w:t>a</w:t>
      </w:r>
      <w:r w:rsidRPr="00DA6489">
        <w:t xml:space="preserve"> ministre et par délégation</w:t>
      </w:r>
      <w:r w:rsidR="00E1178C">
        <w:t>,</w:t>
      </w:r>
    </w:p>
    <w:p w14:paraId="068C29A6" w14:textId="63FD3C36" w:rsidR="005C0576" w:rsidRDefault="00520523">
      <w:pPr>
        <w:rPr>
          <w:i/>
        </w:rPr>
      </w:pPr>
      <w:r w:rsidRPr="00DA6489">
        <w:rPr>
          <w:i/>
        </w:rPr>
        <w:t>L</w:t>
      </w:r>
      <w:r w:rsidR="00550B55" w:rsidRPr="00DA6489">
        <w:rPr>
          <w:i/>
        </w:rPr>
        <w:t>a</w:t>
      </w:r>
      <w:r w:rsidRPr="00DA6489">
        <w:rPr>
          <w:i/>
        </w:rPr>
        <w:t xml:space="preserve"> direct</w:t>
      </w:r>
      <w:r w:rsidR="00550B55" w:rsidRPr="00DA6489">
        <w:rPr>
          <w:i/>
        </w:rPr>
        <w:t>rice</w:t>
      </w:r>
      <w:r w:rsidRPr="00DA6489">
        <w:rPr>
          <w:i/>
        </w:rPr>
        <w:t xml:space="preserve"> général</w:t>
      </w:r>
      <w:r w:rsidR="00550B55" w:rsidRPr="00DA6489">
        <w:rPr>
          <w:i/>
        </w:rPr>
        <w:t>e</w:t>
      </w:r>
      <w:r w:rsidRPr="00DA6489">
        <w:rPr>
          <w:i/>
        </w:rPr>
        <w:t xml:space="preserve"> de la prévention des risques</w:t>
      </w:r>
      <w:r w:rsidR="00550B55" w:rsidRPr="00DA6489">
        <w:rPr>
          <w:i/>
        </w:rPr>
        <w:t xml:space="preserve"> par intérim</w:t>
      </w:r>
    </w:p>
    <w:p w14:paraId="04FBC314" w14:textId="4977997A" w:rsidR="001D0B9B" w:rsidRDefault="001D0B9B">
      <w:pPr>
        <w:rPr>
          <w:i/>
        </w:rPr>
      </w:pPr>
    </w:p>
    <w:p w14:paraId="0C47B48A" w14:textId="77777777" w:rsidR="001D0B9B" w:rsidRPr="00DA6489" w:rsidRDefault="001D0B9B">
      <w:pPr>
        <w:rPr>
          <w:i/>
        </w:rPr>
      </w:pPr>
    </w:p>
    <w:p w14:paraId="4A2689A4" w14:textId="39A45E60" w:rsidR="005C0576" w:rsidRPr="00DA6489" w:rsidRDefault="00550B55">
      <w:r w:rsidRPr="00DA6489">
        <w:t>R.</w:t>
      </w:r>
      <w:r w:rsidR="00500422">
        <w:t xml:space="preserve"> </w:t>
      </w:r>
      <w:r w:rsidRPr="00DA6489">
        <w:t>ENGSTRÖM</w:t>
      </w:r>
      <w:r w:rsidR="00500422">
        <w:t>,</w:t>
      </w:r>
      <w:r w:rsidR="00520523" w:rsidRPr="00DA6489">
        <w:br w:type="page"/>
      </w:r>
    </w:p>
    <w:p w14:paraId="437B253B" w14:textId="40C66E97" w:rsidR="005C0576" w:rsidRPr="00DA6489" w:rsidRDefault="00520523">
      <w:pPr>
        <w:pStyle w:val="Formuledepolitesse1"/>
        <w:rPr>
          <w:sz w:val="22"/>
          <w:szCs w:val="22"/>
        </w:rPr>
      </w:pPr>
      <w:r w:rsidRPr="00DA6489">
        <w:rPr>
          <w:sz w:val="22"/>
          <w:szCs w:val="22"/>
        </w:rPr>
        <w:lastRenderedPageBreak/>
        <w:t>ANNEXE </w:t>
      </w:r>
      <w:r w:rsidR="002E35C6" w:rsidRPr="00DA6489">
        <w:rPr>
          <w:sz w:val="22"/>
          <w:szCs w:val="22"/>
        </w:rPr>
        <w:t>I</w:t>
      </w:r>
      <w:r w:rsidR="00C07765" w:rsidRPr="00DA6489">
        <w:rPr>
          <w:sz w:val="22"/>
          <w:szCs w:val="22"/>
        </w:rPr>
        <w:t xml:space="preserve"> </w:t>
      </w:r>
      <w:r w:rsidRPr="00DA6489">
        <w:rPr>
          <w:sz w:val="22"/>
          <w:szCs w:val="22"/>
        </w:rPr>
        <w:t xml:space="preserve">: PRESCRIPTIONS GÉNÉRALES APPLICABLES AUX INSTALLATIONS CLASSÉES POUR LA PROTECTION DE L’ENVIRONNEMENT SOUMISES À AUTORISATION AU TITRE DES RUBRIQUES 3230c </w:t>
      </w:r>
      <w:r w:rsidR="007A14CF" w:rsidRPr="00DA6489">
        <w:rPr>
          <w:sz w:val="22"/>
          <w:szCs w:val="22"/>
        </w:rPr>
        <w:t>ET/OU</w:t>
      </w:r>
      <w:r w:rsidRPr="00DA6489">
        <w:rPr>
          <w:sz w:val="22"/>
          <w:szCs w:val="22"/>
        </w:rPr>
        <w:t xml:space="preserve"> 3260 LORSQU’ELLES SONT ASSOCIEES A DE LA GALVANISATION DISCONTINUE </w:t>
      </w:r>
    </w:p>
    <w:p w14:paraId="66501B4D" w14:textId="77777777" w:rsidR="005C0576" w:rsidRPr="00DA6489" w:rsidRDefault="00520523">
      <w:pPr>
        <w:pStyle w:val="Titre10"/>
        <w:numPr>
          <w:ilvl w:val="0"/>
          <w:numId w:val="0"/>
        </w:numPr>
        <w:ind w:left="357"/>
        <w:rPr>
          <w:sz w:val="22"/>
          <w:szCs w:val="22"/>
        </w:rPr>
      </w:pPr>
      <w:r w:rsidRPr="00DA6489">
        <w:rPr>
          <w:sz w:val="22"/>
          <w:szCs w:val="22"/>
        </w:rPr>
        <w:t>Titre I : Dispositions générales, définitions, acronymes</w:t>
      </w:r>
    </w:p>
    <w:p w14:paraId="2A345521" w14:textId="77777777" w:rsidR="005C0576" w:rsidRPr="00DA6489" w:rsidRDefault="00520523" w:rsidP="004E323C">
      <w:pPr>
        <w:pStyle w:val="Titre2"/>
      </w:pPr>
      <w:r w:rsidRPr="00DA6489">
        <w:t>1.1</w:t>
      </w:r>
      <w:r w:rsidR="00C935A2" w:rsidRPr="00DA6489">
        <w:t>.</w:t>
      </w:r>
      <w:r w:rsidRPr="00DA6489">
        <w:t xml:space="preserve"> Définitions et acronymes</w:t>
      </w:r>
    </w:p>
    <w:p w14:paraId="34B2AC01" w14:textId="77777777" w:rsidR="005C0576" w:rsidRPr="00DA6489" w:rsidRDefault="00520523">
      <w:bookmarkStart w:id="0" w:name="__RefHeading___Toc12325_3451167695"/>
      <w:bookmarkEnd w:id="0"/>
      <w:r w:rsidRPr="00DA6489">
        <w:t>Au sens du présent arrêté, on entend par :</w:t>
      </w:r>
    </w:p>
    <w:tbl>
      <w:tblPr>
        <w:tblW w:w="8494" w:type="dxa"/>
        <w:jc w:val="center"/>
        <w:tblLayout w:type="fixed"/>
        <w:tblLook w:val="01E0" w:firstRow="1" w:lastRow="1" w:firstColumn="1" w:lastColumn="1" w:noHBand="0" w:noVBand="0"/>
      </w:tblPr>
      <w:tblGrid>
        <w:gridCol w:w="1933"/>
        <w:gridCol w:w="6561"/>
      </w:tblGrid>
      <w:tr w:rsidR="005C0576" w:rsidRPr="00DA6489" w14:paraId="78DC3687" w14:textId="77777777" w:rsidTr="007A14CF">
        <w:trPr>
          <w:cantSplit/>
          <w:trHeight w:val="20"/>
          <w:jc w:val="center"/>
        </w:trPr>
        <w:tc>
          <w:tcPr>
            <w:tcW w:w="8494" w:type="dxa"/>
            <w:gridSpan w:val="2"/>
            <w:tcBorders>
              <w:top w:val="single" w:sz="4" w:space="0" w:color="000000"/>
              <w:left w:val="single" w:sz="4" w:space="0" w:color="000000"/>
              <w:bottom w:val="single" w:sz="4" w:space="0" w:color="000000"/>
              <w:right w:val="single" w:sz="4" w:space="0" w:color="000000"/>
            </w:tcBorders>
            <w:vAlign w:val="center"/>
          </w:tcPr>
          <w:p w14:paraId="457D741C" w14:textId="77777777" w:rsidR="005C0576" w:rsidRPr="00DA6489" w:rsidRDefault="00520523">
            <w:pPr>
              <w:widowControl w:val="0"/>
              <w:spacing w:after="0"/>
              <w:jc w:val="center"/>
              <w:rPr>
                <w:b/>
              </w:rPr>
            </w:pPr>
            <w:r w:rsidRPr="00DA6489">
              <w:rPr>
                <w:b/>
              </w:rPr>
              <w:t>Termes généraux</w:t>
            </w:r>
          </w:p>
        </w:tc>
      </w:tr>
      <w:tr w:rsidR="005C0576" w:rsidRPr="00DA6489" w14:paraId="0D67A52C"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3324C983" w14:textId="77777777" w:rsidR="005C0576" w:rsidRPr="00DA6489" w:rsidRDefault="00520523">
            <w:pPr>
              <w:widowControl w:val="0"/>
              <w:spacing w:after="0"/>
              <w:rPr>
                <w:b/>
              </w:rPr>
            </w:pPr>
            <w:r w:rsidRPr="00DA6489">
              <w:rPr>
                <w:b/>
              </w:rPr>
              <w:t>Terme utilisé</w:t>
            </w:r>
          </w:p>
        </w:tc>
        <w:tc>
          <w:tcPr>
            <w:tcW w:w="6561" w:type="dxa"/>
            <w:tcBorders>
              <w:top w:val="single" w:sz="4" w:space="0" w:color="000000"/>
              <w:left w:val="single" w:sz="4" w:space="0" w:color="000000"/>
              <w:bottom w:val="single" w:sz="4" w:space="0" w:color="000000"/>
              <w:right w:val="single" w:sz="4" w:space="0" w:color="000000"/>
            </w:tcBorders>
            <w:vAlign w:val="center"/>
          </w:tcPr>
          <w:p w14:paraId="255372CB" w14:textId="77777777" w:rsidR="005C0576" w:rsidRPr="00DA6489" w:rsidRDefault="00520523">
            <w:pPr>
              <w:widowControl w:val="0"/>
              <w:spacing w:after="0"/>
              <w:rPr>
                <w:b/>
              </w:rPr>
            </w:pPr>
            <w:r w:rsidRPr="00DA6489">
              <w:rPr>
                <w:b/>
              </w:rPr>
              <w:t>Définition</w:t>
            </w:r>
          </w:p>
        </w:tc>
      </w:tr>
      <w:tr w:rsidR="005C0576" w:rsidRPr="00DA6489" w14:paraId="10934D59"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5C385124" w14:textId="77777777" w:rsidR="005C0576" w:rsidRPr="00DA6489" w:rsidRDefault="00520523">
            <w:pPr>
              <w:widowControl w:val="0"/>
              <w:spacing w:after="0"/>
            </w:pPr>
            <w:r w:rsidRPr="00DA6489">
              <w:t>Acide mixte</w:t>
            </w:r>
          </w:p>
        </w:tc>
        <w:tc>
          <w:tcPr>
            <w:tcW w:w="6561" w:type="dxa"/>
            <w:tcBorders>
              <w:top w:val="single" w:sz="4" w:space="0" w:color="000000"/>
              <w:left w:val="single" w:sz="4" w:space="0" w:color="000000"/>
              <w:bottom w:val="single" w:sz="4" w:space="0" w:color="000000"/>
              <w:right w:val="single" w:sz="4" w:space="0" w:color="000000"/>
            </w:tcBorders>
            <w:vAlign w:val="center"/>
          </w:tcPr>
          <w:p w14:paraId="778DA8D8" w14:textId="77777777" w:rsidR="005C0576" w:rsidRPr="00DA6489" w:rsidRDefault="00520523">
            <w:pPr>
              <w:widowControl w:val="0"/>
              <w:spacing w:after="0"/>
            </w:pPr>
            <w:r w:rsidRPr="00DA6489">
              <w:t>Mélange d’acide fluorhydrique et d’acide nitrique.</w:t>
            </w:r>
          </w:p>
        </w:tc>
      </w:tr>
      <w:tr w:rsidR="005C0576" w:rsidRPr="00DA6489" w14:paraId="148D2251"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7E0B11F1" w14:textId="77777777" w:rsidR="005C0576" w:rsidRPr="00DA6489" w:rsidRDefault="00520523">
            <w:pPr>
              <w:widowControl w:val="0"/>
              <w:spacing w:after="0"/>
            </w:pPr>
            <w:r w:rsidRPr="00DA6489">
              <w:t>Cendre de zinc</w:t>
            </w:r>
          </w:p>
        </w:tc>
        <w:tc>
          <w:tcPr>
            <w:tcW w:w="6561" w:type="dxa"/>
            <w:tcBorders>
              <w:top w:val="single" w:sz="4" w:space="0" w:color="000000"/>
              <w:left w:val="single" w:sz="4" w:space="0" w:color="000000"/>
              <w:bottom w:val="single" w:sz="4" w:space="0" w:color="000000"/>
              <w:right w:val="single" w:sz="4" w:space="0" w:color="000000"/>
            </w:tcBorders>
            <w:vAlign w:val="center"/>
          </w:tcPr>
          <w:p w14:paraId="09BC36C0" w14:textId="6F74B453" w:rsidR="005C0576" w:rsidRPr="00DA6489" w:rsidRDefault="00520523">
            <w:pPr>
              <w:widowControl w:val="0"/>
              <w:spacing w:after="0"/>
            </w:pPr>
            <w:r w:rsidRPr="00DA6489">
              <w:t>Mélange constitué de zinc métal, d’oxyde de zinc et de chlorure de zinc qui se forme à la surface du bain de zinc fondu.</w:t>
            </w:r>
            <w:r w:rsidR="00717AED" w:rsidRPr="00DA6489">
              <w:t xml:space="preserve"> </w:t>
            </w:r>
          </w:p>
        </w:tc>
      </w:tr>
      <w:tr w:rsidR="005C0576" w:rsidRPr="00DA6489" w14:paraId="3C005DBE"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056A4A9B" w14:textId="77777777" w:rsidR="005C0576" w:rsidRPr="00DA6489" w:rsidRDefault="00520523">
            <w:pPr>
              <w:widowControl w:val="0"/>
              <w:spacing w:after="0"/>
            </w:pPr>
            <w:r w:rsidRPr="00DA6489">
              <w:t>Chauffage de la matière entrante</w:t>
            </w:r>
          </w:p>
        </w:tc>
        <w:tc>
          <w:tcPr>
            <w:tcW w:w="6561" w:type="dxa"/>
            <w:tcBorders>
              <w:top w:val="single" w:sz="4" w:space="0" w:color="000000"/>
              <w:left w:val="single" w:sz="4" w:space="0" w:color="000000"/>
              <w:bottom w:val="single" w:sz="4" w:space="0" w:color="000000"/>
              <w:right w:val="single" w:sz="4" w:space="0" w:color="000000"/>
            </w:tcBorders>
            <w:vAlign w:val="center"/>
          </w:tcPr>
          <w:p w14:paraId="59BCD33B" w14:textId="77777777" w:rsidR="005C0576" w:rsidRPr="00DA6489" w:rsidRDefault="00520523">
            <w:pPr>
              <w:widowControl w:val="0"/>
              <w:spacing w:after="0"/>
            </w:pPr>
            <w:r w:rsidRPr="00DA6489">
              <w:t>Toute étape du procédé où la matière entrante est chauffée. Cela ne comprend pas le séchage de la matière entrante ni le chauffage de la cuve de galvanisation.</w:t>
            </w:r>
          </w:p>
        </w:tc>
      </w:tr>
      <w:tr w:rsidR="00B863F3" w:rsidRPr="00DA6489" w14:paraId="419A83EB"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75191DA8" w14:textId="77777777" w:rsidR="00B863F3" w:rsidRPr="00DA6489" w:rsidRDefault="00B863F3">
            <w:pPr>
              <w:widowControl w:val="0"/>
              <w:spacing w:after="0"/>
            </w:pPr>
            <w:r w:rsidRPr="00DA6489">
              <w:t xml:space="preserve">Diagramme de </w:t>
            </w:r>
            <w:proofErr w:type="spellStart"/>
            <w:r w:rsidRPr="00DA6489">
              <w:t>Sankey</w:t>
            </w:r>
            <w:proofErr w:type="spellEnd"/>
          </w:p>
        </w:tc>
        <w:tc>
          <w:tcPr>
            <w:tcW w:w="6561" w:type="dxa"/>
            <w:tcBorders>
              <w:top w:val="single" w:sz="4" w:space="0" w:color="000000"/>
              <w:left w:val="single" w:sz="4" w:space="0" w:color="000000"/>
              <w:bottom w:val="single" w:sz="4" w:space="0" w:color="000000"/>
              <w:right w:val="single" w:sz="4" w:space="0" w:color="000000"/>
            </w:tcBorders>
            <w:vAlign w:val="center"/>
          </w:tcPr>
          <w:p w14:paraId="5F93BBDA" w14:textId="77777777" w:rsidR="00B863F3" w:rsidRPr="00DA6489" w:rsidRDefault="00B863F3">
            <w:pPr>
              <w:widowControl w:val="0"/>
              <w:spacing w:after="0"/>
            </w:pPr>
            <w:r w:rsidRPr="00DA6489">
              <w:t xml:space="preserve">Un diagramme de </w:t>
            </w:r>
            <w:proofErr w:type="spellStart"/>
            <w:r w:rsidRPr="00DA6489">
              <w:t>Sankey</w:t>
            </w:r>
            <w:proofErr w:type="spellEnd"/>
            <w:r w:rsidRPr="00DA6489">
              <w:t xml:space="preserve"> ou diagramme </w:t>
            </w:r>
            <w:proofErr w:type="spellStart"/>
            <w:r w:rsidRPr="00DA6489">
              <w:t>Sankey</w:t>
            </w:r>
            <w:proofErr w:type="spellEnd"/>
            <w:r w:rsidRPr="00DA6489">
              <w:t xml:space="preserve"> est un type de diagramme de flux dans lequel la largeur des flèches est proportionnelle au flux représenté. Les diagrammes de </w:t>
            </w:r>
            <w:proofErr w:type="spellStart"/>
            <w:r w:rsidRPr="00DA6489">
              <w:t>Sankey</w:t>
            </w:r>
            <w:proofErr w:type="spellEnd"/>
            <w:r w:rsidRPr="00DA6489">
              <w:t xml:space="preserve"> sont utilisés en particulier pour visualiser les flux énergétiques de processus.</w:t>
            </w:r>
          </w:p>
        </w:tc>
      </w:tr>
      <w:tr w:rsidR="005C0576" w:rsidRPr="00DA6489" w14:paraId="1375F2C4"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5FC3B386" w14:textId="77777777" w:rsidR="005C0576" w:rsidRPr="00DA6489" w:rsidRDefault="00520523">
            <w:pPr>
              <w:widowControl w:val="0"/>
              <w:spacing w:after="0"/>
            </w:pPr>
            <w:r w:rsidRPr="00DA6489">
              <w:t>Flux massique</w:t>
            </w:r>
          </w:p>
        </w:tc>
        <w:tc>
          <w:tcPr>
            <w:tcW w:w="6561" w:type="dxa"/>
            <w:tcBorders>
              <w:top w:val="single" w:sz="4" w:space="0" w:color="000000"/>
              <w:left w:val="single" w:sz="4" w:space="0" w:color="000000"/>
              <w:bottom w:val="single" w:sz="4" w:space="0" w:color="000000"/>
              <w:right w:val="single" w:sz="4" w:space="0" w:color="000000"/>
            </w:tcBorders>
            <w:vAlign w:val="center"/>
          </w:tcPr>
          <w:p w14:paraId="71CAFDC2" w14:textId="77777777" w:rsidR="005C0576" w:rsidRPr="00DA6489" w:rsidRDefault="00520523">
            <w:pPr>
              <w:widowControl w:val="0"/>
              <w:spacing w:after="0"/>
            </w:pPr>
            <w:r w:rsidRPr="00DA6489">
              <w:t>Masse d’une substance ou d’un paramètre donné qui est émise pendant une période de temps définie.</w:t>
            </w:r>
          </w:p>
        </w:tc>
      </w:tr>
      <w:tr w:rsidR="000C4674" w:rsidRPr="00DA6489" w14:paraId="7A768A7B"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377C229F" w14:textId="6305A181" w:rsidR="000C4674" w:rsidRPr="00DA6489" w:rsidRDefault="000C4674">
            <w:pPr>
              <w:widowControl w:val="0"/>
              <w:spacing w:after="0"/>
            </w:pPr>
            <w:r w:rsidRPr="00DA6489">
              <w:t>Fluxage</w:t>
            </w:r>
          </w:p>
        </w:tc>
        <w:tc>
          <w:tcPr>
            <w:tcW w:w="6561" w:type="dxa"/>
            <w:tcBorders>
              <w:top w:val="single" w:sz="4" w:space="0" w:color="000000"/>
              <w:left w:val="single" w:sz="4" w:space="0" w:color="000000"/>
              <w:bottom w:val="single" w:sz="4" w:space="0" w:color="000000"/>
              <w:right w:val="single" w:sz="4" w:space="0" w:color="000000"/>
            </w:tcBorders>
            <w:vAlign w:val="center"/>
          </w:tcPr>
          <w:p w14:paraId="3048F89E" w14:textId="11A30CD7" w:rsidR="000C4674" w:rsidRPr="00DA6489" w:rsidRDefault="000C4674">
            <w:pPr>
              <w:widowControl w:val="0"/>
              <w:spacing w:after="0"/>
            </w:pPr>
            <w:r w:rsidRPr="00DA6489">
              <w:rPr>
                <w:rStyle w:val="lev"/>
                <w:b w:val="0"/>
                <w:bCs w:val="0"/>
              </w:rPr>
              <w:t>Opération métallurgique</w:t>
            </w:r>
            <w:r w:rsidRPr="00DA6489">
              <w:t xml:space="preserve"> visant à </w:t>
            </w:r>
            <w:r w:rsidRPr="00DA6489">
              <w:rPr>
                <w:rStyle w:val="lev"/>
                <w:b w:val="0"/>
                <w:bCs w:val="0"/>
              </w:rPr>
              <w:t>éliminer les impuretés</w:t>
            </w:r>
            <w:r w:rsidRPr="00DA6489">
              <w:t xml:space="preserve"> présentes à la surface du métal ou à en faciliter la fusion en améliorant la propreté du bain métallique. Elle consiste à ajouter des substances appelées </w:t>
            </w:r>
            <w:r w:rsidRPr="00DA6489">
              <w:rPr>
                <w:rStyle w:val="Accentuation"/>
              </w:rPr>
              <w:t>flux</w:t>
            </w:r>
            <w:r w:rsidRPr="00DA6489">
              <w:t xml:space="preserve"> (généralement des composés à base de chlorures, fluorures ou borates)</w:t>
            </w:r>
          </w:p>
        </w:tc>
      </w:tr>
      <w:tr w:rsidR="005C0576" w:rsidRPr="00DA6489" w14:paraId="740BCDDE"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2EEF0346" w14:textId="77777777" w:rsidR="005C0576" w:rsidRPr="00DA6489" w:rsidRDefault="00520523">
            <w:pPr>
              <w:widowControl w:val="0"/>
              <w:spacing w:after="0"/>
            </w:pPr>
            <w:r w:rsidRPr="00DA6489">
              <w:t>Écume</w:t>
            </w:r>
          </w:p>
        </w:tc>
        <w:tc>
          <w:tcPr>
            <w:tcW w:w="6561" w:type="dxa"/>
            <w:tcBorders>
              <w:top w:val="single" w:sz="4" w:space="0" w:color="000000"/>
              <w:left w:val="single" w:sz="4" w:space="0" w:color="000000"/>
              <w:bottom w:val="single" w:sz="4" w:space="0" w:color="000000"/>
              <w:right w:val="single" w:sz="4" w:space="0" w:color="000000"/>
            </w:tcBorders>
            <w:vAlign w:val="center"/>
          </w:tcPr>
          <w:p w14:paraId="225D6581" w14:textId="77777777" w:rsidR="005C0576" w:rsidRPr="00DA6489" w:rsidRDefault="00520523">
            <w:pPr>
              <w:widowControl w:val="0"/>
              <w:spacing w:after="0"/>
            </w:pPr>
            <w:r w:rsidRPr="00DA6489">
              <w:t>En galvanisation, oxydes qui se forment à la surface du bain de zinc fondu par réaction du fer et de l’aluminium lors du trempage à chaud.</w:t>
            </w:r>
          </w:p>
        </w:tc>
      </w:tr>
      <w:tr w:rsidR="005C0576" w:rsidRPr="00DA6489" w14:paraId="2196A9DC"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03E5ACD9" w14:textId="77777777" w:rsidR="005C0576" w:rsidRPr="00DA6489" w:rsidRDefault="00520523">
            <w:pPr>
              <w:widowControl w:val="0"/>
              <w:spacing w:after="0"/>
            </w:pPr>
            <w:r w:rsidRPr="00DA6489">
              <w:t>Émissions canalisées</w:t>
            </w:r>
          </w:p>
        </w:tc>
        <w:tc>
          <w:tcPr>
            <w:tcW w:w="6561" w:type="dxa"/>
            <w:tcBorders>
              <w:top w:val="single" w:sz="4" w:space="0" w:color="000000"/>
              <w:left w:val="single" w:sz="4" w:space="0" w:color="000000"/>
              <w:bottom w:val="single" w:sz="4" w:space="0" w:color="000000"/>
              <w:right w:val="single" w:sz="4" w:space="0" w:color="000000"/>
            </w:tcBorders>
            <w:vAlign w:val="center"/>
          </w:tcPr>
          <w:p w14:paraId="1D24A33A" w14:textId="77777777" w:rsidR="005C0576" w:rsidRPr="00DA6489" w:rsidRDefault="00520523">
            <w:pPr>
              <w:widowControl w:val="0"/>
              <w:spacing w:after="0"/>
            </w:pPr>
            <w:r w:rsidRPr="00DA6489">
              <w:t>Émissions de polluants dans l’environnement, à partir de tout type de conduite, canalisation, cheminée, etc.</w:t>
            </w:r>
          </w:p>
        </w:tc>
      </w:tr>
      <w:tr w:rsidR="005C0576" w:rsidRPr="00DA6489" w14:paraId="6E5F4F8C"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2BFF22D5" w14:textId="77777777" w:rsidR="005C0576" w:rsidRPr="00DA6489" w:rsidRDefault="00520523">
            <w:pPr>
              <w:widowControl w:val="0"/>
              <w:spacing w:after="0"/>
            </w:pPr>
            <w:r w:rsidRPr="00DA6489">
              <w:t>Galvanisation discontinue</w:t>
            </w:r>
          </w:p>
        </w:tc>
        <w:tc>
          <w:tcPr>
            <w:tcW w:w="6561" w:type="dxa"/>
            <w:tcBorders>
              <w:top w:val="single" w:sz="4" w:space="0" w:color="000000"/>
              <w:left w:val="single" w:sz="4" w:space="0" w:color="000000"/>
              <w:bottom w:val="single" w:sz="4" w:space="0" w:color="000000"/>
              <w:right w:val="single" w:sz="4" w:space="0" w:color="000000"/>
            </w:tcBorders>
            <w:vAlign w:val="center"/>
          </w:tcPr>
          <w:p w14:paraId="75E80AE9" w14:textId="77777777" w:rsidR="005C0576" w:rsidRPr="00DA6489" w:rsidRDefault="00520523">
            <w:pPr>
              <w:widowControl w:val="0"/>
              <w:spacing w:after="0"/>
            </w:pPr>
            <w:r w:rsidRPr="00DA6489">
              <w:t>Immersion discontinue de pièces d’acier dans un bain de zinc fondu afin de revêtir leur surface de zinc. Sont également compris tous les procédés de prétraitement et de post-traitement directement associés (par exemple, le dégraissage et la passivation).</w:t>
            </w:r>
          </w:p>
          <w:p w14:paraId="61F77C10" w14:textId="060EF433" w:rsidR="006F07AA" w:rsidRPr="00DA6489" w:rsidRDefault="007A14CF">
            <w:pPr>
              <w:widowControl w:val="0"/>
              <w:spacing w:after="0"/>
            </w:pPr>
            <w:r w:rsidRPr="00DA6489">
              <w:t xml:space="preserve">Seule la </w:t>
            </w:r>
            <w:r w:rsidR="0068302F" w:rsidRPr="00DA6489">
              <w:t>g</w:t>
            </w:r>
            <w:r w:rsidRPr="00DA6489">
              <w:t xml:space="preserve">alvanisation discontinue est couverte par </w:t>
            </w:r>
            <w:r w:rsidR="000C4674" w:rsidRPr="00DA6489">
              <w:t>le présent arrêté</w:t>
            </w:r>
            <w:r w:rsidRPr="00DA6489">
              <w:t>.</w:t>
            </w:r>
          </w:p>
        </w:tc>
      </w:tr>
      <w:tr w:rsidR="005C0576" w:rsidRPr="00DA6489" w14:paraId="4B4F3826"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597B909D" w14:textId="77777777" w:rsidR="005C0576" w:rsidRPr="00DA6489" w:rsidRDefault="00520523">
            <w:pPr>
              <w:widowControl w:val="0"/>
              <w:spacing w:after="0"/>
            </w:pPr>
            <w:r w:rsidRPr="00DA6489">
              <w:t>Gaz de combustion</w:t>
            </w:r>
          </w:p>
        </w:tc>
        <w:tc>
          <w:tcPr>
            <w:tcW w:w="6561" w:type="dxa"/>
            <w:tcBorders>
              <w:top w:val="single" w:sz="4" w:space="0" w:color="000000"/>
              <w:left w:val="single" w:sz="4" w:space="0" w:color="000000"/>
              <w:bottom w:val="single" w:sz="4" w:space="0" w:color="000000"/>
              <w:right w:val="single" w:sz="4" w:space="0" w:color="000000"/>
            </w:tcBorders>
            <w:vAlign w:val="center"/>
          </w:tcPr>
          <w:p w14:paraId="7467C075" w14:textId="77777777" w:rsidR="005C0576" w:rsidRPr="00DA6489" w:rsidRDefault="00520523">
            <w:pPr>
              <w:widowControl w:val="0"/>
              <w:spacing w:after="0"/>
            </w:pPr>
            <w:r w:rsidRPr="00DA6489">
              <w:t>Effluent gazeux qui sort d’une unité de combustion.</w:t>
            </w:r>
          </w:p>
        </w:tc>
      </w:tr>
      <w:tr w:rsidR="005C0576" w:rsidRPr="00DA6489" w14:paraId="2C61A61B"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3929D628" w14:textId="77777777" w:rsidR="005C0576" w:rsidRPr="00DA6489" w:rsidRDefault="00520523">
            <w:pPr>
              <w:widowControl w:val="0"/>
              <w:spacing w:after="0"/>
            </w:pPr>
            <w:r w:rsidRPr="00DA6489">
              <w:t>Matière entrante</w:t>
            </w:r>
          </w:p>
        </w:tc>
        <w:tc>
          <w:tcPr>
            <w:tcW w:w="6561" w:type="dxa"/>
            <w:tcBorders>
              <w:top w:val="single" w:sz="4" w:space="0" w:color="000000"/>
              <w:left w:val="single" w:sz="4" w:space="0" w:color="000000"/>
              <w:bottom w:val="single" w:sz="4" w:space="0" w:color="000000"/>
              <w:right w:val="single" w:sz="4" w:space="0" w:color="000000"/>
            </w:tcBorders>
            <w:vAlign w:val="center"/>
          </w:tcPr>
          <w:p w14:paraId="150999E5" w14:textId="77777777" w:rsidR="005C0576" w:rsidRPr="00DA6489" w:rsidRDefault="00520523">
            <w:pPr>
              <w:widowControl w:val="0"/>
              <w:spacing w:after="0"/>
            </w:pPr>
            <w:r w:rsidRPr="00DA6489">
              <w:t>Tout acier de départ (non traité ou partiellement traité) ou toute pièce entrant dans une étape du procédé de production.</w:t>
            </w:r>
          </w:p>
        </w:tc>
      </w:tr>
      <w:tr w:rsidR="005C0576" w:rsidRPr="00DA6489" w14:paraId="438FD599"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392E3153" w14:textId="77777777" w:rsidR="005C0576" w:rsidRPr="00DA6489" w:rsidRDefault="00520523">
            <w:pPr>
              <w:widowControl w:val="0"/>
              <w:spacing w:after="0"/>
            </w:pPr>
            <w:r w:rsidRPr="00DA6489">
              <w:t>Mattes de fond</w:t>
            </w:r>
          </w:p>
        </w:tc>
        <w:tc>
          <w:tcPr>
            <w:tcW w:w="6561" w:type="dxa"/>
            <w:tcBorders>
              <w:top w:val="single" w:sz="4" w:space="0" w:color="000000"/>
              <w:left w:val="single" w:sz="4" w:space="0" w:color="000000"/>
              <w:bottom w:val="single" w:sz="4" w:space="0" w:color="000000"/>
              <w:right w:val="single" w:sz="4" w:space="0" w:color="000000"/>
            </w:tcBorders>
            <w:vAlign w:val="center"/>
          </w:tcPr>
          <w:p w14:paraId="3C271CFC" w14:textId="77777777" w:rsidR="005C0576" w:rsidRPr="00DA6489" w:rsidRDefault="00520523">
            <w:pPr>
              <w:widowControl w:val="0"/>
              <w:spacing w:after="0"/>
            </w:pPr>
            <w:r w:rsidRPr="00DA6489">
              <w:t>Produit de la réaction du zinc fondu avec le fer ou les sels de fer entraînés depuis le décapage ou le fluxage. Ce produit de réaction se dépose dans le fond du bain de zinc.</w:t>
            </w:r>
          </w:p>
        </w:tc>
      </w:tr>
      <w:tr w:rsidR="005C0576" w:rsidRPr="00DA6489" w14:paraId="37819396"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00023790" w14:textId="77777777" w:rsidR="005C0576" w:rsidRPr="00DA6489" w:rsidRDefault="00520523">
            <w:pPr>
              <w:widowControl w:val="0"/>
              <w:spacing w:after="0"/>
            </w:pPr>
            <w:r w:rsidRPr="00DA6489">
              <w:t>Mesures en continu</w:t>
            </w:r>
          </w:p>
        </w:tc>
        <w:tc>
          <w:tcPr>
            <w:tcW w:w="6561" w:type="dxa"/>
            <w:tcBorders>
              <w:top w:val="single" w:sz="4" w:space="0" w:color="000000"/>
              <w:left w:val="single" w:sz="4" w:space="0" w:color="000000"/>
              <w:bottom w:val="single" w:sz="4" w:space="0" w:color="000000"/>
              <w:right w:val="single" w:sz="4" w:space="0" w:color="000000"/>
            </w:tcBorders>
            <w:vAlign w:val="center"/>
          </w:tcPr>
          <w:p w14:paraId="701A2EC8" w14:textId="77777777" w:rsidR="005C0576" w:rsidRPr="00DA6489" w:rsidRDefault="00520523">
            <w:pPr>
              <w:widowControl w:val="0"/>
              <w:spacing w:after="0"/>
            </w:pPr>
            <w:r w:rsidRPr="00DA6489">
              <w:t>Mesures réalisées à l’aide d’un système de mesure automatisé installé à demeure sur le site.</w:t>
            </w:r>
          </w:p>
        </w:tc>
      </w:tr>
      <w:tr w:rsidR="005C0576" w:rsidRPr="00DA6489" w14:paraId="2C0601DE"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0107BC89" w14:textId="77777777" w:rsidR="005C0576" w:rsidRPr="00DA6489" w:rsidRDefault="00520523">
            <w:pPr>
              <w:widowControl w:val="0"/>
              <w:spacing w:after="0"/>
            </w:pPr>
            <w:r w:rsidRPr="00DA6489">
              <w:t>Mesures périodiques</w:t>
            </w:r>
          </w:p>
        </w:tc>
        <w:tc>
          <w:tcPr>
            <w:tcW w:w="6561" w:type="dxa"/>
            <w:tcBorders>
              <w:top w:val="single" w:sz="4" w:space="0" w:color="000000"/>
              <w:left w:val="single" w:sz="4" w:space="0" w:color="000000"/>
              <w:bottom w:val="single" w:sz="4" w:space="0" w:color="000000"/>
              <w:right w:val="single" w:sz="4" w:space="0" w:color="000000"/>
            </w:tcBorders>
            <w:vAlign w:val="center"/>
          </w:tcPr>
          <w:p w14:paraId="20D87B7C" w14:textId="77777777" w:rsidR="005C0576" w:rsidRPr="00DA6489" w:rsidRDefault="00520523">
            <w:pPr>
              <w:widowControl w:val="0"/>
              <w:spacing w:after="0"/>
            </w:pPr>
            <w:r w:rsidRPr="00DA6489">
              <w:t>Mesures réalisées à intervalles de temps déterminés par des méthodes manuelles ou automatiques.</w:t>
            </w:r>
          </w:p>
        </w:tc>
      </w:tr>
      <w:tr w:rsidR="005C0576" w:rsidRPr="00DA6489" w14:paraId="0D797B88"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7D825B01" w14:textId="77777777" w:rsidR="005C0576" w:rsidRPr="00DA6489" w:rsidRDefault="00520523">
            <w:pPr>
              <w:widowControl w:val="0"/>
              <w:spacing w:after="0"/>
            </w:pPr>
            <w:r w:rsidRPr="00DA6489">
              <w:t>Moyenne horaire (ou demi-horaire) valide</w:t>
            </w:r>
          </w:p>
        </w:tc>
        <w:tc>
          <w:tcPr>
            <w:tcW w:w="6561" w:type="dxa"/>
            <w:tcBorders>
              <w:top w:val="single" w:sz="4" w:space="0" w:color="000000"/>
              <w:left w:val="single" w:sz="4" w:space="0" w:color="000000"/>
              <w:bottom w:val="single" w:sz="4" w:space="0" w:color="000000"/>
              <w:right w:val="single" w:sz="4" w:space="0" w:color="000000"/>
            </w:tcBorders>
            <w:vAlign w:val="center"/>
          </w:tcPr>
          <w:p w14:paraId="0CEA2426" w14:textId="77777777" w:rsidR="005C0576" w:rsidRPr="00DA6489" w:rsidRDefault="00520523">
            <w:pPr>
              <w:widowControl w:val="0"/>
              <w:spacing w:after="0"/>
            </w:pPr>
            <w:r w:rsidRPr="00DA6489">
              <w:t>Une moyenne horaire (ou demi-horaire) est considérée comme valide en l’absence de toute maintenance ou de tout dysfonctionnement du système de mesure automatisé.</w:t>
            </w:r>
          </w:p>
        </w:tc>
      </w:tr>
      <w:tr w:rsidR="005C0576" w:rsidRPr="00DA6489" w14:paraId="39964017"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0884CCF4" w14:textId="77777777" w:rsidR="005C0576" w:rsidRPr="00DA6489" w:rsidRDefault="00520523">
            <w:pPr>
              <w:widowControl w:val="0"/>
              <w:spacing w:after="0"/>
            </w:pPr>
            <w:r w:rsidRPr="00DA6489">
              <w:t>Produits chimiques de traitement</w:t>
            </w:r>
          </w:p>
        </w:tc>
        <w:tc>
          <w:tcPr>
            <w:tcW w:w="6561" w:type="dxa"/>
            <w:tcBorders>
              <w:top w:val="single" w:sz="4" w:space="0" w:color="000000"/>
              <w:left w:val="single" w:sz="4" w:space="0" w:color="000000"/>
              <w:bottom w:val="single" w:sz="4" w:space="0" w:color="000000"/>
              <w:right w:val="single" w:sz="4" w:space="0" w:color="000000"/>
            </w:tcBorders>
          </w:tcPr>
          <w:p w14:paraId="69B7571F" w14:textId="4E8999CF" w:rsidR="005C0576" w:rsidRPr="00DA6489" w:rsidRDefault="00520523">
            <w:pPr>
              <w:widowControl w:val="0"/>
              <w:spacing w:after="0"/>
            </w:pPr>
            <w:r w:rsidRPr="00DA6489">
              <w:t>Substances et/ou mélanges définis à l’article 3 du règlement (CE) nº 1907/2006</w:t>
            </w:r>
            <w:r w:rsidR="000C4674" w:rsidRPr="00DA6489">
              <w:t xml:space="preserve"> susvisée</w:t>
            </w:r>
            <w:r w:rsidRPr="00DA6489">
              <w:t xml:space="preserve"> et utilisés dans le ou les procédés. </w:t>
            </w:r>
          </w:p>
        </w:tc>
      </w:tr>
      <w:tr w:rsidR="005C0576" w:rsidRPr="00DA6489" w14:paraId="7E10E4E8"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5425878C" w14:textId="77777777" w:rsidR="005C0576" w:rsidRPr="00DA6489" w:rsidRDefault="00520523">
            <w:pPr>
              <w:widowControl w:val="0"/>
              <w:spacing w:after="0"/>
            </w:pPr>
            <w:proofErr w:type="spellStart"/>
            <w:r w:rsidRPr="00DA6489">
              <w:lastRenderedPageBreak/>
              <w:t>Regalvanisation</w:t>
            </w:r>
            <w:proofErr w:type="spellEnd"/>
          </w:p>
        </w:tc>
        <w:tc>
          <w:tcPr>
            <w:tcW w:w="6561" w:type="dxa"/>
            <w:tcBorders>
              <w:top w:val="single" w:sz="4" w:space="0" w:color="000000"/>
              <w:left w:val="single" w:sz="4" w:space="0" w:color="000000"/>
              <w:bottom w:val="single" w:sz="4" w:space="0" w:color="000000"/>
              <w:right w:val="single" w:sz="4" w:space="0" w:color="000000"/>
            </w:tcBorders>
            <w:vAlign w:val="center"/>
          </w:tcPr>
          <w:p w14:paraId="3ECDF3DB" w14:textId="2759F503" w:rsidR="005C0576" w:rsidRPr="00DA6489" w:rsidRDefault="00520523">
            <w:pPr>
              <w:widowControl w:val="0"/>
              <w:spacing w:after="0"/>
            </w:pPr>
            <w:r w:rsidRPr="00DA6489">
              <w:t>Traitement d’articles galvanisés usagés (par exemple, des glissières de sécurité pour autoroutes)</w:t>
            </w:r>
            <w:r w:rsidR="0092516A" w:rsidRPr="00DA6489">
              <w:t>,</w:t>
            </w:r>
            <w:r w:rsidRPr="00DA6489">
              <w:t xml:space="preserve"> qui sont galvanisés une nouvelle fois après une durée de service prolongée. Le traitement de ces articles nécessite des étapes supplémentaires en raison de la présence de surfaces partiellement corrodées ou de la nécessité d’éliminer toute trace de galvanisation antérieure.</w:t>
            </w:r>
          </w:p>
        </w:tc>
      </w:tr>
      <w:tr w:rsidR="005C0576" w:rsidRPr="00DA6489" w14:paraId="4A5102D6"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692A9C01" w14:textId="77777777" w:rsidR="005C0576" w:rsidRPr="00DA6489" w:rsidRDefault="00520523">
            <w:pPr>
              <w:widowControl w:val="0"/>
              <w:spacing w:after="0"/>
            </w:pPr>
            <w:r w:rsidRPr="00DA6489">
              <w:t>Résidu</w:t>
            </w:r>
          </w:p>
        </w:tc>
        <w:tc>
          <w:tcPr>
            <w:tcW w:w="6561" w:type="dxa"/>
            <w:tcBorders>
              <w:top w:val="single" w:sz="4" w:space="0" w:color="000000"/>
              <w:left w:val="single" w:sz="4" w:space="0" w:color="000000"/>
              <w:bottom w:val="single" w:sz="4" w:space="0" w:color="000000"/>
              <w:right w:val="single" w:sz="4" w:space="0" w:color="000000"/>
            </w:tcBorders>
            <w:vAlign w:val="center"/>
          </w:tcPr>
          <w:p w14:paraId="22AFB8CB" w14:textId="77777777" w:rsidR="005C0576" w:rsidRPr="00DA6489" w:rsidRDefault="00520523">
            <w:pPr>
              <w:widowControl w:val="0"/>
              <w:spacing w:after="0"/>
            </w:pPr>
            <w:r w:rsidRPr="00DA6489">
              <w:t>Substance ou objet généré, sous la forme d’un déchet ou d’un sous-produit, par les activités relevant du champ d’application du présent arrêté.</w:t>
            </w:r>
          </w:p>
        </w:tc>
      </w:tr>
      <w:tr w:rsidR="005C0576" w:rsidRPr="00DA6489" w14:paraId="7A162724"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20E6A356" w14:textId="77777777" w:rsidR="005C0576" w:rsidRPr="00DA6489" w:rsidRDefault="00520523">
            <w:pPr>
              <w:widowControl w:val="0"/>
              <w:spacing w:after="0"/>
            </w:pPr>
            <w:r w:rsidRPr="00DA6489">
              <w:t>Substance volatile</w:t>
            </w:r>
          </w:p>
        </w:tc>
        <w:tc>
          <w:tcPr>
            <w:tcW w:w="6561" w:type="dxa"/>
            <w:tcBorders>
              <w:top w:val="single" w:sz="4" w:space="0" w:color="000000"/>
              <w:left w:val="single" w:sz="4" w:space="0" w:color="000000"/>
              <w:bottom w:val="single" w:sz="4" w:space="0" w:color="000000"/>
              <w:right w:val="single" w:sz="4" w:space="0" w:color="000000"/>
            </w:tcBorders>
            <w:vAlign w:val="center"/>
          </w:tcPr>
          <w:p w14:paraId="4B14DAAE" w14:textId="517411E0" w:rsidR="005C0576" w:rsidRPr="00DA6489" w:rsidRDefault="00520523">
            <w:pPr>
              <w:widowControl w:val="0"/>
              <w:spacing w:after="0"/>
            </w:pPr>
            <w:r w:rsidRPr="00DA6489">
              <w:t xml:space="preserve">Substance capable de passer facilement de l’état solide ou liquide à l’état de vapeur, ayant une pression de vapeur élevée et un faible point d’ébullition (par exemple, le </w:t>
            </w:r>
            <w:proofErr w:type="spellStart"/>
            <w:r w:rsidRPr="00DA6489">
              <w:t>HCl</w:t>
            </w:r>
            <w:proofErr w:type="spellEnd"/>
            <w:r w:rsidRPr="00DA6489">
              <w:t xml:space="preserve">). Il s’agit notamment des composés organiques volatils au sens </w:t>
            </w:r>
            <w:r w:rsidR="000C4674" w:rsidRPr="00DA6489">
              <w:t xml:space="preserve">du point </w:t>
            </w:r>
            <w:r w:rsidR="00575D51">
              <w:t xml:space="preserve">45 </w:t>
            </w:r>
            <w:r w:rsidR="000C4674" w:rsidRPr="00DA6489">
              <w:t xml:space="preserve">de </w:t>
            </w:r>
            <w:r w:rsidRPr="00DA6489">
              <w:t>l’article 3, de la directive </w:t>
            </w:r>
            <w:r w:rsidR="000C4674" w:rsidRPr="00DA6489">
              <w:t>du 24 novembre 2010 susvisée.</w:t>
            </w:r>
          </w:p>
        </w:tc>
      </w:tr>
      <w:tr w:rsidR="005C0576" w:rsidRPr="00DA6489" w14:paraId="18CC947F"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3EE8796D" w14:textId="77777777" w:rsidR="005C0576" w:rsidRPr="00DA6489" w:rsidRDefault="00520523">
            <w:pPr>
              <w:widowControl w:val="0"/>
              <w:spacing w:after="0"/>
            </w:pPr>
            <w:r w:rsidRPr="00DA6489">
              <w:t>Transformation majeure d’une unité</w:t>
            </w:r>
          </w:p>
        </w:tc>
        <w:tc>
          <w:tcPr>
            <w:tcW w:w="6561" w:type="dxa"/>
            <w:tcBorders>
              <w:top w:val="single" w:sz="4" w:space="0" w:color="000000"/>
              <w:left w:val="single" w:sz="4" w:space="0" w:color="000000"/>
              <w:bottom w:val="single" w:sz="4" w:space="0" w:color="000000"/>
              <w:right w:val="single" w:sz="4" w:space="0" w:color="000000"/>
            </w:tcBorders>
            <w:vAlign w:val="center"/>
          </w:tcPr>
          <w:p w14:paraId="7787336B" w14:textId="77777777" w:rsidR="005C0576" w:rsidRPr="00DA6489" w:rsidRDefault="00520523">
            <w:pPr>
              <w:widowControl w:val="0"/>
              <w:spacing w:after="0"/>
            </w:pPr>
            <w:r w:rsidRPr="00DA6489">
              <w:t>Modification profonde de la conception ou de la technologie d’une unité, avec adaptations majeures ou remplacement des procédés ou des techniques de réduction des émissions et des équipements associés.</w:t>
            </w:r>
          </w:p>
        </w:tc>
      </w:tr>
      <w:tr w:rsidR="005C0576" w:rsidRPr="00DA6489" w14:paraId="658733DD"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7B699317" w14:textId="77777777" w:rsidR="005C0576" w:rsidRPr="00DA6489" w:rsidRDefault="00520523">
            <w:pPr>
              <w:widowControl w:val="0"/>
              <w:spacing w:after="0"/>
            </w:pPr>
            <w:r w:rsidRPr="00DA6489">
              <w:t>Unité</w:t>
            </w:r>
          </w:p>
        </w:tc>
        <w:tc>
          <w:tcPr>
            <w:tcW w:w="6561" w:type="dxa"/>
            <w:tcBorders>
              <w:top w:val="single" w:sz="4" w:space="0" w:color="000000"/>
              <w:left w:val="single" w:sz="4" w:space="0" w:color="000000"/>
              <w:bottom w:val="single" w:sz="4" w:space="0" w:color="000000"/>
              <w:right w:val="single" w:sz="4" w:space="0" w:color="000000"/>
            </w:tcBorders>
            <w:vAlign w:val="center"/>
          </w:tcPr>
          <w:p w14:paraId="1C3CDA16" w14:textId="77777777" w:rsidR="005C0576" w:rsidRPr="00DA6489" w:rsidRDefault="00520523">
            <w:pPr>
              <w:widowControl w:val="0"/>
              <w:spacing w:after="0"/>
            </w:pPr>
            <w:r w:rsidRPr="00DA6489">
              <w:t>Toute partie d’une installation relevant du champ d’application du présent arrêté et toute autre activité directement associée ayant un effet sur la consommation et/ou les émissions. Il peut s’agir d’unités nouvelles ou d’unités existantes.</w:t>
            </w:r>
          </w:p>
        </w:tc>
      </w:tr>
      <w:tr w:rsidR="005C0576" w:rsidRPr="00DA6489" w14:paraId="3FE8F96F"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0EDD9621" w14:textId="77777777" w:rsidR="005C0576" w:rsidRPr="00DA6489" w:rsidRDefault="00520523">
            <w:pPr>
              <w:widowControl w:val="0"/>
              <w:spacing w:after="0"/>
            </w:pPr>
            <w:r w:rsidRPr="00DA6489">
              <w:t>Unité existante</w:t>
            </w:r>
          </w:p>
        </w:tc>
        <w:tc>
          <w:tcPr>
            <w:tcW w:w="6561" w:type="dxa"/>
            <w:tcBorders>
              <w:top w:val="single" w:sz="4" w:space="0" w:color="000000"/>
              <w:left w:val="single" w:sz="4" w:space="0" w:color="000000"/>
              <w:bottom w:val="single" w:sz="4" w:space="0" w:color="000000"/>
              <w:right w:val="single" w:sz="4" w:space="0" w:color="000000"/>
            </w:tcBorders>
            <w:vAlign w:val="center"/>
          </w:tcPr>
          <w:p w14:paraId="65D53898" w14:textId="77777777" w:rsidR="005C0576" w:rsidRPr="00DA6489" w:rsidRDefault="00520523">
            <w:pPr>
              <w:widowControl w:val="0"/>
              <w:spacing w:after="0"/>
            </w:pPr>
            <w:r w:rsidRPr="00DA6489">
              <w:t>Une unité qui n’est pas une unité nouvelle.</w:t>
            </w:r>
          </w:p>
        </w:tc>
      </w:tr>
      <w:tr w:rsidR="005C0576" w:rsidRPr="00DA6489" w14:paraId="242861E9"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67B5E579" w14:textId="77777777" w:rsidR="005C0576" w:rsidRPr="00DA6489" w:rsidRDefault="00520523">
            <w:pPr>
              <w:widowControl w:val="0"/>
              <w:spacing w:after="0"/>
            </w:pPr>
            <w:r w:rsidRPr="00DA6489">
              <w:t>Unité nouvelle</w:t>
            </w:r>
          </w:p>
        </w:tc>
        <w:tc>
          <w:tcPr>
            <w:tcW w:w="6561" w:type="dxa"/>
            <w:tcBorders>
              <w:top w:val="single" w:sz="4" w:space="0" w:color="000000"/>
              <w:left w:val="single" w:sz="4" w:space="0" w:color="000000"/>
              <w:bottom w:val="single" w:sz="4" w:space="0" w:color="000000"/>
              <w:right w:val="single" w:sz="4" w:space="0" w:color="000000"/>
            </w:tcBorders>
            <w:vAlign w:val="center"/>
          </w:tcPr>
          <w:p w14:paraId="48313E1B" w14:textId="77777777" w:rsidR="005C0576" w:rsidRPr="00DA6489" w:rsidRDefault="00520523">
            <w:pPr>
              <w:widowControl w:val="0"/>
              <w:spacing w:after="0"/>
            </w:pPr>
            <w:r w:rsidRPr="00DA6489">
              <w:t>Une unité autorisée pour la première fois sur le site de l’installation après la publication du présent arrêté, ou le remplacement complet d’une unité après la publication du présent arrêté.</w:t>
            </w:r>
          </w:p>
        </w:tc>
      </w:tr>
      <w:tr w:rsidR="005C0576" w:rsidRPr="00DA6489" w14:paraId="62B69D40"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3C40E1CA" w14:textId="77777777" w:rsidR="005C0576" w:rsidRPr="00DA6489" w:rsidRDefault="00520523">
            <w:pPr>
              <w:widowControl w:val="0"/>
              <w:spacing w:after="0"/>
            </w:pPr>
            <w:r w:rsidRPr="00DA6489">
              <w:t>Valorisation</w:t>
            </w:r>
          </w:p>
        </w:tc>
        <w:tc>
          <w:tcPr>
            <w:tcW w:w="6561" w:type="dxa"/>
            <w:tcBorders>
              <w:top w:val="single" w:sz="4" w:space="0" w:color="000000"/>
              <w:left w:val="single" w:sz="4" w:space="0" w:color="000000"/>
              <w:bottom w:val="single" w:sz="4" w:space="0" w:color="000000"/>
              <w:right w:val="single" w:sz="4" w:space="0" w:color="000000"/>
            </w:tcBorders>
            <w:vAlign w:val="center"/>
          </w:tcPr>
          <w:p w14:paraId="2022DA6D" w14:textId="757B6153" w:rsidR="005C0576" w:rsidRPr="00DA6489" w:rsidRDefault="00520523">
            <w:pPr>
              <w:widowControl w:val="0"/>
              <w:spacing w:after="0"/>
            </w:pPr>
            <w:r w:rsidRPr="00DA6489">
              <w:t>La valorisation</w:t>
            </w:r>
            <w:r w:rsidR="0092516A" w:rsidRPr="00DA6489">
              <w:t>,</w:t>
            </w:r>
            <w:r w:rsidRPr="00DA6489">
              <w:t xml:space="preserve"> au sens </w:t>
            </w:r>
            <w:r w:rsidR="00F971D1" w:rsidRPr="00DA6489">
              <w:t xml:space="preserve">du </w:t>
            </w:r>
            <w:r w:rsidRPr="00DA6489">
              <w:t xml:space="preserve">point 15 </w:t>
            </w:r>
            <w:r w:rsidR="00F971D1" w:rsidRPr="00DA6489">
              <w:t>de l’article 3</w:t>
            </w:r>
            <w:r w:rsidR="00357805" w:rsidRPr="00DA6489">
              <w:t xml:space="preserve"> </w:t>
            </w:r>
            <w:r w:rsidRPr="00DA6489">
              <w:t>de la directive </w:t>
            </w:r>
            <w:r w:rsidR="000C4674" w:rsidRPr="00DA6489">
              <w:t>du 19 novembre 2008</w:t>
            </w:r>
            <w:r w:rsidR="0092516A" w:rsidRPr="00DA6489">
              <w:t xml:space="preserve"> </w:t>
            </w:r>
            <w:r w:rsidR="000C4674" w:rsidRPr="00DA6489">
              <w:t>susvisée</w:t>
            </w:r>
            <w:r w:rsidRPr="00DA6489">
              <w:t>.</w:t>
            </w:r>
          </w:p>
          <w:p w14:paraId="74224B7B" w14:textId="77777777" w:rsidR="005C0576" w:rsidRPr="00DA6489" w:rsidRDefault="00520523">
            <w:pPr>
              <w:widowControl w:val="0"/>
              <w:spacing w:after="0"/>
            </w:pPr>
            <w:r w:rsidRPr="00DA6489">
              <w:t>La valorisation des acides usés comprend des opérations telles que la régénération, la récupération et le recyclage de ces derniers.</w:t>
            </w:r>
          </w:p>
        </w:tc>
      </w:tr>
      <w:tr w:rsidR="005C0576" w:rsidRPr="00DA6489" w14:paraId="796A764B" w14:textId="77777777" w:rsidTr="007A14CF">
        <w:trPr>
          <w:cantSplit/>
          <w:trHeight w:val="20"/>
          <w:jc w:val="center"/>
        </w:trPr>
        <w:tc>
          <w:tcPr>
            <w:tcW w:w="1933" w:type="dxa"/>
            <w:tcBorders>
              <w:top w:val="single" w:sz="4" w:space="0" w:color="000000"/>
              <w:left w:val="single" w:sz="4" w:space="0" w:color="000000"/>
              <w:bottom w:val="single" w:sz="4" w:space="0" w:color="000000"/>
              <w:right w:val="single" w:sz="4" w:space="0" w:color="000000"/>
            </w:tcBorders>
            <w:vAlign w:val="center"/>
          </w:tcPr>
          <w:p w14:paraId="12BB8BED" w14:textId="77777777" w:rsidR="005C0576" w:rsidRPr="00DA6489" w:rsidRDefault="00520523">
            <w:pPr>
              <w:widowControl w:val="0"/>
              <w:spacing w:after="0"/>
            </w:pPr>
            <w:r w:rsidRPr="00DA6489">
              <w:t>Zone sensible</w:t>
            </w:r>
          </w:p>
        </w:tc>
        <w:tc>
          <w:tcPr>
            <w:tcW w:w="6561" w:type="dxa"/>
            <w:tcBorders>
              <w:top w:val="single" w:sz="4" w:space="0" w:color="000000"/>
              <w:left w:val="single" w:sz="4" w:space="0" w:color="000000"/>
              <w:bottom w:val="single" w:sz="4" w:space="0" w:color="000000"/>
              <w:right w:val="single" w:sz="4" w:space="0" w:color="000000"/>
            </w:tcBorders>
            <w:vAlign w:val="center"/>
          </w:tcPr>
          <w:p w14:paraId="3FF3B740" w14:textId="77777777" w:rsidR="005C0576" w:rsidRPr="00DA6489" w:rsidRDefault="00520523">
            <w:pPr>
              <w:widowControl w:val="0"/>
              <w:spacing w:after="0"/>
            </w:pPr>
            <w:r w:rsidRPr="00DA6489">
              <w:t>Zone nécessitant une protection spéciale, telle que</w:t>
            </w:r>
            <w:r w:rsidR="00C060D3" w:rsidRPr="00DA6489">
              <w:t xml:space="preserve"> </w:t>
            </w:r>
            <w:r w:rsidRPr="00DA6489">
              <w:t>:</w:t>
            </w:r>
          </w:p>
          <w:p w14:paraId="03C9D5EA" w14:textId="7E4C4134" w:rsidR="005C0576" w:rsidRPr="00DA6489" w:rsidRDefault="00520523">
            <w:pPr>
              <w:widowControl w:val="0"/>
              <w:spacing w:after="0"/>
            </w:pPr>
            <w:r w:rsidRPr="00DA6489">
              <w:t>– les zones résidentielles</w:t>
            </w:r>
            <w:r w:rsidR="000C4674" w:rsidRPr="00DA6489">
              <w:t xml:space="preserve"> </w:t>
            </w:r>
            <w:r w:rsidRPr="00DA6489">
              <w:t>;</w:t>
            </w:r>
          </w:p>
          <w:p w14:paraId="7120264E" w14:textId="77777777" w:rsidR="005C0576" w:rsidRPr="00DA6489" w:rsidRDefault="00520523">
            <w:pPr>
              <w:widowControl w:val="0"/>
              <w:spacing w:after="0"/>
            </w:pPr>
            <w:r w:rsidRPr="00DA6489">
              <w:t>– les zones où se déroulent des activités humaines (par exemple, lieux de travail, écoles, garderies, zones de loisirs, hôpitaux ou maisons de repos situés à proximité).</w:t>
            </w:r>
          </w:p>
        </w:tc>
      </w:tr>
    </w:tbl>
    <w:p w14:paraId="0449141C" w14:textId="77777777" w:rsidR="005C0576" w:rsidRPr="00DA6489" w:rsidRDefault="005C0576"/>
    <w:tbl>
      <w:tblPr>
        <w:tblW w:w="8494" w:type="dxa"/>
        <w:jc w:val="center"/>
        <w:tblLayout w:type="fixed"/>
        <w:tblLook w:val="01C0" w:firstRow="0" w:lastRow="1" w:firstColumn="1" w:lastColumn="1" w:noHBand="0" w:noVBand="0"/>
      </w:tblPr>
      <w:tblGrid>
        <w:gridCol w:w="1375"/>
        <w:gridCol w:w="7119"/>
      </w:tblGrid>
      <w:tr w:rsidR="005C0576" w:rsidRPr="00DA6489" w14:paraId="2F5A57C1" w14:textId="77777777" w:rsidTr="007A14CF">
        <w:trPr>
          <w:cantSplit/>
          <w:trHeight w:val="20"/>
          <w:jc w:val="center"/>
        </w:trPr>
        <w:tc>
          <w:tcPr>
            <w:tcW w:w="8494" w:type="dxa"/>
            <w:gridSpan w:val="2"/>
            <w:tcBorders>
              <w:top w:val="single" w:sz="4" w:space="0" w:color="000000"/>
              <w:left w:val="single" w:sz="4" w:space="0" w:color="000000"/>
              <w:bottom w:val="single" w:sz="4" w:space="0" w:color="000000"/>
              <w:right w:val="single" w:sz="4" w:space="0" w:color="000000"/>
            </w:tcBorders>
            <w:vAlign w:val="center"/>
          </w:tcPr>
          <w:p w14:paraId="02952934" w14:textId="77777777" w:rsidR="005C0576" w:rsidRPr="00DA6489" w:rsidRDefault="00F971D1">
            <w:pPr>
              <w:pStyle w:val="Policedetableau"/>
              <w:widowControl w:val="0"/>
              <w:jc w:val="center"/>
              <w:rPr>
                <w:b/>
              </w:rPr>
            </w:pPr>
            <w:r w:rsidRPr="00DA6489">
              <w:rPr>
                <w:b/>
              </w:rPr>
              <w:t>Termes relatifs aux p</w:t>
            </w:r>
            <w:r w:rsidR="00520523" w:rsidRPr="00DA6489">
              <w:rPr>
                <w:b/>
              </w:rPr>
              <w:t xml:space="preserve">olluants et </w:t>
            </w:r>
            <w:r w:rsidRPr="00DA6489">
              <w:rPr>
                <w:b/>
              </w:rPr>
              <w:t xml:space="preserve">aux </w:t>
            </w:r>
            <w:r w:rsidR="00520523" w:rsidRPr="00DA6489">
              <w:rPr>
                <w:b/>
              </w:rPr>
              <w:t>paramètres</w:t>
            </w:r>
            <w:r w:rsidRPr="00DA6489">
              <w:rPr>
                <w:b/>
              </w:rPr>
              <w:t xml:space="preserve"> atmosphériques</w:t>
            </w:r>
          </w:p>
        </w:tc>
      </w:tr>
      <w:tr w:rsidR="005C0576" w:rsidRPr="00DA6489" w14:paraId="334A854E" w14:textId="77777777" w:rsidTr="007A14CF">
        <w:trPr>
          <w:cantSplit/>
          <w:trHeight w:val="20"/>
          <w:jc w:val="center"/>
        </w:trPr>
        <w:tc>
          <w:tcPr>
            <w:tcW w:w="1375" w:type="dxa"/>
            <w:tcBorders>
              <w:top w:val="single" w:sz="4" w:space="0" w:color="000000"/>
              <w:left w:val="single" w:sz="4" w:space="0" w:color="000000"/>
              <w:bottom w:val="single" w:sz="4" w:space="0" w:color="000000"/>
              <w:right w:val="single" w:sz="4" w:space="0" w:color="000000"/>
            </w:tcBorders>
            <w:vAlign w:val="center"/>
          </w:tcPr>
          <w:p w14:paraId="37E552DE" w14:textId="77777777" w:rsidR="005C0576" w:rsidRPr="00DA6489" w:rsidRDefault="00520523">
            <w:pPr>
              <w:pStyle w:val="Policedetableau"/>
              <w:widowControl w:val="0"/>
              <w:rPr>
                <w:b/>
              </w:rPr>
            </w:pPr>
            <w:r w:rsidRPr="00DA6489">
              <w:rPr>
                <w:b/>
              </w:rPr>
              <w:t>Terme utilisé</w:t>
            </w:r>
          </w:p>
        </w:tc>
        <w:tc>
          <w:tcPr>
            <w:tcW w:w="7119" w:type="dxa"/>
            <w:tcBorders>
              <w:top w:val="single" w:sz="4" w:space="0" w:color="000000"/>
              <w:left w:val="single" w:sz="4" w:space="0" w:color="000000"/>
              <w:bottom w:val="single" w:sz="4" w:space="0" w:color="000000"/>
              <w:right w:val="single" w:sz="4" w:space="0" w:color="000000"/>
            </w:tcBorders>
            <w:vAlign w:val="center"/>
          </w:tcPr>
          <w:p w14:paraId="73A8F1A0" w14:textId="77777777" w:rsidR="005C0576" w:rsidRPr="00DA6489" w:rsidRDefault="00520523">
            <w:pPr>
              <w:pStyle w:val="Policedetableau"/>
              <w:widowControl w:val="0"/>
              <w:rPr>
                <w:b/>
              </w:rPr>
            </w:pPr>
            <w:r w:rsidRPr="00DA6489">
              <w:rPr>
                <w:b/>
              </w:rPr>
              <w:t>Définition</w:t>
            </w:r>
          </w:p>
        </w:tc>
      </w:tr>
      <w:tr w:rsidR="005C0576" w:rsidRPr="00DA6489" w14:paraId="318B0AC4" w14:textId="77777777" w:rsidTr="007A14CF">
        <w:trPr>
          <w:cantSplit/>
          <w:trHeight w:val="20"/>
          <w:jc w:val="center"/>
        </w:trPr>
        <w:tc>
          <w:tcPr>
            <w:tcW w:w="1375" w:type="dxa"/>
            <w:tcBorders>
              <w:top w:val="single" w:sz="4" w:space="0" w:color="000000"/>
              <w:left w:val="single" w:sz="4" w:space="0" w:color="000000"/>
              <w:bottom w:val="single" w:sz="4" w:space="0" w:color="000000"/>
              <w:right w:val="single" w:sz="4" w:space="0" w:color="000000"/>
            </w:tcBorders>
            <w:vAlign w:val="center"/>
          </w:tcPr>
          <w:p w14:paraId="4CE8D6AE" w14:textId="77777777" w:rsidR="005C0576" w:rsidRPr="00DA6489" w:rsidRDefault="00520523">
            <w:pPr>
              <w:pStyle w:val="Policedetableau"/>
              <w:widowControl w:val="0"/>
            </w:pPr>
            <w:r w:rsidRPr="00DA6489">
              <w:t>H</w:t>
            </w:r>
            <w:r w:rsidRPr="00DA6489">
              <w:rPr>
                <w:vertAlign w:val="subscript"/>
              </w:rPr>
              <w:t>2</w:t>
            </w:r>
            <w:r w:rsidRPr="00DA6489">
              <w:t>SO</w:t>
            </w:r>
            <w:r w:rsidRPr="00DA6489">
              <w:rPr>
                <w:vertAlign w:val="subscript"/>
              </w:rPr>
              <w:t>4</w:t>
            </w:r>
          </w:p>
        </w:tc>
        <w:tc>
          <w:tcPr>
            <w:tcW w:w="7119" w:type="dxa"/>
            <w:tcBorders>
              <w:top w:val="single" w:sz="4" w:space="0" w:color="000000"/>
              <w:left w:val="single" w:sz="4" w:space="0" w:color="000000"/>
              <w:bottom w:val="single" w:sz="4" w:space="0" w:color="000000"/>
              <w:right w:val="single" w:sz="4" w:space="0" w:color="000000"/>
            </w:tcBorders>
            <w:vAlign w:val="center"/>
          </w:tcPr>
          <w:p w14:paraId="1B80A6C8" w14:textId="77777777" w:rsidR="005C0576" w:rsidRPr="00DA6489" w:rsidRDefault="00520523">
            <w:pPr>
              <w:pStyle w:val="Policedetableau"/>
              <w:widowControl w:val="0"/>
            </w:pPr>
            <w:r w:rsidRPr="00DA6489">
              <w:t>Acide sulfurique.</w:t>
            </w:r>
          </w:p>
        </w:tc>
      </w:tr>
      <w:tr w:rsidR="005C0576" w:rsidRPr="00DA6489" w14:paraId="7F823B46" w14:textId="77777777" w:rsidTr="007A14CF">
        <w:trPr>
          <w:cantSplit/>
          <w:trHeight w:val="20"/>
          <w:jc w:val="center"/>
        </w:trPr>
        <w:tc>
          <w:tcPr>
            <w:tcW w:w="1375" w:type="dxa"/>
            <w:tcBorders>
              <w:top w:val="single" w:sz="4" w:space="0" w:color="000000"/>
              <w:left w:val="single" w:sz="4" w:space="0" w:color="000000"/>
              <w:bottom w:val="single" w:sz="4" w:space="0" w:color="000000"/>
              <w:right w:val="single" w:sz="4" w:space="0" w:color="000000"/>
            </w:tcBorders>
            <w:vAlign w:val="center"/>
          </w:tcPr>
          <w:p w14:paraId="3E28DF50" w14:textId="77777777" w:rsidR="005C0576" w:rsidRPr="00DA6489" w:rsidRDefault="00520523">
            <w:pPr>
              <w:pStyle w:val="Policedetableau"/>
              <w:widowControl w:val="0"/>
            </w:pPr>
            <w:proofErr w:type="spellStart"/>
            <w:r w:rsidRPr="00DA6489">
              <w:t>HCl</w:t>
            </w:r>
            <w:proofErr w:type="spellEnd"/>
          </w:p>
        </w:tc>
        <w:tc>
          <w:tcPr>
            <w:tcW w:w="7119" w:type="dxa"/>
            <w:tcBorders>
              <w:top w:val="single" w:sz="4" w:space="0" w:color="000000"/>
              <w:left w:val="single" w:sz="4" w:space="0" w:color="000000"/>
              <w:bottom w:val="single" w:sz="4" w:space="0" w:color="000000"/>
              <w:right w:val="single" w:sz="4" w:space="0" w:color="000000"/>
            </w:tcBorders>
            <w:vAlign w:val="center"/>
          </w:tcPr>
          <w:p w14:paraId="410BDF4C" w14:textId="77777777" w:rsidR="005C0576" w:rsidRPr="00DA6489" w:rsidRDefault="00520523">
            <w:pPr>
              <w:pStyle w:val="Policedetableau"/>
              <w:widowControl w:val="0"/>
            </w:pPr>
            <w:r w:rsidRPr="00DA6489">
              <w:t>Chlorure d’hydrogène.</w:t>
            </w:r>
          </w:p>
        </w:tc>
      </w:tr>
      <w:tr w:rsidR="005C0576" w:rsidRPr="00DA6489" w14:paraId="354C97BA" w14:textId="77777777" w:rsidTr="007A14CF">
        <w:trPr>
          <w:cantSplit/>
          <w:trHeight w:val="20"/>
          <w:jc w:val="center"/>
        </w:trPr>
        <w:tc>
          <w:tcPr>
            <w:tcW w:w="1375" w:type="dxa"/>
            <w:tcBorders>
              <w:top w:val="single" w:sz="4" w:space="0" w:color="000000"/>
              <w:left w:val="single" w:sz="4" w:space="0" w:color="000000"/>
              <w:bottom w:val="single" w:sz="4" w:space="0" w:color="000000"/>
              <w:right w:val="single" w:sz="4" w:space="0" w:color="000000"/>
            </w:tcBorders>
            <w:vAlign w:val="center"/>
          </w:tcPr>
          <w:p w14:paraId="4228F65F" w14:textId="77777777" w:rsidR="005C0576" w:rsidRPr="00DA6489" w:rsidRDefault="00520523">
            <w:pPr>
              <w:pStyle w:val="Policedetableau"/>
              <w:widowControl w:val="0"/>
            </w:pPr>
            <w:r w:rsidRPr="00DA6489">
              <w:t>HF</w:t>
            </w:r>
          </w:p>
        </w:tc>
        <w:tc>
          <w:tcPr>
            <w:tcW w:w="7119" w:type="dxa"/>
            <w:tcBorders>
              <w:top w:val="single" w:sz="4" w:space="0" w:color="000000"/>
              <w:left w:val="single" w:sz="4" w:space="0" w:color="000000"/>
              <w:bottom w:val="single" w:sz="4" w:space="0" w:color="000000"/>
              <w:right w:val="single" w:sz="4" w:space="0" w:color="000000"/>
            </w:tcBorders>
            <w:vAlign w:val="center"/>
          </w:tcPr>
          <w:p w14:paraId="388083C9" w14:textId="77777777" w:rsidR="005C0576" w:rsidRPr="00DA6489" w:rsidRDefault="00520523">
            <w:pPr>
              <w:pStyle w:val="Policedetableau"/>
              <w:widowControl w:val="0"/>
            </w:pPr>
            <w:r w:rsidRPr="00DA6489">
              <w:t>Fluorure d’hydrogène.</w:t>
            </w:r>
          </w:p>
        </w:tc>
      </w:tr>
      <w:tr w:rsidR="005C0576" w:rsidRPr="00DA6489" w14:paraId="6DB0D02F" w14:textId="77777777" w:rsidTr="007A14CF">
        <w:trPr>
          <w:cantSplit/>
          <w:trHeight w:val="20"/>
          <w:jc w:val="center"/>
        </w:trPr>
        <w:tc>
          <w:tcPr>
            <w:tcW w:w="1375" w:type="dxa"/>
            <w:tcBorders>
              <w:top w:val="single" w:sz="4" w:space="0" w:color="000000"/>
              <w:left w:val="single" w:sz="4" w:space="0" w:color="000000"/>
              <w:bottom w:val="single" w:sz="4" w:space="0" w:color="000000"/>
              <w:right w:val="single" w:sz="4" w:space="0" w:color="000000"/>
            </w:tcBorders>
            <w:vAlign w:val="center"/>
          </w:tcPr>
          <w:p w14:paraId="56658F03" w14:textId="77777777" w:rsidR="005C0576" w:rsidRPr="00DA6489" w:rsidRDefault="00520523">
            <w:pPr>
              <w:pStyle w:val="Policedetableau"/>
              <w:widowControl w:val="0"/>
            </w:pPr>
            <w:r w:rsidRPr="00DA6489">
              <w:t>NO</w:t>
            </w:r>
            <w:r w:rsidRPr="00DA6489">
              <w:rPr>
                <w:vertAlign w:val="subscript"/>
              </w:rPr>
              <w:t>X</w:t>
            </w:r>
          </w:p>
        </w:tc>
        <w:tc>
          <w:tcPr>
            <w:tcW w:w="7119" w:type="dxa"/>
            <w:tcBorders>
              <w:top w:val="single" w:sz="4" w:space="0" w:color="000000"/>
              <w:left w:val="single" w:sz="4" w:space="0" w:color="000000"/>
              <w:bottom w:val="single" w:sz="4" w:space="0" w:color="000000"/>
              <w:right w:val="single" w:sz="4" w:space="0" w:color="000000"/>
            </w:tcBorders>
            <w:vAlign w:val="center"/>
          </w:tcPr>
          <w:p w14:paraId="112C5B22" w14:textId="77777777" w:rsidR="005C0576" w:rsidRPr="00DA6489" w:rsidRDefault="00520523">
            <w:pPr>
              <w:pStyle w:val="Policedetableau"/>
              <w:widowControl w:val="0"/>
            </w:pPr>
            <w:r w:rsidRPr="00DA6489">
              <w:t>Somme du monoxyde d’azote (NO) et du dioxyde d’azote (NO</w:t>
            </w:r>
            <w:r w:rsidRPr="00DA6489">
              <w:rPr>
                <w:vertAlign w:val="subscript"/>
              </w:rPr>
              <w:t>2</w:t>
            </w:r>
            <w:r w:rsidRPr="00DA6489">
              <w:t>), exprimée en NO</w:t>
            </w:r>
            <w:r w:rsidRPr="00DA6489">
              <w:rPr>
                <w:vertAlign w:val="subscript"/>
              </w:rPr>
              <w:t>2</w:t>
            </w:r>
            <w:r w:rsidRPr="00DA6489">
              <w:t>.</w:t>
            </w:r>
          </w:p>
        </w:tc>
      </w:tr>
      <w:tr w:rsidR="005C0576" w:rsidRPr="00DA6489" w14:paraId="1DFEA4F3" w14:textId="77777777" w:rsidTr="007A14CF">
        <w:trPr>
          <w:cantSplit/>
          <w:trHeight w:val="20"/>
          <w:jc w:val="center"/>
        </w:trPr>
        <w:tc>
          <w:tcPr>
            <w:tcW w:w="1375" w:type="dxa"/>
            <w:tcBorders>
              <w:top w:val="single" w:sz="4" w:space="0" w:color="000000"/>
              <w:left w:val="single" w:sz="4" w:space="0" w:color="000000"/>
              <w:bottom w:val="single" w:sz="4" w:space="0" w:color="000000"/>
              <w:right w:val="single" w:sz="4" w:space="0" w:color="000000"/>
            </w:tcBorders>
            <w:vAlign w:val="center"/>
          </w:tcPr>
          <w:p w14:paraId="332F9B0E" w14:textId="77777777" w:rsidR="005C0576" w:rsidRPr="00DA6489" w:rsidRDefault="00520523">
            <w:pPr>
              <w:pStyle w:val="Policedetableau"/>
              <w:widowControl w:val="0"/>
            </w:pPr>
            <w:r w:rsidRPr="00DA6489">
              <w:t>Poussières</w:t>
            </w:r>
          </w:p>
        </w:tc>
        <w:tc>
          <w:tcPr>
            <w:tcW w:w="7119" w:type="dxa"/>
            <w:tcBorders>
              <w:top w:val="single" w:sz="4" w:space="0" w:color="000000"/>
              <w:left w:val="single" w:sz="4" w:space="0" w:color="000000"/>
              <w:bottom w:val="single" w:sz="4" w:space="0" w:color="000000"/>
              <w:right w:val="single" w:sz="4" w:space="0" w:color="000000"/>
            </w:tcBorders>
            <w:vAlign w:val="center"/>
          </w:tcPr>
          <w:p w14:paraId="445C24DA" w14:textId="77777777" w:rsidR="005C0576" w:rsidRPr="00DA6489" w:rsidRDefault="00520523">
            <w:pPr>
              <w:pStyle w:val="Policedetableau"/>
              <w:widowControl w:val="0"/>
            </w:pPr>
            <w:r w:rsidRPr="00DA6489">
              <w:t>Matières particulaires totales (dans l’air).</w:t>
            </w:r>
          </w:p>
        </w:tc>
      </w:tr>
      <w:tr w:rsidR="005C0576" w:rsidRPr="00DA6489" w14:paraId="6E861103" w14:textId="77777777" w:rsidTr="007A14CF">
        <w:trPr>
          <w:cantSplit/>
          <w:trHeight w:val="20"/>
          <w:jc w:val="center"/>
        </w:trPr>
        <w:tc>
          <w:tcPr>
            <w:tcW w:w="1375" w:type="dxa"/>
            <w:tcBorders>
              <w:top w:val="single" w:sz="4" w:space="0" w:color="000000"/>
              <w:left w:val="single" w:sz="4" w:space="0" w:color="000000"/>
              <w:bottom w:val="single" w:sz="4" w:space="0" w:color="000000"/>
              <w:right w:val="single" w:sz="4" w:space="0" w:color="000000"/>
            </w:tcBorders>
            <w:vAlign w:val="center"/>
          </w:tcPr>
          <w:p w14:paraId="4D0ACB61" w14:textId="77777777" w:rsidR="005C0576" w:rsidRPr="00DA6489" w:rsidRDefault="00520523">
            <w:pPr>
              <w:pStyle w:val="Policedetableau"/>
              <w:widowControl w:val="0"/>
            </w:pPr>
            <w:r w:rsidRPr="00DA6489">
              <w:t>SO</w:t>
            </w:r>
            <w:r w:rsidRPr="00DA6489">
              <w:rPr>
                <w:vertAlign w:val="subscript"/>
              </w:rPr>
              <w:t>2</w:t>
            </w:r>
          </w:p>
        </w:tc>
        <w:tc>
          <w:tcPr>
            <w:tcW w:w="7119" w:type="dxa"/>
            <w:tcBorders>
              <w:top w:val="single" w:sz="4" w:space="0" w:color="000000"/>
              <w:left w:val="single" w:sz="4" w:space="0" w:color="000000"/>
              <w:bottom w:val="single" w:sz="4" w:space="0" w:color="000000"/>
              <w:right w:val="single" w:sz="4" w:space="0" w:color="000000"/>
            </w:tcBorders>
            <w:vAlign w:val="center"/>
          </w:tcPr>
          <w:p w14:paraId="32291E8F" w14:textId="77777777" w:rsidR="005C0576" w:rsidRPr="00DA6489" w:rsidRDefault="00520523">
            <w:pPr>
              <w:pStyle w:val="Policedetableau"/>
              <w:widowControl w:val="0"/>
            </w:pPr>
            <w:r w:rsidRPr="00DA6489">
              <w:t>Dioxyde de soufre.</w:t>
            </w:r>
          </w:p>
        </w:tc>
      </w:tr>
      <w:tr w:rsidR="005C0576" w:rsidRPr="00DA6489" w14:paraId="159D626D" w14:textId="77777777" w:rsidTr="007A14CF">
        <w:trPr>
          <w:cantSplit/>
          <w:trHeight w:val="20"/>
          <w:jc w:val="center"/>
        </w:trPr>
        <w:tc>
          <w:tcPr>
            <w:tcW w:w="1375" w:type="dxa"/>
            <w:tcBorders>
              <w:top w:val="single" w:sz="4" w:space="0" w:color="000000"/>
              <w:left w:val="single" w:sz="4" w:space="0" w:color="000000"/>
              <w:bottom w:val="single" w:sz="4" w:space="0" w:color="000000"/>
              <w:right w:val="single" w:sz="4" w:space="0" w:color="000000"/>
            </w:tcBorders>
            <w:vAlign w:val="center"/>
          </w:tcPr>
          <w:p w14:paraId="2847A1B8" w14:textId="77777777" w:rsidR="005C0576" w:rsidRPr="00DA6489" w:rsidRDefault="00520523">
            <w:pPr>
              <w:pStyle w:val="Policedetableau"/>
              <w:widowControl w:val="0"/>
            </w:pPr>
            <w:r w:rsidRPr="00DA6489">
              <w:t>SO</w:t>
            </w:r>
            <w:r w:rsidRPr="00DA6489">
              <w:rPr>
                <w:vertAlign w:val="subscript"/>
              </w:rPr>
              <w:t>X</w:t>
            </w:r>
          </w:p>
        </w:tc>
        <w:tc>
          <w:tcPr>
            <w:tcW w:w="7119" w:type="dxa"/>
            <w:tcBorders>
              <w:top w:val="single" w:sz="4" w:space="0" w:color="000000"/>
              <w:left w:val="single" w:sz="4" w:space="0" w:color="000000"/>
              <w:bottom w:val="single" w:sz="4" w:space="0" w:color="000000"/>
              <w:right w:val="single" w:sz="4" w:space="0" w:color="000000"/>
            </w:tcBorders>
            <w:vAlign w:val="center"/>
          </w:tcPr>
          <w:p w14:paraId="5F13CC9C" w14:textId="29A66621" w:rsidR="005C0576" w:rsidRPr="00DA6489" w:rsidRDefault="00520523">
            <w:pPr>
              <w:pStyle w:val="Policedetableau"/>
              <w:widowControl w:val="0"/>
            </w:pPr>
            <w:r w:rsidRPr="00DA6489">
              <w:t xml:space="preserve">Somme </w:t>
            </w:r>
            <w:r w:rsidR="000C4674" w:rsidRPr="00DA6489">
              <w:t xml:space="preserve">du </w:t>
            </w:r>
            <w:r w:rsidRPr="00DA6489">
              <w:t>dioxyde de soufre (SO</w:t>
            </w:r>
            <w:r w:rsidRPr="00DA6489">
              <w:rPr>
                <w:vertAlign w:val="subscript"/>
              </w:rPr>
              <w:t>2</w:t>
            </w:r>
            <w:r w:rsidRPr="00DA6489">
              <w:t xml:space="preserve">), </w:t>
            </w:r>
            <w:r w:rsidR="000C4674" w:rsidRPr="00DA6489">
              <w:t xml:space="preserve">du </w:t>
            </w:r>
            <w:r w:rsidRPr="00DA6489">
              <w:t>trioxyde de soufre (SO</w:t>
            </w:r>
            <w:r w:rsidRPr="00DA6489">
              <w:rPr>
                <w:vertAlign w:val="subscript"/>
              </w:rPr>
              <w:t>3</w:t>
            </w:r>
            <w:r w:rsidRPr="00DA6489">
              <w:t>) et des aérosols d’acide sulfurique, exprimée en SO</w:t>
            </w:r>
            <w:r w:rsidRPr="00DA6489">
              <w:rPr>
                <w:vertAlign w:val="subscript"/>
              </w:rPr>
              <w:t>2</w:t>
            </w:r>
            <w:r w:rsidRPr="00DA6489">
              <w:t>.</w:t>
            </w:r>
          </w:p>
        </w:tc>
      </w:tr>
    </w:tbl>
    <w:p w14:paraId="51D5BCB3" w14:textId="77777777" w:rsidR="005C0576" w:rsidRPr="00DA6489" w:rsidRDefault="005C0576">
      <w:pPr>
        <w:pStyle w:val="Policedetableau"/>
      </w:pPr>
    </w:p>
    <w:p w14:paraId="0FB4F559" w14:textId="77777777" w:rsidR="00F95481" w:rsidRPr="00DA6489" w:rsidRDefault="00520523" w:rsidP="00F95481">
      <w:pPr>
        <w:pStyle w:val="Titre20"/>
      </w:pPr>
      <w:r w:rsidRPr="00DA6489">
        <w:br w:type="page"/>
      </w:r>
    </w:p>
    <w:p w14:paraId="2C351466" w14:textId="77777777" w:rsidR="00F95481" w:rsidRPr="00DA6489" w:rsidRDefault="00F95481" w:rsidP="00F95481"/>
    <w:tbl>
      <w:tblPr>
        <w:tblW w:w="8494" w:type="dxa"/>
        <w:tblLayout w:type="fixed"/>
        <w:tblLook w:val="0000" w:firstRow="0" w:lastRow="0" w:firstColumn="0" w:lastColumn="0" w:noHBand="0" w:noVBand="0"/>
      </w:tblPr>
      <w:tblGrid>
        <w:gridCol w:w="1696"/>
        <w:gridCol w:w="6798"/>
      </w:tblGrid>
      <w:tr w:rsidR="00357805" w:rsidRPr="00DA6489" w14:paraId="731ACE67" w14:textId="77777777" w:rsidTr="00E222A6">
        <w:trPr>
          <w:trHeight w:val="88"/>
        </w:trPr>
        <w:tc>
          <w:tcPr>
            <w:tcW w:w="8494" w:type="dxa"/>
            <w:gridSpan w:val="2"/>
            <w:tcBorders>
              <w:top w:val="single" w:sz="4" w:space="0" w:color="000000"/>
              <w:left w:val="single" w:sz="4" w:space="0" w:color="000000"/>
              <w:bottom w:val="single" w:sz="4" w:space="0" w:color="000000"/>
              <w:right w:val="single" w:sz="4" w:space="0" w:color="000000"/>
            </w:tcBorders>
          </w:tcPr>
          <w:p w14:paraId="0B5C6852" w14:textId="77777777" w:rsidR="00357805" w:rsidRPr="00DA6489" w:rsidRDefault="00357805" w:rsidP="00357805">
            <w:pPr>
              <w:pStyle w:val="Policedetableau"/>
              <w:widowControl w:val="0"/>
              <w:jc w:val="center"/>
              <w:rPr>
                <w:b/>
                <w:bCs/>
              </w:rPr>
            </w:pPr>
            <w:r w:rsidRPr="00DA6489">
              <w:rPr>
                <w:b/>
                <w:bCs/>
              </w:rPr>
              <w:t>Termes relatifs à l’efficacité énergétique</w:t>
            </w:r>
          </w:p>
        </w:tc>
      </w:tr>
      <w:tr w:rsidR="00F95481" w:rsidRPr="00DA6489" w14:paraId="593A6EAA" w14:textId="77777777" w:rsidTr="00636254">
        <w:trPr>
          <w:trHeight w:val="88"/>
        </w:trPr>
        <w:tc>
          <w:tcPr>
            <w:tcW w:w="1696" w:type="dxa"/>
            <w:tcBorders>
              <w:top w:val="single" w:sz="4" w:space="0" w:color="000000"/>
              <w:left w:val="single" w:sz="4" w:space="0" w:color="000000"/>
              <w:bottom w:val="single" w:sz="4" w:space="0" w:color="000000"/>
              <w:right w:val="single" w:sz="4" w:space="0" w:color="000000"/>
            </w:tcBorders>
          </w:tcPr>
          <w:p w14:paraId="666D4398" w14:textId="77777777" w:rsidR="00F95481" w:rsidRPr="00DA6489" w:rsidRDefault="00F95481" w:rsidP="00F75F3F">
            <w:pPr>
              <w:pStyle w:val="Policedetableau"/>
              <w:widowControl w:val="0"/>
              <w:rPr>
                <w:b/>
              </w:rPr>
            </w:pPr>
            <w:r w:rsidRPr="00DA6489">
              <w:rPr>
                <w:b/>
              </w:rPr>
              <w:t>Technique</w:t>
            </w:r>
          </w:p>
        </w:tc>
        <w:tc>
          <w:tcPr>
            <w:tcW w:w="6798" w:type="dxa"/>
            <w:tcBorders>
              <w:top w:val="single" w:sz="4" w:space="0" w:color="000000"/>
              <w:left w:val="single" w:sz="4" w:space="0" w:color="000000"/>
              <w:bottom w:val="single" w:sz="4" w:space="0" w:color="000000"/>
              <w:right w:val="single" w:sz="4" w:space="0" w:color="000000"/>
            </w:tcBorders>
          </w:tcPr>
          <w:p w14:paraId="08C719EE" w14:textId="77777777" w:rsidR="00F95481" w:rsidRPr="00DA6489" w:rsidRDefault="00F95481" w:rsidP="00F75F3F">
            <w:pPr>
              <w:pStyle w:val="Policedetableau"/>
              <w:widowControl w:val="0"/>
              <w:rPr>
                <w:b/>
              </w:rPr>
            </w:pPr>
            <w:r w:rsidRPr="00DA6489">
              <w:rPr>
                <w:b/>
              </w:rPr>
              <w:t xml:space="preserve">Description </w:t>
            </w:r>
          </w:p>
        </w:tc>
      </w:tr>
      <w:tr w:rsidR="00636254" w:rsidRPr="00DA6489" w14:paraId="7DEF1EBA" w14:textId="77777777" w:rsidTr="00636254">
        <w:trPr>
          <w:trHeight w:val="88"/>
        </w:trPr>
        <w:tc>
          <w:tcPr>
            <w:tcW w:w="1696" w:type="dxa"/>
            <w:tcBorders>
              <w:top w:val="single" w:sz="4" w:space="0" w:color="000000"/>
              <w:left w:val="single" w:sz="4" w:space="0" w:color="000000"/>
              <w:bottom w:val="single" w:sz="4" w:space="0" w:color="000000"/>
              <w:right w:val="single" w:sz="4" w:space="0" w:color="000000"/>
            </w:tcBorders>
            <w:vAlign w:val="center"/>
          </w:tcPr>
          <w:p w14:paraId="31B45A3B" w14:textId="77777777" w:rsidR="00636254" w:rsidRPr="00DA6489" w:rsidRDefault="00636254" w:rsidP="00636254">
            <w:pPr>
              <w:pStyle w:val="Policedetableau"/>
              <w:widowControl w:val="0"/>
              <w:rPr>
                <w:b/>
              </w:rPr>
            </w:pPr>
            <w:r w:rsidRPr="00DA6489">
              <w:t>Automatisation et commande du four</w:t>
            </w:r>
          </w:p>
        </w:tc>
        <w:tc>
          <w:tcPr>
            <w:tcW w:w="6798" w:type="dxa"/>
            <w:tcBorders>
              <w:top w:val="single" w:sz="4" w:space="0" w:color="000000"/>
              <w:left w:val="single" w:sz="4" w:space="0" w:color="000000"/>
              <w:bottom w:val="single" w:sz="4" w:space="0" w:color="000000"/>
              <w:right w:val="single" w:sz="4" w:space="0" w:color="000000"/>
            </w:tcBorders>
          </w:tcPr>
          <w:p w14:paraId="6EF6678A" w14:textId="25170EA5" w:rsidR="00636254" w:rsidRPr="00DA6489" w:rsidRDefault="00636254" w:rsidP="00636254">
            <w:pPr>
              <w:pStyle w:val="Policedetableau"/>
              <w:widowControl w:val="0"/>
              <w:rPr>
                <w:b/>
              </w:rPr>
            </w:pPr>
            <w:r w:rsidRPr="00DA6489">
              <w:t>Le processus de chauffage est optimisé à l’aide d’un système informatique contrôlant en temps réel les paramètres clés</w:t>
            </w:r>
            <w:r w:rsidR="000C4674" w:rsidRPr="00DA6489">
              <w:t>,</w:t>
            </w:r>
            <w:r w:rsidRPr="00DA6489">
              <w:t xml:space="preserve"> tels que la température du four et de la matière entrante, le rapport air/combustible et la pression du four.</w:t>
            </w:r>
          </w:p>
        </w:tc>
      </w:tr>
      <w:tr w:rsidR="00636254" w:rsidRPr="00DA6489" w14:paraId="5D45C2A4"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597AC0AD" w14:textId="0EE0AEBC" w:rsidR="00636254" w:rsidRPr="00DA6489" w:rsidRDefault="00636254" w:rsidP="00636254">
            <w:pPr>
              <w:pStyle w:val="Policedetableau"/>
              <w:widowControl w:val="0"/>
            </w:pPr>
          </w:p>
        </w:tc>
        <w:tc>
          <w:tcPr>
            <w:tcW w:w="6798" w:type="dxa"/>
            <w:tcBorders>
              <w:top w:val="single" w:sz="4" w:space="0" w:color="000000"/>
              <w:left w:val="single" w:sz="4" w:space="0" w:color="000000"/>
              <w:bottom w:val="single" w:sz="4" w:space="0" w:color="000000"/>
              <w:right w:val="single" w:sz="4" w:space="0" w:color="000000"/>
            </w:tcBorders>
          </w:tcPr>
          <w:p w14:paraId="553E9778" w14:textId="0A69C684" w:rsidR="00636254" w:rsidRPr="00DA6489" w:rsidRDefault="00636254" w:rsidP="00636254">
            <w:pPr>
              <w:pStyle w:val="Policedetableau"/>
              <w:widowControl w:val="0"/>
            </w:pPr>
          </w:p>
        </w:tc>
      </w:tr>
      <w:tr w:rsidR="00636254" w:rsidRPr="00DA6489" w14:paraId="5B4D870A"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5848E492" w14:textId="77777777" w:rsidR="00636254" w:rsidRPr="00DA6489" w:rsidRDefault="00636254" w:rsidP="00636254">
            <w:pPr>
              <w:pStyle w:val="Policedetableau"/>
              <w:widowControl w:val="0"/>
            </w:pPr>
            <w:r w:rsidRPr="00DA6489">
              <w:t>Brûleur à récupération</w:t>
            </w:r>
          </w:p>
        </w:tc>
        <w:tc>
          <w:tcPr>
            <w:tcW w:w="6798" w:type="dxa"/>
            <w:tcBorders>
              <w:top w:val="single" w:sz="4" w:space="0" w:color="000000"/>
              <w:left w:val="single" w:sz="4" w:space="0" w:color="000000"/>
              <w:bottom w:val="single" w:sz="4" w:space="0" w:color="000000"/>
              <w:right w:val="single" w:sz="4" w:space="0" w:color="000000"/>
            </w:tcBorders>
            <w:vAlign w:val="center"/>
          </w:tcPr>
          <w:p w14:paraId="7F758A74" w14:textId="32ACA13E" w:rsidR="00636254" w:rsidRPr="00DA6489" w:rsidRDefault="00CE315E" w:rsidP="00636254">
            <w:pPr>
              <w:pStyle w:val="Policedetableau"/>
              <w:widowControl w:val="0"/>
            </w:pPr>
            <w:r w:rsidRPr="00DA6489">
              <w:t>B</w:t>
            </w:r>
            <w:r w:rsidR="00636254" w:rsidRPr="00DA6489">
              <w:t>rûleurs utilis</w:t>
            </w:r>
            <w:r w:rsidR="000C4674" w:rsidRPr="00DA6489">
              <w:t>a</w:t>
            </w:r>
            <w:r w:rsidR="00636254" w:rsidRPr="00DA6489">
              <w:t>nt différents types de récupérateurs (par exemple, des échangeurs de chaleur à rayonnement, à convection, à tubes compacts ou radiants) pour récupérer directement la chaleur des gaz de combustion, qui est ensuite utilisée pour préchauffer l’air de combustion.</w:t>
            </w:r>
          </w:p>
        </w:tc>
      </w:tr>
      <w:tr w:rsidR="00636254" w:rsidRPr="00DA6489" w14:paraId="479F4282"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4842710F" w14:textId="77777777" w:rsidR="00636254" w:rsidRPr="00DA6489" w:rsidRDefault="00636254" w:rsidP="00636254">
            <w:pPr>
              <w:pStyle w:val="Policedetableau"/>
              <w:widowControl w:val="0"/>
            </w:pPr>
            <w:r w:rsidRPr="00DA6489">
              <w:t xml:space="preserve">Brûleur à régénération </w:t>
            </w:r>
          </w:p>
        </w:tc>
        <w:tc>
          <w:tcPr>
            <w:tcW w:w="6798" w:type="dxa"/>
            <w:tcBorders>
              <w:top w:val="single" w:sz="4" w:space="0" w:color="000000"/>
              <w:left w:val="single" w:sz="4" w:space="0" w:color="000000"/>
              <w:bottom w:val="single" w:sz="4" w:space="0" w:color="000000"/>
              <w:right w:val="single" w:sz="4" w:space="0" w:color="000000"/>
            </w:tcBorders>
            <w:vAlign w:val="center"/>
          </w:tcPr>
          <w:p w14:paraId="37F831E7" w14:textId="121F9BE6" w:rsidR="00636254" w:rsidRPr="00DA6489" w:rsidRDefault="000C4674" w:rsidP="00636254">
            <w:pPr>
              <w:pStyle w:val="Policedetableau"/>
              <w:widowControl w:val="0"/>
            </w:pPr>
            <w:r w:rsidRPr="00DA6489">
              <w:t xml:space="preserve">Brûleurs </w:t>
            </w:r>
            <w:r w:rsidR="00636254" w:rsidRPr="00DA6489">
              <w:t>composés de deux brûleurs qui fonctionnent en alternance et qui contiennent des lits de matériaux réfractaires ou céramiques. Pendant qu’un brûleur fonctionne, la chaleur des gaz de combustion est absorbée par les matériaux réfractaires ou céramiques de l’autre brûleur, puis utilisée pour préchauffer l’air de combustion.</w:t>
            </w:r>
          </w:p>
        </w:tc>
      </w:tr>
      <w:tr w:rsidR="00636254" w:rsidRPr="00DA6489" w14:paraId="0AF5BD4F"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43C75C07" w14:textId="77777777" w:rsidR="00636254" w:rsidRPr="00DA6489" w:rsidRDefault="00636254" w:rsidP="00636254">
            <w:pPr>
              <w:pStyle w:val="Policedetableau"/>
              <w:widowControl w:val="0"/>
            </w:pPr>
            <w:r w:rsidRPr="00DA6489">
              <w:t>Chaudière de récupération de la chaleur perdue</w:t>
            </w:r>
          </w:p>
        </w:tc>
        <w:tc>
          <w:tcPr>
            <w:tcW w:w="6798" w:type="dxa"/>
            <w:tcBorders>
              <w:top w:val="single" w:sz="4" w:space="0" w:color="000000"/>
              <w:left w:val="single" w:sz="4" w:space="0" w:color="000000"/>
              <w:bottom w:val="single" w:sz="4" w:space="0" w:color="000000"/>
              <w:right w:val="single" w:sz="4" w:space="0" w:color="000000"/>
            </w:tcBorders>
            <w:vAlign w:val="center"/>
          </w:tcPr>
          <w:p w14:paraId="52225A79" w14:textId="16FFEDFA" w:rsidR="00636254" w:rsidRPr="00DA6489" w:rsidRDefault="000C4674" w:rsidP="00636254">
            <w:pPr>
              <w:pStyle w:val="Policedetableau"/>
              <w:widowControl w:val="0"/>
            </w:pPr>
            <w:r w:rsidRPr="00DA6489">
              <w:t>Équipement thermique permettant de valoriser l’énergie contenue dans les gaz de combustion chauds en produisant de la vapeur. Cette vapeur peut ensuite être utilisée dans d’autres procédés industriels, injectée dans un réseau de vapeur, ou encore utilisée pour produire de l’électricité via une centrale électrique. Ce dispositif contribue à améliorer l’efficacité énergétique globale d’une installation industrielle.</w:t>
            </w:r>
          </w:p>
        </w:tc>
      </w:tr>
      <w:tr w:rsidR="00636254" w:rsidRPr="00DA6489" w14:paraId="7699DA8E"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106C4204" w14:textId="77777777" w:rsidR="00636254" w:rsidRPr="00DA6489" w:rsidRDefault="00636254" w:rsidP="00636254">
            <w:pPr>
              <w:pStyle w:val="Policedetableau"/>
              <w:widowControl w:val="0"/>
            </w:pPr>
            <w:r w:rsidRPr="00DA6489">
              <w:t xml:space="preserve">Combustion sans flamme </w:t>
            </w:r>
          </w:p>
        </w:tc>
        <w:tc>
          <w:tcPr>
            <w:tcW w:w="6798" w:type="dxa"/>
            <w:tcBorders>
              <w:top w:val="single" w:sz="4" w:space="0" w:color="000000"/>
              <w:left w:val="single" w:sz="4" w:space="0" w:color="000000"/>
              <w:bottom w:val="single" w:sz="4" w:space="0" w:color="000000"/>
              <w:right w:val="single" w:sz="4" w:space="0" w:color="000000"/>
            </w:tcBorders>
          </w:tcPr>
          <w:p w14:paraId="242D3D6A" w14:textId="77777777" w:rsidR="00636254" w:rsidRPr="00DA6489" w:rsidRDefault="00636254" w:rsidP="00636254">
            <w:pPr>
              <w:pStyle w:val="Policedetableau"/>
              <w:widowControl w:val="0"/>
            </w:pPr>
            <w:r w:rsidRPr="00DA6489">
              <w:t>La combustion sans flamme est réalisée en injectant séparément et à grande vitesse le combustible et l’air de combustion dans la chambre de combustion du four, afin de supprimer la formation de flammes et de réduire la formation de NO</w:t>
            </w:r>
            <w:r w:rsidRPr="00DA6489">
              <w:rPr>
                <w:vertAlign w:val="subscript"/>
              </w:rPr>
              <w:t>X</w:t>
            </w:r>
            <w:r w:rsidRPr="00DA6489">
              <w:t xml:space="preserve"> thermiques tout en créant une distribution de chaleur plus uniforme dans toute la chambre. La combustion sans flamme peut être utilisée en combinaison avec l’</w:t>
            </w:r>
            <w:proofErr w:type="spellStart"/>
            <w:r w:rsidRPr="00DA6489">
              <w:t>oxycombustion</w:t>
            </w:r>
            <w:proofErr w:type="spellEnd"/>
            <w:r w:rsidRPr="00DA6489">
              <w:t>.</w:t>
            </w:r>
          </w:p>
        </w:tc>
      </w:tr>
      <w:tr w:rsidR="00636254" w:rsidRPr="00DA6489" w14:paraId="3005566F"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30F30A01" w14:textId="77777777" w:rsidR="00636254" w:rsidRPr="00DA6489" w:rsidRDefault="00636254" w:rsidP="00636254">
            <w:pPr>
              <w:pStyle w:val="Policedetableau"/>
              <w:widowControl w:val="0"/>
            </w:pPr>
            <w:r w:rsidRPr="00DA6489">
              <w:t>Optimisation de la conception et de l’exploitation de la SNCR/SCR</w:t>
            </w:r>
          </w:p>
        </w:tc>
        <w:tc>
          <w:tcPr>
            <w:tcW w:w="6798" w:type="dxa"/>
            <w:tcBorders>
              <w:top w:val="single" w:sz="4" w:space="0" w:color="000000"/>
              <w:left w:val="single" w:sz="4" w:space="0" w:color="000000"/>
              <w:bottom w:val="single" w:sz="4" w:space="0" w:color="000000"/>
              <w:right w:val="single" w:sz="4" w:space="0" w:color="000000"/>
            </w:tcBorders>
            <w:vAlign w:val="center"/>
          </w:tcPr>
          <w:p w14:paraId="76D3A246" w14:textId="77777777" w:rsidR="00636254" w:rsidRPr="00DA6489" w:rsidRDefault="00636254" w:rsidP="00636254">
            <w:pPr>
              <w:pStyle w:val="Policedetableau"/>
              <w:widowControl w:val="0"/>
            </w:pPr>
            <w:r w:rsidRPr="00DA6489">
              <w:t>Optimisation du rapport réactif/NO</w:t>
            </w:r>
            <w:r w:rsidRPr="00DA6489">
              <w:rPr>
                <w:vertAlign w:val="subscript"/>
              </w:rPr>
              <w:t>X</w:t>
            </w:r>
            <w:r w:rsidRPr="00DA6489">
              <w:t xml:space="preserve"> sur toute la section du four ou du conduit, ainsi que de la taille des gouttes de réactif et de la fenêtre de température dans laquelle le réactif est injecté. </w:t>
            </w:r>
          </w:p>
        </w:tc>
      </w:tr>
      <w:tr w:rsidR="00636254" w:rsidRPr="00DA6489" w14:paraId="7EC5E868"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57D1B5AB" w14:textId="77777777" w:rsidR="00636254" w:rsidRPr="00DA6489" w:rsidRDefault="00636254" w:rsidP="00636254">
            <w:pPr>
              <w:pStyle w:val="Policedetableau"/>
              <w:widowControl w:val="0"/>
            </w:pPr>
            <w:r w:rsidRPr="00DA6489">
              <w:t>Optimisation de la combustion</w:t>
            </w:r>
          </w:p>
        </w:tc>
        <w:tc>
          <w:tcPr>
            <w:tcW w:w="6798" w:type="dxa"/>
            <w:tcBorders>
              <w:top w:val="single" w:sz="4" w:space="0" w:color="000000"/>
              <w:left w:val="single" w:sz="4" w:space="0" w:color="000000"/>
              <w:bottom w:val="single" w:sz="4" w:space="0" w:color="000000"/>
              <w:right w:val="single" w:sz="4" w:space="0" w:color="000000"/>
            </w:tcBorders>
          </w:tcPr>
          <w:p w14:paraId="233336B1" w14:textId="77777777" w:rsidR="00636254" w:rsidRPr="00DA6489" w:rsidRDefault="00636254" w:rsidP="00636254">
            <w:pPr>
              <w:pStyle w:val="Policedetableau"/>
              <w:widowControl w:val="0"/>
            </w:pPr>
            <w:r w:rsidRPr="00DA6489">
              <w:t>Mesures prises pour maximiser l’efficacité de la conversion d’énergie dans le four tout en réduisant au minimum les émissions (de CO en particulier). On applique à cet effet une combinaison de techniques telles que la bonne conception du four, l’optimisation de la température (mélange efficace du combustible et de l’air de combustion) et du temps de séjour dans la zone de combustion et l’utilisation d’un système d’automatisation et de commande du four.</w:t>
            </w:r>
          </w:p>
        </w:tc>
      </w:tr>
      <w:tr w:rsidR="00636254" w:rsidRPr="00DA6489" w14:paraId="69D07780"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0971E242" w14:textId="77777777" w:rsidR="00636254" w:rsidRPr="00DA6489" w:rsidRDefault="00636254" w:rsidP="00636254">
            <w:pPr>
              <w:pStyle w:val="Policedetableau"/>
              <w:widowControl w:val="0"/>
            </w:pPr>
            <w:proofErr w:type="spellStart"/>
            <w:r w:rsidRPr="00DA6489">
              <w:t>Oxycombustion</w:t>
            </w:r>
            <w:proofErr w:type="spellEnd"/>
          </w:p>
        </w:tc>
        <w:tc>
          <w:tcPr>
            <w:tcW w:w="6798" w:type="dxa"/>
            <w:tcBorders>
              <w:top w:val="single" w:sz="4" w:space="0" w:color="000000"/>
              <w:left w:val="single" w:sz="4" w:space="0" w:color="000000"/>
              <w:bottom w:val="single" w:sz="4" w:space="0" w:color="000000"/>
              <w:right w:val="single" w:sz="4" w:space="0" w:color="000000"/>
            </w:tcBorders>
          </w:tcPr>
          <w:p w14:paraId="7101B6D8" w14:textId="43D91C60" w:rsidR="00636254" w:rsidRPr="00DA6489" w:rsidRDefault="000C4674" w:rsidP="00636254">
            <w:pPr>
              <w:pStyle w:val="Policedetableau"/>
              <w:widowControl w:val="0"/>
            </w:pPr>
            <w:r w:rsidRPr="00DA6489">
              <w:t xml:space="preserve">Combustion dans laquelle l’air </w:t>
            </w:r>
            <w:r w:rsidR="00636254" w:rsidRPr="00DA6489">
              <w:t>de combustion est remplacé totalement ou partiellement par de l’oxygène pur. L’</w:t>
            </w:r>
            <w:proofErr w:type="spellStart"/>
            <w:r w:rsidR="00636254" w:rsidRPr="00DA6489">
              <w:t>oxycombustion</w:t>
            </w:r>
            <w:proofErr w:type="spellEnd"/>
            <w:r w:rsidR="00636254" w:rsidRPr="00DA6489">
              <w:t xml:space="preserve"> peut être utilisée en combinaison avec la combustion sans flamme.</w:t>
            </w:r>
          </w:p>
        </w:tc>
      </w:tr>
      <w:tr w:rsidR="00636254" w:rsidRPr="00DA6489" w14:paraId="136540E7"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7D854D3A" w14:textId="77777777" w:rsidR="00636254" w:rsidRPr="00DA6489" w:rsidRDefault="00636254" w:rsidP="00636254">
            <w:pPr>
              <w:pStyle w:val="Policedetableau"/>
              <w:widowControl w:val="0"/>
            </w:pPr>
            <w:r w:rsidRPr="00DA6489">
              <w:t>Préchauffage de l’air de combustion</w:t>
            </w:r>
          </w:p>
        </w:tc>
        <w:tc>
          <w:tcPr>
            <w:tcW w:w="6798" w:type="dxa"/>
            <w:tcBorders>
              <w:top w:val="single" w:sz="4" w:space="0" w:color="000000"/>
              <w:left w:val="single" w:sz="4" w:space="0" w:color="000000"/>
              <w:bottom w:val="single" w:sz="4" w:space="0" w:color="000000"/>
              <w:right w:val="single" w:sz="4" w:space="0" w:color="000000"/>
            </w:tcBorders>
            <w:vAlign w:val="center"/>
          </w:tcPr>
          <w:p w14:paraId="7DF0A134" w14:textId="77777777" w:rsidR="00636254" w:rsidRPr="00DA6489" w:rsidRDefault="00636254" w:rsidP="00636254">
            <w:pPr>
              <w:pStyle w:val="Policedetableau"/>
              <w:widowControl w:val="0"/>
            </w:pPr>
            <w:r w:rsidRPr="00DA6489">
              <w:t>Réutilisation d’une partie de la chaleur des gaz de combustion pour préchauffer l’air utilisé pour la combustion.</w:t>
            </w:r>
          </w:p>
        </w:tc>
      </w:tr>
      <w:tr w:rsidR="00636254" w:rsidRPr="00DA6489" w14:paraId="1060C6AC"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0C015F13" w14:textId="77777777" w:rsidR="00636254" w:rsidRPr="00DA6489" w:rsidRDefault="00636254" w:rsidP="00636254">
            <w:pPr>
              <w:pStyle w:val="Policedetableau"/>
              <w:widowControl w:val="0"/>
            </w:pPr>
            <w:r w:rsidRPr="00DA6489">
              <w:t xml:space="preserve">Système de gestion des gaz de procédé </w:t>
            </w:r>
          </w:p>
        </w:tc>
        <w:tc>
          <w:tcPr>
            <w:tcW w:w="6798" w:type="dxa"/>
            <w:tcBorders>
              <w:top w:val="single" w:sz="4" w:space="0" w:color="000000"/>
              <w:left w:val="single" w:sz="4" w:space="0" w:color="000000"/>
              <w:bottom w:val="single" w:sz="4" w:space="0" w:color="000000"/>
              <w:right w:val="single" w:sz="4" w:space="0" w:color="000000"/>
            </w:tcBorders>
            <w:vAlign w:val="center"/>
          </w:tcPr>
          <w:p w14:paraId="2BA91393" w14:textId="79A851EC" w:rsidR="00636254" w:rsidRPr="00DA6489" w:rsidRDefault="000C4674" w:rsidP="00636254">
            <w:pPr>
              <w:pStyle w:val="Policedetableau"/>
              <w:widowControl w:val="0"/>
            </w:pPr>
            <w:r w:rsidRPr="00DA6489">
              <w:t>Système</w:t>
            </w:r>
            <w:r w:rsidR="00636254" w:rsidRPr="00DA6489">
              <w:t xml:space="preserve"> qui permet de renvoyer les gaz vers les fours de chauffage de la matière entrante, en fonction de leur disponibilité.</w:t>
            </w:r>
          </w:p>
        </w:tc>
      </w:tr>
    </w:tbl>
    <w:p w14:paraId="6BB266E9" w14:textId="77777777" w:rsidR="00F95481" w:rsidRPr="00DA6489" w:rsidRDefault="00F95481" w:rsidP="00F95481"/>
    <w:tbl>
      <w:tblPr>
        <w:tblW w:w="8500" w:type="dxa"/>
        <w:tblLayout w:type="fixed"/>
        <w:tblLook w:val="0000" w:firstRow="0" w:lastRow="0" w:firstColumn="0" w:lastColumn="0" w:noHBand="0" w:noVBand="0"/>
      </w:tblPr>
      <w:tblGrid>
        <w:gridCol w:w="1696"/>
        <w:gridCol w:w="6804"/>
      </w:tblGrid>
      <w:tr w:rsidR="00357805" w:rsidRPr="00DA6489" w14:paraId="7259008D" w14:textId="77777777" w:rsidTr="00636254">
        <w:trPr>
          <w:trHeight w:val="309"/>
        </w:trPr>
        <w:tc>
          <w:tcPr>
            <w:tcW w:w="8500" w:type="dxa"/>
            <w:gridSpan w:val="2"/>
            <w:tcBorders>
              <w:top w:val="single" w:sz="4" w:space="0" w:color="000000"/>
              <w:left w:val="single" w:sz="4" w:space="0" w:color="000000"/>
              <w:bottom w:val="single" w:sz="4" w:space="0" w:color="000000"/>
              <w:right w:val="single" w:sz="4" w:space="0" w:color="000000"/>
            </w:tcBorders>
          </w:tcPr>
          <w:p w14:paraId="3622DBDA" w14:textId="77777777" w:rsidR="00357805" w:rsidRPr="00DA6489" w:rsidRDefault="00357805" w:rsidP="003E3579">
            <w:pPr>
              <w:pStyle w:val="Titre20"/>
              <w:spacing w:before="0" w:after="0"/>
              <w:jc w:val="center"/>
            </w:pPr>
            <w:r w:rsidRPr="00DA6489">
              <w:t>Termes relatifs aux techniques de réduction des émissions dans l’air</w:t>
            </w:r>
          </w:p>
        </w:tc>
      </w:tr>
      <w:tr w:rsidR="00F95481" w:rsidRPr="00DA6489" w14:paraId="3F80F2CC" w14:textId="77777777" w:rsidTr="00636254">
        <w:trPr>
          <w:trHeight w:val="88"/>
        </w:trPr>
        <w:tc>
          <w:tcPr>
            <w:tcW w:w="1696" w:type="dxa"/>
            <w:tcBorders>
              <w:top w:val="single" w:sz="4" w:space="0" w:color="000000"/>
              <w:left w:val="single" w:sz="4" w:space="0" w:color="000000"/>
              <w:bottom w:val="single" w:sz="4" w:space="0" w:color="000000"/>
              <w:right w:val="single" w:sz="4" w:space="0" w:color="000000"/>
            </w:tcBorders>
          </w:tcPr>
          <w:p w14:paraId="5B771091" w14:textId="77777777" w:rsidR="00F95481" w:rsidRPr="00DA6489" w:rsidRDefault="00F95481" w:rsidP="00F75F3F">
            <w:pPr>
              <w:pStyle w:val="Policedetableau"/>
              <w:widowControl w:val="0"/>
              <w:rPr>
                <w:b/>
              </w:rPr>
            </w:pPr>
            <w:r w:rsidRPr="00DA6489">
              <w:rPr>
                <w:b/>
              </w:rPr>
              <w:lastRenderedPageBreak/>
              <w:t>Technique</w:t>
            </w:r>
          </w:p>
        </w:tc>
        <w:tc>
          <w:tcPr>
            <w:tcW w:w="6804" w:type="dxa"/>
            <w:tcBorders>
              <w:top w:val="single" w:sz="4" w:space="0" w:color="000000"/>
              <w:left w:val="single" w:sz="4" w:space="0" w:color="000000"/>
              <w:bottom w:val="single" w:sz="4" w:space="0" w:color="000000"/>
              <w:right w:val="single" w:sz="4" w:space="0" w:color="000000"/>
            </w:tcBorders>
          </w:tcPr>
          <w:p w14:paraId="01C36186" w14:textId="77777777" w:rsidR="00F95481" w:rsidRPr="00DA6489" w:rsidRDefault="00F95481" w:rsidP="00F75F3F">
            <w:pPr>
              <w:pStyle w:val="Policedetableau"/>
              <w:widowControl w:val="0"/>
              <w:rPr>
                <w:b/>
              </w:rPr>
            </w:pPr>
            <w:r w:rsidRPr="00DA6489">
              <w:rPr>
                <w:b/>
              </w:rPr>
              <w:t xml:space="preserve">Description </w:t>
            </w:r>
          </w:p>
        </w:tc>
      </w:tr>
      <w:tr w:rsidR="00636254" w:rsidRPr="00DA6489" w14:paraId="5B1B4C00" w14:textId="77777777" w:rsidTr="00636254">
        <w:trPr>
          <w:trHeight w:val="88"/>
        </w:trPr>
        <w:tc>
          <w:tcPr>
            <w:tcW w:w="1696" w:type="dxa"/>
            <w:tcBorders>
              <w:top w:val="single" w:sz="4" w:space="0" w:color="000000"/>
              <w:left w:val="single" w:sz="4" w:space="0" w:color="000000"/>
              <w:bottom w:val="single" w:sz="4" w:space="0" w:color="000000"/>
              <w:right w:val="single" w:sz="4" w:space="0" w:color="000000"/>
            </w:tcBorders>
            <w:vAlign w:val="center"/>
          </w:tcPr>
          <w:p w14:paraId="50EF60E4" w14:textId="77777777" w:rsidR="00636254" w:rsidRPr="00DA6489" w:rsidRDefault="00636254" w:rsidP="00636254">
            <w:pPr>
              <w:pStyle w:val="Policedetableau"/>
              <w:widowControl w:val="0"/>
              <w:rPr>
                <w:b/>
              </w:rPr>
            </w:pPr>
            <w:r w:rsidRPr="00DA6489">
              <w:t>Brûleur bas NO</w:t>
            </w:r>
            <w:r w:rsidRPr="00DA6489">
              <w:rPr>
                <w:vertAlign w:val="subscript"/>
              </w:rPr>
              <w:t>X</w:t>
            </w:r>
          </w:p>
        </w:tc>
        <w:tc>
          <w:tcPr>
            <w:tcW w:w="6804" w:type="dxa"/>
            <w:tcBorders>
              <w:top w:val="single" w:sz="4" w:space="0" w:color="000000"/>
              <w:left w:val="single" w:sz="4" w:space="0" w:color="000000"/>
              <w:bottom w:val="single" w:sz="4" w:space="0" w:color="000000"/>
              <w:right w:val="single" w:sz="4" w:space="0" w:color="000000"/>
            </w:tcBorders>
          </w:tcPr>
          <w:p w14:paraId="0A64E113" w14:textId="19519A07" w:rsidR="00636254" w:rsidRPr="00DA6489" w:rsidRDefault="000C4674" w:rsidP="00636254">
            <w:pPr>
              <w:pStyle w:val="Policedetableau"/>
              <w:widowControl w:val="0"/>
              <w:rPr>
                <w:b/>
              </w:rPr>
            </w:pPr>
            <w:r w:rsidRPr="00DA6489">
              <w:t>T</w:t>
            </w:r>
            <w:r w:rsidR="00636254" w:rsidRPr="00DA6489">
              <w:t>echnique (y compris les brûleurs ultra-bas NO</w:t>
            </w:r>
            <w:r w:rsidR="00636254" w:rsidRPr="00DA6489">
              <w:rPr>
                <w:vertAlign w:val="subscript"/>
              </w:rPr>
              <w:t>X</w:t>
            </w:r>
            <w:r w:rsidR="00636254" w:rsidRPr="00DA6489">
              <w:t>) repos</w:t>
            </w:r>
            <w:r w:rsidR="0092516A" w:rsidRPr="00DA6489">
              <w:t>a</w:t>
            </w:r>
            <w:r w:rsidRPr="00DA6489">
              <w:t>nt</w:t>
            </w:r>
            <w:r w:rsidR="00636254" w:rsidRPr="00DA6489">
              <w:t xml:space="preserve"> sur la réduction de la température de flamme maximale. Le mélange air/combustible réduit la quantité d’oxygène disponible et la température de flamme maximale, ce qui retarde la transformation de l’azote contenu dans le combustible en NO</w:t>
            </w:r>
            <w:r w:rsidR="00636254" w:rsidRPr="00DA6489">
              <w:rPr>
                <w:vertAlign w:val="subscript"/>
              </w:rPr>
              <w:t>X</w:t>
            </w:r>
            <w:r w:rsidR="00636254" w:rsidRPr="00DA6489">
              <w:t xml:space="preserve"> et la formation de NO</w:t>
            </w:r>
            <w:r w:rsidR="00636254" w:rsidRPr="00DA6489">
              <w:rPr>
                <w:vertAlign w:val="subscript"/>
              </w:rPr>
              <w:t>X</w:t>
            </w:r>
            <w:r w:rsidR="00636254" w:rsidRPr="00DA6489">
              <w:t xml:space="preserve"> thermiques, tout en préservant l’efficacité de la combustion.</w:t>
            </w:r>
          </w:p>
        </w:tc>
      </w:tr>
      <w:tr w:rsidR="00636254" w:rsidRPr="00DA6489" w14:paraId="696B6997"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413F7B62" w14:textId="77777777" w:rsidR="00636254" w:rsidRPr="00DA6489" w:rsidRDefault="00636254" w:rsidP="00636254">
            <w:pPr>
              <w:pStyle w:val="Policedetableau"/>
              <w:widowControl w:val="0"/>
            </w:pPr>
            <w:proofErr w:type="spellStart"/>
            <w:r w:rsidRPr="00DA6489">
              <w:t>Dévésiculeur</w:t>
            </w:r>
            <w:proofErr w:type="spellEnd"/>
          </w:p>
        </w:tc>
        <w:tc>
          <w:tcPr>
            <w:tcW w:w="6804" w:type="dxa"/>
            <w:tcBorders>
              <w:top w:val="single" w:sz="4" w:space="0" w:color="000000"/>
              <w:left w:val="single" w:sz="4" w:space="0" w:color="000000"/>
              <w:bottom w:val="single" w:sz="4" w:space="0" w:color="000000"/>
              <w:right w:val="single" w:sz="4" w:space="0" w:color="000000"/>
            </w:tcBorders>
          </w:tcPr>
          <w:p w14:paraId="3B6D4135" w14:textId="0A818823" w:rsidR="00636254" w:rsidRPr="00DA6489" w:rsidRDefault="000C4674" w:rsidP="00636254">
            <w:pPr>
              <w:pStyle w:val="Policedetableau"/>
              <w:widowControl w:val="0"/>
            </w:pPr>
            <w:r w:rsidRPr="00DA6489">
              <w:t>D</w:t>
            </w:r>
            <w:r w:rsidR="00636254" w:rsidRPr="00DA6489">
              <w:t>ispositifs de filtration qui enlèvent les gouttelettes de liquide entraînées dans un flux de gaz. Ils se composent d’une structure de fils de métal ou de plastique tissés, présentant une grande surface spécifique. Par leur inertie, les fines gouttelettes présentes dans le flux de gaz se posent sur les fils et se fondent en gouttes plus grosses.</w:t>
            </w:r>
          </w:p>
        </w:tc>
      </w:tr>
      <w:tr w:rsidR="00636254" w:rsidRPr="00DA6489" w14:paraId="7C57481F"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58BEAFCE" w14:textId="77777777" w:rsidR="00636254" w:rsidRPr="00DA6489" w:rsidRDefault="00636254" w:rsidP="00636254">
            <w:pPr>
              <w:pStyle w:val="Policedetableau"/>
              <w:widowControl w:val="0"/>
            </w:pPr>
            <w:r w:rsidRPr="00DA6489">
              <w:t>Électrofiltre</w:t>
            </w:r>
          </w:p>
        </w:tc>
        <w:tc>
          <w:tcPr>
            <w:tcW w:w="6804" w:type="dxa"/>
            <w:tcBorders>
              <w:top w:val="single" w:sz="4" w:space="0" w:color="000000"/>
              <w:left w:val="single" w:sz="4" w:space="0" w:color="000000"/>
              <w:bottom w:val="single" w:sz="4" w:space="0" w:color="000000"/>
              <w:right w:val="single" w:sz="4" w:space="0" w:color="000000"/>
            </w:tcBorders>
          </w:tcPr>
          <w:p w14:paraId="266B4588" w14:textId="5639138D" w:rsidR="00636254" w:rsidRPr="00DA6489" w:rsidRDefault="000C4674" w:rsidP="00636254">
            <w:pPr>
              <w:pStyle w:val="Policedetableau"/>
              <w:widowControl w:val="0"/>
            </w:pPr>
            <w:r w:rsidRPr="00DA6489">
              <w:t>Dispositif</w:t>
            </w:r>
            <w:r w:rsidRPr="00DA6489">
              <w:rPr>
                <w:rStyle w:val="lev"/>
                <w:b w:val="0"/>
                <w:bCs w:val="0"/>
              </w:rPr>
              <w:t xml:space="preserve"> de dépoussiérage industriel</w:t>
            </w:r>
            <w:r w:rsidRPr="00DA6489">
              <w:t xml:space="preserve"> utilisé pour capter et éliminer les particules solides ou liquides en suspension dans les gaz, </w:t>
            </w:r>
            <w:r w:rsidRPr="00DA6489">
              <w:rPr>
                <w:rStyle w:val="lev"/>
                <w:b w:val="0"/>
                <w:bCs w:val="0"/>
              </w:rPr>
              <w:t>grâce à un champ électrique</w:t>
            </w:r>
            <w:r w:rsidRPr="00DA6489">
              <w:t xml:space="preserve">. </w:t>
            </w:r>
          </w:p>
        </w:tc>
      </w:tr>
      <w:tr w:rsidR="00636254" w:rsidRPr="00DA6489" w14:paraId="0DFD958D"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3B76C5AC" w14:textId="77777777" w:rsidR="00636254" w:rsidRPr="00DA6489" w:rsidRDefault="00636254" w:rsidP="00636254">
            <w:pPr>
              <w:pStyle w:val="Policedetableau"/>
              <w:widowControl w:val="0"/>
            </w:pPr>
            <w:r w:rsidRPr="00DA6489">
              <w:t>Épuration par voie humide</w:t>
            </w:r>
          </w:p>
        </w:tc>
        <w:tc>
          <w:tcPr>
            <w:tcW w:w="6804" w:type="dxa"/>
            <w:tcBorders>
              <w:top w:val="single" w:sz="4" w:space="0" w:color="000000"/>
              <w:left w:val="single" w:sz="4" w:space="0" w:color="000000"/>
              <w:bottom w:val="single" w:sz="4" w:space="0" w:color="000000"/>
              <w:right w:val="single" w:sz="4" w:space="0" w:color="000000"/>
            </w:tcBorders>
          </w:tcPr>
          <w:p w14:paraId="568A2D6D" w14:textId="0768CFFE" w:rsidR="00636254" w:rsidRPr="00DA6489" w:rsidRDefault="000C4674" w:rsidP="00636254">
            <w:pPr>
              <w:pStyle w:val="Policedetableau"/>
              <w:widowControl w:val="0"/>
            </w:pPr>
            <w:r w:rsidRPr="00DA6489">
              <w:t>Elimination</w:t>
            </w:r>
            <w:r w:rsidR="00636254" w:rsidRPr="00DA6489">
              <w:t xml:space="preserve"> </w:t>
            </w:r>
            <w:r w:rsidRPr="00DA6489">
              <w:t>d</w:t>
            </w:r>
            <w:r w:rsidR="00636254" w:rsidRPr="00DA6489">
              <w:t>es gaz et particules polluants contenus dans un flux gazeux par transfert de masse vers un solvant liquide, souvent de l’eau ou une solution aqueuse. La technique peut faire appel à une réaction chimique (par exemple, dans un laveur acide ou alcalin). Dans certains cas, il est possible de récupérer les composés dans le solvant.</w:t>
            </w:r>
          </w:p>
        </w:tc>
      </w:tr>
      <w:tr w:rsidR="00636254" w:rsidRPr="00DA6489" w14:paraId="24333946" w14:textId="77777777" w:rsidTr="00636254">
        <w:trPr>
          <w:trHeight w:val="51"/>
        </w:trPr>
        <w:tc>
          <w:tcPr>
            <w:tcW w:w="1696" w:type="dxa"/>
            <w:tcBorders>
              <w:top w:val="single" w:sz="4" w:space="0" w:color="000000"/>
              <w:left w:val="single" w:sz="4" w:space="0" w:color="000000"/>
              <w:bottom w:val="single" w:sz="4" w:space="0" w:color="000000"/>
              <w:right w:val="single" w:sz="4" w:space="0" w:color="000000"/>
            </w:tcBorders>
            <w:vAlign w:val="center"/>
          </w:tcPr>
          <w:p w14:paraId="545F0BBA" w14:textId="77777777" w:rsidR="00636254" w:rsidRPr="00DA6489" w:rsidRDefault="00636254" w:rsidP="00636254">
            <w:pPr>
              <w:pStyle w:val="Policedetableau"/>
              <w:widowControl w:val="0"/>
            </w:pPr>
            <w:r w:rsidRPr="00DA6489">
              <w:t>Filtre en tissu</w:t>
            </w:r>
          </w:p>
        </w:tc>
        <w:tc>
          <w:tcPr>
            <w:tcW w:w="6804" w:type="dxa"/>
            <w:tcBorders>
              <w:top w:val="single" w:sz="4" w:space="0" w:color="000000"/>
              <w:left w:val="single" w:sz="4" w:space="0" w:color="000000"/>
              <w:bottom w:val="single" w:sz="4" w:space="0" w:color="000000"/>
              <w:right w:val="single" w:sz="4" w:space="0" w:color="000000"/>
            </w:tcBorders>
          </w:tcPr>
          <w:p w14:paraId="5D51BFAD" w14:textId="0E89AE97" w:rsidR="00636254" w:rsidRPr="00DA6489" w:rsidRDefault="000C4674" w:rsidP="00636254">
            <w:pPr>
              <w:pStyle w:val="Policedetableau"/>
              <w:widowControl w:val="0"/>
            </w:pPr>
            <w:r w:rsidRPr="00DA6489">
              <w:t>F</w:t>
            </w:r>
            <w:r w:rsidR="00636254" w:rsidRPr="00DA6489">
              <w:t>iltres en tissu</w:t>
            </w:r>
            <w:r w:rsidRPr="00DA6489">
              <w:t xml:space="preserve"> </w:t>
            </w:r>
            <w:r w:rsidR="00636254" w:rsidRPr="00DA6489">
              <w:t>constitués d’un tissu ou feutre perméable au travers duquel on fait passer les gaz afin d’en séparer les particules. Le tissu constituant le filtre doit être sélectionné en fonction des caractéristiques des effluents gazeux et de la température de fonctionnement maximale</w:t>
            </w:r>
            <w:r w:rsidRPr="00DA6489">
              <w:t xml:space="preserve"> (souvent appelés filtres à manches)</w:t>
            </w:r>
            <w:r w:rsidR="00636254" w:rsidRPr="00DA6489">
              <w:t>.</w:t>
            </w:r>
          </w:p>
        </w:tc>
      </w:tr>
    </w:tbl>
    <w:p w14:paraId="5C28FBB5" w14:textId="77777777" w:rsidR="00F95481" w:rsidRPr="00DA6489" w:rsidRDefault="00F95481" w:rsidP="00F95481">
      <w:pPr>
        <w:pStyle w:val="Titre20"/>
      </w:pPr>
    </w:p>
    <w:tbl>
      <w:tblPr>
        <w:tblW w:w="8500" w:type="dxa"/>
        <w:tblLayout w:type="fixed"/>
        <w:tblLook w:val="0000" w:firstRow="0" w:lastRow="0" w:firstColumn="0" w:lastColumn="0" w:noHBand="0" w:noVBand="0"/>
      </w:tblPr>
      <w:tblGrid>
        <w:gridCol w:w="1696"/>
        <w:gridCol w:w="203"/>
        <w:gridCol w:w="6601"/>
      </w:tblGrid>
      <w:tr w:rsidR="00357805" w:rsidRPr="00DA6489" w14:paraId="4DCFB636" w14:textId="77777777" w:rsidTr="00636254">
        <w:trPr>
          <w:trHeight w:val="88"/>
        </w:trPr>
        <w:tc>
          <w:tcPr>
            <w:tcW w:w="8500" w:type="dxa"/>
            <w:gridSpan w:val="3"/>
            <w:tcBorders>
              <w:top w:val="single" w:sz="4" w:space="0" w:color="000000"/>
              <w:left w:val="single" w:sz="4" w:space="0" w:color="000000"/>
              <w:bottom w:val="single" w:sz="4" w:space="0" w:color="000000"/>
              <w:right w:val="single" w:sz="4" w:space="0" w:color="000000"/>
            </w:tcBorders>
          </w:tcPr>
          <w:p w14:paraId="2B4D4152" w14:textId="77777777" w:rsidR="00357805" w:rsidRPr="00DA6489" w:rsidRDefault="00357805" w:rsidP="00357805">
            <w:pPr>
              <w:pStyle w:val="Policedetableau"/>
              <w:widowControl w:val="0"/>
              <w:jc w:val="center"/>
              <w:rPr>
                <w:b/>
                <w:bCs/>
              </w:rPr>
            </w:pPr>
            <w:r w:rsidRPr="00DA6489">
              <w:rPr>
                <w:b/>
                <w:bCs/>
              </w:rPr>
              <w:t>Techniques de réduction des émissions dans l’eau</w:t>
            </w:r>
          </w:p>
        </w:tc>
      </w:tr>
      <w:tr w:rsidR="00F95481" w:rsidRPr="00DA6489" w14:paraId="2FFD3A90" w14:textId="77777777" w:rsidTr="00636254">
        <w:trPr>
          <w:trHeight w:val="88"/>
        </w:trPr>
        <w:tc>
          <w:tcPr>
            <w:tcW w:w="1696" w:type="dxa"/>
            <w:tcBorders>
              <w:top w:val="single" w:sz="4" w:space="0" w:color="000000"/>
              <w:left w:val="single" w:sz="4" w:space="0" w:color="000000"/>
              <w:bottom w:val="single" w:sz="4" w:space="0" w:color="000000"/>
              <w:right w:val="single" w:sz="4" w:space="0" w:color="000000"/>
            </w:tcBorders>
          </w:tcPr>
          <w:p w14:paraId="348E2423" w14:textId="77777777" w:rsidR="00F95481" w:rsidRPr="00DA6489" w:rsidRDefault="00F95481" w:rsidP="00F75F3F">
            <w:pPr>
              <w:pStyle w:val="Policedetableau"/>
              <w:widowControl w:val="0"/>
              <w:rPr>
                <w:b/>
              </w:rPr>
            </w:pPr>
            <w:r w:rsidRPr="00DA6489">
              <w:rPr>
                <w:b/>
              </w:rPr>
              <w:t>Technique</w:t>
            </w:r>
          </w:p>
        </w:tc>
        <w:tc>
          <w:tcPr>
            <w:tcW w:w="6804" w:type="dxa"/>
            <w:gridSpan w:val="2"/>
            <w:tcBorders>
              <w:top w:val="single" w:sz="4" w:space="0" w:color="000000"/>
              <w:left w:val="single" w:sz="4" w:space="0" w:color="000000"/>
              <w:bottom w:val="single" w:sz="4" w:space="0" w:color="000000"/>
              <w:right w:val="single" w:sz="4" w:space="0" w:color="000000"/>
            </w:tcBorders>
          </w:tcPr>
          <w:p w14:paraId="4C0D297B" w14:textId="77777777" w:rsidR="00F95481" w:rsidRPr="00DA6489" w:rsidRDefault="00F95481" w:rsidP="00F75F3F">
            <w:pPr>
              <w:pStyle w:val="Policedetableau"/>
              <w:widowControl w:val="0"/>
              <w:rPr>
                <w:b/>
              </w:rPr>
            </w:pPr>
            <w:r w:rsidRPr="00DA6489">
              <w:rPr>
                <w:b/>
              </w:rPr>
              <w:t xml:space="preserve">Description </w:t>
            </w:r>
          </w:p>
        </w:tc>
      </w:tr>
      <w:tr w:rsidR="00F95481" w:rsidRPr="00DA6489" w14:paraId="1D005280"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20BC68DA" w14:textId="77777777" w:rsidR="00F95481" w:rsidRPr="00DA6489" w:rsidRDefault="00F95481" w:rsidP="00F75F3F">
            <w:pPr>
              <w:pStyle w:val="Policedetableau"/>
              <w:widowControl w:val="0"/>
            </w:pPr>
            <w:r w:rsidRPr="00DA6489">
              <w:t>Adsorption</w:t>
            </w:r>
          </w:p>
        </w:tc>
        <w:tc>
          <w:tcPr>
            <w:tcW w:w="6601" w:type="dxa"/>
            <w:tcBorders>
              <w:top w:val="single" w:sz="4" w:space="0" w:color="000000"/>
              <w:left w:val="single" w:sz="4" w:space="0" w:color="000000"/>
              <w:bottom w:val="single" w:sz="4" w:space="0" w:color="000000"/>
              <w:right w:val="single" w:sz="4" w:space="0" w:color="000000"/>
            </w:tcBorders>
          </w:tcPr>
          <w:p w14:paraId="770F320F" w14:textId="52FB83D0" w:rsidR="00F95481" w:rsidRPr="00DA6489" w:rsidRDefault="000C4674" w:rsidP="00F75F3F">
            <w:pPr>
              <w:pStyle w:val="Policedetableau"/>
              <w:widowControl w:val="0"/>
            </w:pPr>
            <w:r w:rsidRPr="00DA6489">
              <w:t>Technique</w:t>
            </w:r>
            <w:r w:rsidR="00F95481" w:rsidRPr="00DA6489">
              <w:t xml:space="preserve"> consiste à enlever les substances solubles (solutés) présentes dans les eaux usées en les transférant à la surface de particules solides très poreuses (en général, du charbon actif).</w:t>
            </w:r>
          </w:p>
        </w:tc>
      </w:tr>
      <w:tr w:rsidR="00FD40F4" w:rsidRPr="00DA6489" w14:paraId="03CEC8FE"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3069C574" w14:textId="77777777" w:rsidR="00FD40F4" w:rsidRPr="00DA6489" w:rsidRDefault="00FD40F4" w:rsidP="00FD40F4">
            <w:pPr>
              <w:pStyle w:val="Policedetableau"/>
              <w:widowControl w:val="0"/>
            </w:pPr>
            <w:r w:rsidRPr="00DA6489">
              <w:t>Coagulation et floculation</w:t>
            </w:r>
          </w:p>
        </w:tc>
        <w:tc>
          <w:tcPr>
            <w:tcW w:w="6601" w:type="dxa"/>
            <w:tcBorders>
              <w:top w:val="single" w:sz="4" w:space="0" w:color="000000"/>
              <w:left w:val="single" w:sz="4" w:space="0" w:color="000000"/>
              <w:bottom w:val="single" w:sz="4" w:space="0" w:color="000000"/>
              <w:right w:val="single" w:sz="4" w:space="0" w:color="000000"/>
            </w:tcBorders>
          </w:tcPr>
          <w:p w14:paraId="64C8BB85" w14:textId="77777777" w:rsidR="00FD40F4" w:rsidRPr="00DA6489" w:rsidRDefault="00FD40F4" w:rsidP="00FD40F4">
            <w:pPr>
              <w:pStyle w:val="Policedetableau"/>
              <w:widowControl w:val="0"/>
            </w:pPr>
            <w:r w:rsidRPr="00DA6489">
              <w:t xml:space="preserve">La coagulation et la floculation sont utilisées pour séparer les matières en suspension dans les effluents aqueux et sont souvent réalisées par étapes successives. La coagulation est obtenue en ajoutant des coagulants de charge opposée à celle des matières en suspension. La floculation est réalisée par l’ajout de polymères, de façon que les collisions entre particules de </w:t>
            </w:r>
            <w:proofErr w:type="spellStart"/>
            <w:r w:rsidRPr="00DA6489">
              <w:t>microflocs</w:t>
            </w:r>
            <w:proofErr w:type="spellEnd"/>
            <w:r w:rsidRPr="00DA6489">
              <w:t xml:space="preserve"> provoquent l’agglutination de ceux-ci en flocs de plus grande taille.</w:t>
            </w:r>
          </w:p>
        </w:tc>
      </w:tr>
      <w:tr w:rsidR="00FD40F4" w:rsidRPr="00DA6489" w14:paraId="4F389FA4"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2F016C6D" w14:textId="77777777" w:rsidR="00FD40F4" w:rsidRPr="00DA6489" w:rsidRDefault="00FD40F4" w:rsidP="00FD40F4">
            <w:pPr>
              <w:pStyle w:val="Policedetableau"/>
              <w:widowControl w:val="0"/>
            </w:pPr>
            <w:r w:rsidRPr="00DA6489">
              <w:t xml:space="preserve">Filtration </w:t>
            </w:r>
          </w:p>
        </w:tc>
        <w:tc>
          <w:tcPr>
            <w:tcW w:w="6601" w:type="dxa"/>
            <w:tcBorders>
              <w:top w:val="single" w:sz="4" w:space="0" w:color="000000"/>
              <w:left w:val="single" w:sz="4" w:space="0" w:color="000000"/>
              <w:bottom w:val="single" w:sz="4" w:space="0" w:color="000000"/>
              <w:right w:val="single" w:sz="4" w:space="0" w:color="000000"/>
            </w:tcBorders>
          </w:tcPr>
          <w:p w14:paraId="64A95542" w14:textId="6A8EAF2B" w:rsidR="00FD40F4" w:rsidRPr="00DA6489" w:rsidRDefault="00FD40F4" w:rsidP="00FD40F4">
            <w:pPr>
              <w:pStyle w:val="Policedetableau"/>
              <w:widowControl w:val="0"/>
            </w:pPr>
            <w:r w:rsidRPr="00DA6489">
              <w:t>Technique consistant à séparer les matières en suspension dans les effluents aqueux par passage de ceux-ci dans un milieu poreux</w:t>
            </w:r>
            <w:r w:rsidR="0092516A" w:rsidRPr="00DA6489">
              <w:t> :</w:t>
            </w:r>
            <w:r w:rsidR="002B7AD0" w:rsidRPr="00DA6489">
              <w:t xml:space="preserve"> </w:t>
            </w:r>
            <w:r w:rsidRPr="00DA6489">
              <w:t>par exemple, filtration sur sable, microfiltration et ultrafiltration.</w:t>
            </w:r>
          </w:p>
        </w:tc>
      </w:tr>
      <w:tr w:rsidR="00FD40F4" w:rsidRPr="00DA6489" w14:paraId="74E60FE9"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4A51282D" w14:textId="77777777" w:rsidR="00FD40F4" w:rsidRPr="00DA6489" w:rsidRDefault="00FD40F4" w:rsidP="00FD40F4">
            <w:pPr>
              <w:pStyle w:val="Policedetableau"/>
              <w:widowControl w:val="0"/>
            </w:pPr>
            <w:r w:rsidRPr="00DA6489">
              <w:t>Flottation</w:t>
            </w:r>
          </w:p>
        </w:tc>
        <w:tc>
          <w:tcPr>
            <w:tcW w:w="6601" w:type="dxa"/>
            <w:tcBorders>
              <w:top w:val="single" w:sz="4" w:space="0" w:color="000000"/>
              <w:left w:val="single" w:sz="4" w:space="0" w:color="000000"/>
              <w:bottom w:val="single" w:sz="4" w:space="0" w:color="000000"/>
              <w:right w:val="single" w:sz="4" w:space="0" w:color="000000"/>
            </w:tcBorders>
          </w:tcPr>
          <w:p w14:paraId="267F18C5" w14:textId="0E6B1FDA" w:rsidR="00FD40F4" w:rsidRPr="00DA6489" w:rsidRDefault="00FD40F4" w:rsidP="00FD40F4">
            <w:pPr>
              <w:pStyle w:val="Policedetableau"/>
              <w:widowControl w:val="0"/>
            </w:pPr>
            <w:r w:rsidRPr="00DA6489">
              <w:t>Technique consistant à séparer les particules solides ou liquides présentes dans les effluents aqueux en les faisant se fixer sur de fines bulles de gaz, généralement de l’air. Les particules flottantes s’accumulent à la surface de l’eau</w:t>
            </w:r>
            <w:r w:rsidR="00604572">
              <w:t>,</w:t>
            </w:r>
            <w:r w:rsidRPr="00DA6489">
              <w:t xml:space="preserve"> où elles sont recueillies à l’aide d’écumeurs.</w:t>
            </w:r>
          </w:p>
        </w:tc>
      </w:tr>
      <w:tr w:rsidR="00FD40F4" w:rsidRPr="00DA6489" w14:paraId="41E35C19"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38FD4F63" w14:textId="77777777" w:rsidR="00FD40F4" w:rsidRPr="00DA6489" w:rsidRDefault="00FD40F4" w:rsidP="00FD40F4">
            <w:pPr>
              <w:pStyle w:val="Policedetableau"/>
              <w:widowControl w:val="0"/>
            </w:pPr>
            <w:r w:rsidRPr="00DA6489">
              <w:t>Homogénéisation</w:t>
            </w:r>
          </w:p>
        </w:tc>
        <w:tc>
          <w:tcPr>
            <w:tcW w:w="6601" w:type="dxa"/>
            <w:tcBorders>
              <w:top w:val="single" w:sz="4" w:space="0" w:color="000000"/>
              <w:left w:val="single" w:sz="4" w:space="0" w:color="000000"/>
              <w:bottom w:val="single" w:sz="4" w:space="0" w:color="000000"/>
              <w:right w:val="single" w:sz="4" w:space="0" w:color="000000"/>
            </w:tcBorders>
          </w:tcPr>
          <w:p w14:paraId="68DB589D" w14:textId="77777777" w:rsidR="00FD40F4" w:rsidRPr="00DA6489" w:rsidRDefault="00FD40F4" w:rsidP="00FD40F4">
            <w:pPr>
              <w:pStyle w:val="Policedetableau"/>
              <w:widowControl w:val="0"/>
            </w:pPr>
            <w:r w:rsidRPr="00DA6489">
              <w:t>Utilisation de bassins centraux afin d’homogénéiser les flux et charges de polluants à l’entrée du traitement final des eaux usées. L’homogénéisation peut être décentralisée ou effectuée à l’aide d’autres techniques de gestion.</w:t>
            </w:r>
          </w:p>
        </w:tc>
      </w:tr>
      <w:tr w:rsidR="00FD40F4" w:rsidRPr="00DA6489" w14:paraId="0B7E70B3"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4A50F57C" w14:textId="77777777" w:rsidR="00FD40F4" w:rsidRPr="00DA6489" w:rsidRDefault="00FD40F4" w:rsidP="00FD40F4">
            <w:pPr>
              <w:pStyle w:val="Policedetableau"/>
              <w:widowControl w:val="0"/>
            </w:pPr>
            <w:r w:rsidRPr="00DA6489">
              <w:t>Nanofiltration</w:t>
            </w:r>
          </w:p>
        </w:tc>
        <w:tc>
          <w:tcPr>
            <w:tcW w:w="6601" w:type="dxa"/>
            <w:tcBorders>
              <w:top w:val="single" w:sz="4" w:space="0" w:color="000000"/>
              <w:left w:val="single" w:sz="4" w:space="0" w:color="000000"/>
              <w:bottom w:val="single" w:sz="4" w:space="0" w:color="000000"/>
              <w:right w:val="single" w:sz="4" w:space="0" w:color="000000"/>
            </w:tcBorders>
          </w:tcPr>
          <w:p w14:paraId="1EE67E0D" w14:textId="77777777" w:rsidR="00FD40F4" w:rsidRPr="00DA6489" w:rsidRDefault="00FD40F4" w:rsidP="00FD40F4">
            <w:pPr>
              <w:pStyle w:val="Policedetableau"/>
              <w:widowControl w:val="0"/>
            </w:pPr>
            <w:r w:rsidRPr="00DA6489">
              <w:t xml:space="preserve">Procédé de filtration utilisant des membranes à pores d’environ 1 nm de </w:t>
            </w:r>
            <w:r w:rsidRPr="00DA6489">
              <w:lastRenderedPageBreak/>
              <w:t>diamètre.</w:t>
            </w:r>
          </w:p>
        </w:tc>
      </w:tr>
      <w:tr w:rsidR="00FD40F4" w:rsidRPr="00DA6489" w14:paraId="2C18FCC4"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0CB62A71" w14:textId="77777777" w:rsidR="00FD40F4" w:rsidRPr="00DA6489" w:rsidRDefault="00FD40F4" w:rsidP="00FD40F4">
            <w:pPr>
              <w:pStyle w:val="Policedetableau"/>
              <w:widowControl w:val="0"/>
            </w:pPr>
            <w:r w:rsidRPr="00DA6489">
              <w:lastRenderedPageBreak/>
              <w:t>Neutralisation</w:t>
            </w:r>
          </w:p>
        </w:tc>
        <w:tc>
          <w:tcPr>
            <w:tcW w:w="6601" w:type="dxa"/>
            <w:tcBorders>
              <w:top w:val="single" w:sz="4" w:space="0" w:color="000000"/>
              <w:left w:val="single" w:sz="4" w:space="0" w:color="000000"/>
              <w:bottom w:val="single" w:sz="4" w:space="0" w:color="000000"/>
              <w:right w:val="single" w:sz="4" w:space="0" w:color="000000"/>
            </w:tcBorders>
          </w:tcPr>
          <w:p w14:paraId="4386F95B" w14:textId="139A6976" w:rsidR="00FD40F4" w:rsidRPr="00DA6489" w:rsidRDefault="00FD40F4" w:rsidP="00FD40F4">
            <w:pPr>
              <w:pStyle w:val="Policedetableau"/>
              <w:widowControl w:val="0"/>
            </w:pPr>
            <w:r w:rsidRPr="00DA6489">
              <w:t>Ajustement du pH des effluents aqueux à un niveau neutre (environ 7) par ajout de produits chimiques. L’hydroxyde de sodium (</w:t>
            </w:r>
            <w:proofErr w:type="spellStart"/>
            <w:r w:rsidRPr="00DA6489">
              <w:t>NaOH</w:t>
            </w:r>
            <w:proofErr w:type="spellEnd"/>
            <w:r w:rsidRPr="00DA6489">
              <w:t>) ou l’hydroxyde de calcium (</w:t>
            </w:r>
            <w:proofErr w:type="gramStart"/>
            <w:r w:rsidRPr="00DA6489">
              <w:t>Ca(</w:t>
            </w:r>
            <w:proofErr w:type="gramEnd"/>
            <w:r w:rsidRPr="00DA6489">
              <w:t>OH)</w:t>
            </w:r>
            <w:r w:rsidRPr="00DA6489">
              <w:rPr>
                <w:vertAlign w:val="subscript"/>
              </w:rPr>
              <w:t>2</w:t>
            </w:r>
            <w:r w:rsidRPr="00DA6489">
              <w:t xml:space="preserve">) </w:t>
            </w:r>
            <w:r w:rsidR="00E42C92">
              <w:t>sont</w:t>
            </w:r>
            <w:r w:rsidR="00E42C92" w:rsidRPr="00DA6489">
              <w:t xml:space="preserve"> </w:t>
            </w:r>
            <w:r w:rsidRPr="00DA6489">
              <w:t>généralement utilisé</w:t>
            </w:r>
            <w:r w:rsidR="00604572">
              <w:t>s</w:t>
            </w:r>
            <w:r w:rsidRPr="00DA6489">
              <w:t xml:space="preserve"> pour augmenter le pH, tandis que l’acide sulfurique (H</w:t>
            </w:r>
            <w:r w:rsidRPr="00DA6489">
              <w:rPr>
                <w:vertAlign w:val="subscript"/>
              </w:rPr>
              <w:t>2</w:t>
            </w:r>
            <w:r w:rsidRPr="00DA6489">
              <w:t>SO</w:t>
            </w:r>
            <w:r w:rsidRPr="00DA6489">
              <w:rPr>
                <w:vertAlign w:val="subscript"/>
              </w:rPr>
              <w:t>4</w:t>
            </w:r>
            <w:r w:rsidRPr="00DA6489">
              <w:t>), l’acide chlorhydrique (</w:t>
            </w:r>
            <w:proofErr w:type="spellStart"/>
            <w:r w:rsidRPr="00DA6489">
              <w:t>HCl</w:t>
            </w:r>
            <w:proofErr w:type="spellEnd"/>
            <w:r w:rsidRPr="00DA6489">
              <w:t>) ou le dioxyde de carbone (CO</w:t>
            </w:r>
            <w:r w:rsidRPr="00DA6489">
              <w:rPr>
                <w:vertAlign w:val="subscript"/>
              </w:rPr>
              <w:t>2</w:t>
            </w:r>
            <w:r w:rsidRPr="00DA6489">
              <w:t xml:space="preserve">) </w:t>
            </w:r>
            <w:r w:rsidR="00604572">
              <w:t xml:space="preserve">sont </w:t>
            </w:r>
            <w:r w:rsidRPr="00DA6489">
              <w:t>généralement utilisé</w:t>
            </w:r>
            <w:r w:rsidR="002B7AD0" w:rsidRPr="00DA6489">
              <w:t>s</w:t>
            </w:r>
            <w:r w:rsidRPr="00DA6489">
              <w:t xml:space="preserve"> pour l’abaisser. Certaines substances peuvent précipiter lors de la neutralisation.</w:t>
            </w:r>
          </w:p>
        </w:tc>
      </w:tr>
      <w:tr w:rsidR="00FD40F4" w:rsidRPr="00DA6489" w14:paraId="3671127F"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55A5A379" w14:textId="77777777" w:rsidR="00FD40F4" w:rsidRPr="00DA6489" w:rsidRDefault="00FD40F4" w:rsidP="00FD40F4">
            <w:pPr>
              <w:pStyle w:val="Policedetableau"/>
              <w:widowControl w:val="0"/>
            </w:pPr>
            <w:r w:rsidRPr="00DA6489">
              <w:t>Osmose inverse</w:t>
            </w:r>
          </w:p>
        </w:tc>
        <w:tc>
          <w:tcPr>
            <w:tcW w:w="6601" w:type="dxa"/>
            <w:tcBorders>
              <w:top w:val="single" w:sz="4" w:space="0" w:color="000000"/>
              <w:left w:val="single" w:sz="4" w:space="0" w:color="000000"/>
              <w:bottom w:val="single" w:sz="4" w:space="0" w:color="000000"/>
              <w:right w:val="single" w:sz="4" w:space="0" w:color="000000"/>
            </w:tcBorders>
          </w:tcPr>
          <w:p w14:paraId="4E7D429B" w14:textId="77777777" w:rsidR="00FD40F4" w:rsidRPr="00DA6489" w:rsidRDefault="00FD40F4" w:rsidP="00FD40F4">
            <w:pPr>
              <w:pStyle w:val="Policedetableau"/>
              <w:widowControl w:val="0"/>
            </w:pPr>
            <w:r w:rsidRPr="00DA6489">
              <w:t>Procédé membranaire dans lequel une différence de pression appliquée entre les compartiments séparés par la membrane a pour effet de faire s’écouler l’eau, de la solution la plus concentrée vers la solution la moins concentrée.</w:t>
            </w:r>
          </w:p>
        </w:tc>
      </w:tr>
      <w:tr w:rsidR="00FD40F4" w:rsidRPr="00DA6489" w14:paraId="6A0C5E1A"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2ADF51FA" w14:textId="77777777" w:rsidR="00FD40F4" w:rsidRPr="00DA6489" w:rsidRDefault="00FD40F4" w:rsidP="00FD40F4">
            <w:pPr>
              <w:pStyle w:val="Policedetableau"/>
              <w:widowControl w:val="0"/>
            </w:pPr>
            <w:r w:rsidRPr="00DA6489">
              <w:t>Précipitation chimique</w:t>
            </w:r>
          </w:p>
        </w:tc>
        <w:tc>
          <w:tcPr>
            <w:tcW w:w="6601" w:type="dxa"/>
            <w:tcBorders>
              <w:top w:val="single" w:sz="4" w:space="0" w:color="000000"/>
              <w:left w:val="single" w:sz="4" w:space="0" w:color="000000"/>
              <w:bottom w:val="single" w:sz="4" w:space="0" w:color="000000"/>
              <w:right w:val="single" w:sz="4" w:space="0" w:color="000000"/>
            </w:tcBorders>
          </w:tcPr>
          <w:p w14:paraId="5458B45E" w14:textId="77777777" w:rsidR="00FD40F4" w:rsidRPr="00DA6489" w:rsidRDefault="00FD40F4" w:rsidP="00FD40F4">
            <w:pPr>
              <w:pStyle w:val="Policedetableau"/>
              <w:widowControl w:val="0"/>
            </w:pPr>
            <w:r w:rsidRPr="00DA6489">
              <w:t>Transformation des polluants dissous en composés insolubles par addition de précipitants chimiques. Les précipités solides formés sont ensuite séparés par décantation, flottation à l’air ou filtration. Si nécessaire, cette étape peut être suivie d’une microfiltration ou d’une ultrafiltration. Des ions métalliques multivalents (par exemple, calcium, aluminium, fer) sont utilisés pour la précipitation du phosphore.</w:t>
            </w:r>
          </w:p>
        </w:tc>
      </w:tr>
      <w:tr w:rsidR="00FD40F4" w:rsidRPr="00DA6489" w14:paraId="5CCDD2EA"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7782F11F" w14:textId="77777777" w:rsidR="00FD40F4" w:rsidRPr="00DA6489" w:rsidRDefault="00FD40F4" w:rsidP="00FD40F4">
            <w:pPr>
              <w:pStyle w:val="Policedetableau"/>
              <w:widowControl w:val="0"/>
            </w:pPr>
            <w:r w:rsidRPr="00DA6489">
              <w:t>Réduction chimique</w:t>
            </w:r>
          </w:p>
        </w:tc>
        <w:tc>
          <w:tcPr>
            <w:tcW w:w="6601" w:type="dxa"/>
            <w:tcBorders>
              <w:top w:val="single" w:sz="4" w:space="0" w:color="000000"/>
              <w:left w:val="single" w:sz="4" w:space="0" w:color="000000"/>
              <w:bottom w:val="single" w:sz="4" w:space="0" w:color="000000"/>
              <w:right w:val="single" w:sz="4" w:space="0" w:color="000000"/>
            </w:tcBorders>
          </w:tcPr>
          <w:p w14:paraId="75691EC1" w14:textId="77777777" w:rsidR="00FD40F4" w:rsidRPr="00DA6489" w:rsidRDefault="00FD40F4" w:rsidP="00FD40F4">
            <w:pPr>
              <w:pStyle w:val="Policedetableau"/>
              <w:widowControl w:val="0"/>
            </w:pPr>
            <w:r w:rsidRPr="00DA6489">
              <w:t>Utilisation d’agents chimiques réducteurs pour transformer des polluants en composés similaires, mais moins nocifs ou dangereux.</w:t>
            </w:r>
          </w:p>
        </w:tc>
      </w:tr>
      <w:tr w:rsidR="00FD40F4" w:rsidRPr="00DA6489" w14:paraId="1FED8AB2"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5F213E23" w14:textId="77777777" w:rsidR="00FD40F4" w:rsidRPr="00DA6489" w:rsidRDefault="00FD40F4" w:rsidP="00FD40F4">
            <w:pPr>
              <w:pStyle w:val="Policedetableau"/>
              <w:widowControl w:val="0"/>
            </w:pPr>
            <w:r w:rsidRPr="00DA6489">
              <w:t>Sédimentation</w:t>
            </w:r>
          </w:p>
        </w:tc>
        <w:tc>
          <w:tcPr>
            <w:tcW w:w="6601" w:type="dxa"/>
            <w:tcBorders>
              <w:top w:val="single" w:sz="4" w:space="0" w:color="000000"/>
              <w:left w:val="single" w:sz="4" w:space="0" w:color="000000"/>
              <w:bottom w:val="single" w:sz="4" w:space="0" w:color="000000"/>
              <w:right w:val="single" w:sz="4" w:space="0" w:color="000000"/>
            </w:tcBorders>
          </w:tcPr>
          <w:p w14:paraId="1959AA78" w14:textId="5A49159E" w:rsidR="00FD40F4" w:rsidRPr="00DA6489" w:rsidRDefault="00FD40F4" w:rsidP="00FD40F4">
            <w:pPr>
              <w:pStyle w:val="Policedetableau"/>
              <w:widowControl w:val="0"/>
            </w:pPr>
            <w:r w:rsidRPr="00DA6489">
              <w:t xml:space="preserve">Séparation des particules et matières en suspension par sédimentation </w:t>
            </w:r>
            <w:r w:rsidR="002B7AD0" w:rsidRPr="00DA6489">
              <w:t>gravitaire</w:t>
            </w:r>
            <w:r w:rsidRPr="00DA6489">
              <w:t>.</w:t>
            </w:r>
          </w:p>
        </w:tc>
      </w:tr>
      <w:tr w:rsidR="00FD40F4" w:rsidRPr="00DA6489" w14:paraId="67EFA65F"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76EEA4FA" w14:textId="77777777" w:rsidR="00FD40F4" w:rsidRPr="00DA6489" w:rsidRDefault="00FD40F4" w:rsidP="00FD40F4">
            <w:pPr>
              <w:pStyle w:val="Policedetableau"/>
              <w:widowControl w:val="0"/>
            </w:pPr>
            <w:r w:rsidRPr="00DA6489">
              <w:t>Séparation physique</w:t>
            </w:r>
          </w:p>
        </w:tc>
        <w:tc>
          <w:tcPr>
            <w:tcW w:w="6601" w:type="dxa"/>
            <w:tcBorders>
              <w:top w:val="single" w:sz="4" w:space="0" w:color="000000"/>
              <w:left w:val="single" w:sz="4" w:space="0" w:color="000000"/>
              <w:bottom w:val="single" w:sz="4" w:space="0" w:color="000000"/>
              <w:right w:val="single" w:sz="4" w:space="0" w:color="000000"/>
            </w:tcBorders>
          </w:tcPr>
          <w:p w14:paraId="3C3C149D" w14:textId="77777777" w:rsidR="00FD40F4" w:rsidRPr="00DA6489" w:rsidRDefault="00FD40F4" w:rsidP="00FD40F4">
            <w:pPr>
              <w:pStyle w:val="Policedetableau"/>
              <w:widowControl w:val="0"/>
            </w:pPr>
            <w:r w:rsidRPr="00DA6489">
              <w:t>Séparation des solides bruts, des solides en suspension et/ou des particules métalliques des eaux usées, notamment au moyen de dégrilleurs, tamis, dessableurs, dégraisseurs, hydrocyclones, déshuileurs ou décanteurs primaires.</w:t>
            </w:r>
          </w:p>
        </w:tc>
      </w:tr>
      <w:tr w:rsidR="00FD40F4" w:rsidRPr="00DA6489" w14:paraId="3D40B81B" w14:textId="77777777" w:rsidTr="00636254">
        <w:trPr>
          <w:trHeight w:val="53"/>
        </w:trPr>
        <w:tc>
          <w:tcPr>
            <w:tcW w:w="1899" w:type="dxa"/>
            <w:gridSpan w:val="2"/>
            <w:tcBorders>
              <w:top w:val="single" w:sz="4" w:space="0" w:color="000000"/>
              <w:left w:val="single" w:sz="4" w:space="0" w:color="000000"/>
              <w:bottom w:val="single" w:sz="4" w:space="0" w:color="000000"/>
              <w:right w:val="single" w:sz="4" w:space="0" w:color="000000"/>
            </w:tcBorders>
            <w:vAlign w:val="center"/>
          </w:tcPr>
          <w:p w14:paraId="6FCE7475" w14:textId="77777777" w:rsidR="00FD40F4" w:rsidRPr="00DA6489" w:rsidRDefault="00FD40F4" w:rsidP="00FD40F4">
            <w:pPr>
              <w:pStyle w:val="Policedetableau"/>
              <w:widowControl w:val="0"/>
            </w:pPr>
            <w:r w:rsidRPr="00DA6489">
              <w:t>Traitement aérobie</w:t>
            </w:r>
          </w:p>
        </w:tc>
        <w:tc>
          <w:tcPr>
            <w:tcW w:w="6601" w:type="dxa"/>
            <w:tcBorders>
              <w:top w:val="single" w:sz="4" w:space="0" w:color="000000"/>
              <w:left w:val="single" w:sz="4" w:space="0" w:color="000000"/>
              <w:bottom w:val="single" w:sz="4" w:space="0" w:color="000000"/>
              <w:right w:val="single" w:sz="4" w:space="0" w:color="000000"/>
            </w:tcBorders>
          </w:tcPr>
          <w:p w14:paraId="5E56A690" w14:textId="77777777" w:rsidR="00FD40F4" w:rsidRPr="00DA6489" w:rsidRDefault="00FD40F4" w:rsidP="00FD40F4">
            <w:pPr>
              <w:pStyle w:val="Policedetableau"/>
              <w:widowControl w:val="0"/>
            </w:pPr>
            <w:r w:rsidRPr="00DA6489">
              <w:t>Oxydation biologique des polluants organiques dissous par l’oxygène résultant du métabolisme des microorganismes. En présence d’oxygène dissous (injecté sous forme d’air ou d’oxygène pur), les composés organiques se minéralisent en donnant du dioxyde de carbone et de l’eau ou sont transformés en d’autres métabolites et en biomasse.</w:t>
            </w:r>
          </w:p>
        </w:tc>
      </w:tr>
    </w:tbl>
    <w:p w14:paraId="76E3BCD2" w14:textId="77777777" w:rsidR="00F95481" w:rsidRPr="00DA6489" w:rsidRDefault="00F95481" w:rsidP="00F95481">
      <w:pPr>
        <w:pStyle w:val="Policedetableau"/>
      </w:pPr>
    </w:p>
    <w:p w14:paraId="19CFBC67" w14:textId="77777777" w:rsidR="005C0576" w:rsidRPr="00DA6489" w:rsidRDefault="005C0576">
      <w:pPr>
        <w:spacing w:after="0" w:line="240" w:lineRule="auto"/>
        <w:jc w:val="left"/>
      </w:pPr>
    </w:p>
    <w:p w14:paraId="517B757D" w14:textId="77777777" w:rsidR="005C0576" w:rsidRPr="00DA6489" w:rsidRDefault="00520523">
      <w:pPr>
        <w:pStyle w:val="Policedetableau"/>
      </w:pPr>
      <w:r w:rsidRPr="00DA6489">
        <w:t>Dans le présent arrêté, les acronymes suivants sont utilisés</w:t>
      </w:r>
      <w:r w:rsidR="00D543D0" w:rsidRPr="00DA6489">
        <w:t> :</w:t>
      </w:r>
    </w:p>
    <w:p w14:paraId="08570D7C" w14:textId="77777777" w:rsidR="005C0576" w:rsidRPr="00DA6489" w:rsidRDefault="005C0576">
      <w:pPr>
        <w:pStyle w:val="Policedetableau"/>
      </w:pPr>
    </w:p>
    <w:tbl>
      <w:tblPr>
        <w:tblW w:w="8494" w:type="dxa"/>
        <w:jc w:val="center"/>
        <w:tblLayout w:type="fixed"/>
        <w:tblLook w:val="01E0" w:firstRow="1" w:lastRow="1" w:firstColumn="1" w:lastColumn="1" w:noHBand="0" w:noVBand="0"/>
      </w:tblPr>
      <w:tblGrid>
        <w:gridCol w:w="3681"/>
        <w:gridCol w:w="4813"/>
      </w:tblGrid>
      <w:tr w:rsidR="005C0576" w:rsidRPr="00DA6489" w14:paraId="5E220320" w14:textId="77777777" w:rsidTr="007A14CF">
        <w:trPr>
          <w:cantSplit/>
          <w:trHeight w:val="20"/>
          <w:tblHeader/>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0EAD160E" w14:textId="77777777" w:rsidR="005C0576" w:rsidRPr="00DA6489" w:rsidRDefault="00520523">
            <w:pPr>
              <w:pStyle w:val="Policedetableau"/>
              <w:widowControl w:val="0"/>
              <w:rPr>
                <w:b/>
              </w:rPr>
            </w:pPr>
            <w:r w:rsidRPr="00DA6489">
              <w:rPr>
                <w:b/>
              </w:rPr>
              <w:t>Acronyme</w:t>
            </w:r>
          </w:p>
        </w:tc>
        <w:tc>
          <w:tcPr>
            <w:tcW w:w="4813" w:type="dxa"/>
            <w:tcBorders>
              <w:top w:val="single" w:sz="4" w:space="0" w:color="000000"/>
              <w:left w:val="single" w:sz="4" w:space="0" w:color="000000"/>
              <w:bottom w:val="single" w:sz="4" w:space="0" w:color="000000"/>
              <w:right w:val="single" w:sz="4" w:space="0" w:color="000000"/>
            </w:tcBorders>
            <w:vAlign w:val="center"/>
          </w:tcPr>
          <w:p w14:paraId="2133DFEB" w14:textId="77777777" w:rsidR="005C0576" w:rsidRPr="00DA6489" w:rsidRDefault="00520523">
            <w:pPr>
              <w:pStyle w:val="Policedetableau"/>
              <w:widowControl w:val="0"/>
              <w:rPr>
                <w:b/>
              </w:rPr>
            </w:pPr>
            <w:r w:rsidRPr="00DA6489">
              <w:rPr>
                <w:b/>
              </w:rPr>
              <w:t>Définition</w:t>
            </w:r>
          </w:p>
        </w:tc>
      </w:tr>
      <w:tr w:rsidR="005C0576" w:rsidRPr="00DA6489" w14:paraId="7AC8B8A6" w14:textId="77777777" w:rsidTr="007A14CF">
        <w:trPr>
          <w:cantSplit/>
          <w:trHeight w:val="20"/>
          <w:tblHeader/>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59DECAC6" w14:textId="77777777" w:rsidR="00D543D0" w:rsidRPr="00DA6489" w:rsidRDefault="00520523">
            <w:pPr>
              <w:pStyle w:val="Policedetableau"/>
              <w:widowControl w:val="0"/>
              <w:rPr>
                <w:lang w:val="en-US"/>
              </w:rPr>
            </w:pPr>
            <w:r w:rsidRPr="00DA6489">
              <w:rPr>
                <w:lang w:val="en-US"/>
              </w:rPr>
              <w:t xml:space="preserve">OTNOC </w:t>
            </w:r>
          </w:p>
          <w:p w14:paraId="5315FA33" w14:textId="77777777" w:rsidR="005C0576" w:rsidRPr="00DA6489" w:rsidRDefault="00D543D0" w:rsidP="007A14CF">
            <w:pPr>
              <w:spacing w:after="0" w:line="240" w:lineRule="auto"/>
              <w:ind w:left="127"/>
              <w:rPr>
                <w:lang w:val="en-US"/>
              </w:rPr>
            </w:pPr>
            <w:r w:rsidRPr="00DA6489">
              <w:rPr>
                <w:rFonts w:eastAsia="Times New Roman" w:cs="Times New Roman"/>
                <w:lang w:val="en-US" w:eastAsia="fr-FR"/>
              </w:rPr>
              <w:t>(</w:t>
            </w:r>
            <w:r w:rsidRPr="00DA6489">
              <w:rPr>
                <w:rFonts w:eastAsia="Times New Roman" w:cs="Times New Roman"/>
                <w:i/>
                <w:iCs/>
                <w:lang w:val="en-US" w:eastAsia="fr-FR"/>
              </w:rPr>
              <w:t>Other Than Normal Operating Conditions</w:t>
            </w:r>
            <w:r w:rsidRPr="00DA6489">
              <w:rPr>
                <w:rFonts w:eastAsia="Times New Roman" w:cs="Times New Roman"/>
                <w:lang w:val="en-US" w:eastAsia="fr-FR"/>
              </w:rPr>
              <w:t>)</w:t>
            </w:r>
            <w:r w:rsidRPr="00DA6489" w:rsidDel="00D543D0">
              <w:rPr>
                <w:lang w:val="en-US"/>
              </w:rPr>
              <w:t xml:space="preserve"> </w:t>
            </w:r>
          </w:p>
        </w:tc>
        <w:tc>
          <w:tcPr>
            <w:tcW w:w="4813" w:type="dxa"/>
            <w:tcBorders>
              <w:top w:val="single" w:sz="4" w:space="0" w:color="000000"/>
              <w:left w:val="single" w:sz="4" w:space="0" w:color="000000"/>
              <w:bottom w:val="single" w:sz="4" w:space="0" w:color="000000"/>
              <w:right w:val="single" w:sz="4" w:space="0" w:color="000000"/>
            </w:tcBorders>
            <w:vAlign w:val="center"/>
          </w:tcPr>
          <w:p w14:paraId="0D2C626D" w14:textId="69D6B4D5" w:rsidR="00722F7C" w:rsidRPr="00DA6489" w:rsidRDefault="00520523">
            <w:pPr>
              <w:pStyle w:val="Policedetableau"/>
              <w:widowControl w:val="0"/>
            </w:pPr>
            <w:r w:rsidRPr="00DA6489">
              <w:t>Conditions d’exploitation autres que normales</w:t>
            </w:r>
            <w:r w:rsidR="0068302F" w:rsidRPr="00DA6489">
              <w:t xml:space="preserve">. </w:t>
            </w:r>
            <w:r w:rsidR="00722F7C" w:rsidRPr="00DA6489">
              <w:t xml:space="preserve"> </w:t>
            </w:r>
            <w:r w:rsidR="002B7AD0" w:rsidRPr="00DA6489">
              <w:t xml:space="preserve">Elles </w:t>
            </w:r>
            <w:r w:rsidR="00722F7C" w:rsidRPr="00DA6489">
              <w:t>comprennent par exemple les opérations de démarrage et d'arrêt, les arrêts momentanés ou l'arrêt définitif de l'exploitation, les fuites, les dysfonctionnements, la défaillance d'équipements critiques pour la maîtrise des émissions atmosphériques canalisées ou pour la prévention des accidents ou incidents susceptibles d'entraîner des émissions atmosphériques.</w:t>
            </w:r>
          </w:p>
        </w:tc>
      </w:tr>
      <w:tr w:rsidR="005C0576" w:rsidRPr="00DA6489" w14:paraId="7E083D1B" w14:textId="77777777" w:rsidTr="007A14CF">
        <w:trPr>
          <w:cantSplit/>
          <w:trHeight w:val="20"/>
          <w:tblHeader/>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0160BC55" w14:textId="77777777" w:rsidR="005C0576" w:rsidRPr="00DA6489" w:rsidRDefault="00520523">
            <w:pPr>
              <w:pStyle w:val="Policedetableau"/>
              <w:widowControl w:val="0"/>
            </w:pPr>
            <w:r w:rsidRPr="00DA6489">
              <w:t>SCR</w:t>
            </w:r>
          </w:p>
        </w:tc>
        <w:tc>
          <w:tcPr>
            <w:tcW w:w="4813" w:type="dxa"/>
            <w:tcBorders>
              <w:top w:val="single" w:sz="4" w:space="0" w:color="000000"/>
              <w:left w:val="single" w:sz="4" w:space="0" w:color="000000"/>
              <w:bottom w:val="single" w:sz="4" w:space="0" w:color="000000"/>
              <w:right w:val="single" w:sz="4" w:space="0" w:color="000000"/>
            </w:tcBorders>
            <w:vAlign w:val="center"/>
          </w:tcPr>
          <w:p w14:paraId="7725BE73" w14:textId="77777777" w:rsidR="005C0576" w:rsidRPr="00DA6489" w:rsidRDefault="00520523">
            <w:pPr>
              <w:pStyle w:val="Policedetableau"/>
              <w:widowControl w:val="0"/>
            </w:pPr>
            <w:r w:rsidRPr="00DA6489">
              <w:t>Réduction catalytique sélective</w:t>
            </w:r>
          </w:p>
        </w:tc>
      </w:tr>
      <w:tr w:rsidR="005C0576" w:rsidRPr="00DA6489" w14:paraId="65C1D35A" w14:textId="77777777" w:rsidTr="007A14CF">
        <w:trPr>
          <w:cantSplit/>
          <w:trHeight w:val="20"/>
          <w:tblHeader/>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1D1D3FCE" w14:textId="77777777" w:rsidR="005C0576" w:rsidRPr="00DA6489" w:rsidRDefault="00520523">
            <w:pPr>
              <w:pStyle w:val="Policedetableau"/>
              <w:widowControl w:val="0"/>
            </w:pPr>
            <w:r w:rsidRPr="00DA6489">
              <w:t>SGPC</w:t>
            </w:r>
          </w:p>
        </w:tc>
        <w:tc>
          <w:tcPr>
            <w:tcW w:w="4813" w:type="dxa"/>
            <w:tcBorders>
              <w:top w:val="single" w:sz="4" w:space="0" w:color="000000"/>
              <w:left w:val="single" w:sz="4" w:space="0" w:color="000000"/>
              <w:bottom w:val="single" w:sz="4" w:space="0" w:color="000000"/>
              <w:right w:val="single" w:sz="4" w:space="0" w:color="000000"/>
            </w:tcBorders>
            <w:vAlign w:val="center"/>
          </w:tcPr>
          <w:p w14:paraId="06257338" w14:textId="77777777" w:rsidR="005C0576" w:rsidRPr="00DA6489" w:rsidRDefault="00520523">
            <w:pPr>
              <w:pStyle w:val="Policedetableau"/>
              <w:widowControl w:val="0"/>
            </w:pPr>
            <w:r w:rsidRPr="00DA6489">
              <w:t>Système de gestion des produits chimiques</w:t>
            </w:r>
          </w:p>
        </w:tc>
      </w:tr>
      <w:tr w:rsidR="005C0576" w:rsidRPr="00DA6489" w14:paraId="4F84B6AE" w14:textId="77777777" w:rsidTr="007A14CF">
        <w:trPr>
          <w:cantSplit/>
          <w:trHeight w:val="20"/>
          <w:tblHeader/>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57D623BF" w14:textId="77777777" w:rsidR="005C0576" w:rsidRPr="00DA6489" w:rsidRDefault="00520523">
            <w:pPr>
              <w:pStyle w:val="Policedetableau"/>
              <w:widowControl w:val="0"/>
            </w:pPr>
            <w:r w:rsidRPr="00DA6489">
              <w:t>SME</w:t>
            </w:r>
          </w:p>
        </w:tc>
        <w:tc>
          <w:tcPr>
            <w:tcW w:w="4813" w:type="dxa"/>
            <w:tcBorders>
              <w:top w:val="single" w:sz="4" w:space="0" w:color="000000"/>
              <w:left w:val="single" w:sz="4" w:space="0" w:color="000000"/>
              <w:bottom w:val="single" w:sz="4" w:space="0" w:color="000000"/>
              <w:right w:val="single" w:sz="4" w:space="0" w:color="000000"/>
            </w:tcBorders>
            <w:vAlign w:val="center"/>
          </w:tcPr>
          <w:p w14:paraId="4D26407C" w14:textId="77777777" w:rsidR="005C0576" w:rsidRPr="00DA6489" w:rsidRDefault="00520523">
            <w:pPr>
              <w:pStyle w:val="Policedetableau"/>
              <w:widowControl w:val="0"/>
            </w:pPr>
            <w:r w:rsidRPr="00DA6489">
              <w:t>Système de management environnemental</w:t>
            </w:r>
          </w:p>
        </w:tc>
      </w:tr>
      <w:tr w:rsidR="005C0576" w:rsidRPr="00DA6489" w14:paraId="2C7F931F" w14:textId="77777777" w:rsidTr="007A14CF">
        <w:trPr>
          <w:cantSplit/>
          <w:trHeight w:val="20"/>
          <w:tblHeader/>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3160FEB0" w14:textId="77777777" w:rsidR="005C0576" w:rsidRPr="00DA6489" w:rsidRDefault="00520523">
            <w:pPr>
              <w:pStyle w:val="Policedetableau"/>
              <w:widowControl w:val="0"/>
            </w:pPr>
            <w:r w:rsidRPr="00DA6489">
              <w:t>SNCR</w:t>
            </w:r>
          </w:p>
        </w:tc>
        <w:tc>
          <w:tcPr>
            <w:tcW w:w="4813" w:type="dxa"/>
            <w:tcBorders>
              <w:top w:val="single" w:sz="4" w:space="0" w:color="000000"/>
              <w:left w:val="single" w:sz="4" w:space="0" w:color="000000"/>
              <w:bottom w:val="single" w:sz="4" w:space="0" w:color="000000"/>
              <w:right w:val="single" w:sz="4" w:space="0" w:color="000000"/>
            </w:tcBorders>
            <w:vAlign w:val="center"/>
          </w:tcPr>
          <w:p w14:paraId="711778BB" w14:textId="77777777" w:rsidR="005C0576" w:rsidRPr="00DA6489" w:rsidRDefault="00520523">
            <w:pPr>
              <w:pStyle w:val="Policedetableau"/>
              <w:widowControl w:val="0"/>
            </w:pPr>
            <w:r w:rsidRPr="00DA6489">
              <w:t>Réduction non catalytique sélective</w:t>
            </w:r>
          </w:p>
        </w:tc>
      </w:tr>
      <w:tr w:rsidR="00722F7C" w:rsidRPr="00DA6489" w14:paraId="7E3D9C79" w14:textId="77777777" w:rsidTr="007A14CF">
        <w:trPr>
          <w:cantSplit/>
          <w:trHeight w:val="20"/>
          <w:tblHeader/>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353BE966" w14:textId="2B7557BD" w:rsidR="002B7AD0" w:rsidRPr="00DA6489" w:rsidRDefault="00722F7C">
            <w:pPr>
              <w:pStyle w:val="Policedetableau"/>
              <w:widowControl w:val="0"/>
            </w:pPr>
            <w:r w:rsidRPr="00DA6489">
              <w:t>JRC</w:t>
            </w:r>
          </w:p>
        </w:tc>
        <w:tc>
          <w:tcPr>
            <w:tcW w:w="4813" w:type="dxa"/>
            <w:tcBorders>
              <w:top w:val="single" w:sz="4" w:space="0" w:color="000000"/>
              <w:left w:val="single" w:sz="4" w:space="0" w:color="000000"/>
              <w:bottom w:val="single" w:sz="4" w:space="0" w:color="000000"/>
              <w:right w:val="single" w:sz="4" w:space="0" w:color="000000"/>
            </w:tcBorders>
            <w:vAlign w:val="center"/>
          </w:tcPr>
          <w:p w14:paraId="5675BF6D" w14:textId="04C577CD" w:rsidR="00722F7C" w:rsidRPr="00DA6489" w:rsidRDefault="00722F7C">
            <w:pPr>
              <w:pStyle w:val="Policedetableau"/>
              <w:widowControl w:val="0"/>
            </w:pPr>
            <w:r w:rsidRPr="00DA6489">
              <w:rPr>
                <w:rStyle w:val="lang-en"/>
                <w:i/>
                <w:iCs/>
              </w:rPr>
              <w:t xml:space="preserve">Joint </w:t>
            </w:r>
            <w:proofErr w:type="spellStart"/>
            <w:r w:rsidRPr="00DA6489">
              <w:rPr>
                <w:rStyle w:val="lang-en"/>
                <w:i/>
                <w:iCs/>
              </w:rPr>
              <w:t>Research</w:t>
            </w:r>
            <w:proofErr w:type="spellEnd"/>
            <w:r w:rsidRPr="00DA6489">
              <w:rPr>
                <w:rStyle w:val="lang-en"/>
                <w:i/>
                <w:iCs/>
              </w:rPr>
              <w:t xml:space="preserve"> Centre</w:t>
            </w:r>
            <w:r w:rsidRPr="00DA6489">
              <w:rPr>
                <w:rStyle w:val="lang-en"/>
              </w:rPr>
              <w:t xml:space="preserve"> (</w:t>
            </w:r>
            <w:r w:rsidRPr="00DA6489">
              <w:t>Centre commun de recherche</w:t>
            </w:r>
            <w:r w:rsidR="002B7AD0" w:rsidRPr="00DA6489">
              <w:t xml:space="preserve"> de la Commission européenne</w:t>
            </w:r>
            <w:r w:rsidRPr="00DA6489">
              <w:t>)</w:t>
            </w:r>
          </w:p>
        </w:tc>
      </w:tr>
      <w:tr w:rsidR="002B7AD0" w:rsidRPr="00DA6489" w14:paraId="34DDDECF" w14:textId="77777777" w:rsidTr="007A14CF">
        <w:trPr>
          <w:cantSplit/>
          <w:trHeight w:val="20"/>
          <w:tblHeader/>
          <w:jc w:val="center"/>
        </w:trPr>
        <w:tc>
          <w:tcPr>
            <w:tcW w:w="3681" w:type="dxa"/>
            <w:tcBorders>
              <w:top w:val="single" w:sz="4" w:space="0" w:color="000000"/>
              <w:left w:val="single" w:sz="4" w:space="0" w:color="000000"/>
              <w:bottom w:val="single" w:sz="4" w:space="0" w:color="000000"/>
              <w:right w:val="single" w:sz="4" w:space="0" w:color="000000"/>
            </w:tcBorders>
            <w:vAlign w:val="center"/>
          </w:tcPr>
          <w:p w14:paraId="300B8EA4" w14:textId="2EDCB2E8" w:rsidR="002B7AD0" w:rsidRPr="00DA6489" w:rsidRDefault="002B7AD0">
            <w:pPr>
              <w:pStyle w:val="Policedetableau"/>
              <w:widowControl w:val="0"/>
            </w:pPr>
            <w:r w:rsidRPr="00DA6489">
              <w:t>VLE</w:t>
            </w:r>
          </w:p>
        </w:tc>
        <w:tc>
          <w:tcPr>
            <w:tcW w:w="4813" w:type="dxa"/>
            <w:tcBorders>
              <w:top w:val="single" w:sz="4" w:space="0" w:color="000000"/>
              <w:left w:val="single" w:sz="4" w:space="0" w:color="000000"/>
              <w:bottom w:val="single" w:sz="4" w:space="0" w:color="000000"/>
              <w:right w:val="single" w:sz="4" w:space="0" w:color="000000"/>
            </w:tcBorders>
            <w:vAlign w:val="center"/>
          </w:tcPr>
          <w:p w14:paraId="466BE931" w14:textId="25CC8399" w:rsidR="002B7AD0" w:rsidRPr="00DA6489" w:rsidRDefault="002B7AD0">
            <w:pPr>
              <w:pStyle w:val="Policedetableau"/>
              <w:widowControl w:val="0"/>
              <w:rPr>
                <w:rStyle w:val="lang-en"/>
              </w:rPr>
            </w:pPr>
            <w:r w:rsidRPr="00DA6489">
              <w:rPr>
                <w:rStyle w:val="lang-en"/>
              </w:rPr>
              <w:t xml:space="preserve">Valeurs limites </w:t>
            </w:r>
            <w:r w:rsidR="00776805" w:rsidRPr="00DA6489">
              <w:rPr>
                <w:rStyle w:val="lang-en"/>
              </w:rPr>
              <w:t>d’</w:t>
            </w:r>
            <w:r w:rsidR="00776805">
              <w:rPr>
                <w:rStyle w:val="lang-en"/>
              </w:rPr>
              <w:t>é</w:t>
            </w:r>
            <w:r w:rsidR="00776805" w:rsidRPr="00DA6489">
              <w:rPr>
                <w:rStyle w:val="lang-en"/>
              </w:rPr>
              <w:t>missions</w:t>
            </w:r>
          </w:p>
        </w:tc>
      </w:tr>
    </w:tbl>
    <w:p w14:paraId="1CA8D308" w14:textId="77777777" w:rsidR="005C0576" w:rsidRPr="00DA6489" w:rsidRDefault="005C0576">
      <w:pPr>
        <w:sectPr w:rsidR="005C0576" w:rsidRPr="00DA6489">
          <w:headerReference w:type="even" r:id="rId11"/>
          <w:headerReference w:type="default" r:id="rId12"/>
          <w:footerReference w:type="default" r:id="rId13"/>
          <w:headerReference w:type="first" r:id="rId14"/>
          <w:pgSz w:w="11906" w:h="16838"/>
          <w:pgMar w:top="1134" w:right="1134" w:bottom="1134" w:left="2268" w:header="709" w:footer="709" w:gutter="0"/>
          <w:cols w:space="720"/>
          <w:formProt w:val="0"/>
          <w:docGrid w:linePitch="100"/>
        </w:sectPr>
      </w:pPr>
    </w:p>
    <w:p w14:paraId="140A92F6" w14:textId="0A8EB92F" w:rsidR="005C0576" w:rsidRPr="00DA6489" w:rsidRDefault="00520523" w:rsidP="004E323C">
      <w:pPr>
        <w:pStyle w:val="Titre2"/>
        <w:rPr>
          <w:sz w:val="27"/>
        </w:rPr>
      </w:pPr>
      <w:r w:rsidRPr="00DA6489">
        <w:lastRenderedPageBreak/>
        <w:tab/>
        <w:t>1.2</w:t>
      </w:r>
      <w:r w:rsidR="00C935A2" w:rsidRPr="00DA6489">
        <w:t>.</w:t>
      </w:r>
      <w:r w:rsidRPr="00DA6489">
        <w:t xml:space="preserve"> Evaluation des émissions dans les effluents </w:t>
      </w:r>
      <w:r w:rsidR="00882816" w:rsidRPr="00DA6489">
        <w:t>atmosphériques</w:t>
      </w:r>
    </w:p>
    <w:p w14:paraId="74B4A794" w14:textId="77777777" w:rsidR="005C0576" w:rsidRPr="00DA6489" w:rsidRDefault="00520523">
      <w:r w:rsidRPr="00DA6489">
        <w:t>Les valeurs limites d’émission en ce qui concerne les émissions atmosphériques qui sont indiqué</w:t>
      </w:r>
      <w:r w:rsidR="00AB1798" w:rsidRPr="00DA6489">
        <w:t>e</w:t>
      </w:r>
      <w:r w:rsidRPr="00DA6489">
        <w:t xml:space="preserve">s dans </w:t>
      </w:r>
      <w:r w:rsidR="00D543D0" w:rsidRPr="00DA6489">
        <w:t>la présente annexe</w:t>
      </w:r>
      <w:r w:rsidRPr="00DA6489">
        <w:t xml:space="preserve"> désignent des concentrations (masse de substances émises par volume d’effluents gazeux), exprimées en mg/Nm</w:t>
      </w:r>
      <w:r w:rsidRPr="00DA6489">
        <w:rPr>
          <w:vertAlign w:val="superscript"/>
        </w:rPr>
        <w:t>3</w:t>
      </w:r>
      <w:r w:rsidRPr="00DA6489">
        <w:t>, dans les conditions normalisées suivantes</w:t>
      </w:r>
      <w:r w:rsidR="00D543D0" w:rsidRPr="00DA6489">
        <w:t> :</w:t>
      </w:r>
      <w:r w:rsidRPr="00DA6489">
        <w:t xml:space="preserve"> gaz secs à une température de 273,15 K et une pression de 101,3 kPa.</w:t>
      </w:r>
    </w:p>
    <w:p w14:paraId="518DCC28" w14:textId="77777777" w:rsidR="005C0576" w:rsidRPr="00DA6489" w:rsidRDefault="00520523">
      <w:r w:rsidRPr="00DA6489">
        <w:t xml:space="preserve">Les niveaux d’oxygène de référence utilisés pour exprimer les valeurs limites d’émissions dans </w:t>
      </w:r>
      <w:r w:rsidR="00D543D0" w:rsidRPr="00DA6489">
        <w:t xml:space="preserve">la présente annexe </w:t>
      </w:r>
      <w:r w:rsidRPr="00DA6489">
        <w:t>sont indiqués dans le tableau ci-dessous.</w:t>
      </w:r>
    </w:p>
    <w:tbl>
      <w:tblPr>
        <w:tblW w:w="5000" w:type="pct"/>
        <w:jc w:val="center"/>
        <w:tblLayout w:type="fixed"/>
        <w:tblLook w:val="01E0" w:firstRow="1" w:lastRow="1" w:firstColumn="1" w:lastColumn="1" w:noHBand="0" w:noVBand="0"/>
      </w:tblPr>
      <w:tblGrid>
        <w:gridCol w:w="4247"/>
        <w:gridCol w:w="4247"/>
      </w:tblGrid>
      <w:tr w:rsidR="005C0576" w:rsidRPr="00DA6489" w14:paraId="7FE2A5C4" w14:textId="77777777">
        <w:trPr>
          <w:trHeight w:val="282"/>
          <w:jc w:val="center"/>
        </w:trPr>
        <w:tc>
          <w:tcPr>
            <w:tcW w:w="4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DE9E1" w14:textId="77777777" w:rsidR="005C0576" w:rsidRPr="00DA6489" w:rsidRDefault="00520523">
            <w:pPr>
              <w:pStyle w:val="Policedetableau"/>
              <w:widowControl w:val="0"/>
              <w:rPr>
                <w:b/>
              </w:rPr>
            </w:pPr>
            <w:r w:rsidRPr="00DA6489">
              <w:rPr>
                <w:b/>
              </w:rPr>
              <w:t>Source des émissions</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2444A" w14:textId="77777777" w:rsidR="005C0576" w:rsidRPr="00DA6489" w:rsidRDefault="00520523">
            <w:pPr>
              <w:pStyle w:val="Policedetableau"/>
              <w:widowControl w:val="0"/>
              <w:rPr>
                <w:b/>
              </w:rPr>
            </w:pPr>
            <w:r w:rsidRPr="00DA6489">
              <w:rPr>
                <w:b/>
              </w:rPr>
              <w:t xml:space="preserve">Niveau d’oxygène de référence </w:t>
            </w:r>
          </w:p>
        </w:tc>
      </w:tr>
      <w:tr w:rsidR="005C0576" w:rsidRPr="00DA6489" w14:paraId="177BF8F8" w14:textId="77777777">
        <w:trPr>
          <w:trHeight w:val="387"/>
          <w:jc w:val="center"/>
        </w:trPr>
        <w:tc>
          <w:tcPr>
            <w:tcW w:w="4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E5D12" w14:textId="77777777" w:rsidR="005C0576" w:rsidRPr="00DA6489" w:rsidRDefault="00520523">
            <w:pPr>
              <w:pStyle w:val="Policedetableau"/>
              <w:widowControl w:val="0"/>
            </w:pPr>
            <w:r w:rsidRPr="00DA6489">
              <w:t>Procédés de combustion liés :</w:t>
            </w:r>
          </w:p>
          <w:p w14:paraId="1D454199" w14:textId="77777777" w:rsidR="005C0576" w:rsidRPr="00DA6489" w:rsidRDefault="00520523">
            <w:pPr>
              <w:pStyle w:val="Policedetableau"/>
              <w:widowControl w:val="0"/>
              <w:numPr>
                <w:ilvl w:val="0"/>
                <w:numId w:val="3"/>
              </w:numPr>
            </w:pPr>
            <w:proofErr w:type="gramStart"/>
            <w:r w:rsidRPr="00DA6489">
              <w:t>au</w:t>
            </w:r>
            <w:proofErr w:type="gramEnd"/>
            <w:r w:rsidRPr="00DA6489">
              <w:t xml:space="preserve"> chauffage et au séchage de la matière entrante ;</w:t>
            </w:r>
          </w:p>
          <w:p w14:paraId="04F25E0E" w14:textId="77777777" w:rsidR="005C0576" w:rsidRPr="00DA6489" w:rsidRDefault="00520523">
            <w:pPr>
              <w:pStyle w:val="Policedetableau"/>
              <w:widowControl w:val="0"/>
              <w:numPr>
                <w:ilvl w:val="0"/>
                <w:numId w:val="3"/>
              </w:numPr>
            </w:pPr>
            <w:proofErr w:type="gramStart"/>
            <w:r w:rsidRPr="00DA6489">
              <w:t>au</w:t>
            </w:r>
            <w:proofErr w:type="gramEnd"/>
            <w:r w:rsidRPr="00DA6489">
              <w:t xml:space="preserve"> chauffage de la cuve de galvanisation.</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EFFE6" w14:textId="77777777" w:rsidR="005C0576" w:rsidRPr="00DA6489" w:rsidRDefault="00520523" w:rsidP="00A648F9">
            <w:pPr>
              <w:pStyle w:val="Policedetableau"/>
              <w:widowControl w:val="0"/>
              <w:jc w:val="center"/>
            </w:pPr>
            <w:r w:rsidRPr="00DA6489">
              <w:t>3 % en volume sec</w:t>
            </w:r>
          </w:p>
        </w:tc>
      </w:tr>
      <w:tr w:rsidR="005C0576" w:rsidRPr="00DA6489" w14:paraId="16F605F2" w14:textId="77777777">
        <w:trPr>
          <w:trHeight w:val="403"/>
          <w:jc w:val="center"/>
        </w:trPr>
        <w:tc>
          <w:tcPr>
            <w:tcW w:w="42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AF07A" w14:textId="77777777" w:rsidR="005C0576" w:rsidRPr="00DA6489" w:rsidRDefault="00520523">
            <w:pPr>
              <w:pStyle w:val="Policedetableau"/>
              <w:widowControl w:val="0"/>
            </w:pPr>
            <w:r w:rsidRPr="00DA6489">
              <w:t>Toutes autres sources</w:t>
            </w:r>
          </w:p>
        </w:tc>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83C81" w14:textId="2A9B8F32" w:rsidR="005C0576" w:rsidRPr="00DA6489" w:rsidRDefault="00520523">
            <w:pPr>
              <w:pStyle w:val="Policedetableau"/>
              <w:widowControl w:val="0"/>
            </w:pPr>
            <w:r w:rsidRPr="00DA6489">
              <w:t xml:space="preserve">Pas de correction </w:t>
            </w:r>
            <w:r w:rsidR="002B7AD0" w:rsidRPr="00DA6489">
              <w:t xml:space="preserve">générique </w:t>
            </w:r>
            <w:r w:rsidRPr="00DA6489">
              <w:t>pour le niveau d’oxygène</w:t>
            </w:r>
          </w:p>
        </w:tc>
      </w:tr>
    </w:tbl>
    <w:p w14:paraId="774EC9A9" w14:textId="77777777" w:rsidR="005C0576" w:rsidRPr="00DA6489" w:rsidRDefault="005C0576"/>
    <w:p w14:paraId="249B53CE" w14:textId="77777777" w:rsidR="005C0576" w:rsidRPr="00DA6489" w:rsidRDefault="00520523">
      <w:r w:rsidRPr="00DA6489">
        <w:t>Dans les cas où un niveau d’oxygène de référence est donné, l’équation pour calculer la concentration des émissions rapportée au niveau d’oxygène de référence est la suivante :</w:t>
      </w:r>
    </w:p>
    <w:p w14:paraId="75EABF9A" w14:textId="77777777" w:rsidR="005C0576" w:rsidRPr="00DA6489" w:rsidRDefault="005C0576"/>
    <w:tbl>
      <w:tblPr>
        <w:tblW w:w="1300" w:type="pct"/>
        <w:jc w:val="center"/>
        <w:tblLayout w:type="fixed"/>
        <w:tblLook w:val="01E0" w:firstRow="1" w:lastRow="1" w:firstColumn="1" w:lastColumn="1" w:noHBand="0" w:noVBand="0"/>
      </w:tblPr>
      <w:tblGrid>
        <w:gridCol w:w="598"/>
        <w:gridCol w:w="847"/>
        <w:gridCol w:w="766"/>
      </w:tblGrid>
      <w:tr w:rsidR="005C0576" w:rsidRPr="00DA6489" w14:paraId="7446D89C" w14:textId="77777777">
        <w:trPr>
          <w:trHeight w:val="520"/>
          <w:jc w:val="center"/>
        </w:trPr>
        <w:tc>
          <w:tcPr>
            <w:tcW w:w="598" w:type="dxa"/>
            <w:vAlign w:val="center"/>
          </w:tcPr>
          <w:p w14:paraId="49C578DF" w14:textId="77777777" w:rsidR="005C0576" w:rsidRPr="00DA6489" w:rsidRDefault="00520523">
            <w:pPr>
              <w:widowControl w:val="0"/>
              <w:spacing w:after="0" w:line="240" w:lineRule="auto"/>
              <w:jc w:val="right"/>
              <w:rPr>
                <w:rFonts w:eastAsia="Times New Roman" w:cs="Times New Roman"/>
                <w:sz w:val="20"/>
              </w:rPr>
            </w:pPr>
            <w:r w:rsidRPr="00DA6489">
              <w:rPr>
                <w:sz w:val="20"/>
              </w:rPr>
              <w:t>E</w:t>
            </w:r>
            <w:r w:rsidRPr="00DA6489">
              <w:rPr>
                <w:sz w:val="20"/>
                <w:vertAlign w:val="subscript"/>
              </w:rPr>
              <w:t>R</w:t>
            </w:r>
            <w:r w:rsidRPr="00DA6489">
              <w:rPr>
                <w:sz w:val="20"/>
              </w:rPr>
              <w:t xml:space="preserve"> =</w:t>
            </w:r>
          </w:p>
        </w:tc>
        <w:tc>
          <w:tcPr>
            <w:tcW w:w="847" w:type="dxa"/>
          </w:tcPr>
          <w:p w14:paraId="37BADBA7" w14:textId="77777777" w:rsidR="005C0576" w:rsidRPr="00DA6489" w:rsidRDefault="00520523">
            <w:pPr>
              <w:widowControl w:val="0"/>
              <w:spacing w:after="0" w:line="240" w:lineRule="auto"/>
              <w:rPr>
                <w:rFonts w:eastAsia="Times New Roman" w:cs="Times New Roman"/>
                <w:sz w:val="20"/>
              </w:rPr>
            </w:pPr>
            <w:r w:rsidRPr="00DA6489">
              <w:rPr>
                <w:sz w:val="20"/>
                <w:u w:val="single"/>
              </w:rPr>
              <w:t>21</w:t>
            </w:r>
            <w:r w:rsidRPr="00DA6489">
              <w:rPr>
                <w:sz w:val="14"/>
                <w:u w:val="single"/>
              </w:rPr>
              <w:t> </w:t>
            </w:r>
            <w:r w:rsidRPr="00DA6489">
              <w:rPr>
                <w:sz w:val="20"/>
                <w:u w:val="single"/>
              </w:rPr>
              <w:t>–</w:t>
            </w:r>
            <w:r w:rsidRPr="00DA6489">
              <w:rPr>
                <w:sz w:val="14"/>
                <w:u w:val="single"/>
              </w:rPr>
              <w:t> </w:t>
            </w:r>
            <w:r w:rsidRPr="00DA6489">
              <w:rPr>
                <w:sz w:val="20"/>
                <w:u w:val="single"/>
              </w:rPr>
              <w:t>O</w:t>
            </w:r>
            <w:r w:rsidRPr="00DA6489">
              <w:rPr>
                <w:sz w:val="20"/>
                <w:vertAlign w:val="subscript"/>
              </w:rPr>
              <w:t>R</w:t>
            </w:r>
          </w:p>
          <w:p w14:paraId="16896AF0" w14:textId="77777777" w:rsidR="005C0576" w:rsidRPr="00DA6489" w:rsidRDefault="00520523">
            <w:pPr>
              <w:widowControl w:val="0"/>
              <w:spacing w:after="0" w:line="240" w:lineRule="auto"/>
              <w:rPr>
                <w:rFonts w:eastAsia="Times New Roman" w:cs="Times New Roman"/>
                <w:sz w:val="20"/>
              </w:rPr>
            </w:pPr>
            <w:r w:rsidRPr="00DA6489">
              <w:rPr>
                <w:sz w:val="20"/>
              </w:rPr>
              <w:t>21</w:t>
            </w:r>
            <w:r w:rsidRPr="00DA6489">
              <w:rPr>
                <w:sz w:val="14"/>
              </w:rPr>
              <w:t> </w:t>
            </w:r>
            <w:r w:rsidRPr="00DA6489">
              <w:rPr>
                <w:sz w:val="20"/>
              </w:rPr>
              <w:t>–</w:t>
            </w:r>
            <w:r w:rsidRPr="00DA6489">
              <w:rPr>
                <w:sz w:val="14"/>
              </w:rPr>
              <w:t> </w:t>
            </w:r>
            <w:r w:rsidRPr="00DA6489">
              <w:rPr>
                <w:sz w:val="20"/>
              </w:rPr>
              <w:t>O</w:t>
            </w:r>
            <w:r w:rsidRPr="00DA6489">
              <w:rPr>
                <w:sz w:val="20"/>
                <w:vertAlign w:val="subscript"/>
              </w:rPr>
              <w:t>M</w:t>
            </w:r>
          </w:p>
        </w:tc>
        <w:tc>
          <w:tcPr>
            <w:tcW w:w="766" w:type="dxa"/>
            <w:vAlign w:val="center"/>
          </w:tcPr>
          <w:p w14:paraId="30D847CA" w14:textId="77777777" w:rsidR="005C0576" w:rsidRPr="00DA6489" w:rsidRDefault="00520523">
            <w:pPr>
              <w:widowControl w:val="0"/>
              <w:spacing w:after="0" w:line="240" w:lineRule="auto"/>
              <w:rPr>
                <w:rFonts w:eastAsia="Times New Roman" w:cs="Times New Roman"/>
                <w:sz w:val="20"/>
                <w:vertAlign w:val="subscript"/>
              </w:rPr>
            </w:pPr>
            <w:r w:rsidRPr="00DA6489">
              <w:t>×</w:t>
            </w:r>
            <w:r w:rsidRPr="00DA6489">
              <w:rPr>
                <w:sz w:val="20"/>
              </w:rPr>
              <w:t xml:space="preserve"> E</w:t>
            </w:r>
            <w:r w:rsidRPr="00DA6489">
              <w:rPr>
                <w:sz w:val="20"/>
                <w:vertAlign w:val="subscript"/>
              </w:rPr>
              <w:t>M</w:t>
            </w:r>
          </w:p>
        </w:tc>
      </w:tr>
    </w:tbl>
    <w:p w14:paraId="5CF0DCC5" w14:textId="77777777" w:rsidR="005C0576" w:rsidRPr="00DA6489" w:rsidRDefault="005C0576"/>
    <w:p w14:paraId="1F525466" w14:textId="233E5EFA" w:rsidR="005C0576" w:rsidRPr="00DA6489" w:rsidRDefault="00520523">
      <w:pPr>
        <w:spacing w:after="0" w:line="240" w:lineRule="auto"/>
        <w:ind w:left="709" w:hanging="709"/>
        <w:rPr>
          <w:rFonts w:eastAsia="Times New Roman" w:cs="Times New Roman"/>
          <w:szCs w:val="24"/>
        </w:rPr>
      </w:pPr>
      <w:proofErr w:type="gramStart"/>
      <w:r w:rsidRPr="00DA6489">
        <w:t>où</w:t>
      </w:r>
      <w:proofErr w:type="gramEnd"/>
      <w:r w:rsidR="00604572">
        <w:t xml:space="preserve"> </w:t>
      </w:r>
      <w:r w:rsidRPr="00DA6489">
        <w:t>:</w:t>
      </w:r>
      <w:r w:rsidRPr="00DA6489">
        <w:tab/>
        <w:t>E</w:t>
      </w:r>
      <w:r w:rsidRPr="00DA6489">
        <w:rPr>
          <w:vertAlign w:val="subscript"/>
        </w:rPr>
        <w:t>R</w:t>
      </w:r>
      <w:r w:rsidRPr="00DA6489">
        <w:t xml:space="preserve"> est la concentration des émissions rapportée au niveau d’oxygène de référence O</w:t>
      </w:r>
      <w:r w:rsidRPr="00DA6489">
        <w:rPr>
          <w:vertAlign w:val="subscript"/>
        </w:rPr>
        <w:t>R</w:t>
      </w:r>
      <w:r w:rsidR="00AB1798" w:rsidRPr="00DA6489">
        <w:rPr>
          <w:vertAlign w:val="subscript"/>
        </w:rPr>
        <w:t> </w:t>
      </w:r>
      <w:r w:rsidR="00AB1798" w:rsidRPr="00DA6489">
        <w:t>;</w:t>
      </w:r>
    </w:p>
    <w:p w14:paraId="347C96EF" w14:textId="77777777" w:rsidR="005C0576" w:rsidRPr="00DA6489" w:rsidRDefault="00520523">
      <w:pPr>
        <w:spacing w:after="0" w:line="240" w:lineRule="auto"/>
        <w:ind w:firstLine="720"/>
        <w:rPr>
          <w:rFonts w:eastAsia="Times New Roman" w:cs="Times New Roman"/>
          <w:szCs w:val="24"/>
        </w:rPr>
      </w:pPr>
      <w:r w:rsidRPr="00DA6489">
        <w:t>O</w:t>
      </w:r>
      <w:r w:rsidRPr="00DA6489">
        <w:rPr>
          <w:vertAlign w:val="subscript"/>
        </w:rPr>
        <w:t xml:space="preserve">R </w:t>
      </w:r>
      <w:r w:rsidRPr="00DA6489">
        <w:t>est le niveau d’oxygène de référence, en % volumique</w:t>
      </w:r>
      <w:r w:rsidR="00AB1798" w:rsidRPr="00DA6489">
        <w:t> ;</w:t>
      </w:r>
    </w:p>
    <w:p w14:paraId="2AB72C69" w14:textId="77777777" w:rsidR="005C0576" w:rsidRPr="00DA6489" w:rsidRDefault="00520523">
      <w:pPr>
        <w:spacing w:after="0" w:line="240" w:lineRule="auto"/>
        <w:ind w:firstLine="720"/>
        <w:rPr>
          <w:rFonts w:eastAsia="Times New Roman" w:cs="Times New Roman"/>
          <w:szCs w:val="24"/>
          <w:vertAlign w:val="subscript"/>
        </w:rPr>
      </w:pPr>
      <w:r w:rsidRPr="00DA6489">
        <w:t>E</w:t>
      </w:r>
      <w:r w:rsidRPr="00DA6489">
        <w:rPr>
          <w:vertAlign w:val="subscript"/>
        </w:rPr>
        <w:t xml:space="preserve">M </w:t>
      </w:r>
      <w:r w:rsidRPr="00DA6489">
        <w:t>est la concentration mesurée des émissions</w:t>
      </w:r>
      <w:r w:rsidR="00AB1798" w:rsidRPr="00DA6489">
        <w:t> ;</w:t>
      </w:r>
    </w:p>
    <w:p w14:paraId="502F8CF6" w14:textId="77777777" w:rsidR="005C0576" w:rsidRPr="00DA6489" w:rsidRDefault="00520523">
      <w:pPr>
        <w:spacing w:after="0" w:line="240" w:lineRule="auto"/>
        <w:ind w:firstLine="720"/>
      </w:pPr>
      <w:r w:rsidRPr="00DA6489">
        <w:t>O</w:t>
      </w:r>
      <w:r w:rsidRPr="00DA6489">
        <w:rPr>
          <w:vertAlign w:val="subscript"/>
        </w:rPr>
        <w:t xml:space="preserve">M </w:t>
      </w:r>
      <w:r w:rsidRPr="00DA6489">
        <w:t>est le niveau d’oxygène mesuré, en % volumique.</w:t>
      </w:r>
    </w:p>
    <w:p w14:paraId="4B3FAAE2" w14:textId="77777777" w:rsidR="00F971D1" w:rsidRPr="00DA6489" w:rsidRDefault="00F971D1">
      <w:pPr>
        <w:spacing w:after="0" w:line="240" w:lineRule="auto"/>
        <w:ind w:firstLine="720"/>
        <w:rPr>
          <w:rFonts w:eastAsia="Times New Roman" w:cs="Times New Roman"/>
          <w:szCs w:val="24"/>
        </w:rPr>
      </w:pPr>
    </w:p>
    <w:p w14:paraId="648B810F" w14:textId="2094C315" w:rsidR="005C0576" w:rsidRPr="00DA6489" w:rsidRDefault="00520523">
      <w:r w:rsidRPr="00DA6489">
        <w:t xml:space="preserve">L’équation ci-dessus ne s’applique pas si le ou les procédés de combustion utilisent de l’air enrichi en oxygène ou de l’oxygène pur ou si, pour des raisons de sécurité, un apport d’air supplémentaire amène la teneur en oxygène des gaz résiduaires à un niveau très proche de 21 % volumique. Dans ce cas, la concentration des émissions rapportée au niveau de référence d’oxygène de 3 % en volume sec est calculée différemment, par exemple en normalisant </w:t>
      </w:r>
      <w:r w:rsidR="00DE228D" w:rsidRPr="00DA6489">
        <w:t xml:space="preserve">le résultat </w:t>
      </w:r>
      <w:r w:rsidRPr="00DA6489">
        <w:t>sur la base du dioxyde de carbone généré par la combustion.</w:t>
      </w:r>
    </w:p>
    <w:p w14:paraId="56E2F7F0" w14:textId="4C35164E" w:rsidR="005C0576" w:rsidRPr="00DA6489" w:rsidRDefault="00520523">
      <w:r w:rsidRPr="00DA6489">
        <w:t>En ce qui concerne les périodes d’établissement des valeurs moyennes de</w:t>
      </w:r>
      <w:r w:rsidR="002B7AD0" w:rsidRPr="00DA6489">
        <w:t>s valeurs limites d’émissions</w:t>
      </w:r>
      <w:r w:rsidR="007E36CE" w:rsidRPr="00DA6489">
        <w:t xml:space="preserve"> </w:t>
      </w:r>
      <w:r w:rsidRPr="00DA6489">
        <w:t>pour les émissions atmosphériques, les définitions suivantes s’appliquent.</w:t>
      </w:r>
    </w:p>
    <w:tbl>
      <w:tblPr>
        <w:tblW w:w="8495" w:type="dxa"/>
        <w:jc w:val="center"/>
        <w:tblLayout w:type="fixed"/>
        <w:tblLook w:val="01E0" w:firstRow="1" w:lastRow="1" w:firstColumn="1" w:lastColumn="1" w:noHBand="0" w:noVBand="0"/>
      </w:tblPr>
      <w:tblGrid>
        <w:gridCol w:w="1563"/>
        <w:gridCol w:w="2884"/>
        <w:gridCol w:w="4048"/>
      </w:tblGrid>
      <w:tr w:rsidR="005C0576" w:rsidRPr="00DA6489" w14:paraId="50C9A93B" w14:textId="77777777">
        <w:trPr>
          <w:cantSplit/>
          <w:trHeight w:val="189"/>
          <w:jc w:val="center"/>
        </w:trPr>
        <w:tc>
          <w:tcPr>
            <w:tcW w:w="1563" w:type="dxa"/>
            <w:tcBorders>
              <w:top w:val="single" w:sz="4" w:space="0" w:color="000000"/>
              <w:left w:val="single" w:sz="4" w:space="0" w:color="000000"/>
              <w:bottom w:val="single" w:sz="4" w:space="0" w:color="000000"/>
              <w:right w:val="single" w:sz="4" w:space="0" w:color="000000"/>
            </w:tcBorders>
          </w:tcPr>
          <w:p w14:paraId="5C4E83B5" w14:textId="77777777" w:rsidR="005C0576" w:rsidRPr="00DA6489" w:rsidRDefault="00520523">
            <w:pPr>
              <w:pStyle w:val="Policedetableau"/>
              <w:widowControl w:val="0"/>
              <w:rPr>
                <w:b/>
              </w:rPr>
            </w:pPr>
            <w:r w:rsidRPr="00DA6489">
              <w:rPr>
                <w:b/>
              </w:rPr>
              <w:t>Type de mesure</w:t>
            </w:r>
          </w:p>
        </w:tc>
        <w:tc>
          <w:tcPr>
            <w:tcW w:w="2884" w:type="dxa"/>
            <w:tcBorders>
              <w:top w:val="single" w:sz="4" w:space="0" w:color="000000"/>
              <w:left w:val="single" w:sz="4" w:space="0" w:color="000000"/>
              <w:bottom w:val="single" w:sz="4" w:space="0" w:color="000000"/>
              <w:right w:val="single" w:sz="4" w:space="0" w:color="000000"/>
            </w:tcBorders>
            <w:vAlign w:val="center"/>
          </w:tcPr>
          <w:p w14:paraId="4B1FA892" w14:textId="77777777" w:rsidR="005C0576" w:rsidRPr="00DA6489" w:rsidRDefault="00520523">
            <w:pPr>
              <w:pStyle w:val="Policedetableau"/>
              <w:widowControl w:val="0"/>
              <w:rPr>
                <w:b/>
              </w:rPr>
            </w:pPr>
            <w:r w:rsidRPr="00DA6489">
              <w:rPr>
                <w:b/>
              </w:rPr>
              <w:t>Période d’établissement de la moyenne</w:t>
            </w:r>
          </w:p>
        </w:tc>
        <w:tc>
          <w:tcPr>
            <w:tcW w:w="4048" w:type="dxa"/>
            <w:tcBorders>
              <w:top w:val="single" w:sz="4" w:space="0" w:color="000000"/>
              <w:left w:val="single" w:sz="4" w:space="0" w:color="000000"/>
              <w:bottom w:val="single" w:sz="4" w:space="0" w:color="000000"/>
              <w:right w:val="single" w:sz="4" w:space="0" w:color="000000"/>
            </w:tcBorders>
            <w:vAlign w:val="center"/>
          </w:tcPr>
          <w:p w14:paraId="1892BF82" w14:textId="77777777" w:rsidR="005C0576" w:rsidRPr="00DA6489" w:rsidRDefault="00520523">
            <w:pPr>
              <w:pStyle w:val="Policedetableau"/>
              <w:widowControl w:val="0"/>
              <w:rPr>
                <w:b/>
              </w:rPr>
            </w:pPr>
            <w:r w:rsidRPr="00DA6489">
              <w:rPr>
                <w:b/>
              </w:rPr>
              <w:t>Définition</w:t>
            </w:r>
          </w:p>
        </w:tc>
      </w:tr>
      <w:tr w:rsidR="005C0576" w:rsidRPr="00DA6489" w14:paraId="404BD884" w14:textId="77777777">
        <w:trPr>
          <w:cantSplit/>
          <w:jc w:val="center"/>
        </w:trPr>
        <w:tc>
          <w:tcPr>
            <w:tcW w:w="1563" w:type="dxa"/>
            <w:tcBorders>
              <w:top w:val="single" w:sz="4" w:space="0" w:color="000000"/>
              <w:left w:val="single" w:sz="4" w:space="0" w:color="000000"/>
              <w:bottom w:val="single" w:sz="4" w:space="0" w:color="000000"/>
              <w:right w:val="single" w:sz="4" w:space="0" w:color="000000"/>
            </w:tcBorders>
            <w:vAlign w:val="center"/>
          </w:tcPr>
          <w:p w14:paraId="636E0F74" w14:textId="77777777" w:rsidR="005C0576" w:rsidRPr="00DA6489" w:rsidRDefault="00520523">
            <w:pPr>
              <w:pStyle w:val="Policedetableau"/>
              <w:widowControl w:val="0"/>
            </w:pPr>
            <w:r w:rsidRPr="00DA6489">
              <w:t>En continu</w:t>
            </w:r>
          </w:p>
        </w:tc>
        <w:tc>
          <w:tcPr>
            <w:tcW w:w="2884" w:type="dxa"/>
            <w:tcBorders>
              <w:top w:val="single" w:sz="4" w:space="0" w:color="000000"/>
              <w:left w:val="single" w:sz="4" w:space="0" w:color="000000"/>
              <w:bottom w:val="single" w:sz="4" w:space="0" w:color="000000"/>
              <w:right w:val="single" w:sz="4" w:space="0" w:color="000000"/>
            </w:tcBorders>
            <w:vAlign w:val="center"/>
          </w:tcPr>
          <w:p w14:paraId="1053B8E0" w14:textId="77777777" w:rsidR="005C0576" w:rsidRPr="00DA6489" w:rsidRDefault="00520523">
            <w:pPr>
              <w:pStyle w:val="Policedetableau"/>
              <w:widowControl w:val="0"/>
            </w:pPr>
            <w:r w:rsidRPr="00DA6489">
              <w:t>Moyenne journalière</w:t>
            </w:r>
          </w:p>
        </w:tc>
        <w:tc>
          <w:tcPr>
            <w:tcW w:w="4048" w:type="dxa"/>
            <w:tcBorders>
              <w:top w:val="single" w:sz="4" w:space="0" w:color="000000"/>
              <w:left w:val="single" w:sz="4" w:space="0" w:color="000000"/>
              <w:bottom w:val="single" w:sz="4" w:space="0" w:color="000000"/>
              <w:right w:val="single" w:sz="4" w:space="0" w:color="000000"/>
            </w:tcBorders>
            <w:vAlign w:val="center"/>
          </w:tcPr>
          <w:p w14:paraId="76E813C8" w14:textId="77777777" w:rsidR="005C0576" w:rsidRPr="00DA6489" w:rsidRDefault="00520523">
            <w:pPr>
              <w:pStyle w:val="Policedetableau"/>
              <w:widowControl w:val="0"/>
            </w:pPr>
            <w:r w:rsidRPr="00DA6489">
              <w:t>Moyenne sur un jour calculée à partir des moyennes horaires ou demi</w:t>
            </w:r>
            <w:r w:rsidRPr="00DA6489">
              <w:noBreakHyphen/>
              <w:t>horaires valides.</w:t>
            </w:r>
          </w:p>
        </w:tc>
      </w:tr>
      <w:tr w:rsidR="005C0576" w:rsidRPr="00DA6489" w14:paraId="2891736D" w14:textId="77777777">
        <w:trPr>
          <w:cantSplit/>
          <w:jc w:val="center"/>
        </w:trPr>
        <w:tc>
          <w:tcPr>
            <w:tcW w:w="1563" w:type="dxa"/>
            <w:tcBorders>
              <w:top w:val="single" w:sz="4" w:space="0" w:color="000000"/>
              <w:left w:val="single" w:sz="4" w:space="0" w:color="000000"/>
              <w:bottom w:val="single" w:sz="4" w:space="0" w:color="000000"/>
              <w:right w:val="single" w:sz="4" w:space="0" w:color="000000"/>
            </w:tcBorders>
            <w:vAlign w:val="center"/>
          </w:tcPr>
          <w:p w14:paraId="38BE1958" w14:textId="77777777" w:rsidR="005C0576" w:rsidRPr="00DA6489" w:rsidRDefault="00520523">
            <w:pPr>
              <w:pStyle w:val="Policedetableau"/>
              <w:widowControl w:val="0"/>
            </w:pPr>
            <w:r w:rsidRPr="00DA6489">
              <w:t>Périodique</w:t>
            </w:r>
          </w:p>
        </w:tc>
        <w:tc>
          <w:tcPr>
            <w:tcW w:w="2884" w:type="dxa"/>
            <w:tcBorders>
              <w:top w:val="single" w:sz="4" w:space="0" w:color="000000"/>
              <w:left w:val="single" w:sz="4" w:space="0" w:color="000000"/>
              <w:bottom w:val="single" w:sz="4" w:space="0" w:color="000000"/>
              <w:right w:val="single" w:sz="4" w:space="0" w:color="000000"/>
            </w:tcBorders>
            <w:vAlign w:val="center"/>
          </w:tcPr>
          <w:p w14:paraId="6FDF1331" w14:textId="77777777" w:rsidR="005C0576" w:rsidRPr="00DA6489" w:rsidRDefault="00520523">
            <w:pPr>
              <w:pStyle w:val="Policedetableau"/>
              <w:widowControl w:val="0"/>
            </w:pPr>
            <w:r w:rsidRPr="00DA6489">
              <w:t>Moyenne sur la période d’échantillonnage</w:t>
            </w:r>
          </w:p>
        </w:tc>
        <w:tc>
          <w:tcPr>
            <w:tcW w:w="4048" w:type="dxa"/>
            <w:tcBorders>
              <w:top w:val="single" w:sz="4" w:space="0" w:color="000000"/>
              <w:left w:val="single" w:sz="4" w:space="0" w:color="000000"/>
              <w:bottom w:val="single" w:sz="4" w:space="0" w:color="000000"/>
              <w:right w:val="single" w:sz="4" w:space="0" w:color="000000"/>
            </w:tcBorders>
            <w:vAlign w:val="center"/>
          </w:tcPr>
          <w:p w14:paraId="5BF030EA" w14:textId="77777777" w:rsidR="005C0576" w:rsidRPr="00DA6489" w:rsidRDefault="00520523">
            <w:pPr>
              <w:pStyle w:val="Policedetableau"/>
              <w:widowControl w:val="0"/>
            </w:pPr>
            <w:r w:rsidRPr="00DA6489">
              <w:t xml:space="preserve">Valeur moyenne de trois mesures consécutives d’au moins 30 minutes chacune </w:t>
            </w:r>
            <w:r w:rsidRPr="00DA6489">
              <w:rPr>
                <w:vertAlign w:val="superscript"/>
              </w:rPr>
              <w:t>(1).</w:t>
            </w:r>
          </w:p>
        </w:tc>
      </w:tr>
      <w:tr w:rsidR="005C0576" w:rsidRPr="00DA6489" w14:paraId="4F25C264" w14:textId="77777777">
        <w:trPr>
          <w:cantSplit/>
          <w:jc w:val="center"/>
        </w:trPr>
        <w:tc>
          <w:tcPr>
            <w:tcW w:w="8495" w:type="dxa"/>
            <w:gridSpan w:val="3"/>
            <w:tcBorders>
              <w:top w:val="single" w:sz="4" w:space="0" w:color="000000"/>
              <w:left w:val="single" w:sz="4" w:space="0" w:color="000000"/>
              <w:bottom w:val="single" w:sz="4" w:space="0" w:color="000000"/>
              <w:right w:val="single" w:sz="4" w:space="0" w:color="000000"/>
            </w:tcBorders>
            <w:vAlign w:val="center"/>
          </w:tcPr>
          <w:p w14:paraId="6F05DE15" w14:textId="77777777" w:rsidR="005C0576" w:rsidRPr="00DA6489" w:rsidRDefault="00520523">
            <w:pPr>
              <w:pStyle w:val="Footnote"/>
              <w:widowControl w:val="0"/>
            </w:pPr>
            <w:r w:rsidRPr="00DA6489">
              <w:t xml:space="preserve">(1) Si, en raison de contraintes liées à l’échantillonnage ou à l’analyse et/ou du fait des conditions d’exploitation, un échantillonnage/une mesure de 30 minutes et/ou une moyenne de trois mesures consécutives ne </w:t>
            </w:r>
            <w:proofErr w:type="gramStart"/>
            <w:r w:rsidRPr="00DA6489">
              <w:t>conviennent</w:t>
            </w:r>
            <w:proofErr w:type="gramEnd"/>
            <w:r w:rsidRPr="00DA6489">
              <w:t xml:space="preserve"> pas pour un paramètre, quel qu’il soit, une période d’échantillonnage/de mesurage plus appropriée peut être appliquée.</w:t>
            </w:r>
          </w:p>
        </w:tc>
      </w:tr>
    </w:tbl>
    <w:p w14:paraId="769F4C6B" w14:textId="77777777" w:rsidR="005C0576" w:rsidRPr="00DA6489" w:rsidRDefault="005C0576"/>
    <w:p w14:paraId="584399C2" w14:textId="653145FF" w:rsidR="005C0576" w:rsidRPr="00DA6489" w:rsidRDefault="00AB1798" w:rsidP="00816770">
      <w:r w:rsidRPr="00DA6489">
        <w:rPr>
          <w:szCs w:val="22"/>
        </w:rPr>
        <w:lastRenderedPageBreak/>
        <w:t xml:space="preserve">Aux fins du calcul des flux massiques </w:t>
      </w:r>
      <w:r w:rsidR="002B7AD0" w:rsidRPr="00DA6489">
        <w:rPr>
          <w:szCs w:val="22"/>
        </w:rPr>
        <w:t>qui conditionnent</w:t>
      </w:r>
      <w:r w:rsidR="0092516A" w:rsidRPr="00DA6489">
        <w:rPr>
          <w:szCs w:val="22"/>
        </w:rPr>
        <w:t>,</w:t>
      </w:r>
      <w:r w:rsidR="002B7AD0" w:rsidRPr="00DA6489">
        <w:rPr>
          <w:szCs w:val="22"/>
        </w:rPr>
        <w:t xml:space="preserve"> dans </w:t>
      </w:r>
      <w:r w:rsidRPr="00DA6489">
        <w:rPr>
          <w:szCs w:val="22"/>
        </w:rPr>
        <w:t>le tableau du point 2.5.</w:t>
      </w:r>
      <w:r w:rsidR="0072125E" w:rsidRPr="00DA6489">
        <w:rPr>
          <w:szCs w:val="22"/>
        </w:rPr>
        <w:t>3</w:t>
      </w:r>
      <w:r w:rsidR="00776805">
        <w:rPr>
          <w:szCs w:val="22"/>
        </w:rPr>
        <w:t>,</w:t>
      </w:r>
      <w:r w:rsidR="002B7AD0" w:rsidRPr="00DA6489">
        <w:rPr>
          <w:szCs w:val="22"/>
        </w:rPr>
        <w:t xml:space="preserve"> la </w:t>
      </w:r>
      <w:r w:rsidR="0092516A" w:rsidRPr="00DA6489">
        <w:rPr>
          <w:szCs w:val="22"/>
        </w:rPr>
        <w:t xml:space="preserve">soumission </w:t>
      </w:r>
      <w:r w:rsidR="002B7AD0" w:rsidRPr="00DA6489">
        <w:rPr>
          <w:szCs w:val="22"/>
        </w:rPr>
        <w:t>à une valeur d’émission</w:t>
      </w:r>
      <w:r w:rsidRPr="00DA6489">
        <w:rPr>
          <w:szCs w:val="22"/>
        </w:rPr>
        <w:t>,</w:t>
      </w:r>
      <w:r w:rsidR="00A83BAA" w:rsidRPr="00DA6489">
        <w:t xml:space="preserve"> l</w:t>
      </w:r>
      <w:r w:rsidR="00520523" w:rsidRPr="00DA6489">
        <w:t xml:space="preserve">orsque les gaz résiduaires d’au moins deux cheminées distinctes (par exemple, des fours) provenant d’un type de source pourraient être rejetés par une cheminée commune, ces cheminées sont considérées comme une seule cheminée. </w:t>
      </w:r>
    </w:p>
    <w:p w14:paraId="731A7BF6" w14:textId="4842314A" w:rsidR="006369F8" w:rsidRPr="00DA6489" w:rsidRDefault="006369F8" w:rsidP="006369F8">
      <w:pPr>
        <w:pStyle w:val="Titre2"/>
        <w:numPr>
          <w:ilvl w:val="1"/>
          <w:numId w:val="28"/>
        </w:numPr>
        <w:spacing w:before="0" w:line="240" w:lineRule="auto"/>
        <w:rPr>
          <w:rFonts w:cs="Times New Roman"/>
          <w:sz w:val="22"/>
          <w:szCs w:val="22"/>
        </w:rPr>
      </w:pPr>
      <w:r w:rsidRPr="00DA6489">
        <w:t>Description</w:t>
      </w:r>
      <w:r w:rsidRPr="00DA6489">
        <w:rPr>
          <w:rFonts w:cs="Times New Roman"/>
          <w:sz w:val="22"/>
          <w:szCs w:val="22"/>
        </w:rPr>
        <w:t xml:space="preserve"> des techniques</w:t>
      </w:r>
    </w:p>
    <w:p w14:paraId="5A12702C" w14:textId="0C9CF6B8" w:rsidR="006369F8" w:rsidRPr="00DA6489" w:rsidRDefault="006369F8" w:rsidP="006369F8">
      <w:pPr>
        <w:spacing w:after="0" w:line="240" w:lineRule="auto"/>
        <w:rPr>
          <w:rFonts w:eastAsia="Times New Roman" w:cs="Times New Roman"/>
          <w:szCs w:val="22"/>
          <w:lang w:eastAsia="fr-FR"/>
        </w:rPr>
      </w:pPr>
      <w:r w:rsidRPr="00DA6489">
        <w:rPr>
          <w:rFonts w:eastAsia="Times New Roman" w:cs="Times New Roman"/>
          <w:lang w:eastAsia="fr-FR"/>
        </w:rPr>
        <w:t xml:space="preserve">Sauf indication contraire, les techniques mentionnées dans la présente annexe sont applicables de manière générale. </w:t>
      </w:r>
    </w:p>
    <w:p w14:paraId="4666EA8C" w14:textId="77777777" w:rsidR="006369F8" w:rsidRPr="00DA6489" w:rsidRDefault="006369F8" w:rsidP="00816770"/>
    <w:p w14:paraId="346E8F1A" w14:textId="77777777" w:rsidR="005C0576" w:rsidRPr="00DA6489" w:rsidRDefault="00520523">
      <w:pPr>
        <w:pStyle w:val="Titre10"/>
        <w:numPr>
          <w:ilvl w:val="0"/>
          <w:numId w:val="0"/>
        </w:numPr>
        <w:pBdr>
          <w:bottom w:val="single" w:sz="4" w:space="0" w:color="000000"/>
        </w:pBdr>
        <w:ind w:left="357"/>
      </w:pPr>
      <w:r w:rsidRPr="00DA6489">
        <w:rPr>
          <w:sz w:val="22"/>
          <w:szCs w:val="22"/>
        </w:rPr>
        <w:t xml:space="preserve">Titre II : Meilleures techniques disponibles applicables à l’ensemble des installations </w:t>
      </w:r>
    </w:p>
    <w:p w14:paraId="1074BA4E" w14:textId="1E857CDB" w:rsidR="005C0576" w:rsidRPr="00DA6489" w:rsidRDefault="009A2E33" w:rsidP="004E323C">
      <w:pPr>
        <w:pStyle w:val="Titre2"/>
      </w:pPr>
      <w:r w:rsidRPr="00DA6489">
        <w:t xml:space="preserve"> </w:t>
      </w:r>
      <w:r w:rsidR="00520523" w:rsidRPr="00DA6489">
        <w:t>2.1</w:t>
      </w:r>
      <w:r w:rsidR="00C935A2" w:rsidRPr="00DA6489">
        <w:t>.</w:t>
      </w:r>
      <w:r w:rsidR="00520523" w:rsidRPr="00DA6489">
        <w:t xml:space="preserve"> Système de management environnemental</w:t>
      </w:r>
    </w:p>
    <w:p w14:paraId="691BFE5A" w14:textId="77777777" w:rsidR="005C0576" w:rsidRPr="00DA6489" w:rsidRDefault="00520523">
      <w:pPr>
        <w:rPr>
          <w:rFonts w:ascii="Times New Roman Bold" w:eastAsia="Times New Roman" w:hAnsi="Times New Roman Bold" w:cs="Times New Roman"/>
          <w:szCs w:val="24"/>
        </w:rPr>
      </w:pPr>
      <w:r w:rsidRPr="00DA6489">
        <w:t>L</w:t>
      </w:r>
      <w:r w:rsidRPr="00DA6489">
        <w:rPr>
          <w:rFonts w:ascii="Times New Roman Bold" w:hAnsi="Times New Roman Bold"/>
        </w:rPr>
        <w:t>’exploitant met en place et applique un système de management environnemental (SME) présentant toutes les caractéristiques suivantes</w:t>
      </w:r>
      <w:r w:rsidR="004D46A6" w:rsidRPr="00DA6489">
        <w:rPr>
          <w:rFonts w:ascii="Times New Roman Bold" w:hAnsi="Times New Roman Bold"/>
        </w:rPr>
        <w:t xml:space="preserve"> </w:t>
      </w:r>
      <w:r w:rsidR="00117C9D" w:rsidRPr="00DA6489">
        <w:rPr>
          <w:rFonts w:ascii="Times New Roman Bold" w:hAnsi="Times New Roman Bold"/>
        </w:rPr>
        <w:t>:</w:t>
      </w:r>
    </w:p>
    <w:p w14:paraId="71F9AF7D" w14:textId="77777777" w:rsidR="005C0576" w:rsidRPr="00DA6489" w:rsidRDefault="00C935A2">
      <w:pPr>
        <w:pStyle w:val="Paragraphedeliste"/>
        <w:numPr>
          <w:ilvl w:val="0"/>
          <w:numId w:val="5"/>
        </w:numPr>
        <w:rPr>
          <w:rFonts w:cs="Lucida Sans"/>
        </w:rPr>
      </w:pPr>
      <w:r w:rsidRPr="00DA6489">
        <w:t>E</w:t>
      </w:r>
      <w:r w:rsidR="00520523" w:rsidRPr="00DA6489">
        <w:t>ngagement, orientation et responsabilité de l’encadrement, y compris de la direction, en ce qui concerne la mise en œuvre d’un SME efficace</w:t>
      </w:r>
      <w:r w:rsidR="004D46A6" w:rsidRPr="00DA6489">
        <w:t xml:space="preserve"> </w:t>
      </w:r>
      <w:r w:rsidR="00520523" w:rsidRPr="00DA6489">
        <w:t>;</w:t>
      </w:r>
    </w:p>
    <w:p w14:paraId="12CE44BA" w14:textId="77777777" w:rsidR="005C0576" w:rsidRPr="00DA6489" w:rsidRDefault="00C935A2">
      <w:pPr>
        <w:pStyle w:val="Paragraphedeliste"/>
        <w:numPr>
          <w:ilvl w:val="0"/>
          <w:numId w:val="5"/>
        </w:numPr>
        <w:rPr>
          <w:rFonts w:cs="Lucida Sans"/>
        </w:rPr>
      </w:pPr>
      <w:r w:rsidRPr="00DA6489">
        <w:t>A</w:t>
      </w:r>
      <w:r w:rsidR="00520523" w:rsidRPr="00DA6489">
        <w:t>nalyse visant notamment à déterminer le contexte dans lequel s’insère l’organisation, à identifier les besoins et les attentes des parties intéressées, à mettre en évidence les caractéristiques de l’installation qui sont associées à d’éventuels risques pour l’environnement (ou la santé humaine), ainsi qu’à déterminer les exigences légales applicables en matière d’environnement</w:t>
      </w:r>
      <w:r w:rsidR="004D46A6" w:rsidRPr="00DA6489">
        <w:t xml:space="preserve"> </w:t>
      </w:r>
      <w:r w:rsidR="00520523" w:rsidRPr="00DA6489">
        <w:t>;</w:t>
      </w:r>
    </w:p>
    <w:p w14:paraId="0E2F3FDB" w14:textId="77777777" w:rsidR="005C0576" w:rsidRPr="00DA6489" w:rsidRDefault="00C935A2">
      <w:pPr>
        <w:pStyle w:val="Paragraphedeliste"/>
        <w:numPr>
          <w:ilvl w:val="0"/>
          <w:numId w:val="5"/>
        </w:numPr>
        <w:rPr>
          <w:rFonts w:cs="Lucida Sans"/>
        </w:rPr>
      </w:pPr>
      <w:r w:rsidRPr="00DA6489">
        <w:t>D</w:t>
      </w:r>
      <w:r w:rsidR="00520523" w:rsidRPr="00DA6489">
        <w:t>éfinition d’une politique environnementale intégrant le principe d’amélioration continue des performances environnementales de l’installation</w:t>
      </w:r>
      <w:r w:rsidR="004D46A6" w:rsidRPr="00DA6489">
        <w:t xml:space="preserve"> </w:t>
      </w:r>
      <w:r w:rsidR="00520523" w:rsidRPr="00DA6489">
        <w:t>;</w:t>
      </w:r>
    </w:p>
    <w:p w14:paraId="45B17572" w14:textId="77777777" w:rsidR="005C0576" w:rsidRPr="00DA6489" w:rsidRDefault="00C935A2">
      <w:pPr>
        <w:pStyle w:val="Paragraphedeliste"/>
        <w:numPr>
          <w:ilvl w:val="0"/>
          <w:numId w:val="5"/>
        </w:numPr>
        <w:rPr>
          <w:rFonts w:cs="Lucida Sans"/>
        </w:rPr>
      </w:pPr>
      <w:r w:rsidRPr="00DA6489">
        <w:t>E</w:t>
      </w:r>
      <w:r w:rsidR="00520523" w:rsidRPr="00DA6489">
        <w:t>tablissement d’objectifs et d’indicateurs de performance pour les aspects environnementaux significatifs, y compris pour garantir le respect des exigences légales applicables</w:t>
      </w:r>
      <w:r w:rsidR="004D46A6" w:rsidRPr="00DA6489">
        <w:t xml:space="preserve"> </w:t>
      </w:r>
      <w:r w:rsidR="00520523" w:rsidRPr="00DA6489">
        <w:t>;</w:t>
      </w:r>
    </w:p>
    <w:p w14:paraId="43F37BCB" w14:textId="77777777" w:rsidR="005C0576" w:rsidRPr="00DA6489" w:rsidRDefault="00C935A2">
      <w:pPr>
        <w:pStyle w:val="Paragraphedeliste"/>
        <w:numPr>
          <w:ilvl w:val="0"/>
          <w:numId w:val="5"/>
        </w:numPr>
        <w:rPr>
          <w:rFonts w:cs="Lucida Sans"/>
        </w:rPr>
      </w:pPr>
      <w:r w:rsidRPr="00DA6489">
        <w:t>P</w:t>
      </w:r>
      <w:r w:rsidR="00520523" w:rsidRPr="00DA6489">
        <w:t>lanification et mise en œuvre des procédures et actions nécessaires (y compris les actions préventives et, si nécessaire, correctives) pour atteindre les objectifs environnementaux et éviter les risques environnementaux</w:t>
      </w:r>
      <w:r w:rsidR="004D46A6" w:rsidRPr="00DA6489">
        <w:t xml:space="preserve"> </w:t>
      </w:r>
      <w:r w:rsidR="00520523" w:rsidRPr="00DA6489">
        <w:t>;</w:t>
      </w:r>
    </w:p>
    <w:p w14:paraId="6EE0EB5E" w14:textId="77777777" w:rsidR="005C0576" w:rsidRPr="00DA6489" w:rsidRDefault="00C935A2">
      <w:pPr>
        <w:pStyle w:val="Paragraphedeliste"/>
        <w:numPr>
          <w:ilvl w:val="0"/>
          <w:numId w:val="5"/>
        </w:numPr>
        <w:rPr>
          <w:rFonts w:cs="Lucida Sans"/>
        </w:rPr>
      </w:pPr>
      <w:r w:rsidRPr="00DA6489">
        <w:t>D</w:t>
      </w:r>
      <w:r w:rsidR="00520523" w:rsidRPr="00DA6489">
        <w:t>étermination des structures, des rôles et des responsabilités en ce qui concerne les aspects et objectifs environnementaux et la mise à disposition des ressources financières et humaines nécessaires</w:t>
      </w:r>
      <w:r w:rsidR="004D46A6" w:rsidRPr="00DA6489">
        <w:t xml:space="preserve"> </w:t>
      </w:r>
      <w:r w:rsidR="00520523" w:rsidRPr="00DA6489">
        <w:t>;</w:t>
      </w:r>
    </w:p>
    <w:p w14:paraId="45B26012" w14:textId="7BCABAB0" w:rsidR="005C0576" w:rsidRPr="00DA6489" w:rsidRDefault="00A648F9">
      <w:pPr>
        <w:pStyle w:val="Paragraphedeliste"/>
        <w:numPr>
          <w:ilvl w:val="0"/>
          <w:numId w:val="5"/>
        </w:numPr>
        <w:rPr>
          <w:rFonts w:cs="Lucida Sans"/>
        </w:rPr>
      </w:pPr>
      <w:r w:rsidRPr="00DA6489">
        <w:t xml:space="preserve">Garantie </w:t>
      </w:r>
      <w:r w:rsidR="00520523" w:rsidRPr="00DA6489">
        <w:t xml:space="preserve">(par exemple, par l’information et la formation) </w:t>
      </w:r>
      <w:r w:rsidR="002B7AD0" w:rsidRPr="00DA6489">
        <w:t xml:space="preserve">de la </w:t>
      </w:r>
      <w:r w:rsidR="00520523" w:rsidRPr="00DA6489">
        <w:t xml:space="preserve">compétence et </w:t>
      </w:r>
      <w:r w:rsidR="00DA66EE" w:rsidRPr="00DA6489">
        <w:t xml:space="preserve">de </w:t>
      </w:r>
      <w:r w:rsidR="00520523" w:rsidRPr="00DA6489">
        <w:t>la sensibilisation requises du personnel dont le travail est susceptible d’avoir une incidence sur les performances environnementales de l’installation</w:t>
      </w:r>
      <w:r w:rsidR="004D46A6" w:rsidRPr="00DA6489">
        <w:t xml:space="preserve"> </w:t>
      </w:r>
      <w:r w:rsidR="00520523" w:rsidRPr="00DA6489">
        <w:t>;</w:t>
      </w:r>
    </w:p>
    <w:p w14:paraId="671C742B" w14:textId="77777777" w:rsidR="005C0576" w:rsidRPr="00DA6489" w:rsidRDefault="00C935A2">
      <w:pPr>
        <w:pStyle w:val="Paragraphedeliste"/>
        <w:numPr>
          <w:ilvl w:val="0"/>
          <w:numId w:val="5"/>
        </w:numPr>
        <w:rPr>
          <w:rFonts w:cs="Lucida Sans"/>
        </w:rPr>
      </w:pPr>
      <w:r w:rsidRPr="00DA6489">
        <w:t>C</w:t>
      </w:r>
      <w:r w:rsidR="00520523" w:rsidRPr="00DA6489">
        <w:t>ommunication interne et externe</w:t>
      </w:r>
      <w:r w:rsidR="004D46A6" w:rsidRPr="00DA6489">
        <w:t xml:space="preserve"> </w:t>
      </w:r>
      <w:r w:rsidR="00520523" w:rsidRPr="00DA6489">
        <w:t>;</w:t>
      </w:r>
    </w:p>
    <w:p w14:paraId="49A18976" w14:textId="77777777" w:rsidR="005C0576" w:rsidRPr="00DA6489" w:rsidRDefault="00C935A2">
      <w:pPr>
        <w:pStyle w:val="Paragraphedeliste"/>
        <w:numPr>
          <w:ilvl w:val="0"/>
          <w:numId w:val="5"/>
        </w:numPr>
        <w:rPr>
          <w:rFonts w:cs="Lucida Sans"/>
        </w:rPr>
      </w:pPr>
      <w:r w:rsidRPr="00DA6489">
        <w:t>I</w:t>
      </w:r>
      <w:r w:rsidR="00520523" w:rsidRPr="00DA6489">
        <w:t>ncit</w:t>
      </w:r>
      <w:r w:rsidR="004D46A6" w:rsidRPr="00DA6489">
        <w:t>ation</w:t>
      </w:r>
      <w:r w:rsidR="00520523" w:rsidRPr="00DA6489">
        <w:t xml:space="preserve"> </w:t>
      </w:r>
      <w:r w:rsidR="004D46A6" w:rsidRPr="00DA6489">
        <w:t>des</w:t>
      </w:r>
      <w:r w:rsidR="00520523" w:rsidRPr="00DA6489">
        <w:t xml:space="preserve"> travailleurs à s’impliquer dans les bonnes pratiques de management environnemental</w:t>
      </w:r>
      <w:r w:rsidR="004D46A6" w:rsidRPr="00DA6489">
        <w:t xml:space="preserve"> </w:t>
      </w:r>
      <w:r w:rsidR="00520523" w:rsidRPr="00DA6489">
        <w:t>;</w:t>
      </w:r>
    </w:p>
    <w:p w14:paraId="552346A9" w14:textId="4B27BCDE" w:rsidR="005C0576" w:rsidRPr="00DA6489" w:rsidRDefault="00C935A2">
      <w:pPr>
        <w:pStyle w:val="Paragraphedeliste"/>
        <w:numPr>
          <w:ilvl w:val="0"/>
          <w:numId w:val="5"/>
        </w:numPr>
        <w:rPr>
          <w:rFonts w:cs="Lucida Sans"/>
        </w:rPr>
      </w:pPr>
      <w:r w:rsidRPr="00DA6489">
        <w:t>E</w:t>
      </w:r>
      <w:r w:rsidR="00520523" w:rsidRPr="00DA6489">
        <w:t>tablissement et tenue à jour d’un manuel de gestion et de procédures écrites pour superviser les activités ayant un impact significatif sur l’environnement, ainsi que de</w:t>
      </w:r>
      <w:r w:rsidR="002B7AD0" w:rsidRPr="00DA6489">
        <w:t>s</w:t>
      </w:r>
      <w:r w:rsidR="00520523" w:rsidRPr="00DA6489">
        <w:t xml:space="preserve"> registres pertinents</w:t>
      </w:r>
      <w:r w:rsidR="004D46A6" w:rsidRPr="00DA6489">
        <w:t xml:space="preserve"> </w:t>
      </w:r>
      <w:r w:rsidR="00520523" w:rsidRPr="00DA6489">
        <w:t>;</w:t>
      </w:r>
    </w:p>
    <w:p w14:paraId="455AB695" w14:textId="77777777" w:rsidR="005C0576" w:rsidRPr="00DA6489" w:rsidRDefault="00C935A2">
      <w:pPr>
        <w:pStyle w:val="Paragraphedeliste"/>
        <w:numPr>
          <w:ilvl w:val="0"/>
          <w:numId w:val="5"/>
        </w:numPr>
        <w:rPr>
          <w:rFonts w:cs="Lucida Sans"/>
        </w:rPr>
      </w:pPr>
      <w:r w:rsidRPr="00DA6489">
        <w:t>P</w:t>
      </w:r>
      <w:r w:rsidR="00520523" w:rsidRPr="00DA6489">
        <w:t>lanification opérationnelle et contrôle des procédés efficaces</w:t>
      </w:r>
      <w:r w:rsidR="004D46A6" w:rsidRPr="00DA6489">
        <w:t xml:space="preserve"> </w:t>
      </w:r>
      <w:r w:rsidR="00520523" w:rsidRPr="00DA6489">
        <w:t>;</w:t>
      </w:r>
    </w:p>
    <w:p w14:paraId="441B4F44" w14:textId="77777777" w:rsidR="005C0576" w:rsidRPr="00DA6489" w:rsidRDefault="00C935A2" w:rsidP="00C935A2">
      <w:pPr>
        <w:pStyle w:val="Paragraphedeliste"/>
        <w:numPr>
          <w:ilvl w:val="0"/>
          <w:numId w:val="5"/>
        </w:numPr>
        <w:rPr>
          <w:rFonts w:cs="Lucida Sans"/>
        </w:rPr>
      </w:pPr>
      <w:r w:rsidRPr="00DA6489">
        <w:t>M</w:t>
      </w:r>
      <w:r w:rsidR="00520523" w:rsidRPr="00DA6489">
        <w:t>ise en œuvre de programmes de maintenance appropriés</w:t>
      </w:r>
      <w:r w:rsidR="004D46A6" w:rsidRPr="00DA6489">
        <w:t xml:space="preserve"> </w:t>
      </w:r>
      <w:r w:rsidR="00520523" w:rsidRPr="00DA6489">
        <w:t>;</w:t>
      </w:r>
    </w:p>
    <w:p w14:paraId="66BCB513" w14:textId="718EBE4F" w:rsidR="005C0576" w:rsidRPr="00DA6489" w:rsidRDefault="002B7AD0">
      <w:pPr>
        <w:pStyle w:val="Paragraphedeliste"/>
        <w:numPr>
          <w:ilvl w:val="0"/>
          <w:numId w:val="5"/>
        </w:numPr>
        <w:rPr>
          <w:rFonts w:cs="Lucida Sans"/>
        </w:rPr>
      </w:pPr>
      <w:r w:rsidRPr="00DA6489">
        <w:t xml:space="preserve">Procédures </w:t>
      </w:r>
      <w:r w:rsidR="00520523" w:rsidRPr="00DA6489">
        <w:t>de préparation et de réaction aux situations d’urgence, y compris la prévention et/ou l’atténuation des incidences (environnementales) défavorables des situations d’urgence</w:t>
      </w:r>
      <w:r w:rsidR="004D46A6" w:rsidRPr="00DA6489">
        <w:t xml:space="preserve"> </w:t>
      </w:r>
      <w:r w:rsidR="00520523" w:rsidRPr="00DA6489">
        <w:t>;</w:t>
      </w:r>
    </w:p>
    <w:p w14:paraId="707B7DC7" w14:textId="77777777" w:rsidR="005C0576" w:rsidRPr="00DA6489" w:rsidRDefault="00C935A2">
      <w:pPr>
        <w:pStyle w:val="Paragraphedeliste"/>
        <w:numPr>
          <w:ilvl w:val="0"/>
          <w:numId w:val="5"/>
        </w:numPr>
        <w:rPr>
          <w:rFonts w:cs="Lucida Sans"/>
        </w:rPr>
      </w:pPr>
      <w:r w:rsidRPr="00DA6489">
        <w:t>L</w:t>
      </w:r>
      <w:r w:rsidR="00520523" w:rsidRPr="00DA6489">
        <w:t>ors de la (re)conception d’une (nouvelle) installation ou d’une partie d’installation, prise en considération de ses incidences sur l’environnement sur l’ensemble de son cycle de vie, qui inclut la construction, l’entretien, l’exploitation et la mise à l’arrêt définitif</w:t>
      </w:r>
      <w:r w:rsidR="004D46A6" w:rsidRPr="00DA6489">
        <w:t xml:space="preserve"> </w:t>
      </w:r>
      <w:r w:rsidR="00520523" w:rsidRPr="00DA6489">
        <w:t>;</w:t>
      </w:r>
    </w:p>
    <w:p w14:paraId="2E34AF76" w14:textId="2C3E1A70" w:rsidR="0092516A" w:rsidRPr="00DA6489" w:rsidRDefault="0092516A">
      <w:pPr>
        <w:pStyle w:val="Paragraphedeliste"/>
        <w:numPr>
          <w:ilvl w:val="0"/>
          <w:numId w:val="5"/>
        </w:numPr>
        <w:rPr>
          <w:rFonts w:cs="Lucida Sans"/>
        </w:rPr>
      </w:pPr>
      <w:r w:rsidRPr="00DA6489">
        <w:lastRenderedPageBreak/>
        <w:t>Elaboration et m</w:t>
      </w:r>
      <w:r w:rsidR="00E240A4" w:rsidRPr="00DA6489">
        <w:t>ise en œuvre d’un programme de surveillance et de mesurage des émissions, conformément aux exigences de la directive relative aux émissions industrielles (IED) ; le cas échéant, les modalités peuvent s’appuyer sur les recommandations techniques figurant dans le rapport de référence du JRC</w:t>
      </w:r>
      <w:r w:rsidR="00E240A4" w:rsidRPr="00DA6489">
        <w:rPr>
          <w:i/>
          <w:iCs/>
        </w:rPr>
        <w:t xml:space="preserve"> (JRC </w:t>
      </w:r>
      <w:proofErr w:type="spellStart"/>
      <w:r w:rsidR="00E240A4" w:rsidRPr="00DA6489">
        <w:rPr>
          <w:i/>
          <w:iCs/>
        </w:rPr>
        <w:t>reference</w:t>
      </w:r>
      <w:proofErr w:type="spellEnd"/>
      <w:r w:rsidR="00E240A4" w:rsidRPr="00DA6489">
        <w:rPr>
          <w:i/>
          <w:iCs/>
        </w:rPr>
        <w:t xml:space="preserve"> report on monitoring of </w:t>
      </w:r>
      <w:proofErr w:type="spellStart"/>
      <w:r w:rsidR="00E240A4" w:rsidRPr="00DA6489">
        <w:rPr>
          <w:i/>
          <w:iCs/>
        </w:rPr>
        <w:t>emissions</w:t>
      </w:r>
      <w:proofErr w:type="spellEnd"/>
      <w:r w:rsidR="00E240A4" w:rsidRPr="00DA6489">
        <w:rPr>
          <w:i/>
          <w:iCs/>
        </w:rPr>
        <w:t xml:space="preserve"> to air and water </w:t>
      </w:r>
      <w:proofErr w:type="spellStart"/>
      <w:r w:rsidR="00E240A4" w:rsidRPr="00DA6489">
        <w:rPr>
          <w:i/>
          <w:iCs/>
        </w:rPr>
        <w:t>from</w:t>
      </w:r>
      <w:proofErr w:type="spellEnd"/>
      <w:r w:rsidR="00E240A4" w:rsidRPr="00DA6489">
        <w:rPr>
          <w:i/>
          <w:iCs/>
        </w:rPr>
        <w:t xml:space="preserve"> IED installations</w:t>
      </w:r>
      <w:r w:rsidR="00347C78" w:rsidRPr="00DA6489">
        <w:rPr>
          <w:i/>
          <w:iCs/>
        </w:rPr>
        <w:t>)</w:t>
      </w:r>
      <w:r w:rsidR="00E240A4" w:rsidRPr="00DA6489">
        <w:t xml:space="preserve"> relatif à la surveillance des émissions dans l’air et dans l’eau des installations soumises à la directive IED</w:t>
      </w:r>
      <w:r w:rsidR="0042798C">
        <w:t> ;</w:t>
      </w:r>
      <w:r w:rsidR="00E240A4" w:rsidRPr="00DA6489">
        <w:t xml:space="preserve"> </w:t>
      </w:r>
    </w:p>
    <w:p w14:paraId="14D32068" w14:textId="6BE43E3E" w:rsidR="005C0576" w:rsidRPr="00DA6489" w:rsidRDefault="00C935A2">
      <w:pPr>
        <w:pStyle w:val="Paragraphedeliste"/>
        <w:numPr>
          <w:ilvl w:val="0"/>
          <w:numId w:val="5"/>
        </w:numPr>
        <w:rPr>
          <w:rFonts w:cs="Lucida Sans"/>
        </w:rPr>
      </w:pPr>
      <w:r w:rsidRPr="00DA6489">
        <w:t>R</w:t>
      </w:r>
      <w:r w:rsidR="00520523" w:rsidRPr="00DA6489">
        <w:t>éalisation régulière d’</w:t>
      </w:r>
      <w:proofErr w:type="spellStart"/>
      <w:r w:rsidR="00520523" w:rsidRPr="00DA6489">
        <w:t>intercomparaisons</w:t>
      </w:r>
      <w:proofErr w:type="spellEnd"/>
      <w:r w:rsidR="00520523" w:rsidRPr="00DA6489">
        <w:t xml:space="preserve"> sectorielles</w:t>
      </w:r>
      <w:r w:rsidR="004D46A6" w:rsidRPr="00DA6489">
        <w:t xml:space="preserve"> </w:t>
      </w:r>
      <w:r w:rsidR="00520523" w:rsidRPr="00DA6489">
        <w:t>;</w:t>
      </w:r>
    </w:p>
    <w:p w14:paraId="028EE97C" w14:textId="77777777" w:rsidR="005C0576" w:rsidRPr="00DA6489" w:rsidRDefault="00C935A2">
      <w:pPr>
        <w:pStyle w:val="Paragraphedeliste"/>
        <w:numPr>
          <w:ilvl w:val="0"/>
          <w:numId w:val="5"/>
        </w:numPr>
        <w:rPr>
          <w:rFonts w:cs="Lucida Sans"/>
        </w:rPr>
      </w:pPr>
      <w:r w:rsidRPr="00DA6489">
        <w:t>A</w:t>
      </w:r>
      <w:r w:rsidR="00520523" w:rsidRPr="00DA6489">
        <w:t>udits indépendants internes (dans la mesure du possible) et externes réalisés périodiquement pour évaluer les performances environnementales et déterminer si le SME respecte les modalités prévues et a été correctement mis en œuvre et tenu à jour</w:t>
      </w:r>
      <w:r w:rsidR="004D46A6" w:rsidRPr="00DA6489">
        <w:t xml:space="preserve"> </w:t>
      </w:r>
      <w:r w:rsidR="00520523" w:rsidRPr="00DA6489">
        <w:t>;</w:t>
      </w:r>
    </w:p>
    <w:p w14:paraId="3F9FFA43" w14:textId="77777777" w:rsidR="005C0576" w:rsidRPr="00DA6489" w:rsidRDefault="00C935A2">
      <w:pPr>
        <w:pStyle w:val="Paragraphedeliste"/>
        <w:numPr>
          <w:ilvl w:val="0"/>
          <w:numId w:val="5"/>
        </w:numPr>
        <w:rPr>
          <w:rFonts w:cs="Lucida Sans"/>
        </w:rPr>
      </w:pPr>
      <w:r w:rsidRPr="00DA6489">
        <w:t>E</w:t>
      </w:r>
      <w:r w:rsidR="00520523" w:rsidRPr="00DA6489">
        <w:t>valuation des causes de non-conformité</w:t>
      </w:r>
      <w:r w:rsidR="004D46A6" w:rsidRPr="00DA6489">
        <w:t>s</w:t>
      </w:r>
      <w:r w:rsidR="00520523" w:rsidRPr="00DA6489">
        <w:t>, mise en œuvre de mesures correctives pour remédier aux non-conformités, examen de l’efficacité des actions correctives et détermination de l’existence ou non de cas de non-conformité</w:t>
      </w:r>
      <w:r w:rsidR="004D46A6" w:rsidRPr="00DA6489">
        <w:t>s</w:t>
      </w:r>
      <w:r w:rsidR="00520523" w:rsidRPr="00DA6489">
        <w:t xml:space="preserve"> similaires ou de situations où elles pourraient potentiellement se produire</w:t>
      </w:r>
      <w:r w:rsidR="004D46A6" w:rsidRPr="00DA6489">
        <w:t xml:space="preserve"> </w:t>
      </w:r>
      <w:r w:rsidR="00520523" w:rsidRPr="00DA6489">
        <w:t>;</w:t>
      </w:r>
    </w:p>
    <w:p w14:paraId="7750A95E" w14:textId="77777777" w:rsidR="005C0576" w:rsidRPr="00DA6489" w:rsidRDefault="00C935A2">
      <w:pPr>
        <w:pStyle w:val="Paragraphedeliste"/>
        <w:numPr>
          <w:ilvl w:val="0"/>
          <w:numId w:val="5"/>
        </w:numPr>
        <w:rPr>
          <w:rFonts w:cs="Lucida Sans"/>
        </w:rPr>
      </w:pPr>
      <w:r w:rsidRPr="00DA6489">
        <w:t>R</w:t>
      </w:r>
      <w:r w:rsidR="00520523" w:rsidRPr="00DA6489">
        <w:t>evue périodique, par la direction, du SME et du maintien de sa pertinence, de son adéquation et de son efficacité</w:t>
      </w:r>
      <w:r w:rsidR="004D46A6" w:rsidRPr="00DA6489">
        <w:t xml:space="preserve"> </w:t>
      </w:r>
      <w:r w:rsidR="00520523" w:rsidRPr="00DA6489">
        <w:t>;</w:t>
      </w:r>
    </w:p>
    <w:p w14:paraId="7A267D0C" w14:textId="6588F62E" w:rsidR="00B149A9" w:rsidRPr="00B149A9" w:rsidRDefault="0092516A">
      <w:pPr>
        <w:pStyle w:val="Paragraphedeliste"/>
        <w:numPr>
          <w:ilvl w:val="0"/>
          <w:numId w:val="5"/>
        </w:numPr>
        <w:rPr>
          <w:rFonts w:eastAsia="Times New Roman" w:cs="Times New Roman"/>
          <w:szCs w:val="24"/>
        </w:rPr>
      </w:pPr>
      <w:r w:rsidRPr="00DA6489">
        <w:t>V</w:t>
      </w:r>
      <w:r w:rsidR="00E240A4" w:rsidRPr="00DA6489">
        <w:t>eille active et prise en compte des évolutions technologiques visant à promouvoir l’adoption de techniques plus respectueuses de l’environnement</w:t>
      </w:r>
      <w:r w:rsidR="0042798C">
        <w:t> ;</w:t>
      </w:r>
      <w:r w:rsidR="00E240A4" w:rsidRPr="00DA6489">
        <w:t xml:space="preserve"> </w:t>
      </w:r>
    </w:p>
    <w:p w14:paraId="476F4A22" w14:textId="7F51A4A6" w:rsidR="005C0576" w:rsidRPr="00DA6489" w:rsidRDefault="00C935A2">
      <w:pPr>
        <w:pStyle w:val="Paragraphedeliste"/>
        <w:numPr>
          <w:ilvl w:val="0"/>
          <w:numId w:val="5"/>
        </w:numPr>
        <w:rPr>
          <w:rFonts w:eastAsia="Times New Roman" w:cs="Times New Roman"/>
          <w:szCs w:val="24"/>
        </w:rPr>
      </w:pPr>
      <w:r w:rsidRPr="00DA6489">
        <w:t>I</w:t>
      </w:r>
      <w:r w:rsidR="00520523" w:rsidRPr="00DA6489">
        <w:t>nventaire des produits chimiques utilisés par les procédés et des flux d’effluents aqueux et gazeux (voir le point 2.2</w:t>
      </w:r>
      <w:r w:rsidR="00FB3C25" w:rsidRPr="00DA6489">
        <w:t>.</w:t>
      </w:r>
      <w:r w:rsidR="005E3FD0" w:rsidRPr="00DA6489">
        <w:t>1.</w:t>
      </w:r>
      <w:r w:rsidR="00520523" w:rsidRPr="00DA6489">
        <w:t>)</w:t>
      </w:r>
      <w:r w:rsidR="004D46A6" w:rsidRPr="00DA6489">
        <w:t xml:space="preserve"> </w:t>
      </w:r>
      <w:r w:rsidR="00520523" w:rsidRPr="00DA6489">
        <w:t>;</w:t>
      </w:r>
    </w:p>
    <w:p w14:paraId="137BE414" w14:textId="77777777" w:rsidR="005C0576" w:rsidRPr="00DA6489" w:rsidRDefault="00C935A2">
      <w:pPr>
        <w:pStyle w:val="Paragraphedeliste"/>
        <w:numPr>
          <w:ilvl w:val="0"/>
          <w:numId w:val="5"/>
        </w:numPr>
        <w:rPr>
          <w:rFonts w:eastAsia="Times New Roman" w:cs="Times New Roman"/>
          <w:szCs w:val="24"/>
        </w:rPr>
      </w:pPr>
      <w:r w:rsidRPr="00DA6489">
        <w:t>S</w:t>
      </w:r>
      <w:r w:rsidR="00520523" w:rsidRPr="00DA6489">
        <w:t>ystème de gestion des produits chimiques (voir le point 2.</w:t>
      </w:r>
      <w:r w:rsidR="005E3FD0" w:rsidRPr="00DA6489">
        <w:t>2</w:t>
      </w:r>
      <w:r w:rsidR="00FB3C25" w:rsidRPr="00DA6489">
        <w:t>.</w:t>
      </w:r>
      <w:r w:rsidR="005E3FD0" w:rsidRPr="00DA6489">
        <w:t>2.</w:t>
      </w:r>
      <w:r w:rsidR="00520523" w:rsidRPr="00DA6489">
        <w:t>)</w:t>
      </w:r>
      <w:r w:rsidR="004D46A6" w:rsidRPr="00DA6489">
        <w:t xml:space="preserve"> </w:t>
      </w:r>
      <w:r w:rsidR="00520523" w:rsidRPr="00DA6489">
        <w:t>;</w:t>
      </w:r>
    </w:p>
    <w:p w14:paraId="12E9920F" w14:textId="52592517" w:rsidR="005C0576" w:rsidRPr="00DA6489" w:rsidRDefault="00C935A2">
      <w:pPr>
        <w:pStyle w:val="Paragraphedeliste"/>
        <w:numPr>
          <w:ilvl w:val="0"/>
          <w:numId w:val="5"/>
        </w:numPr>
        <w:rPr>
          <w:rFonts w:eastAsia="Times New Roman" w:cs="Times New Roman"/>
          <w:szCs w:val="24"/>
        </w:rPr>
      </w:pPr>
      <w:r w:rsidRPr="00DA6489">
        <w:t>P</w:t>
      </w:r>
      <w:r w:rsidR="00520523" w:rsidRPr="00DA6489">
        <w:t xml:space="preserve">lan de prévention et de contrôle des fuites et des déversements </w:t>
      </w:r>
      <w:r w:rsidR="004D46A6" w:rsidRPr="00DA6489">
        <w:t>(</w:t>
      </w:r>
      <w:r w:rsidR="00520523" w:rsidRPr="00DA6489">
        <w:t>voir le point 2.</w:t>
      </w:r>
      <w:r w:rsidR="0060595E" w:rsidRPr="00DA6489">
        <w:t>3</w:t>
      </w:r>
      <w:r w:rsidR="00776805">
        <w:t>.</w:t>
      </w:r>
      <w:r w:rsidR="00520523" w:rsidRPr="00DA6489">
        <w:t>)</w:t>
      </w:r>
      <w:r w:rsidR="004D46A6" w:rsidRPr="00DA6489">
        <w:t xml:space="preserve"> </w:t>
      </w:r>
      <w:r w:rsidR="00520523" w:rsidRPr="00DA6489">
        <w:t>;</w:t>
      </w:r>
    </w:p>
    <w:p w14:paraId="2595052B" w14:textId="77777777" w:rsidR="005C0576" w:rsidRPr="00DA6489" w:rsidRDefault="00C935A2">
      <w:pPr>
        <w:pStyle w:val="Paragraphedeliste"/>
        <w:numPr>
          <w:ilvl w:val="0"/>
          <w:numId w:val="5"/>
        </w:numPr>
        <w:rPr>
          <w:rFonts w:eastAsia="Times New Roman" w:cs="Times New Roman"/>
          <w:szCs w:val="24"/>
        </w:rPr>
      </w:pPr>
      <w:r w:rsidRPr="00DA6489">
        <w:t>P</w:t>
      </w:r>
      <w:r w:rsidR="00520523" w:rsidRPr="00DA6489">
        <w:t>lan de gestion des OTNOC (voir le point 2.</w:t>
      </w:r>
      <w:r w:rsidR="0060595E" w:rsidRPr="00DA6489">
        <w:t>4</w:t>
      </w:r>
      <w:r w:rsidR="00FB3C25" w:rsidRPr="00DA6489">
        <w:t>.</w:t>
      </w:r>
      <w:r w:rsidR="00520523" w:rsidRPr="00DA6489">
        <w:t>)</w:t>
      </w:r>
      <w:r w:rsidR="004D46A6" w:rsidRPr="00DA6489">
        <w:t xml:space="preserve"> </w:t>
      </w:r>
      <w:r w:rsidR="00520523" w:rsidRPr="00DA6489">
        <w:t>;</w:t>
      </w:r>
    </w:p>
    <w:p w14:paraId="60F4138B" w14:textId="40F0D027" w:rsidR="005C0576" w:rsidRPr="00DA6489" w:rsidRDefault="00C935A2">
      <w:pPr>
        <w:pStyle w:val="Paragraphedeliste"/>
        <w:numPr>
          <w:ilvl w:val="0"/>
          <w:numId w:val="5"/>
        </w:numPr>
        <w:rPr>
          <w:rFonts w:eastAsia="Times New Roman" w:cs="Times New Roman"/>
          <w:szCs w:val="24"/>
        </w:rPr>
      </w:pPr>
      <w:r w:rsidRPr="00DA6489">
        <w:t>P</w:t>
      </w:r>
      <w:r w:rsidR="00520523" w:rsidRPr="00DA6489">
        <w:t xml:space="preserve">lan d’efficacité énergétique </w:t>
      </w:r>
      <w:r w:rsidR="004D46A6" w:rsidRPr="00DA6489">
        <w:t>(</w:t>
      </w:r>
      <w:r w:rsidR="00520523" w:rsidRPr="00DA6489">
        <w:t>voir le point 2.</w:t>
      </w:r>
      <w:r w:rsidR="0060595E" w:rsidRPr="00DA6489">
        <w:t>7</w:t>
      </w:r>
      <w:r w:rsidR="0042798C">
        <w:t>.</w:t>
      </w:r>
      <w:r w:rsidR="00520523" w:rsidRPr="00DA6489">
        <w:t>)</w:t>
      </w:r>
      <w:r w:rsidR="004D46A6" w:rsidRPr="00DA6489">
        <w:t xml:space="preserve"> </w:t>
      </w:r>
      <w:r w:rsidR="00520523" w:rsidRPr="00DA6489">
        <w:t>;</w:t>
      </w:r>
    </w:p>
    <w:p w14:paraId="0E9E9BEF" w14:textId="716E381D" w:rsidR="005C0576" w:rsidRPr="00DA6489" w:rsidRDefault="00C935A2">
      <w:pPr>
        <w:pStyle w:val="Paragraphedeliste"/>
        <w:numPr>
          <w:ilvl w:val="0"/>
          <w:numId w:val="5"/>
        </w:numPr>
        <w:rPr>
          <w:rFonts w:eastAsia="Times New Roman" w:cs="Times New Roman"/>
          <w:szCs w:val="24"/>
        </w:rPr>
      </w:pPr>
      <w:r w:rsidRPr="00DA6489">
        <w:t>P</w:t>
      </w:r>
      <w:r w:rsidR="00520523" w:rsidRPr="00DA6489">
        <w:t xml:space="preserve">lan de gestion de l’eau </w:t>
      </w:r>
      <w:r w:rsidR="004D46A6" w:rsidRPr="00DA6489">
        <w:t>(</w:t>
      </w:r>
      <w:r w:rsidR="00520523" w:rsidRPr="00DA6489">
        <w:t>voir le point 2.</w:t>
      </w:r>
      <w:r w:rsidR="0060595E" w:rsidRPr="00DA6489" w:rsidDel="0060595E">
        <w:t xml:space="preserve"> </w:t>
      </w:r>
      <w:r w:rsidR="00520523" w:rsidRPr="00DA6489">
        <w:t>9</w:t>
      </w:r>
      <w:r w:rsidR="0060595E" w:rsidRPr="00DA6489">
        <w:t>.</w:t>
      </w:r>
      <w:r w:rsidR="004D46A6" w:rsidRPr="00DA6489">
        <w:t xml:space="preserve">) </w:t>
      </w:r>
      <w:r w:rsidR="00520523" w:rsidRPr="00DA6489">
        <w:t>;</w:t>
      </w:r>
    </w:p>
    <w:p w14:paraId="75D0CA88" w14:textId="007BB8AF" w:rsidR="005C0576" w:rsidRPr="00DA6489" w:rsidRDefault="00C935A2">
      <w:pPr>
        <w:pStyle w:val="Paragraphedeliste"/>
        <w:numPr>
          <w:ilvl w:val="0"/>
          <w:numId w:val="5"/>
        </w:numPr>
        <w:rPr>
          <w:rFonts w:eastAsia="Times New Roman" w:cs="Times New Roman"/>
          <w:szCs w:val="24"/>
        </w:rPr>
      </w:pPr>
      <w:r w:rsidRPr="00DA6489">
        <w:t>P</w:t>
      </w:r>
      <w:r w:rsidR="00520523" w:rsidRPr="00DA6489">
        <w:t>lan de gestion du bruit et des vibrations (voir le point 2.</w:t>
      </w:r>
      <w:r w:rsidR="0060595E" w:rsidRPr="00DA6489">
        <w:t>12</w:t>
      </w:r>
      <w:r w:rsidR="00520523" w:rsidRPr="00DA6489">
        <w:t>.1</w:t>
      </w:r>
      <w:r w:rsidR="00FB3C25" w:rsidRPr="00DA6489">
        <w:t>.</w:t>
      </w:r>
      <w:r w:rsidR="00520523" w:rsidRPr="00DA6489">
        <w:t>)</w:t>
      </w:r>
      <w:r w:rsidR="004D46A6" w:rsidRPr="00DA6489">
        <w:t xml:space="preserve"> </w:t>
      </w:r>
      <w:r w:rsidR="00520523" w:rsidRPr="00DA6489">
        <w:t>;</w:t>
      </w:r>
    </w:p>
    <w:p w14:paraId="65F6B1C6" w14:textId="77777777" w:rsidR="005C0576" w:rsidRPr="00DA6489" w:rsidRDefault="00C935A2">
      <w:pPr>
        <w:pStyle w:val="Paragraphedeliste"/>
        <w:numPr>
          <w:ilvl w:val="0"/>
          <w:numId w:val="5"/>
        </w:numPr>
        <w:rPr>
          <w:rFonts w:eastAsia="Times New Roman" w:cs="Times New Roman"/>
          <w:szCs w:val="24"/>
        </w:rPr>
      </w:pPr>
      <w:r w:rsidRPr="00DA6489">
        <w:t>P</w:t>
      </w:r>
      <w:r w:rsidR="00520523" w:rsidRPr="00DA6489">
        <w:t xml:space="preserve">lan de gestion des résidus </w:t>
      </w:r>
      <w:r w:rsidR="004D46A6" w:rsidRPr="00DA6489">
        <w:t>(</w:t>
      </w:r>
      <w:r w:rsidR="00520523" w:rsidRPr="00DA6489">
        <w:t>voir le point 2.</w:t>
      </w:r>
      <w:r w:rsidR="0060595E" w:rsidRPr="00DA6489">
        <w:t>13</w:t>
      </w:r>
      <w:r w:rsidR="00520523" w:rsidRPr="00DA6489">
        <w:t>.1</w:t>
      </w:r>
      <w:r w:rsidR="00FB3C25" w:rsidRPr="00DA6489">
        <w:t>.</w:t>
      </w:r>
      <w:r w:rsidR="004D46A6" w:rsidRPr="00DA6489">
        <w:t>)</w:t>
      </w:r>
      <w:r w:rsidR="00520523" w:rsidRPr="00DA6489">
        <w:t>.</w:t>
      </w:r>
    </w:p>
    <w:p w14:paraId="440EE833" w14:textId="77777777" w:rsidR="005C0576" w:rsidRPr="00DA6489" w:rsidRDefault="00520523">
      <w:pPr>
        <w:rPr>
          <w:rFonts w:eastAsia="Times New Roman" w:cs="Times New Roman"/>
        </w:rPr>
      </w:pPr>
      <w:r w:rsidRPr="00DA6489">
        <w:rPr>
          <w:rFonts w:eastAsia="Times New Roman" w:cs="Times New Roman"/>
        </w:rPr>
        <w:t>Les installations dont le système de management environnemental a été certifié conforme, pour le périmètre de l’installation, à la norme internationale NF EN ISO 14001 ou au règlement (CE) n°</w:t>
      </w:r>
      <w:r w:rsidR="004D46A6" w:rsidRPr="00DA6489">
        <w:rPr>
          <w:rFonts w:eastAsia="Times New Roman" w:cs="Times New Roman"/>
        </w:rPr>
        <w:t xml:space="preserve"> </w:t>
      </w:r>
      <w:r w:rsidRPr="00DA6489">
        <w:rPr>
          <w:rFonts w:eastAsia="Times New Roman" w:cs="Times New Roman"/>
        </w:rPr>
        <w:t>1221/2009 du Parlement européen et du Conseil du 25 novembre 2009 concernant la participation volontaire des organisations à un système communautaire de management environnemental et d’audit (EMAS) par un organisme accrédité sont réputées conformes à ces exigences.</w:t>
      </w:r>
    </w:p>
    <w:p w14:paraId="0AEEBC41" w14:textId="39514107" w:rsidR="000D0A6D" w:rsidRDefault="000D0A6D" w:rsidP="000D0A6D">
      <w:r w:rsidRPr="00DA6489">
        <w:t xml:space="preserve">Le niveau de détail et le degré de formalisation du SME sont proportionnés </w:t>
      </w:r>
      <w:r w:rsidR="0074735E">
        <w:t>à</w:t>
      </w:r>
      <w:r w:rsidR="0074735E" w:rsidRPr="00DA6489">
        <w:t xml:space="preserve"> </w:t>
      </w:r>
      <w:r w:rsidRPr="00DA6489">
        <w:t xml:space="preserve">la nature, la taille et la complexité de l’installation, ainsi </w:t>
      </w:r>
      <w:r w:rsidR="0074735E" w:rsidRPr="00DA6489">
        <w:t>qu’</w:t>
      </w:r>
      <w:r w:rsidR="0074735E">
        <w:t>à</w:t>
      </w:r>
      <w:r w:rsidR="0074735E" w:rsidRPr="00DA6489">
        <w:t xml:space="preserve"> </w:t>
      </w:r>
      <w:r w:rsidRPr="00DA6489">
        <w:t>ses diverses incidences environnementales possibles.</w:t>
      </w:r>
    </w:p>
    <w:p w14:paraId="435F6648" w14:textId="77777777" w:rsidR="00443E50" w:rsidRPr="00DA6489" w:rsidRDefault="00443E50" w:rsidP="000D0A6D"/>
    <w:p w14:paraId="526850E7" w14:textId="10498151" w:rsidR="004E323C" w:rsidRPr="00DA6489" w:rsidRDefault="004E323C" w:rsidP="00443E50">
      <w:pPr>
        <w:pStyle w:val="Titre2"/>
      </w:pPr>
      <w:r w:rsidRPr="00DA6489">
        <w:t xml:space="preserve">2.2.  </w:t>
      </w:r>
      <w:r w:rsidR="00520523" w:rsidRPr="00DA6489">
        <w:t>Produits chimiques</w:t>
      </w:r>
    </w:p>
    <w:p w14:paraId="561F9D09" w14:textId="6EF2CB47" w:rsidR="004E323C" w:rsidRPr="00DA6489" w:rsidRDefault="004E323C" w:rsidP="00443E50">
      <w:pPr>
        <w:pStyle w:val="Titre30"/>
        <w:ind w:firstLine="708"/>
      </w:pPr>
      <w:r w:rsidRPr="00DA6489">
        <w:t xml:space="preserve">2.2.1 </w:t>
      </w:r>
      <w:r w:rsidR="00520523" w:rsidRPr="00DA6489">
        <w:t>Inventaire</w:t>
      </w:r>
    </w:p>
    <w:p w14:paraId="6B0280A0" w14:textId="77777777" w:rsidR="005C0576" w:rsidRPr="00DA6489" w:rsidRDefault="00520523">
      <w:r w:rsidRPr="00DA6489">
        <w:t>L’exploitant établit et tient à jour un inventaire des produits chimiques entrant dans les procédés et des flux d’effluents aqueux et gazeux, dans le cadre d’un SME (voir le point 2.1</w:t>
      </w:r>
      <w:r w:rsidR="00FB3C25" w:rsidRPr="00DA6489">
        <w:t>.</w:t>
      </w:r>
      <w:r w:rsidRPr="00DA6489">
        <w:t>) présentant toutes les caractéristiques suivantes :</w:t>
      </w:r>
    </w:p>
    <w:p w14:paraId="5A0D59A8" w14:textId="77777777" w:rsidR="005C0576" w:rsidRPr="00DA6489" w:rsidRDefault="00C935A2">
      <w:pPr>
        <w:pStyle w:val="Paragraphedeliste"/>
        <w:numPr>
          <w:ilvl w:val="0"/>
          <w:numId w:val="6"/>
        </w:numPr>
      </w:pPr>
      <w:r w:rsidRPr="00DA6489">
        <w:t>I</w:t>
      </w:r>
      <w:r w:rsidR="00520523" w:rsidRPr="00DA6489">
        <w:t>nformations sur les procédés de production, y compris :</w:t>
      </w:r>
    </w:p>
    <w:p w14:paraId="4D3572A6" w14:textId="77777777" w:rsidR="005C0576" w:rsidRPr="00DA6489" w:rsidRDefault="00C935A2">
      <w:pPr>
        <w:pStyle w:val="Paragraphedeliste"/>
        <w:numPr>
          <w:ilvl w:val="1"/>
          <w:numId w:val="6"/>
        </w:numPr>
      </w:pPr>
      <w:r w:rsidRPr="00DA6489">
        <w:t>D</w:t>
      </w:r>
      <w:r w:rsidR="00520523" w:rsidRPr="00DA6489">
        <w:t>es schémas simplifiés des procédés, montrant l’origine des émissions</w:t>
      </w:r>
      <w:r w:rsidRPr="00DA6489">
        <w:t> ;</w:t>
      </w:r>
    </w:p>
    <w:p w14:paraId="167C245F" w14:textId="7D387A9D" w:rsidR="005C0576" w:rsidRPr="00DA6489" w:rsidRDefault="00E240A4">
      <w:pPr>
        <w:pStyle w:val="Paragraphedeliste"/>
        <w:numPr>
          <w:ilvl w:val="1"/>
          <w:numId w:val="6"/>
        </w:numPr>
      </w:pPr>
      <w:r w:rsidRPr="00DA6489">
        <w:t>Des descriptions détaillées des techniques mises en œuvre en matière de prévention et de traitement à la source des émissions aqueuses et gazeuses, intégrées aux procédés ou appliquées en aval, assorties d’indications sur leurs performances environnementales</w:t>
      </w:r>
      <w:r w:rsidR="00776805">
        <w:t> ;</w:t>
      </w:r>
    </w:p>
    <w:p w14:paraId="338C10BA" w14:textId="77777777" w:rsidR="005C0576" w:rsidRPr="00DA6489" w:rsidRDefault="00C935A2">
      <w:pPr>
        <w:pStyle w:val="Paragraphedeliste"/>
        <w:numPr>
          <w:ilvl w:val="0"/>
          <w:numId w:val="6"/>
        </w:numPr>
      </w:pPr>
      <w:r w:rsidRPr="00DA6489">
        <w:lastRenderedPageBreak/>
        <w:t>I</w:t>
      </w:r>
      <w:r w:rsidR="00520523" w:rsidRPr="00DA6489">
        <w:t>nformations sur la quantité ou les caractéristiques des produits chimiques entrant dans les procédés :</w:t>
      </w:r>
    </w:p>
    <w:p w14:paraId="1F6A7C99" w14:textId="267005F8" w:rsidR="005C0576" w:rsidRPr="00DA6489" w:rsidRDefault="00C935A2">
      <w:pPr>
        <w:pStyle w:val="Paragraphedeliste"/>
        <w:numPr>
          <w:ilvl w:val="1"/>
          <w:numId w:val="6"/>
        </w:numPr>
      </w:pPr>
      <w:r w:rsidRPr="00DA6489">
        <w:t>I</w:t>
      </w:r>
      <w:r w:rsidR="00520523" w:rsidRPr="00DA6489">
        <w:t>dentité et caractéristiques des produits chimiques, y compris les propriétés ayant des effets néfastes sur l’environnement ou la santé humaine</w:t>
      </w:r>
      <w:r w:rsidRPr="00DA6489">
        <w:t> ;</w:t>
      </w:r>
    </w:p>
    <w:p w14:paraId="533AC8EE" w14:textId="32A1BB89" w:rsidR="005C0576" w:rsidRPr="00DA6489" w:rsidRDefault="00C935A2">
      <w:pPr>
        <w:pStyle w:val="Paragraphedeliste"/>
        <w:numPr>
          <w:ilvl w:val="1"/>
          <w:numId w:val="6"/>
        </w:numPr>
      </w:pPr>
      <w:r w:rsidRPr="00DA6489">
        <w:t>Q</w:t>
      </w:r>
      <w:r w:rsidR="00520523" w:rsidRPr="00DA6489">
        <w:t>uantité de produits chimiques utilisés et lieu de leur utilisation ;</w:t>
      </w:r>
    </w:p>
    <w:p w14:paraId="113B3A04" w14:textId="77777777" w:rsidR="005C0576" w:rsidRPr="00DA6489" w:rsidRDefault="00C935A2">
      <w:pPr>
        <w:pStyle w:val="Paragraphedeliste"/>
        <w:numPr>
          <w:ilvl w:val="0"/>
          <w:numId w:val="6"/>
        </w:numPr>
      </w:pPr>
      <w:r w:rsidRPr="00DA6489">
        <w:t>I</w:t>
      </w:r>
      <w:r w:rsidR="00520523" w:rsidRPr="00DA6489">
        <w:t>nformations sur les caractéristiques des flux d’effluents gazeux, notamment :</w:t>
      </w:r>
    </w:p>
    <w:p w14:paraId="282D5FFB" w14:textId="77777777" w:rsidR="005C0576" w:rsidRPr="00DA6489" w:rsidRDefault="00FB3C25">
      <w:pPr>
        <w:pStyle w:val="Paragraphedeliste"/>
        <w:numPr>
          <w:ilvl w:val="1"/>
          <w:numId w:val="6"/>
        </w:numPr>
      </w:pPr>
      <w:r w:rsidRPr="00DA6489">
        <w:t>V</w:t>
      </w:r>
      <w:r w:rsidR="00520523" w:rsidRPr="00DA6489">
        <w:t>aleurs moyennes et variabilité de débit et de température</w:t>
      </w:r>
      <w:r w:rsidRPr="00DA6489">
        <w:t> ;</w:t>
      </w:r>
    </w:p>
    <w:p w14:paraId="6FC7E052" w14:textId="77777777" w:rsidR="005C0576" w:rsidRPr="00DA6489" w:rsidRDefault="00FB3C25">
      <w:pPr>
        <w:pStyle w:val="Paragraphedeliste"/>
        <w:numPr>
          <w:ilvl w:val="1"/>
          <w:numId w:val="6"/>
        </w:numPr>
      </w:pPr>
      <w:r w:rsidRPr="00DA6489">
        <w:t>V</w:t>
      </w:r>
      <w:r w:rsidR="00520523" w:rsidRPr="00DA6489">
        <w:t>aleurs moyennes de concentration et de flux massique des substances pertinentes (par exemple, poussières, NO</w:t>
      </w:r>
      <w:r w:rsidR="00520523" w:rsidRPr="00DA6489">
        <w:rPr>
          <w:vertAlign w:val="subscript"/>
        </w:rPr>
        <w:t>X</w:t>
      </w:r>
      <w:r w:rsidR="00520523" w:rsidRPr="00DA6489">
        <w:t>, SO</w:t>
      </w:r>
      <w:r w:rsidR="00520523" w:rsidRPr="00DA6489">
        <w:rPr>
          <w:vertAlign w:val="subscript"/>
        </w:rPr>
        <w:t>2</w:t>
      </w:r>
      <w:r w:rsidR="00520523" w:rsidRPr="00DA6489">
        <w:t>, CO, métaux, acides) et variabilité de ces paramètres</w:t>
      </w:r>
      <w:r w:rsidRPr="00DA6489">
        <w:t> ;</w:t>
      </w:r>
    </w:p>
    <w:p w14:paraId="61F59635" w14:textId="77777777" w:rsidR="005C0576" w:rsidRPr="00DA6489" w:rsidRDefault="00FB3C25">
      <w:pPr>
        <w:pStyle w:val="Paragraphedeliste"/>
        <w:numPr>
          <w:ilvl w:val="1"/>
          <w:numId w:val="6"/>
        </w:numPr>
      </w:pPr>
      <w:r w:rsidRPr="00DA6489">
        <w:t>P</w:t>
      </w:r>
      <w:r w:rsidR="00520523" w:rsidRPr="00DA6489">
        <w:t>résence d’autres substances susceptibles d’avoir une incidence sur le système de traitement des effluents gazeux (par exemple, oxygène, azote, vapeur d’eau) ou sur la sécurité de l’unité.</w:t>
      </w:r>
    </w:p>
    <w:p w14:paraId="2590692A" w14:textId="77777777" w:rsidR="005C0576" w:rsidRPr="00DA6489" w:rsidRDefault="00520523">
      <w:r w:rsidRPr="00DA6489">
        <w:t xml:space="preserve">Le niveau de détail de l’inventaire est généralement fonction de la nature, de la taille et de la complexité de l’unité, ainsi que de ses diverses incidences environnementales possibles. </w:t>
      </w:r>
    </w:p>
    <w:p w14:paraId="301F380A" w14:textId="5399D7A0" w:rsidR="005C0576" w:rsidRDefault="00520523">
      <w:r w:rsidRPr="00DA6489">
        <w:t xml:space="preserve">Cet inventaire est mis à jour régulièrement (notamment lorsqu’un changement notable se produit) et </w:t>
      </w:r>
      <w:r w:rsidR="00E240A4" w:rsidRPr="00DA6489">
        <w:t>au moins</w:t>
      </w:r>
      <w:r w:rsidRPr="00DA6489">
        <w:t xml:space="preserve"> </w:t>
      </w:r>
      <w:r w:rsidR="00FB3C25" w:rsidRPr="00DA6489">
        <w:t>une</w:t>
      </w:r>
      <w:r w:rsidRPr="00DA6489">
        <w:t xml:space="preserve"> fois par an. Il est tenu à la disposition de l’inspection des installations classées</w:t>
      </w:r>
      <w:r w:rsidR="00E240A4" w:rsidRPr="00DA6489">
        <w:t>,</w:t>
      </w:r>
      <w:r w:rsidRPr="00DA6489">
        <w:t xml:space="preserve"> ainsi que tous les documents nécessaires à sa traçabilité.</w:t>
      </w:r>
    </w:p>
    <w:p w14:paraId="4FF1F4CF" w14:textId="77777777" w:rsidR="00443E50" w:rsidRPr="00DA6489" w:rsidRDefault="00443E50"/>
    <w:p w14:paraId="11F0807C" w14:textId="3DE3B631" w:rsidR="004E323C" w:rsidRPr="00DA6489" w:rsidRDefault="00FB3C25" w:rsidP="00AD29EF">
      <w:pPr>
        <w:pStyle w:val="Titre30"/>
        <w:ind w:firstLine="708"/>
      </w:pPr>
      <w:r w:rsidRPr="00DA6489">
        <w:t xml:space="preserve">2.2.2. </w:t>
      </w:r>
      <w:r w:rsidR="00520523" w:rsidRPr="00DA6489">
        <w:t>Système de gestion des produits chimiques</w:t>
      </w:r>
    </w:p>
    <w:p w14:paraId="2D777FDB" w14:textId="5B597529" w:rsidR="005C0576" w:rsidRPr="00DA6489" w:rsidRDefault="00520523">
      <w:r w:rsidRPr="00DA6489">
        <w:t>L’exploitant met en place et applique un système de gestion des produits chimiques (SGPC) dans le cadre du SME (voir le point 2.1) présentant toutes les caractéristiques suivantes :</w:t>
      </w:r>
    </w:p>
    <w:p w14:paraId="5C70B538" w14:textId="77777777" w:rsidR="005C0576" w:rsidRPr="00DA6489" w:rsidRDefault="00FB3C25">
      <w:pPr>
        <w:pStyle w:val="Paragraphedeliste"/>
        <w:numPr>
          <w:ilvl w:val="0"/>
          <w:numId w:val="7"/>
        </w:numPr>
      </w:pPr>
      <w:r w:rsidRPr="00DA6489">
        <w:t>P</w:t>
      </w:r>
      <w:r w:rsidR="00520523" w:rsidRPr="00DA6489">
        <w:t>olitique de réduction de la consommation des produits chimiques et des risques liés à ces derniers, y compris une politique d’achat visant à sélectionner des produits chimiques moins nocifs et leurs fournisseurs dans le but de minimiser l’utilisation et les risques des substances dangereuses et d’éviter l’achat d’une quantité excessive de produits chimiques. La sélection des produits chimiques entrant dans les procédés peut notamment tenir compte des éléments suivants :</w:t>
      </w:r>
    </w:p>
    <w:p w14:paraId="6AE51C2D" w14:textId="77777777" w:rsidR="005C0576" w:rsidRPr="00DA6489" w:rsidRDefault="00FB3C25">
      <w:pPr>
        <w:pStyle w:val="Paragraphedeliste"/>
        <w:numPr>
          <w:ilvl w:val="1"/>
          <w:numId w:val="7"/>
        </w:numPr>
      </w:pPr>
      <w:r w:rsidRPr="00DA6489">
        <w:t>L</w:t>
      </w:r>
      <w:r w:rsidR="00520523" w:rsidRPr="00DA6489">
        <w:t>eur capacité à être éliminés, leur écotoxicité et leur potentiel de rejet dans l’environnement afin de réduire les émissions dans l’environnement</w:t>
      </w:r>
      <w:r w:rsidRPr="00DA6489">
        <w:t> ;</w:t>
      </w:r>
    </w:p>
    <w:p w14:paraId="7276EDB2" w14:textId="77777777" w:rsidR="005C0576" w:rsidRPr="00DA6489" w:rsidRDefault="00FB3C25">
      <w:pPr>
        <w:pStyle w:val="Paragraphedeliste"/>
        <w:numPr>
          <w:ilvl w:val="1"/>
          <w:numId w:val="7"/>
        </w:numPr>
      </w:pPr>
      <w:r w:rsidRPr="00DA6489">
        <w:t>L</w:t>
      </w:r>
      <w:r w:rsidR="00520523" w:rsidRPr="00DA6489">
        <w:t>a caractérisation des risques associés aux produits chimiques entrant dans les procédés, sur la base des mentions de danger relatives aux produits, du cheminement de ces derniers dans l’unité, des rejets potentiels et du niveau d’exposition</w:t>
      </w:r>
      <w:r w:rsidRPr="00DA6489">
        <w:t> ;</w:t>
      </w:r>
    </w:p>
    <w:p w14:paraId="5789AF89" w14:textId="77777777" w:rsidR="005C0576" w:rsidRPr="00DA6489" w:rsidRDefault="00FB3C25">
      <w:pPr>
        <w:pStyle w:val="Paragraphedeliste"/>
        <w:numPr>
          <w:ilvl w:val="1"/>
          <w:numId w:val="7"/>
        </w:numPr>
      </w:pPr>
      <w:r w:rsidRPr="00DA6489">
        <w:t>L</w:t>
      </w:r>
      <w:r w:rsidR="00520523" w:rsidRPr="00DA6489">
        <w:t>’analyse annuelle des possibilités de remplacement des substances dangereuses par de nouvelles solutions disponibles et plus sûres (par exemple, l’utilisation dans les procédés d’autres produits chimiques ayant des incidences environnementales nulles ou moindres, voir le point 2.</w:t>
      </w:r>
      <w:r w:rsidR="004A2741" w:rsidRPr="00DA6489">
        <w:t>6</w:t>
      </w:r>
      <w:r w:rsidRPr="00DA6489">
        <w:t>.</w:t>
      </w:r>
      <w:r w:rsidR="00520523" w:rsidRPr="00DA6489">
        <w:t>)</w:t>
      </w:r>
      <w:r w:rsidRPr="00DA6489">
        <w:t> ;</w:t>
      </w:r>
    </w:p>
    <w:p w14:paraId="58200DEF" w14:textId="77777777" w:rsidR="005C0576" w:rsidRPr="00DA6489" w:rsidRDefault="00FB3C25">
      <w:pPr>
        <w:pStyle w:val="Paragraphedeliste"/>
        <w:numPr>
          <w:ilvl w:val="1"/>
          <w:numId w:val="7"/>
        </w:numPr>
      </w:pPr>
      <w:r w:rsidRPr="00DA6489">
        <w:t>L</w:t>
      </w:r>
      <w:r w:rsidR="00520523" w:rsidRPr="00DA6489">
        <w:t>e suivi anticipé des modifications réglementaires liées aux produits chimiques dangereux et la garantie du respect des dispositions légales applicables.</w:t>
      </w:r>
    </w:p>
    <w:p w14:paraId="60C36AA1" w14:textId="77777777" w:rsidR="005C0576" w:rsidRPr="00DA6489" w:rsidRDefault="00520523">
      <w:pPr>
        <w:pStyle w:val="Paragraphedeliste"/>
      </w:pPr>
      <w:r w:rsidRPr="00DA6489">
        <w:t>L’inventaire des produits chimiques entrant dans les procédés (voir le point 2.2</w:t>
      </w:r>
      <w:r w:rsidR="00FB3C25" w:rsidRPr="00DA6489">
        <w:t>.</w:t>
      </w:r>
      <w:r w:rsidR="0072125E" w:rsidRPr="00DA6489">
        <w:t>1.</w:t>
      </w:r>
      <w:r w:rsidRPr="00DA6489">
        <w:t>) peut servir de base à la sélection de ces produits chimiques ;</w:t>
      </w:r>
    </w:p>
    <w:p w14:paraId="43DE9667" w14:textId="77777777" w:rsidR="005C0576" w:rsidRPr="00DA6489" w:rsidRDefault="00FB3C25">
      <w:pPr>
        <w:pStyle w:val="Paragraphedeliste"/>
        <w:numPr>
          <w:ilvl w:val="0"/>
          <w:numId w:val="7"/>
        </w:numPr>
      </w:pPr>
      <w:r w:rsidRPr="00DA6489">
        <w:t>D</w:t>
      </w:r>
      <w:r w:rsidR="00520523" w:rsidRPr="00DA6489">
        <w:t>es objectifs et des plans d’action visant à éviter ou à réduire l’utilisation et les risques des substances dangereuses</w:t>
      </w:r>
      <w:r w:rsidRPr="00DA6489">
        <w:t xml:space="preserve"> </w:t>
      </w:r>
      <w:r w:rsidR="00520523" w:rsidRPr="00DA6489">
        <w:t>;</w:t>
      </w:r>
    </w:p>
    <w:p w14:paraId="4D3CC72E" w14:textId="77777777" w:rsidR="005C0576" w:rsidRPr="00DA6489" w:rsidRDefault="00FB3C25">
      <w:pPr>
        <w:pStyle w:val="Paragraphedeliste"/>
        <w:numPr>
          <w:ilvl w:val="0"/>
          <w:numId w:val="7"/>
        </w:numPr>
      </w:pPr>
      <w:r w:rsidRPr="00DA6489">
        <w:t>L</w:t>
      </w:r>
      <w:r w:rsidR="00520523" w:rsidRPr="00DA6489">
        <w:t>’élaboration et la mise en œuvre de procédures concernant l’achat, la manipulation, le stockage et l’utilisation des produits chimiques entrant dans les procédés afin de prévenir ou de réduire les émissions dans l’environnement</w:t>
      </w:r>
      <w:r w:rsidR="004A2741" w:rsidRPr="00DA6489">
        <w:t>.</w:t>
      </w:r>
    </w:p>
    <w:p w14:paraId="2FB220C7" w14:textId="77777777" w:rsidR="005C0576" w:rsidRPr="00DA6489" w:rsidRDefault="00520523">
      <w:r w:rsidRPr="00DA6489">
        <w:lastRenderedPageBreak/>
        <w:t>Le niveau de détail du SGPC est généralement fonction de la nature, de la taille et de la complexité de l’unité</w:t>
      </w:r>
      <w:r w:rsidR="00FB3C25" w:rsidRPr="00DA6489">
        <w:t>.</w:t>
      </w:r>
    </w:p>
    <w:p w14:paraId="5FA04FCD" w14:textId="7896E31D" w:rsidR="005C0576" w:rsidRPr="00DA6489" w:rsidRDefault="00520523">
      <w:r w:rsidRPr="00DA6489">
        <w:t xml:space="preserve">Ce système de gestion des produits chimiques est mis à jour régulièrement et </w:t>
      </w:r>
      <w:r w:rsidR="00E240A4" w:rsidRPr="00DA6489">
        <w:t>au moins</w:t>
      </w:r>
      <w:r w:rsidRPr="00DA6489">
        <w:t xml:space="preserve"> </w:t>
      </w:r>
      <w:r w:rsidR="00117C9D" w:rsidRPr="00DA6489">
        <w:t>une</w:t>
      </w:r>
      <w:r w:rsidRPr="00DA6489">
        <w:t xml:space="preserve"> fois </w:t>
      </w:r>
      <w:r w:rsidR="008814F2" w:rsidRPr="00DA6489">
        <w:t xml:space="preserve">tous les </w:t>
      </w:r>
      <w:r w:rsidRPr="00DA6489">
        <w:t>an</w:t>
      </w:r>
      <w:r w:rsidR="008814F2" w:rsidRPr="00DA6489">
        <w:t>s (hors modification notable)</w:t>
      </w:r>
      <w:r w:rsidRPr="00DA6489">
        <w:t>. Il est tenu à la disposition de l’inspection des installations classées</w:t>
      </w:r>
      <w:r w:rsidR="00E240A4" w:rsidRPr="00DA6489">
        <w:t>,</w:t>
      </w:r>
      <w:r w:rsidRPr="00DA6489">
        <w:t xml:space="preserve"> ainsi que tous les documents nécessaires à sa traçabilité.</w:t>
      </w:r>
    </w:p>
    <w:p w14:paraId="4F93C326" w14:textId="77777777" w:rsidR="004E323C" w:rsidRPr="00DA6489" w:rsidRDefault="004E323C"/>
    <w:p w14:paraId="24225FB0" w14:textId="77777777" w:rsidR="005C0576" w:rsidRPr="00DA6489" w:rsidRDefault="00520523" w:rsidP="004E323C">
      <w:pPr>
        <w:pStyle w:val="Titre2"/>
      </w:pPr>
      <w:r w:rsidRPr="00DA6489">
        <w:tab/>
        <w:t>2.3</w:t>
      </w:r>
      <w:r w:rsidR="007B0D48" w:rsidRPr="00DA6489">
        <w:t>.</w:t>
      </w:r>
      <w:r w:rsidRPr="00DA6489">
        <w:t xml:space="preserve"> Pollution des sols et des eaux souterraines</w:t>
      </w:r>
    </w:p>
    <w:p w14:paraId="55BDB236" w14:textId="4C99BC4D" w:rsidR="005C0576" w:rsidRPr="00DA6489" w:rsidRDefault="00520523">
      <w:r w:rsidRPr="00DA6489">
        <w:t>L’exploitant évite ou réduit les émissions dans le sol et les eaux souterraines en appliquant toutes les techniques énumérées ci-dessous.</w:t>
      </w:r>
    </w:p>
    <w:tbl>
      <w:tblPr>
        <w:tblW w:w="5000" w:type="pct"/>
        <w:tblLayout w:type="fixed"/>
        <w:tblLook w:val="01E0" w:firstRow="1" w:lastRow="1" w:firstColumn="1" w:lastColumn="1" w:noHBand="0" w:noVBand="0"/>
      </w:tblPr>
      <w:tblGrid>
        <w:gridCol w:w="327"/>
        <w:gridCol w:w="2401"/>
        <w:gridCol w:w="3865"/>
        <w:gridCol w:w="1901"/>
      </w:tblGrid>
      <w:tr w:rsidR="005C0576" w:rsidRPr="00DA6489" w14:paraId="74F8DF22" w14:textId="77777777">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tcPr>
          <w:p w14:paraId="696AA233" w14:textId="77777777" w:rsidR="005C0576" w:rsidRPr="00DA6489" w:rsidRDefault="00520523">
            <w:pPr>
              <w:widowControl w:val="0"/>
              <w:rPr>
                <w:b/>
              </w:rPr>
            </w:pPr>
            <w:r w:rsidRPr="00DA6489">
              <w:rPr>
                <w:b/>
              </w:rPr>
              <w:t>Technique</w:t>
            </w:r>
            <w:r w:rsidR="00FB3C25" w:rsidRPr="00DA6489">
              <w:rPr>
                <w:b/>
              </w:rPr>
              <w:t>s</w:t>
            </w:r>
          </w:p>
        </w:tc>
        <w:tc>
          <w:tcPr>
            <w:tcW w:w="3869" w:type="dxa"/>
            <w:tcBorders>
              <w:top w:val="single" w:sz="4" w:space="0" w:color="000000"/>
              <w:left w:val="single" w:sz="4" w:space="0" w:color="000000"/>
              <w:bottom w:val="single" w:sz="4" w:space="0" w:color="000000"/>
              <w:right w:val="single" w:sz="4" w:space="0" w:color="000000"/>
            </w:tcBorders>
            <w:shd w:val="clear" w:color="auto" w:fill="auto"/>
          </w:tcPr>
          <w:p w14:paraId="3ADD5D89" w14:textId="77777777" w:rsidR="005C0576" w:rsidRPr="00DA6489" w:rsidRDefault="00520523">
            <w:pPr>
              <w:widowControl w:val="0"/>
              <w:rPr>
                <w:b/>
              </w:rPr>
            </w:pPr>
            <w:r w:rsidRPr="00DA6489">
              <w:rPr>
                <w:b/>
              </w:rPr>
              <w:t>Description</w:t>
            </w:r>
          </w:p>
        </w:tc>
        <w:tc>
          <w:tcPr>
            <w:tcW w:w="1903" w:type="dxa"/>
            <w:tcBorders>
              <w:top w:val="single" w:sz="4" w:space="0" w:color="000000"/>
              <w:left w:val="single" w:sz="4" w:space="0" w:color="000000"/>
              <w:bottom w:val="single" w:sz="4" w:space="0" w:color="000000"/>
              <w:right w:val="single" w:sz="4" w:space="0" w:color="000000"/>
            </w:tcBorders>
          </w:tcPr>
          <w:p w14:paraId="595A36E5" w14:textId="77777777" w:rsidR="005C0576" w:rsidRPr="00DA6489" w:rsidRDefault="00520523">
            <w:pPr>
              <w:widowControl w:val="0"/>
              <w:rPr>
                <w:b/>
              </w:rPr>
            </w:pPr>
            <w:r w:rsidRPr="00DA6489">
              <w:rPr>
                <w:b/>
              </w:rPr>
              <w:t>Applicabilité</w:t>
            </w:r>
          </w:p>
        </w:tc>
      </w:tr>
      <w:tr w:rsidR="005C0576" w:rsidRPr="00DA6489" w14:paraId="23FF4CA1" w14:textId="77777777">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5036E" w14:textId="77777777" w:rsidR="005C0576" w:rsidRPr="00DA6489" w:rsidRDefault="00520523">
            <w:pPr>
              <w:widowControl w:val="0"/>
            </w:pPr>
            <w:proofErr w:type="gramStart"/>
            <w:r w:rsidRPr="00DA6489">
              <w:t>a</w:t>
            </w:r>
            <w:proofErr w:type="gramEnd"/>
          </w:p>
        </w:tc>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151FB" w14:textId="77777777" w:rsidR="005C0576" w:rsidRPr="00DA6489" w:rsidRDefault="00520523">
            <w:pPr>
              <w:widowControl w:val="0"/>
            </w:pPr>
            <w:r w:rsidRPr="00DA6489">
              <w:t>Établissement et mise en œuvre d’un plan de prévention et de contrôle des fuites et des déversements</w:t>
            </w:r>
          </w:p>
        </w:tc>
        <w:tc>
          <w:tcPr>
            <w:tcW w:w="3869" w:type="dxa"/>
            <w:tcBorders>
              <w:top w:val="single" w:sz="4" w:space="0" w:color="000000"/>
              <w:left w:val="single" w:sz="4" w:space="0" w:color="000000"/>
              <w:bottom w:val="single" w:sz="4" w:space="0" w:color="000000"/>
              <w:right w:val="single" w:sz="4" w:space="0" w:color="000000"/>
            </w:tcBorders>
            <w:shd w:val="clear" w:color="auto" w:fill="auto"/>
          </w:tcPr>
          <w:p w14:paraId="5AA2B471" w14:textId="2ACE56BE" w:rsidR="005C0576" w:rsidRPr="00DA6489" w:rsidRDefault="00520523">
            <w:pPr>
              <w:widowControl w:val="0"/>
            </w:pPr>
            <w:r w:rsidRPr="00DA6489">
              <w:t>Un plan de prévention et de contrôle des fuites et des déversements fait partie du SME (voir le point 2.1</w:t>
            </w:r>
            <w:r w:rsidR="00604572">
              <w:t>.</w:t>
            </w:r>
            <w:r w:rsidRPr="00DA6489">
              <w:t>) et comprend, sans s’y limiter :</w:t>
            </w:r>
          </w:p>
          <w:p w14:paraId="2EF13DFA" w14:textId="4982283B" w:rsidR="005C0576" w:rsidRPr="00DA6489" w:rsidRDefault="00FB3C25">
            <w:pPr>
              <w:widowControl w:val="0"/>
            </w:pPr>
            <w:r w:rsidRPr="00DA6489">
              <w:t xml:space="preserve">- </w:t>
            </w:r>
            <w:r w:rsidR="00E240A4" w:rsidRPr="00DA6489">
              <w:t xml:space="preserve">des </w:t>
            </w:r>
            <w:r w:rsidR="00520523" w:rsidRPr="00DA6489">
              <w:t>plans d’action en cas de déversements de faibles ou de grandes quantités de produits sur le site ;</w:t>
            </w:r>
          </w:p>
          <w:p w14:paraId="77E35B03" w14:textId="518C0D7A" w:rsidR="005C0576" w:rsidRPr="00DA6489" w:rsidRDefault="00FB3C25">
            <w:pPr>
              <w:widowControl w:val="0"/>
            </w:pPr>
            <w:r w:rsidRPr="00DA6489">
              <w:t xml:space="preserve">- </w:t>
            </w:r>
            <w:r w:rsidR="00E240A4" w:rsidRPr="00DA6489">
              <w:t xml:space="preserve">l’identification </w:t>
            </w:r>
            <w:r w:rsidR="00520523" w:rsidRPr="00DA6489">
              <w:t>des rôles et des responsabilités des personnes concernées ;</w:t>
            </w:r>
          </w:p>
          <w:p w14:paraId="68276EF5" w14:textId="3CFDB674" w:rsidR="005C0576" w:rsidRPr="00DA6489" w:rsidRDefault="00FB3C25">
            <w:pPr>
              <w:widowControl w:val="0"/>
            </w:pPr>
            <w:r w:rsidRPr="00DA6489">
              <w:t xml:space="preserve">- </w:t>
            </w:r>
            <w:r w:rsidR="00E240A4" w:rsidRPr="00DA6489">
              <w:t xml:space="preserve">la </w:t>
            </w:r>
            <w:r w:rsidR="00520523" w:rsidRPr="00DA6489">
              <w:t xml:space="preserve">sensibilisation et la formation du personnel aux questions </w:t>
            </w:r>
            <w:r w:rsidR="00E240A4" w:rsidRPr="00DA6489">
              <w:t>de protection de l’</w:t>
            </w:r>
            <w:r w:rsidR="00520523" w:rsidRPr="00DA6489">
              <w:t>environnement afin de garantir la prévention des déversements et une réaction appropriée en cas de déversement ;</w:t>
            </w:r>
          </w:p>
          <w:p w14:paraId="4BD8AA5C" w14:textId="6B3D497D" w:rsidR="005C0576" w:rsidRPr="00DA6489" w:rsidRDefault="00FB3C25">
            <w:pPr>
              <w:widowControl w:val="0"/>
            </w:pPr>
            <w:r w:rsidRPr="00DA6489">
              <w:t xml:space="preserve">- </w:t>
            </w:r>
            <w:r w:rsidR="00E240A4" w:rsidRPr="00DA6489">
              <w:t xml:space="preserve">l’identification </w:t>
            </w:r>
            <w:r w:rsidR="00520523" w:rsidRPr="00DA6489">
              <w:t>des zones exposées au risque de déversement et/ou de fuites de matières dangereuses, et leur classement en fonction du risque ;</w:t>
            </w:r>
          </w:p>
          <w:p w14:paraId="520C60D7" w14:textId="1020CA72" w:rsidR="005C0576" w:rsidRPr="00DA6489" w:rsidRDefault="00FB3C25">
            <w:pPr>
              <w:widowControl w:val="0"/>
            </w:pPr>
            <w:r w:rsidRPr="00DA6489">
              <w:t xml:space="preserve">- </w:t>
            </w:r>
            <w:r w:rsidR="00E240A4" w:rsidRPr="00DA6489">
              <w:t xml:space="preserve">la </w:t>
            </w:r>
            <w:r w:rsidR="00520523" w:rsidRPr="00DA6489">
              <w:t>mise en place d’un équipement approprié de confinement des déversements et de nettoyage et la vérification régulière de sa disponibilité, de son bon état de marche et de sa proximité des lieux où ces incidents sont susceptibles de se produire ;</w:t>
            </w:r>
          </w:p>
          <w:p w14:paraId="3FEBF4A4" w14:textId="77FB42B1" w:rsidR="005C0576" w:rsidRPr="00DA6489" w:rsidRDefault="00FB3C25">
            <w:pPr>
              <w:widowControl w:val="0"/>
            </w:pPr>
            <w:r w:rsidRPr="00DA6489">
              <w:t xml:space="preserve">- </w:t>
            </w:r>
            <w:r w:rsidR="00E240A4" w:rsidRPr="00DA6489">
              <w:t xml:space="preserve">des </w:t>
            </w:r>
            <w:r w:rsidR="00520523" w:rsidRPr="00DA6489">
              <w:t>directives relatives à la gestion des déchets résultant de déversements ;</w:t>
            </w:r>
          </w:p>
          <w:p w14:paraId="5A151DEE" w14:textId="47C28DA6" w:rsidR="005C0576" w:rsidRPr="00DA6489" w:rsidRDefault="00FB3C25">
            <w:pPr>
              <w:widowControl w:val="0"/>
            </w:pPr>
            <w:r w:rsidRPr="00DA6489">
              <w:t xml:space="preserve">- </w:t>
            </w:r>
            <w:r w:rsidR="00E240A4" w:rsidRPr="00DA6489">
              <w:t xml:space="preserve">des </w:t>
            </w:r>
            <w:r w:rsidR="00520523" w:rsidRPr="00DA6489">
              <w:t xml:space="preserve">autocontrôles réguliers des lieux de stockage et de manutention, la vérification et l’étalonnage du matériel de détection des fuites et la réparation rapide des fuites des vannes, manchons, brides, </w:t>
            </w:r>
            <w:r w:rsidR="00520523" w:rsidRPr="00DA6489">
              <w:lastRenderedPageBreak/>
              <w:t>etc.</w:t>
            </w:r>
          </w:p>
        </w:tc>
        <w:tc>
          <w:tcPr>
            <w:tcW w:w="1903" w:type="dxa"/>
            <w:tcBorders>
              <w:top w:val="single" w:sz="4" w:space="0" w:color="000000"/>
              <w:left w:val="single" w:sz="4" w:space="0" w:color="000000"/>
              <w:bottom w:val="single" w:sz="4" w:space="0" w:color="000000"/>
              <w:right w:val="single" w:sz="4" w:space="0" w:color="000000"/>
            </w:tcBorders>
            <w:vAlign w:val="center"/>
          </w:tcPr>
          <w:p w14:paraId="772A11F1" w14:textId="77777777" w:rsidR="005C0576" w:rsidRPr="00DA6489" w:rsidRDefault="00520523">
            <w:pPr>
              <w:widowControl w:val="0"/>
            </w:pPr>
            <w:r w:rsidRPr="00DA6489">
              <w:lastRenderedPageBreak/>
              <w:t>Le niveau de détail du plan est généralement fonction de la nature, de l’ampleur et de la complexité de l’unité, ainsi que du type et de la quantité des liquides utilisés.</w:t>
            </w:r>
          </w:p>
        </w:tc>
      </w:tr>
      <w:tr w:rsidR="005C0576" w:rsidRPr="00DA6489" w14:paraId="0DC46E58" w14:textId="77777777">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B7C8E" w14:textId="77777777" w:rsidR="005C0576" w:rsidRPr="00DA6489" w:rsidRDefault="00520523">
            <w:pPr>
              <w:widowControl w:val="0"/>
            </w:pPr>
            <w:proofErr w:type="gramStart"/>
            <w:r w:rsidRPr="00DA6489">
              <w:t>b</w:t>
            </w:r>
            <w:proofErr w:type="gramEnd"/>
          </w:p>
        </w:tc>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612AC" w14:textId="77777777" w:rsidR="005C0576" w:rsidRPr="00DA6489" w:rsidRDefault="00520523">
            <w:pPr>
              <w:widowControl w:val="0"/>
            </w:pPr>
            <w:r w:rsidRPr="00DA6489">
              <w:t>Utilisation de bacs ou de rétentions étanches à l’huile</w:t>
            </w:r>
          </w:p>
        </w:tc>
        <w:tc>
          <w:tcPr>
            <w:tcW w:w="38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74E70" w14:textId="4ED494BC" w:rsidR="005C0576" w:rsidRPr="00DA6489" w:rsidRDefault="00520523">
            <w:pPr>
              <w:widowControl w:val="0"/>
            </w:pPr>
            <w:r w:rsidRPr="00DA6489">
              <w:t xml:space="preserve">Les stations hydrauliques et les équipements lubrifiés à l’huile ou à la graisse sont situés sur des bacs de rétention ou dans </w:t>
            </w:r>
            <w:r w:rsidR="00443E50">
              <w:t>des fosses</w:t>
            </w:r>
            <w:r w:rsidRPr="00DA6489">
              <w:t xml:space="preserve"> étanches à l’huile.</w:t>
            </w:r>
          </w:p>
        </w:tc>
        <w:tc>
          <w:tcPr>
            <w:tcW w:w="1903" w:type="dxa"/>
            <w:tcBorders>
              <w:top w:val="single" w:sz="4" w:space="0" w:color="000000"/>
              <w:left w:val="single" w:sz="4" w:space="0" w:color="000000"/>
              <w:bottom w:val="single" w:sz="4" w:space="0" w:color="000000"/>
              <w:right w:val="single" w:sz="4" w:space="0" w:color="000000"/>
            </w:tcBorders>
            <w:vAlign w:val="center"/>
          </w:tcPr>
          <w:p w14:paraId="3129057E" w14:textId="77777777" w:rsidR="005C0576" w:rsidRPr="00DA6489" w:rsidRDefault="00F95481">
            <w:pPr>
              <w:widowControl w:val="0"/>
            </w:pPr>
            <w:r w:rsidRPr="00DA6489">
              <w:t>Applicable d’une manière générale en présence de stations hydrauliques ou d’équipements lubrifiés à l’huile. </w:t>
            </w:r>
          </w:p>
        </w:tc>
      </w:tr>
      <w:tr w:rsidR="005C0576" w:rsidRPr="00DA6489" w14:paraId="2316152E" w14:textId="77777777">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9E8F4" w14:textId="77777777" w:rsidR="005C0576" w:rsidRPr="00DA6489" w:rsidRDefault="00A749E4">
            <w:pPr>
              <w:widowControl w:val="0"/>
            </w:pPr>
            <w:r w:rsidRPr="00DA6489">
              <w:t xml:space="preserve"> </w:t>
            </w:r>
            <w:proofErr w:type="gramStart"/>
            <w:r w:rsidR="00520523" w:rsidRPr="00DA6489">
              <w:t>c</w:t>
            </w:r>
            <w:proofErr w:type="gramEnd"/>
          </w:p>
        </w:tc>
        <w:tc>
          <w:tcPr>
            <w:tcW w:w="24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AC151" w14:textId="77777777" w:rsidR="005C0576" w:rsidRPr="00DA6489" w:rsidRDefault="00520523">
            <w:pPr>
              <w:widowControl w:val="0"/>
            </w:pPr>
            <w:r w:rsidRPr="00DA6489">
              <w:t>Prévention et traitement des déversements et des fuites d’acide</w:t>
            </w:r>
          </w:p>
        </w:tc>
        <w:tc>
          <w:tcPr>
            <w:tcW w:w="38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710C0" w14:textId="77777777" w:rsidR="00D34654" w:rsidRPr="00DA6489" w:rsidRDefault="00520523">
            <w:pPr>
              <w:widowControl w:val="0"/>
            </w:pPr>
            <w:r w:rsidRPr="00DA6489">
              <w:t>Les réservoirs de stockage destinés tant à l’acide neuf qu’à l’acide usé sont équipés d’un confinement secondaire étanche protégé par un revêtement résistant à l’acide, soumis à des autocontrôles réguli</w:t>
            </w:r>
            <w:r w:rsidR="00D34654" w:rsidRPr="00DA6489">
              <w:t>er</w:t>
            </w:r>
            <w:r w:rsidRPr="00DA6489">
              <w:t>s pour détecter d’éventuelles détériorations et fissures</w:t>
            </w:r>
            <w:r w:rsidR="00D34654" w:rsidRPr="00DA6489">
              <w:t>.</w:t>
            </w:r>
          </w:p>
          <w:p w14:paraId="16AA64CD" w14:textId="77777777" w:rsidR="005C0576" w:rsidRPr="00DA6489" w:rsidRDefault="00520523">
            <w:pPr>
              <w:widowControl w:val="0"/>
            </w:pPr>
            <w:r w:rsidRPr="00DA6489">
              <w:t>Les zones de chargement et de déchargement des acides sont conçues de manière à ce que les déversements et les fuites potentiels soient contenus et évacués vers un système de traitement sur site ou hors site.</w:t>
            </w:r>
          </w:p>
        </w:tc>
        <w:tc>
          <w:tcPr>
            <w:tcW w:w="1903" w:type="dxa"/>
            <w:tcBorders>
              <w:top w:val="single" w:sz="4" w:space="0" w:color="000000"/>
              <w:left w:val="single" w:sz="4" w:space="0" w:color="000000"/>
              <w:bottom w:val="single" w:sz="4" w:space="0" w:color="000000"/>
              <w:right w:val="single" w:sz="4" w:space="0" w:color="000000"/>
            </w:tcBorders>
            <w:vAlign w:val="center"/>
          </w:tcPr>
          <w:p w14:paraId="21E9D827" w14:textId="77777777" w:rsidR="005C0576" w:rsidRPr="00DA6489" w:rsidRDefault="00F95481">
            <w:pPr>
              <w:widowControl w:val="0"/>
            </w:pPr>
            <w:r w:rsidRPr="00DA6489">
              <w:t>Applicable d’une manière générale en présence de stockage</w:t>
            </w:r>
            <w:r w:rsidR="00CE27C4" w:rsidRPr="00DA6489">
              <w:t>s</w:t>
            </w:r>
            <w:r w:rsidRPr="00DA6489">
              <w:t xml:space="preserve"> destinés tant à l’acide neuf qu’à l’acide usé. </w:t>
            </w:r>
          </w:p>
        </w:tc>
      </w:tr>
    </w:tbl>
    <w:p w14:paraId="2137445A" w14:textId="4C5ADB4B" w:rsidR="00F95481" w:rsidRPr="00DA6489" w:rsidRDefault="00520523">
      <w:pPr>
        <w:pStyle w:val="Titre20"/>
        <w:rPr>
          <w:b w:val="0"/>
          <w:bCs/>
          <w:sz w:val="22"/>
          <w:szCs w:val="22"/>
        </w:rPr>
      </w:pPr>
      <w:r w:rsidRPr="00DA6489">
        <w:rPr>
          <w:b w:val="0"/>
          <w:bCs/>
          <w:sz w:val="22"/>
          <w:szCs w:val="22"/>
        </w:rPr>
        <w:t xml:space="preserve">L’exploitant tient un registre indiquant l’ensemble des autocontrôles relatifs aux mesures </w:t>
      </w:r>
      <w:r w:rsidR="00443E50">
        <w:rPr>
          <w:b w:val="0"/>
          <w:bCs/>
          <w:sz w:val="22"/>
          <w:szCs w:val="22"/>
        </w:rPr>
        <w:t>prévues au présent point</w:t>
      </w:r>
      <w:r w:rsidRPr="00DA6489">
        <w:rPr>
          <w:b w:val="0"/>
          <w:bCs/>
          <w:sz w:val="22"/>
          <w:szCs w:val="22"/>
        </w:rPr>
        <w:t xml:space="preserve">. Ce registre et tous </w:t>
      </w:r>
      <w:r w:rsidR="00AF17D2" w:rsidRPr="00DA6489">
        <w:rPr>
          <w:b w:val="0"/>
          <w:bCs/>
          <w:sz w:val="22"/>
          <w:szCs w:val="22"/>
        </w:rPr>
        <w:t xml:space="preserve">les </w:t>
      </w:r>
      <w:r w:rsidRPr="00DA6489">
        <w:rPr>
          <w:b w:val="0"/>
          <w:bCs/>
          <w:sz w:val="22"/>
          <w:szCs w:val="22"/>
        </w:rPr>
        <w:t>documents nécessaires à la traçabilité des moyens techniques mis en œuvre sont tenus à la disposition de l’inspection des installations classées.</w:t>
      </w:r>
    </w:p>
    <w:p w14:paraId="604604D7" w14:textId="77777777" w:rsidR="005C0576" w:rsidRPr="00DA6489" w:rsidRDefault="00520523" w:rsidP="004E323C">
      <w:pPr>
        <w:pStyle w:val="Titre2"/>
      </w:pPr>
      <w:r w:rsidRPr="00DA6489">
        <w:tab/>
        <w:t>2.4</w:t>
      </w:r>
      <w:r w:rsidR="00A749E4" w:rsidRPr="00DA6489">
        <w:t>.</w:t>
      </w:r>
      <w:r w:rsidR="000D0A6D" w:rsidRPr="00DA6489">
        <w:tab/>
        <w:t xml:space="preserve">Plan de gestion des conditions d’exploitation autres que normales (OTNOC) </w:t>
      </w:r>
    </w:p>
    <w:p w14:paraId="79348544" w14:textId="48E27A29" w:rsidR="000D0A6D" w:rsidRPr="00DA6489" w:rsidRDefault="000D0A6D" w:rsidP="000D0A6D">
      <w:pPr>
        <w:spacing w:after="0" w:line="240" w:lineRule="auto"/>
        <w:rPr>
          <w:rFonts w:eastAsia="Times New Roman" w:cs="Times New Roman"/>
          <w:lang w:eastAsia="fr-FR"/>
        </w:rPr>
      </w:pPr>
      <w:r w:rsidRPr="00DA6489">
        <w:rPr>
          <w:rFonts w:eastAsia="Times New Roman" w:cs="Times New Roman"/>
          <w:lang w:eastAsia="fr-FR"/>
        </w:rPr>
        <w:t>L’exploitant établit et met en œuvre, dans le cadre du SME (voir le point 2.</w:t>
      </w:r>
      <w:r w:rsidR="00A648F9" w:rsidRPr="00DA6489">
        <w:rPr>
          <w:rFonts w:eastAsia="Times New Roman" w:cs="Times New Roman"/>
          <w:lang w:eastAsia="fr-FR"/>
        </w:rPr>
        <w:t>1</w:t>
      </w:r>
      <w:r w:rsidR="00604572">
        <w:rPr>
          <w:rFonts w:eastAsia="Times New Roman" w:cs="Times New Roman"/>
          <w:lang w:eastAsia="fr-FR"/>
        </w:rPr>
        <w:t>.</w:t>
      </w:r>
      <w:r w:rsidR="00A648F9" w:rsidRPr="00DA6489">
        <w:rPr>
          <w:rFonts w:eastAsia="Times New Roman" w:cs="Times New Roman"/>
          <w:lang w:eastAsia="fr-FR"/>
        </w:rPr>
        <w:t>)</w:t>
      </w:r>
      <w:r w:rsidRPr="00DA6489">
        <w:rPr>
          <w:rFonts w:eastAsia="Times New Roman" w:cs="Times New Roman"/>
          <w:lang w:eastAsia="fr-FR"/>
        </w:rPr>
        <w:t>, un plan de gestion des OTNOC fondé sur les risques, comprenant tous les éléments suivants :</w:t>
      </w:r>
    </w:p>
    <w:p w14:paraId="1009A8F2" w14:textId="47B68FA1" w:rsidR="005C0576" w:rsidRPr="00DA6489" w:rsidRDefault="00E240A4" w:rsidP="002E35C6">
      <w:pPr>
        <w:pStyle w:val="Paragraphedeliste"/>
        <w:numPr>
          <w:ilvl w:val="0"/>
          <w:numId w:val="3"/>
        </w:numPr>
      </w:pPr>
      <w:proofErr w:type="gramStart"/>
      <w:r w:rsidRPr="00DA6489">
        <w:t>m</w:t>
      </w:r>
      <w:r w:rsidR="00520523" w:rsidRPr="00DA6489">
        <w:t>ise</w:t>
      </w:r>
      <w:proofErr w:type="gramEnd"/>
      <w:r w:rsidR="00520523" w:rsidRPr="00DA6489">
        <w:t xml:space="preserve"> en évidence des risques d’OTNOC (par exemple, défaillance d’équipements critiques pour la protection de l’environnement), de leurs causes profondes et de leurs conséquences potentielles, et examen et mise à jour périodiques de la liste des OTNOC mises en évidence à la suite de l’évaluation périodique décrite ci-après ;</w:t>
      </w:r>
    </w:p>
    <w:p w14:paraId="5DA2F772" w14:textId="50E598C7" w:rsidR="005C0576" w:rsidRPr="00DA6489" w:rsidRDefault="00E240A4">
      <w:pPr>
        <w:pStyle w:val="Paragraphedeliste"/>
        <w:numPr>
          <w:ilvl w:val="0"/>
          <w:numId w:val="3"/>
        </w:numPr>
      </w:pPr>
      <w:proofErr w:type="gramStart"/>
      <w:r w:rsidRPr="00DA6489">
        <w:t>conception</w:t>
      </w:r>
      <w:proofErr w:type="gramEnd"/>
      <w:r w:rsidRPr="00DA6489">
        <w:t xml:space="preserve"> </w:t>
      </w:r>
      <w:r w:rsidR="00520523" w:rsidRPr="00DA6489">
        <w:t>appropriée des équipements critiques (par exemple, compartimentage des filtres en tissu) ;</w:t>
      </w:r>
    </w:p>
    <w:p w14:paraId="4FFBBEB5" w14:textId="549BB4C5" w:rsidR="005C0576" w:rsidRPr="00DA6489" w:rsidRDefault="00AF17D2">
      <w:pPr>
        <w:pStyle w:val="Paragraphedeliste"/>
        <w:numPr>
          <w:ilvl w:val="0"/>
          <w:numId w:val="3"/>
        </w:numPr>
      </w:pPr>
      <w:proofErr w:type="gramStart"/>
      <w:r w:rsidRPr="00DA6489">
        <w:t>é</w:t>
      </w:r>
      <w:r w:rsidR="00E240A4" w:rsidRPr="00DA6489">
        <w:t>tablissement</w:t>
      </w:r>
      <w:proofErr w:type="gramEnd"/>
      <w:r w:rsidR="00E240A4" w:rsidRPr="00DA6489">
        <w:t xml:space="preserve"> </w:t>
      </w:r>
      <w:r w:rsidR="00520523" w:rsidRPr="00DA6489">
        <w:t xml:space="preserve">et mise en œuvre d’un plan d’inspection et de maintenance préventive des équipements critiques </w:t>
      </w:r>
      <w:r w:rsidRPr="00DA6489">
        <w:t>(</w:t>
      </w:r>
      <w:r w:rsidR="00520523" w:rsidRPr="00DA6489">
        <w:t>voir le</w:t>
      </w:r>
      <w:r w:rsidR="00E240A4" w:rsidRPr="00DA6489">
        <w:t xml:space="preserve"> xii du</w:t>
      </w:r>
      <w:r w:rsidR="00520523" w:rsidRPr="00DA6489">
        <w:t xml:space="preserve"> point 2.1</w:t>
      </w:r>
      <w:r w:rsidR="00604572">
        <w:t>.</w:t>
      </w:r>
      <w:r w:rsidR="00520523" w:rsidRPr="00DA6489">
        <w:t>) ;</w:t>
      </w:r>
    </w:p>
    <w:p w14:paraId="07D00DFC" w14:textId="71893934" w:rsidR="005C0576" w:rsidRPr="00DA6489" w:rsidRDefault="00E240A4">
      <w:pPr>
        <w:pStyle w:val="Paragraphedeliste"/>
        <w:numPr>
          <w:ilvl w:val="0"/>
          <w:numId w:val="3"/>
        </w:numPr>
      </w:pPr>
      <w:proofErr w:type="gramStart"/>
      <w:r w:rsidRPr="00DA6489">
        <w:t>mesure</w:t>
      </w:r>
      <w:proofErr w:type="gramEnd"/>
      <w:r w:rsidR="00520523" w:rsidRPr="00DA6489">
        <w:t>, ou le cas échéant estimation, et enregistrement des émissions lors des OTNOC et dans les circonstances associées ;</w:t>
      </w:r>
    </w:p>
    <w:p w14:paraId="53B5230F" w14:textId="021D0FD9" w:rsidR="005C0576" w:rsidRPr="00DA6489" w:rsidRDefault="00E240A4">
      <w:pPr>
        <w:pStyle w:val="Paragraphedeliste"/>
        <w:numPr>
          <w:ilvl w:val="0"/>
          <w:numId w:val="3"/>
        </w:numPr>
      </w:pPr>
      <w:proofErr w:type="gramStart"/>
      <w:r w:rsidRPr="00DA6489">
        <w:t>évaluation</w:t>
      </w:r>
      <w:proofErr w:type="gramEnd"/>
      <w:r w:rsidRPr="00DA6489">
        <w:t xml:space="preserve"> </w:t>
      </w:r>
      <w:r w:rsidR="00520523" w:rsidRPr="00DA6489">
        <w:t>périodique des émissions survenant lors d’OTNOC (fréquence des événements, durée, quantités de polluants émis) et mise en œuvre de mesures correctives si nécessaire.</w:t>
      </w:r>
    </w:p>
    <w:p w14:paraId="670EDE39" w14:textId="2FF5A1F1" w:rsidR="005C0576" w:rsidRPr="00DA6489" w:rsidRDefault="00520523">
      <w:pPr>
        <w:ind w:left="360"/>
      </w:pPr>
      <w:r w:rsidRPr="00DA6489">
        <w:t>L’exploitant tient un registre indiquant les mesures ou</w:t>
      </w:r>
      <w:r w:rsidR="00E240A4" w:rsidRPr="00DA6489">
        <w:t>,</w:t>
      </w:r>
      <w:r w:rsidRPr="00DA6489">
        <w:t xml:space="preserve"> le cas échéant</w:t>
      </w:r>
      <w:r w:rsidR="00AC1C82" w:rsidRPr="00DA6489">
        <w:t>,</w:t>
      </w:r>
      <w:r w:rsidRPr="00DA6489">
        <w:t xml:space="preserve"> les estimations, et les enregistrements des émissions lors des OTNOC. Ce registre et le plan de gestion des OTNOC fondé sur les risques sont tenus à la disposition de l’inspection des installations classées</w:t>
      </w:r>
      <w:r w:rsidR="00C060D3" w:rsidRPr="00DA6489">
        <w:t>.</w:t>
      </w:r>
    </w:p>
    <w:p w14:paraId="40702080" w14:textId="77777777" w:rsidR="00CA4DCA" w:rsidRPr="00DA6489" w:rsidRDefault="00CA4DCA">
      <w:pPr>
        <w:rPr>
          <w:b/>
          <w:bCs/>
          <w:u w:val="single"/>
        </w:rPr>
      </w:pPr>
    </w:p>
    <w:p w14:paraId="289BA8A4" w14:textId="522D9341" w:rsidR="005C0576" w:rsidRPr="00DA6489" w:rsidRDefault="00CA4DCA" w:rsidP="004E323C">
      <w:pPr>
        <w:pStyle w:val="Titre2"/>
      </w:pPr>
      <w:r w:rsidRPr="00DA6489">
        <w:lastRenderedPageBreak/>
        <w:tab/>
      </w:r>
      <w:r w:rsidR="00520523" w:rsidRPr="00DA6489">
        <w:t>2</w:t>
      </w:r>
      <w:r w:rsidRPr="00DA6489">
        <w:t>.</w:t>
      </w:r>
      <w:r w:rsidR="00520523" w:rsidRPr="00DA6489">
        <w:t>5</w:t>
      </w:r>
      <w:r w:rsidR="007B0D48" w:rsidRPr="00DA6489">
        <w:t>.</w:t>
      </w:r>
      <w:r w:rsidR="00520523" w:rsidRPr="00DA6489">
        <w:t xml:space="preserve"> </w:t>
      </w:r>
      <w:r w:rsidR="00B33CF9" w:rsidRPr="00DA6489">
        <w:t>Disposition</w:t>
      </w:r>
      <w:r w:rsidR="00AF17D2" w:rsidRPr="00DA6489">
        <w:t>s</w:t>
      </w:r>
      <w:r w:rsidR="00B33CF9" w:rsidRPr="00DA6489">
        <w:t xml:space="preserve"> générales de s</w:t>
      </w:r>
      <w:r w:rsidR="00520523" w:rsidRPr="00DA6489">
        <w:t>urveillance</w:t>
      </w:r>
    </w:p>
    <w:p w14:paraId="30CA18A6" w14:textId="54205FA3" w:rsidR="004E323C" w:rsidRPr="00DA6489" w:rsidRDefault="00520523" w:rsidP="004E323C">
      <w:pPr>
        <w:pStyle w:val="Titre30"/>
        <w:ind w:left="708" w:firstLine="708"/>
      </w:pPr>
      <w:r w:rsidRPr="00DA6489">
        <w:t>2.5.</w:t>
      </w:r>
      <w:r w:rsidR="00A648F9" w:rsidRPr="00DA6489">
        <w:t>1</w:t>
      </w:r>
      <w:r w:rsidR="00AC1C82" w:rsidRPr="00DA6489">
        <w:t>.</w:t>
      </w:r>
      <w:r w:rsidRPr="00DA6489">
        <w:t xml:space="preserve"> Tenue d’un registre </w:t>
      </w:r>
    </w:p>
    <w:p w14:paraId="28569BBF" w14:textId="77777777" w:rsidR="005C0576" w:rsidRPr="00DA6489" w:rsidRDefault="00520523">
      <w:r w:rsidRPr="00DA6489">
        <w:t>L’exploitant tient un registre indiquant l’ensemble des surveillances effectuées sur le site. Il établit chaque année un bilan commenté des surveillance</w:t>
      </w:r>
      <w:r w:rsidR="00D34654" w:rsidRPr="00DA6489">
        <w:t>s</w:t>
      </w:r>
      <w:r w:rsidRPr="00DA6489">
        <w:t xml:space="preserve"> réalisées. Elles sont commentées sur la base de l'historique des données, de l'activité et de l'évolution de l'installation. Ce registre et ce bilan sont tenus à la disposition de l’inspection des installations classées.</w:t>
      </w:r>
    </w:p>
    <w:p w14:paraId="1DA1BE30" w14:textId="77777777" w:rsidR="005C0576" w:rsidRPr="00DA6489" w:rsidRDefault="00520523" w:rsidP="004E323C">
      <w:pPr>
        <w:pStyle w:val="Titre30"/>
        <w:ind w:left="708" w:firstLine="708"/>
      </w:pPr>
      <w:r w:rsidRPr="00DA6489">
        <w:t>2.5.</w:t>
      </w:r>
      <w:r w:rsidR="00A648F9" w:rsidRPr="00DA6489">
        <w:t>2</w:t>
      </w:r>
      <w:r w:rsidR="00AC1C82" w:rsidRPr="00DA6489">
        <w:t>.</w:t>
      </w:r>
      <w:r w:rsidRPr="00DA6489">
        <w:t xml:space="preserve"> Surveillance des flux de matières et d’énergie</w:t>
      </w:r>
    </w:p>
    <w:p w14:paraId="6109FC12" w14:textId="77777777" w:rsidR="00AC1C82" w:rsidRPr="00DA6489" w:rsidRDefault="00520523" w:rsidP="00CA4DCA">
      <w:pPr>
        <w:spacing w:after="0" w:line="240" w:lineRule="auto"/>
        <w:rPr>
          <w:rFonts w:eastAsia="Times New Roman" w:cs="Times New Roman"/>
          <w:lang w:eastAsia="fr-FR"/>
        </w:rPr>
      </w:pPr>
      <w:r w:rsidRPr="00DA6489">
        <w:t xml:space="preserve">L’exploitant surveille, </w:t>
      </w:r>
      <w:r w:rsidR="00CA4DCA" w:rsidRPr="00DA6489">
        <w:rPr>
          <w:rFonts w:eastAsia="Times New Roman" w:cs="Times New Roman"/>
          <w:lang w:eastAsia="fr-FR"/>
        </w:rPr>
        <w:t>au moins une fois par trimestre</w:t>
      </w:r>
      <w:r w:rsidR="00AC1C82" w:rsidRPr="00DA6489">
        <w:rPr>
          <w:rFonts w:eastAsia="Times New Roman" w:cs="Times New Roman"/>
          <w:lang w:eastAsia="fr-FR"/>
        </w:rPr>
        <w:t> :</w:t>
      </w:r>
    </w:p>
    <w:p w14:paraId="57182710" w14:textId="5FC0C392" w:rsidR="005C0576" w:rsidRPr="00DA6489" w:rsidRDefault="00AC1C82" w:rsidP="00A648F9">
      <w:pPr>
        <w:spacing w:after="0" w:line="240" w:lineRule="auto"/>
        <w:ind w:firstLine="360"/>
        <w:rPr>
          <w:rFonts w:eastAsia="Times New Roman" w:cs="Times New Roman"/>
          <w:lang w:eastAsia="fr-FR"/>
        </w:rPr>
      </w:pPr>
      <w:r w:rsidRPr="00DA6489">
        <w:rPr>
          <w:rFonts w:eastAsia="Times New Roman" w:cs="Times New Roman"/>
          <w:lang w:eastAsia="fr-FR"/>
        </w:rPr>
        <w:t>-</w:t>
      </w:r>
      <w:r w:rsidRPr="00DA6489">
        <w:rPr>
          <w:rFonts w:eastAsia="Times New Roman" w:cs="Times New Roman"/>
          <w:lang w:eastAsia="fr-FR"/>
        </w:rPr>
        <w:tab/>
      </w:r>
      <w:r w:rsidR="00E240A4" w:rsidRPr="00DA6489">
        <w:t xml:space="preserve">la </w:t>
      </w:r>
      <w:r w:rsidR="00520523" w:rsidRPr="00DA6489">
        <w:t>consommation d’eau, d’énergie et de matières ;</w:t>
      </w:r>
    </w:p>
    <w:p w14:paraId="549F7990" w14:textId="1B1CA660" w:rsidR="005C0576" w:rsidRPr="00DA6489" w:rsidRDefault="00E240A4">
      <w:pPr>
        <w:pStyle w:val="Paragraphedeliste"/>
        <w:numPr>
          <w:ilvl w:val="0"/>
          <w:numId w:val="3"/>
        </w:numPr>
      </w:pPr>
      <w:proofErr w:type="gramStart"/>
      <w:r w:rsidRPr="00DA6489">
        <w:t>la</w:t>
      </w:r>
      <w:proofErr w:type="gramEnd"/>
      <w:r w:rsidRPr="00DA6489">
        <w:t xml:space="preserve"> </w:t>
      </w:r>
      <w:r w:rsidR="00520523" w:rsidRPr="00DA6489">
        <w:t>production d’eaux usées ;</w:t>
      </w:r>
    </w:p>
    <w:p w14:paraId="0507609C" w14:textId="4718C1A4" w:rsidR="005A483D" w:rsidRPr="00DA6489" w:rsidRDefault="00E240A4" w:rsidP="005A483D">
      <w:pPr>
        <w:pStyle w:val="Paragraphedeliste"/>
        <w:numPr>
          <w:ilvl w:val="0"/>
          <w:numId w:val="3"/>
        </w:numPr>
      </w:pPr>
      <w:proofErr w:type="gramStart"/>
      <w:r w:rsidRPr="00DA6489">
        <w:t>la</w:t>
      </w:r>
      <w:proofErr w:type="gramEnd"/>
      <w:r w:rsidRPr="00DA6489">
        <w:t xml:space="preserve"> </w:t>
      </w:r>
      <w:r w:rsidR="00520523" w:rsidRPr="00DA6489">
        <w:t>quantité de chaque type de résidus générés et de chaque type de déchets à éliminer.</w:t>
      </w:r>
      <w:r w:rsidR="005A483D" w:rsidRPr="00DA6489">
        <w:t xml:space="preserve"> </w:t>
      </w:r>
    </w:p>
    <w:p w14:paraId="0711E53E" w14:textId="77777777" w:rsidR="005A483D" w:rsidRPr="00DA6489" w:rsidRDefault="005A483D" w:rsidP="005A483D">
      <w:pPr>
        <w:pStyle w:val="Paragraphedeliste"/>
      </w:pPr>
    </w:p>
    <w:p w14:paraId="51CAFC78" w14:textId="736DCEDB" w:rsidR="005A483D" w:rsidRPr="00DA6489" w:rsidRDefault="005A483D" w:rsidP="00AF17D2">
      <w:pPr>
        <w:pStyle w:val="Paragraphedeliste"/>
        <w:ind w:left="0"/>
      </w:pPr>
      <w:r w:rsidRPr="00DA6489">
        <w:rPr>
          <w:rFonts w:cs="Times New Roman"/>
          <w:lang w:val="fr-BE"/>
        </w:rPr>
        <w:t>L’exploitant réalise cette surveillance de préférence par des mesures directes. Il est également possible de recourir à des calculs ou à des relevés, par exemple au moyen d’appareils de mesure appropriés ou sur la base de factures. La surveillance s’effectue autant que possible au niveau du procédé et tient compte de tout changement important intervenu dans les procédés.</w:t>
      </w:r>
    </w:p>
    <w:p w14:paraId="734457FD" w14:textId="77777777" w:rsidR="005C0576" w:rsidRPr="00DA6489" w:rsidRDefault="00520523" w:rsidP="004E323C">
      <w:pPr>
        <w:pStyle w:val="Titre30"/>
        <w:ind w:left="708" w:firstLine="708"/>
      </w:pPr>
      <w:r w:rsidRPr="00DA6489">
        <w:t>2.5.</w:t>
      </w:r>
      <w:r w:rsidR="00A648F9" w:rsidRPr="00DA6489">
        <w:t>3</w:t>
      </w:r>
      <w:r w:rsidR="00AC1C82" w:rsidRPr="00DA6489">
        <w:t>.</w:t>
      </w:r>
      <w:r w:rsidRPr="00DA6489">
        <w:t xml:space="preserve"> Surveillance des émissions atmosphériques</w:t>
      </w:r>
    </w:p>
    <w:p w14:paraId="1FF0814B" w14:textId="5C9E76BC" w:rsidR="005C0576" w:rsidRPr="00DA6489" w:rsidRDefault="00520523">
      <w:r w:rsidRPr="00DA6489">
        <w:t>L’exploitant réalise la surveillance de ses émissions canalisées dans les gaz résiduaires au moins à la fréquence indiquée ci-après</w:t>
      </w:r>
      <w:r w:rsidR="00E240A4" w:rsidRPr="00DA6489">
        <w:t>,</w:t>
      </w:r>
      <w:r w:rsidRPr="00DA6489">
        <w:t xml:space="preserve"> en utilisant des méthodes d’analyse lui permettant de réaliser des mesures fiables, répétables et reproductibles. Les normes mentionnées ci-dessous sont réputées permettre l’obtention de données d’une qualité scientifique suffisante.</w:t>
      </w:r>
    </w:p>
    <w:p w14:paraId="689CE1CD" w14:textId="77777777" w:rsidR="005C0576" w:rsidRPr="00DA6489" w:rsidRDefault="00520523">
      <w:r w:rsidRPr="00DA6489">
        <w:t xml:space="preserve">En l’absence de norme précisée dans le tableau, les méthodes précisées dans l’avis sur les méthodes normalisées de référence pour les mesures dans l’air, l’eau et les sols dans les installations classées pour la protection de l’environnement publié au </w:t>
      </w:r>
      <w:r w:rsidRPr="00DA6489">
        <w:rPr>
          <w:i/>
        </w:rPr>
        <w:t xml:space="preserve">Journal officiel </w:t>
      </w:r>
      <w:r w:rsidRPr="00DA6489">
        <w:t>sont réputées satisfaire aux exigences de l’alinéa précédent.</w:t>
      </w:r>
    </w:p>
    <w:p w14:paraId="658F6138" w14:textId="77777777" w:rsidR="005C0576" w:rsidRPr="00DA6489" w:rsidRDefault="005C0576"/>
    <w:tbl>
      <w:tblPr>
        <w:tblW w:w="9776" w:type="dxa"/>
        <w:jc w:val="center"/>
        <w:tblLayout w:type="fixed"/>
        <w:tblLook w:val="0000" w:firstRow="0" w:lastRow="0" w:firstColumn="0" w:lastColumn="0" w:noHBand="0" w:noVBand="0"/>
      </w:tblPr>
      <w:tblGrid>
        <w:gridCol w:w="1555"/>
        <w:gridCol w:w="2126"/>
        <w:gridCol w:w="2458"/>
        <w:gridCol w:w="2268"/>
        <w:gridCol w:w="1369"/>
      </w:tblGrid>
      <w:tr w:rsidR="00CA4DCA" w:rsidRPr="00DA6489" w14:paraId="505D8351" w14:textId="77777777" w:rsidTr="00487EC1">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489182D3" w14:textId="77777777" w:rsidR="00CA4DCA" w:rsidRPr="00DA6489" w:rsidRDefault="00CA4DCA" w:rsidP="00CA4DCA">
            <w:pPr>
              <w:pStyle w:val="Policedetableau"/>
              <w:widowControl w:val="0"/>
              <w:rPr>
                <w:rFonts w:eastAsia="Times New Roman" w:cs="Times New Roman"/>
                <w:b/>
              </w:rPr>
            </w:pPr>
            <w:r w:rsidRPr="00DA6489">
              <w:rPr>
                <w:b/>
              </w:rPr>
              <w:t>Substance/</w:t>
            </w:r>
          </w:p>
          <w:p w14:paraId="1154BE8F" w14:textId="77777777" w:rsidR="00CA4DCA" w:rsidRPr="00DA6489" w:rsidRDefault="00CA4DCA" w:rsidP="00CA4DCA">
            <w:pPr>
              <w:pStyle w:val="Policedetableau"/>
              <w:widowControl w:val="0"/>
              <w:rPr>
                <w:rFonts w:eastAsia="Times New Roman" w:cs="Times New Roman"/>
                <w:b/>
              </w:rPr>
            </w:pPr>
            <w:r w:rsidRPr="00DA6489">
              <w:rPr>
                <w:b/>
              </w:rPr>
              <w:t>Paramètre</w:t>
            </w:r>
          </w:p>
        </w:tc>
        <w:tc>
          <w:tcPr>
            <w:tcW w:w="2126" w:type="dxa"/>
            <w:tcBorders>
              <w:top w:val="single" w:sz="4" w:space="0" w:color="000000"/>
              <w:left w:val="single" w:sz="4" w:space="0" w:color="000000"/>
              <w:bottom w:val="single" w:sz="4" w:space="0" w:color="000000"/>
              <w:right w:val="single" w:sz="4" w:space="0" w:color="000000"/>
            </w:tcBorders>
            <w:vAlign w:val="center"/>
          </w:tcPr>
          <w:p w14:paraId="7B1F289F" w14:textId="77777777" w:rsidR="00CA4DCA" w:rsidRPr="00DA6489" w:rsidRDefault="00CA4DCA" w:rsidP="00CA4DCA">
            <w:pPr>
              <w:pStyle w:val="Policedetableau"/>
              <w:widowControl w:val="0"/>
              <w:rPr>
                <w:rFonts w:eastAsia="Times New Roman" w:cs="Times New Roman"/>
                <w:b/>
              </w:rPr>
            </w:pPr>
            <w:r w:rsidRPr="00DA6489">
              <w:rPr>
                <w:b/>
              </w:rPr>
              <w:t xml:space="preserve">Norme(s) </w:t>
            </w:r>
          </w:p>
        </w:tc>
        <w:tc>
          <w:tcPr>
            <w:tcW w:w="2458" w:type="dxa"/>
            <w:tcBorders>
              <w:top w:val="single" w:sz="4" w:space="0" w:color="000000"/>
              <w:left w:val="single" w:sz="4" w:space="0" w:color="000000"/>
              <w:bottom w:val="single" w:sz="4" w:space="0" w:color="000000"/>
              <w:right w:val="single" w:sz="4" w:space="0" w:color="000000"/>
            </w:tcBorders>
            <w:vAlign w:val="center"/>
          </w:tcPr>
          <w:p w14:paraId="75665033" w14:textId="77777777" w:rsidR="00CA4DCA" w:rsidRPr="00DA6489" w:rsidRDefault="00CA4DCA" w:rsidP="00CA4DCA">
            <w:pPr>
              <w:pStyle w:val="Policedetableau"/>
              <w:widowControl w:val="0"/>
              <w:rPr>
                <w:rFonts w:eastAsia="Times New Roman" w:cs="Times New Roman"/>
                <w:b/>
              </w:rPr>
            </w:pPr>
            <w:r w:rsidRPr="00DA6489">
              <w:rPr>
                <w:b/>
              </w:rPr>
              <w:t>Procédé(s) spécifique(s)</w:t>
            </w:r>
          </w:p>
        </w:tc>
        <w:tc>
          <w:tcPr>
            <w:tcW w:w="2268" w:type="dxa"/>
            <w:tcBorders>
              <w:top w:val="single" w:sz="4" w:space="0" w:color="000000"/>
              <w:left w:val="single" w:sz="4" w:space="0" w:color="000000"/>
              <w:bottom w:val="single" w:sz="4" w:space="0" w:color="000000"/>
              <w:right w:val="single" w:sz="4" w:space="0" w:color="000000"/>
            </w:tcBorders>
            <w:vAlign w:val="center"/>
          </w:tcPr>
          <w:p w14:paraId="711F98DB" w14:textId="77777777" w:rsidR="00CA4DCA" w:rsidRPr="00DA6489" w:rsidRDefault="00CA4DCA" w:rsidP="00CA4DCA">
            <w:pPr>
              <w:pStyle w:val="Policedetableau"/>
              <w:widowControl w:val="0"/>
              <w:rPr>
                <w:rFonts w:eastAsia="Times New Roman" w:cs="Times New Roman"/>
                <w:b/>
              </w:rPr>
            </w:pPr>
            <w:r w:rsidRPr="00DA6489">
              <w:rPr>
                <w:b/>
              </w:rPr>
              <w:t>Fréquence minimale de surveillance (</w:t>
            </w:r>
            <w:r w:rsidRPr="00DA6489">
              <w:rPr>
                <w:b/>
                <w:vertAlign w:val="superscript"/>
              </w:rPr>
              <w:t>1</w:t>
            </w:r>
            <w:r w:rsidRPr="00DA6489">
              <w:rPr>
                <w:b/>
              </w:rPr>
              <w:t xml:space="preserve">) </w:t>
            </w:r>
          </w:p>
        </w:tc>
        <w:tc>
          <w:tcPr>
            <w:tcW w:w="1369" w:type="dxa"/>
            <w:tcBorders>
              <w:top w:val="single" w:sz="4" w:space="0" w:color="000000"/>
              <w:left w:val="single" w:sz="4" w:space="0" w:color="000000"/>
              <w:bottom w:val="single" w:sz="4" w:space="0" w:color="000000"/>
              <w:right w:val="single" w:sz="4" w:space="0" w:color="000000"/>
            </w:tcBorders>
            <w:vAlign w:val="center"/>
          </w:tcPr>
          <w:p w14:paraId="6437EBCA" w14:textId="77777777" w:rsidR="00CA4DCA" w:rsidRPr="00DA6489" w:rsidRDefault="00CA4DCA" w:rsidP="00CA4DCA">
            <w:pPr>
              <w:pStyle w:val="Policedetableau"/>
              <w:widowControl w:val="0"/>
              <w:rPr>
                <w:rFonts w:eastAsia="Times New Roman" w:cs="Times New Roman"/>
                <w:b/>
              </w:rPr>
            </w:pPr>
            <w:r w:rsidRPr="00DA6489">
              <w:rPr>
                <w:b/>
              </w:rPr>
              <w:t xml:space="preserve">Surveillance associée </w:t>
            </w:r>
            <w:r w:rsidR="00F95481" w:rsidRPr="00DA6489">
              <w:t>aux points de l’annexe</w:t>
            </w:r>
          </w:p>
        </w:tc>
      </w:tr>
      <w:tr w:rsidR="00CA4DCA" w:rsidRPr="00DA6489" w14:paraId="2CA2B651" w14:textId="77777777" w:rsidTr="00487EC1">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2E839996" w14:textId="77777777" w:rsidR="00CA4DCA" w:rsidRPr="00DA6489" w:rsidRDefault="00CA4DCA" w:rsidP="00CA4DCA">
            <w:pPr>
              <w:pStyle w:val="Policedetableau"/>
              <w:widowControl w:val="0"/>
              <w:rPr>
                <w:rFonts w:eastAsia="Times New Roman" w:cs="Times New Roman"/>
              </w:rPr>
            </w:pPr>
            <w:r w:rsidRPr="00DA6489">
              <w:t>CO</w:t>
            </w:r>
          </w:p>
        </w:tc>
        <w:tc>
          <w:tcPr>
            <w:tcW w:w="2126" w:type="dxa"/>
            <w:tcBorders>
              <w:top w:val="single" w:sz="4" w:space="0" w:color="000000"/>
              <w:left w:val="single" w:sz="4" w:space="0" w:color="000000"/>
              <w:bottom w:val="single" w:sz="4" w:space="0" w:color="000000"/>
              <w:right w:val="single" w:sz="4" w:space="0" w:color="000000"/>
            </w:tcBorders>
            <w:vAlign w:val="center"/>
          </w:tcPr>
          <w:p w14:paraId="09A7DD32" w14:textId="77777777" w:rsidR="00CA4DCA" w:rsidRPr="00DA6489" w:rsidRDefault="00CA4DCA" w:rsidP="00CA4DCA">
            <w:pPr>
              <w:pStyle w:val="Policedetableau"/>
              <w:widowControl w:val="0"/>
              <w:rPr>
                <w:rFonts w:eastAsia="Times New Roman" w:cs="Times New Roman"/>
                <w:strike/>
              </w:rPr>
            </w:pPr>
            <w:r w:rsidRPr="00DA6489">
              <w:t>NF EN 15058 (</w:t>
            </w:r>
            <w:r w:rsidRPr="00DA6489">
              <w:rPr>
                <w:vertAlign w:val="superscript"/>
              </w:rPr>
              <w:t>3</w:t>
            </w:r>
            <w:r w:rsidRPr="00DA6489">
              <w:t>)</w:t>
            </w:r>
          </w:p>
        </w:tc>
        <w:tc>
          <w:tcPr>
            <w:tcW w:w="2458" w:type="dxa"/>
            <w:tcBorders>
              <w:top w:val="single" w:sz="4" w:space="0" w:color="000000"/>
              <w:left w:val="single" w:sz="4" w:space="0" w:color="000000"/>
              <w:bottom w:val="single" w:sz="4" w:space="0" w:color="000000"/>
              <w:right w:val="single" w:sz="4" w:space="0" w:color="000000"/>
            </w:tcBorders>
            <w:vAlign w:val="center"/>
          </w:tcPr>
          <w:p w14:paraId="07DD8881" w14:textId="77777777" w:rsidR="00CA4DCA" w:rsidRPr="00DA6489" w:rsidRDefault="00CA4DCA" w:rsidP="00CA4DCA">
            <w:pPr>
              <w:pStyle w:val="Policedetableau"/>
              <w:widowControl w:val="0"/>
              <w:rPr>
                <w:rFonts w:eastAsia="Times New Roman" w:cs="Times New Roman"/>
              </w:rPr>
            </w:pPr>
            <w:r w:rsidRPr="00DA6489">
              <w:t>Chauffage de la cuve de galvanisation (</w:t>
            </w:r>
            <w:r w:rsidRPr="00DA6489">
              <w:rPr>
                <w:vertAlign w:val="superscript"/>
              </w:rPr>
              <w:t>2</w:t>
            </w:r>
            <w:r w:rsidRPr="00DA6489">
              <w:t>)</w:t>
            </w:r>
          </w:p>
        </w:tc>
        <w:tc>
          <w:tcPr>
            <w:tcW w:w="2268" w:type="dxa"/>
            <w:tcBorders>
              <w:top w:val="single" w:sz="4" w:space="0" w:color="000000"/>
              <w:left w:val="single" w:sz="4" w:space="0" w:color="000000"/>
              <w:bottom w:val="single" w:sz="4" w:space="0" w:color="000000"/>
              <w:right w:val="single" w:sz="4" w:space="0" w:color="000000"/>
            </w:tcBorders>
            <w:vAlign w:val="center"/>
          </w:tcPr>
          <w:p w14:paraId="58CA7F53" w14:textId="77777777" w:rsidR="00CA4DCA" w:rsidRPr="00DA6489" w:rsidRDefault="00CA4DCA" w:rsidP="00CA4DCA">
            <w:pPr>
              <w:pStyle w:val="Policedetableau"/>
              <w:widowControl w:val="0"/>
              <w:rPr>
                <w:rFonts w:eastAsia="Times New Roman" w:cs="Times New Roman"/>
                <w:strike/>
              </w:rPr>
            </w:pPr>
            <w:r w:rsidRPr="00DA6489">
              <w:rPr>
                <w:sz w:val="20"/>
              </w:rPr>
              <w:t xml:space="preserve">Annuelle si </w:t>
            </w:r>
            <w:r w:rsidR="00A648F9" w:rsidRPr="00DA6489">
              <w:rPr>
                <w:sz w:val="20"/>
              </w:rPr>
              <w:t xml:space="preserve">le flux est inférieur </w:t>
            </w:r>
            <w:r w:rsidRPr="00DA6489">
              <w:rPr>
                <w:sz w:val="20"/>
              </w:rPr>
              <w:t>de 50 kg/h, en continu si au-dessus</w:t>
            </w:r>
            <w:r w:rsidRPr="00DA6489">
              <w:t xml:space="preserve"> </w:t>
            </w:r>
          </w:p>
        </w:tc>
        <w:tc>
          <w:tcPr>
            <w:tcW w:w="1369" w:type="dxa"/>
            <w:tcBorders>
              <w:top w:val="single" w:sz="4" w:space="0" w:color="000000"/>
              <w:left w:val="single" w:sz="4" w:space="0" w:color="000000"/>
              <w:bottom w:val="single" w:sz="4" w:space="0" w:color="000000"/>
              <w:right w:val="single" w:sz="4" w:space="0" w:color="000000"/>
            </w:tcBorders>
            <w:vAlign w:val="center"/>
          </w:tcPr>
          <w:p w14:paraId="6B837169" w14:textId="77777777" w:rsidR="00CA4DCA" w:rsidRPr="00DA6489" w:rsidRDefault="00CA4DCA" w:rsidP="00CA4DCA">
            <w:pPr>
              <w:pStyle w:val="Policedetableau"/>
              <w:widowControl w:val="0"/>
              <w:rPr>
                <w:rFonts w:eastAsia="Times New Roman" w:cs="Times New Roman"/>
              </w:rPr>
            </w:pPr>
            <w:r w:rsidRPr="00DA6489">
              <w:t>Point </w:t>
            </w:r>
            <w:r w:rsidR="00306814" w:rsidRPr="00DA6489">
              <w:rPr>
                <w:iCs/>
              </w:rPr>
              <w:t>2.10.2.3</w:t>
            </w:r>
            <w:r w:rsidR="006E762F" w:rsidRPr="00DA6489">
              <w:t>.</w:t>
            </w:r>
          </w:p>
        </w:tc>
      </w:tr>
      <w:tr w:rsidR="008815B0" w:rsidRPr="00DA6489" w14:paraId="7C5D9D9C" w14:textId="77777777" w:rsidTr="009C263F">
        <w:trPr>
          <w:cantSplit/>
          <w:trHeight w:val="20"/>
          <w:jc w:val="center"/>
        </w:trPr>
        <w:tc>
          <w:tcPr>
            <w:tcW w:w="1555" w:type="dxa"/>
            <w:vMerge w:val="restart"/>
            <w:tcBorders>
              <w:top w:val="single" w:sz="4" w:space="0" w:color="000000"/>
              <w:left w:val="single" w:sz="4" w:space="0" w:color="000000"/>
              <w:right w:val="single" w:sz="4" w:space="0" w:color="000000"/>
            </w:tcBorders>
            <w:vAlign w:val="center"/>
          </w:tcPr>
          <w:p w14:paraId="79390DED" w14:textId="77777777" w:rsidR="008815B0" w:rsidRPr="00DA6489" w:rsidRDefault="008815B0" w:rsidP="00CA4DCA">
            <w:pPr>
              <w:pStyle w:val="Policedetableau"/>
              <w:widowControl w:val="0"/>
            </w:pPr>
            <w:proofErr w:type="spellStart"/>
            <w:r w:rsidRPr="00DA6489">
              <w:t>HCl</w:t>
            </w:r>
            <w:proofErr w:type="spellEnd"/>
          </w:p>
        </w:tc>
        <w:tc>
          <w:tcPr>
            <w:tcW w:w="2126" w:type="dxa"/>
            <w:tcBorders>
              <w:top w:val="single" w:sz="4" w:space="0" w:color="000000"/>
              <w:left w:val="single" w:sz="4" w:space="0" w:color="000000"/>
              <w:bottom w:val="single" w:sz="4" w:space="0" w:color="000000"/>
              <w:right w:val="single" w:sz="4" w:space="0" w:color="000000"/>
            </w:tcBorders>
            <w:vAlign w:val="center"/>
          </w:tcPr>
          <w:p w14:paraId="1CD82866" w14:textId="77777777" w:rsidR="008815B0" w:rsidRPr="00DA6489" w:rsidRDefault="00F36C3A" w:rsidP="00CA4DCA">
            <w:pPr>
              <w:pStyle w:val="Policedetableau"/>
              <w:widowControl w:val="0"/>
            </w:pPr>
            <w:r w:rsidRPr="00DA6489">
              <w:t>Pas de norme EN</w:t>
            </w:r>
          </w:p>
        </w:tc>
        <w:tc>
          <w:tcPr>
            <w:tcW w:w="2458" w:type="dxa"/>
            <w:tcBorders>
              <w:top w:val="single" w:sz="4" w:space="0" w:color="000000"/>
              <w:left w:val="single" w:sz="4" w:space="0" w:color="000000"/>
              <w:bottom w:val="single" w:sz="4" w:space="0" w:color="000000"/>
              <w:right w:val="single" w:sz="4" w:space="0" w:color="000000"/>
            </w:tcBorders>
            <w:vAlign w:val="center"/>
          </w:tcPr>
          <w:p w14:paraId="2B9288BA" w14:textId="77777777" w:rsidR="008815B0" w:rsidRPr="00DA6489" w:rsidRDefault="008815B0" w:rsidP="00CA4DCA">
            <w:pPr>
              <w:pStyle w:val="Policedetableau"/>
              <w:widowControl w:val="0"/>
            </w:pPr>
            <w:r w:rsidRPr="00DA6489">
              <w:t>Régénération de l’acide usé</w:t>
            </w:r>
          </w:p>
        </w:tc>
        <w:tc>
          <w:tcPr>
            <w:tcW w:w="2268" w:type="dxa"/>
            <w:tcBorders>
              <w:top w:val="single" w:sz="4" w:space="0" w:color="000000"/>
              <w:left w:val="single" w:sz="4" w:space="0" w:color="000000"/>
              <w:bottom w:val="single" w:sz="4" w:space="0" w:color="000000"/>
              <w:right w:val="single" w:sz="4" w:space="0" w:color="000000"/>
            </w:tcBorders>
            <w:vAlign w:val="center"/>
          </w:tcPr>
          <w:p w14:paraId="2F941FD6" w14:textId="77777777" w:rsidR="008815B0" w:rsidRPr="00DA6489" w:rsidRDefault="00F36C3A" w:rsidP="00CA4DCA">
            <w:pPr>
              <w:pStyle w:val="Policedetableau"/>
              <w:widowControl w:val="0"/>
              <w:rPr>
                <w:sz w:val="20"/>
              </w:rPr>
            </w:pPr>
            <w:r w:rsidRPr="00DA6489">
              <w:rPr>
                <w:sz w:val="20"/>
              </w:rPr>
              <w:t xml:space="preserve">Annuelle </w:t>
            </w:r>
            <w:r w:rsidR="00A648F9" w:rsidRPr="00DA6489">
              <w:rPr>
                <w:sz w:val="20"/>
              </w:rPr>
              <w:t>si le flux est inférieur de</w:t>
            </w:r>
            <w:r w:rsidRPr="00DA6489">
              <w:rPr>
                <w:sz w:val="20"/>
              </w:rPr>
              <w:t xml:space="preserve"> 20 kg/h, en continu si au-dessus</w:t>
            </w:r>
          </w:p>
        </w:tc>
        <w:tc>
          <w:tcPr>
            <w:tcW w:w="1369" w:type="dxa"/>
            <w:tcBorders>
              <w:top w:val="single" w:sz="4" w:space="0" w:color="000000"/>
              <w:left w:val="single" w:sz="4" w:space="0" w:color="000000"/>
              <w:bottom w:val="single" w:sz="4" w:space="0" w:color="000000"/>
              <w:right w:val="single" w:sz="4" w:space="0" w:color="000000"/>
            </w:tcBorders>
            <w:vAlign w:val="center"/>
          </w:tcPr>
          <w:p w14:paraId="60962D88" w14:textId="77777777" w:rsidR="008815B0" w:rsidRPr="00DA6489" w:rsidRDefault="009118CD" w:rsidP="00CA4DCA">
            <w:pPr>
              <w:pStyle w:val="Policedetableau"/>
              <w:widowControl w:val="0"/>
            </w:pPr>
            <w:r w:rsidRPr="00DA6489">
              <w:t>Point 2.10.5</w:t>
            </w:r>
            <w:r w:rsidR="006E762F" w:rsidRPr="00DA6489">
              <w:t>.</w:t>
            </w:r>
          </w:p>
        </w:tc>
      </w:tr>
      <w:tr w:rsidR="008815B0" w:rsidRPr="00DA6489" w14:paraId="31E75D13" w14:textId="77777777" w:rsidTr="009C263F">
        <w:trPr>
          <w:cantSplit/>
          <w:trHeight w:val="20"/>
          <w:jc w:val="center"/>
        </w:trPr>
        <w:tc>
          <w:tcPr>
            <w:tcW w:w="1555" w:type="dxa"/>
            <w:vMerge/>
            <w:tcBorders>
              <w:left w:val="single" w:sz="4" w:space="0" w:color="000000"/>
              <w:right w:val="single" w:sz="4" w:space="0" w:color="000000"/>
            </w:tcBorders>
            <w:vAlign w:val="center"/>
          </w:tcPr>
          <w:p w14:paraId="2E745665" w14:textId="77777777" w:rsidR="008815B0" w:rsidRPr="00DA6489" w:rsidRDefault="008815B0" w:rsidP="00CA4DCA">
            <w:pPr>
              <w:pStyle w:val="Policedetableau"/>
              <w:widowControl w:val="0"/>
              <w:rPr>
                <w:rFonts w:eastAsia="Times New Roman" w:cs="Times New Roman"/>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402329BF" w14:textId="77777777" w:rsidR="008815B0" w:rsidRPr="00DA6489" w:rsidRDefault="008815B0" w:rsidP="00CA4DCA">
            <w:pPr>
              <w:pStyle w:val="Policedetableau"/>
              <w:widowControl w:val="0"/>
              <w:rPr>
                <w:rFonts w:eastAsia="Times New Roman" w:cs="Times New Roman"/>
              </w:rPr>
            </w:pPr>
            <w:r w:rsidRPr="00DA6489">
              <w:t>NF EN 1911 (</w:t>
            </w:r>
            <w:r w:rsidRPr="00DA6489">
              <w:rPr>
                <w:vertAlign w:val="superscript"/>
              </w:rPr>
              <w:t>3</w:t>
            </w:r>
            <w:r w:rsidRPr="00DA6489">
              <w:t>)</w:t>
            </w:r>
          </w:p>
        </w:tc>
        <w:tc>
          <w:tcPr>
            <w:tcW w:w="2458" w:type="dxa"/>
            <w:tcBorders>
              <w:top w:val="single" w:sz="4" w:space="0" w:color="000000"/>
              <w:left w:val="single" w:sz="4" w:space="0" w:color="000000"/>
              <w:bottom w:val="single" w:sz="4" w:space="0" w:color="000000"/>
              <w:right w:val="single" w:sz="4" w:space="0" w:color="000000"/>
            </w:tcBorders>
            <w:vAlign w:val="center"/>
          </w:tcPr>
          <w:p w14:paraId="2005620D" w14:textId="77777777" w:rsidR="008815B0" w:rsidRPr="00DA6489" w:rsidRDefault="008815B0" w:rsidP="00CA4DCA">
            <w:pPr>
              <w:pStyle w:val="Policedetableau"/>
              <w:widowControl w:val="0"/>
              <w:rPr>
                <w:rFonts w:eastAsia="Times New Roman" w:cs="Times New Roman"/>
              </w:rPr>
            </w:pPr>
            <w:r w:rsidRPr="00DA6489">
              <w:t>Décapage et dézingage à l’acide chlorhydrique</w:t>
            </w:r>
          </w:p>
        </w:tc>
        <w:tc>
          <w:tcPr>
            <w:tcW w:w="2268" w:type="dxa"/>
            <w:tcBorders>
              <w:top w:val="single" w:sz="4" w:space="0" w:color="000000"/>
              <w:left w:val="single" w:sz="4" w:space="0" w:color="000000"/>
              <w:bottom w:val="single" w:sz="4" w:space="0" w:color="000000"/>
              <w:right w:val="single" w:sz="4" w:space="0" w:color="000000"/>
            </w:tcBorders>
            <w:vAlign w:val="center"/>
          </w:tcPr>
          <w:p w14:paraId="098F4226" w14:textId="77777777" w:rsidR="008815B0" w:rsidRPr="00DA6489" w:rsidRDefault="008815B0" w:rsidP="00CA4DCA">
            <w:pPr>
              <w:pStyle w:val="Policedetableau"/>
              <w:widowControl w:val="0"/>
              <w:rPr>
                <w:rFonts w:eastAsia="Times New Roman" w:cs="Times New Roman"/>
              </w:rPr>
            </w:pPr>
            <w:r w:rsidRPr="00DA6489">
              <w:rPr>
                <w:sz w:val="20"/>
              </w:rPr>
              <w:t xml:space="preserve">Annuelle </w:t>
            </w:r>
            <w:r w:rsidR="00A648F9" w:rsidRPr="00DA6489">
              <w:rPr>
                <w:sz w:val="20"/>
              </w:rPr>
              <w:t xml:space="preserve">si le flux est inférieur de </w:t>
            </w:r>
            <w:r w:rsidRPr="00DA6489">
              <w:rPr>
                <w:sz w:val="20"/>
              </w:rPr>
              <w:t>20 kg/h, en continu si au-dessus</w:t>
            </w:r>
            <w:r w:rsidRPr="00DA6489">
              <w:t xml:space="preserve"> </w:t>
            </w:r>
          </w:p>
        </w:tc>
        <w:tc>
          <w:tcPr>
            <w:tcW w:w="1369" w:type="dxa"/>
            <w:tcBorders>
              <w:top w:val="single" w:sz="4" w:space="0" w:color="000000"/>
              <w:left w:val="single" w:sz="4" w:space="0" w:color="000000"/>
              <w:bottom w:val="single" w:sz="4" w:space="0" w:color="000000"/>
              <w:right w:val="single" w:sz="4" w:space="0" w:color="000000"/>
            </w:tcBorders>
            <w:vAlign w:val="center"/>
          </w:tcPr>
          <w:p w14:paraId="57E972D6" w14:textId="77777777" w:rsidR="008815B0" w:rsidRPr="00DA6489" w:rsidRDefault="008815B0" w:rsidP="00CA4DCA">
            <w:pPr>
              <w:pStyle w:val="Policedetableau"/>
              <w:widowControl w:val="0"/>
              <w:rPr>
                <w:rFonts w:eastAsia="Times New Roman" w:cs="Times New Roman"/>
              </w:rPr>
            </w:pPr>
            <w:r w:rsidRPr="00DA6489">
              <w:t>Point 2.10.6</w:t>
            </w:r>
            <w:r w:rsidR="006E762F" w:rsidRPr="00DA6489">
              <w:t>.</w:t>
            </w:r>
          </w:p>
        </w:tc>
      </w:tr>
      <w:tr w:rsidR="008815B0" w:rsidRPr="00DA6489" w14:paraId="47778364" w14:textId="77777777" w:rsidTr="009C263F">
        <w:trPr>
          <w:cantSplit/>
          <w:trHeight w:val="20"/>
          <w:jc w:val="center"/>
        </w:trPr>
        <w:tc>
          <w:tcPr>
            <w:tcW w:w="1555" w:type="dxa"/>
            <w:vMerge/>
            <w:tcBorders>
              <w:left w:val="single" w:sz="4" w:space="0" w:color="000000"/>
              <w:bottom w:val="single" w:sz="4" w:space="0" w:color="000000"/>
              <w:right w:val="single" w:sz="4" w:space="0" w:color="000000"/>
            </w:tcBorders>
            <w:vAlign w:val="center"/>
          </w:tcPr>
          <w:p w14:paraId="13EA79DF" w14:textId="77777777" w:rsidR="008815B0" w:rsidRPr="00DA6489" w:rsidRDefault="008815B0" w:rsidP="00CA4DCA">
            <w:pPr>
              <w:pStyle w:val="Policedetableau"/>
              <w:widowControl w:val="0"/>
              <w:rPr>
                <w:rFonts w:eastAsia="Times New Roman" w:cs="Times New Roman"/>
                <w:lang w:eastAsia="en-GB"/>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25521CEE" w14:textId="77777777" w:rsidR="008815B0" w:rsidRPr="00DA6489" w:rsidRDefault="008815B0" w:rsidP="00CA4DCA">
            <w:pPr>
              <w:pStyle w:val="Policedetableau"/>
              <w:widowControl w:val="0"/>
              <w:rPr>
                <w:rFonts w:eastAsia="Times New Roman" w:cs="Times New Roman"/>
                <w:strike/>
              </w:rPr>
            </w:pPr>
            <w:r w:rsidRPr="00DA6489">
              <w:t>Pas de norme EN</w:t>
            </w:r>
          </w:p>
        </w:tc>
        <w:tc>
          <w:tcPr>
            <w:tcW w:w="2458" w:type="dxa"/>
            <w:tcBorders>
              <w:top w:val="single" w:sz="4" w:space="0" w:color="000000"/>
              <w:left w:val="single" w:sz="4" w:space="0" w:color="000000"/>
              <w:bottom w:val="single" w:sz="4" w:space="0" w:color="000000"/>
              <w:right w:val="single" w:sz="4" w:space="0" w:color="000000"/>
            </w:tcBorders>
            <w:vAlign w:val="center"/>
          </w:tcPr>
          <w:p w14:paraId="5A2CA3C9" w14:textId="77777777" w:rsidR="008815B0" w:rsidRPr="00DA6489" w:rsidRDefault="008815B0" w:rsidP="00CA4DCA">
            <w:pPr>
              <w:pStyle w:val="Policedetableau"/>
              <w:widowControl w:val="0"/>
              <w:rPr>
                <w:rFonts w:eastAsia="Times New Roman" w:cs="Times New Roman"/>
              </w:rPr>
            </w:pPr>
            <w:r w:rsidRPr="00DA6489">
              <w:t>Décapage et dézingage à l’acide chlorhydrique dans des bains de décapage ouverts</w:t>
            </w:r>
          </w:p>
        </w:tc>
        <w:tc>
          <w:tcPr>
            <w:tcW w:w="2268" w:type="dxa"/>
            <w:tcBorders>
              <w:top w:val="single" w:sz="4" w:space="0" w:color="000000"/>
              <w:left w:val="single" w:sz="4" w:space="0" w:color="000000"/>
              <w:bottom w:val="single" w:sz="4" w:space="0" w:color="000000"/>
              <w:right w:val="single" w:sz="4" w:space="0" w:color="000000"/>
            </w:tcBorders>
            <w:vAlign w:val="center"/>
          </w:tcPr>
          <w:p w14:paraId="7D94413D" w14:textId="77777777" w:rsidR="008815B0" w:rsidRPr="00DA6489" w:rsidRDefault="008815B0" w:rsidP="00CA4DCA">
            <w:pPr>
              <w:pStyle w:val="Policedetableau"/>
              <w:widowControl w:val="0"/>
              <w:rPr>
                <w:rFonts w:eastAsia="Times New Roman" w:cs="Times New Roman"/>
                <w:strike/>
              </w:rPr>
            </w:pPr>
            <w:r w:rsidRPr="00DA6489">
              <w:rPr>
                <w:sz w:val="20"/>
              </w:rPr>
              <w:t xml:space="preserve">Annuelle </w:t>
            </w:r>
            <w:r w:rsidR="00A648F9" w:rsidRPr="00DA6489">
              <w:rPr>
                <w:sz w:val="20"/>
              </w:rPr>
              <w:t>si le flux est inférieur de</w:t>
            </w:r>
            <w:r w:rsidRPr="00DA6489">
              <w:rPr>
                <w:sz w:val="20"/>
              </w:rPr>
              <w:t xml:space="preserve"> 20 kg/h, en continu si au-dessus</w:t>
            </w:r>
            <w:r w:rsidRPr="00DA6489">
              <w:t xml:space="preserve"> (</w:t>
            </w:r>
            <w:r w:rsidRPr="00DA6489">
              <w:rPr>
                <w:vertAlign w:val="superscript"/>
              </w:rPr>
              <w:t>5</w:t>
            </w:r>
            <w:r w:rsidRPr="00DA6489">
              <w:t>)</w:t>
            </w:r>
          </w:p>
        </w:tc>
        <w:tc>
          <w:tcPr>
            <w:tcW w:w="1369" w:type="dxa"/>
            <w:tcBorders>
              <w:top w:val="single" w:sz="4" w:space="0" w:color="000000"/>
              <w:left w:val="single" w:sz="4" w:space="0" w:color="000000"/>
              <w:bottom w:val="single" w:sz="4" w:space="0" w:color="000000"/>
              <w:right w:val="single" w:sz="4" w:space="0" w:color="000000"/>
            </w:tcBorders>
            <w:vAlign w:val="center"/>
          </w:tcPr>
          <w:p w14:paraId="3B97BE97" w14:textId="77777777" w:rsidR="008815B0" w:rsidRPr="00DA6489" w:rsidRDefault="008815B0" w:rsidP="00CA4DCA">
            <w:pPr>
              <w:pStyle w:val="Policedetableau"/>
              <w:widowControl w:val="0"/>
              <w:rPr>
                <w:rFonts w:eastAsia="Times New Roman" w:cs="Times New Roman"/>
              </w:rPr>
            </w:pPr>
            <w:r w:rsidRPr="00DA6489">
              <w:t>Point 2.10.</w:t>
            </w:r>
            <w:r w:rsidR="00306814" w:rsidRPr="00DA6489">
              <w:t>6</w:t>
            </w:r>
            <w:r w:rsidR="006E762F" w:rsidRPr="00DA6489">
              <w:t>.</w:t>
            </w:r>
          </w:p>
        </w:tc>
      </w:tr>
      <w:tr w:rsidR="009118CD" w:rsidRPr="00DA6489" w14:paraId="42771F0F" w14:textId="77777777" w:rsidTr="009C263F">
        <w:trPr>
          <w:cantSplit/>
          <w:trHeight w:val="20"/>
          <w:jc w:val="center"/>
        </w:trPr>
        <w:tc>
          <w:tcPr>
            <w:tcW w:w="1555" w:type="dxa"/>
            <w:vMerge w:val="restart"/>
            <w:tcBorders>
              <w:top w:val="single" w:sz="4" w:space="0" w:color="000000"/>
              <w:left w:val="single" w:sz="4" w:space="0" w:color="000000"/>
              <w:right w:val="single" w:sz="4" w:space="0" w:color="000000"/>
            </w:tcBorders>
            <w:vAlign w:val="center"/>
          </w:tcPr>
          <w:p w14:paraId="4EF879AE" w14:textId="77777777" w:rsidR="009118CD" w:rsidRPr="00DA6489" w:rsidRDefault="009118CD" w:rsidP="00CA4DCA">
            <w:pPr>
              <w:pStyle w:val="Policedetableau"/>
              <w:widowControl w:val="0"/>
              <w:rPr>
                <w:rFonts w:eastAsia="Times New Roman" w:cs="Times New Roman"/>
              </w:rPr>
            </w:pPr>
            <w:r w:rsidRPr="00DA6489">
              <w:t>NO</w:t>
            </w:r>
            <w:r w:rsidRPr="00DA6489">
              <w:rPr>
                <w:vertAlign w:val="subscript"/>
              </w:rPr>
              <w:t>X</w:t>
            </w:r>
          </w:p>
        </w:tc>
        <w:tc>
          <w:tcPr>
            <w:tcW w:w="2126" w:type="dxa"/>
            <w:tcBorders>
              <w:top w:val="single" w:sz="4" w:space="0" w:color="000000"/>
              <w:left w:val="single" w:sz="4" w:space="0" w:color="000000"/>
              <w:bottom w:val="single" w:sz="4" w:space="0" w:color="000000"/>
              <w:right w:val="single" w:sz="4" w:space="0" w:color="000000"/>
            </w:tcBorders>
            <w:vAlign w:val="center"/>
          </w:tcPr>
          <w:p w14:paraId="2D60E6B2" w14:textId="77777777" w:rsidR="009118CD" w:rsidRPr="00DA6489" w:rsidRDefault="009118CD" w:rsidP="00CA4DCA">
            <w:pPr>
              <w:pStyle w:val="Policedetableau"/>
              <w:widowControl w:val="0"/>
              <w:rPr>
                <w:rFonts w:eastAsia="Times New Roman" w:cs="Times New Roman"/>
              </w:rPr>
            </w:pPr>
            <w:r w:rsidRPr="00DA6489">
              <w:t>NF EN 14792 (</w:t>
            </w:r>
            <w:r w:rsidRPr="00DA6489">
              <w:rPr>
                <w:vertAlign w:val="superscript"/>
              </w:rPr>
              <w:t>3</w:t>
            </w:r>
            <w:r w:rsidRPr="00DA6489">
              <w:t>)</w:t>
            </w:r>
          </w:p>
        </w:tc>
        <w:tc>
          <w:tcPr>
            <w:tcW w:w="2458" w:type="dxa"/>
            <w:tcBorders>
              <w:top w:val="single" w:sz="4" w:space="0" w:color="000000"/>
              <w:left w:val="single" w:sz="4" w:space="0" w:color="000000"/>
              <w:bottom w:val="single" w:sz="4" w:space="0" w:color="000000"/>
              <w:right w:val="single" w:sz="4" w:space="0" w:color="000000"/>
            </w:tcBorders>
            <w:vAlign w:val="center"/>
          </w:tcPr>
          <w:p w14:paraId="797F1660" w14:textId="77777777" w:rsidR="009118CD" w:rsidRPr="00DA6489" w:rsidRDefault="009118CD" w:rsidP="00CA4DCA">
            <w:pPr>
              <w:pStyle w:val="Policedetableau"/>
              <w:widowControl w:val="0"/>
              <w:rPr>
                <w:rFonts w:eastAsia="Times New Roman" w:cs="Times New Roman"/>
              </w:rPr>
            </w:pPr>
            <w:r w:rsidRPr="00DA6489">
              <w:t>Chauffage de la cuve de galvanisation (</w:t>
            </w:r>
            <w:r w:rsidRPr="00DA6489">
              <w:rPr>
                <w:vertAlign w:val="superscript"/>
              </w:rPr>
              <w:t>2</w:t>
            </w:r>
            <w:r w:rsidRPr="00DA6489">
              <w:t>)</w:t>
            </w:r>
          </w:p>
        </w:tc>
        <w:tc>
          <w:tcPr>
            <w:tcW w:w="2268" w:type="dxa"/>
            <w:vMerge w:val="restart"/>
            <w:tcBorders>
              <w:top w:val="single" w:sz="4" w:space="0" w:color="000000"/>
              <w:left w:val="single" w:sz="4" w:space="0" w:color="000000"/>
              <w:right w:val="single" w:sz="4" w:space="0" w:color="000000"/>
            </w:tcBorders>
            <w:vAlign w:val="center"/>
          </w:tcPr>
          <w:p w14:paraId="1B8A474E" w14:textId="77777777" w:rsidR="009118CD" w:rsidRPr="00DA6489" w:rsidRDefault="009118CD" w:rsidP="00CA4DCA">
            <w:pPr>
              <w:pStyle w:val="Policedetableau"/>
              <w:widowControl w:val="0"/>
              <w:rPr>
                <w:rFonts w:eastAsia="Times New Roman" w:cs="Times New Roman"/>
              </w:rPr>
            </w:pPr>
            <w:r w:rsidRPr="00DA6489">
              <w:rPr>
                <w:sz w:val="20"/>
              </w:rPr>
              <w:t xml:space="preserve">Annuelle </w:t>
            </w:r>
            <w:r w:rsidR="00A648F9" w:rsidRPr="00DA6489">
              <w:rPr>
                <w:sz w:val="20"/>
              </w:rPr>
              <w:t>si le flux est inférieur de</w:t>
            </w:r>
            <w:r w:rsidRPr="00DA6489">
              <w:rPr>
                <w:sz w:val="20"/>
              </w:rPr>
              <w:t xml:space="preserve"> 150 kg/h, en </w:t>
            </w:r>
            <w:r w:rsidRPr="00DA6489">
              <w:rPr>
                <w:sz w:val="20"/>
              </w:rPr>
              <w:lastRenderedPageBreak/>
              <w:t>continu si au-dessus</w:t>
            </w:r>
            <w:r w:rsidRPr="00DA6489">
              <w:t xml:space="preserve"> </w:t>
            </w:r>
          </w:p>
        </w:tc>
        <w:tc>
          <w:tcPr>
            <w:tcW w:w="1369" w:type="dxa"/>
            <w:tcBorders>
              <w:top w:val="single" w:sz="4" w:space="0" w:color="000000"/>
              <w:left w:val="single" w:sz="4" w:space="0" w:color="000000"/>
              <w:bottom w:val="single" w:sz="4" w:space="0" w:color="000000"/>
              <w:right w:val="single" w:sz="4" w:space="0" w:color="000000"/>
            </w:tcBorders>
            <w:vAlign w:val="center"/>
          </w:tcPr>
          <w:p w14:paraId="22DE3A81" w14:textId="0FE251CA" w:rsidR="009118CD" w:rsidRPr="00DA6489" w:rsidRDefault="009118CD" w:rsidP="00CA4DCA">
            <w:pPr>
              <w:pStyle w:val="Policedetableau"/>
              <w:widowControl w:val="0"/>
              <w:rPr>
                <w:rFonts w:eastAsia="Times New Roman" w:cs="Times New Roman"/>
              </w:rPr>
            </w:pPr>
            <w:r w:rsidRPr="00DA6489">
              <w:lastRenderedPageBreak/>
              <w:t>Point </w:t>
            </w:r>
            <w:r w:rsidR="004A2741" w:rsidRPr="00DA6489">
              <w:rPr>
                <w:iCs/>
              </w:rPr>
              <w:t>2.10.2.3.</w:t>
            </w:r>
          </w:p>
        </w:tc>
      </w:tr>
      <w:tr w:rsidR="009118CD" w:rsidRPr="00DA6489" w14:paraId="2A6FFE5D" w14:textId="77777777" w:rsidTr="009C263F">
        <w:trPr>
          <w:cantSplit/>
          <w:trHeight w:val="20"/>
          <w:jc w:val="center"/>
        </w:trPr>
        <w:tc>
          <w:tcPr>
            <w:tcW w:w="1555" w:type="dxa"/>
            <w:vMerge/>
            <w:tcBorders>
              <w:left w:val="single" w:sz="4" w:space="0" w:color="000000"/>
              <w:bottom w:val="single" w:sz="4" w:space="0" w:color="000000"/>
              <w:right w:val="single" w:sz="4" w:space="0" w:color="000000"/>
            </w:tcBorders>
            <w:vAlign w:val="center"/>
          </w:tcPr>
          <w:p w14:paraId="6EEF6521" w14:textId="77777777" w:rsidR="009118CD" w:rsidRPr="00DA6489" w:rsidRDefault="009118CD" w:rsidP="00CA4DCA">
            <w:pPr>
              <w:pStyle w:val="Policedetableau"/>
              <w:widowControl w:val="0"/>
            </w:pPr>
          </w:p>
        </w:tc>
        <w:tc>
          <w:tcPr>
            <w:tcW w:w="2126" w:type="dxa"/>
            <w:tcBorders>
              <w:top w:val="single" w:sz="4" w:space="0" w:color="000000"/>
              <w:left w:val="single" w:sz="4" w:space="0" w:color="000000"/>
              <w:bottom w:val="single" w:sz="4" w:space="0" w:color="000000"/>
              <w:right w:val="single" w:sz="4" w:space="0" w:color="000000"/>
            </w:tcBorders>
            <w:vAlign w:val="center"/>
          </w:tcPr>
          <w:p w14:paraId="7107854B" w14:textId="77777777" w:rsidR="009118CD" w:rsidRPr="00DA6489" w:rsidRDefault="00F36C3A" w:rsidP="00CA4DCA">
            <w:pPr>
              <w:pStyle w:val="Policedetableau"/>
              <w:widowControl w:val="0"/>
            </w:pPr>
            <w:r w:rsidRPr="00DA6489">
              <w:t>Pas de norme EN</w:t>
            </w:r>
          </w:p>
        </w:tc>
        <w:tc>
          <w:tcPr>
            <w:tcW w:w="2458" w:type="dxa"/>
            <w:tcBorders>
              <w:top w:val="single" w:sz="4" w:space="0" w:color="000000"/>
              <w:left w:val="single" w:sz="4" w:space="0" w:color="000000"/>
              <w:bottom w:val="single" w:sz="4" w:space="0" w:color="000000"/>
              <w:right w:val="single" w:sz="4" w:space="0" w:color="000000"/>
            </w:tcBorders>
            <w:vAlign w:val="center"/>
          </w:tcPr>
          <w:p w14:paraId="48917413" w14:textId="77777777" w:rsidR="009118CD" w:rsidRPr="00DA6489" w:rsidRDefault="009118CD" w:rsidP="00CA4DCA">
            <w:pPr>
              <w:pStyle w:val="Policedetableau"/>
              <w:widowControl w:val="0"/>
            </w:pPr>
            <w:r w:rsidRPr="00DA6489">
              <w:t>Régénération de l’acide usé</w:t>
            </w:r>
          </w:p>
        </w:tc>
        <w:tc>
          <w:tcPr>
            <w:tcW w:w="2268" w:type="dxa"/>
            <w:vMerge/>
            <w:tcBorders>
              <w:left w:val="single" w:sz="4" w:space="0" w:color="000000"/>
              <w:bottom w:val="single" w:sz="4" w:space="0" w:color="000000"/>
              <w:right w:val="single" w:sz="4" w:space="0" w:color="000000"/>
            </w:tcBorders>
            <w:vAlign w:val="center"/>
          </w:tcPr>
          <w:p w14:paraId="0F1ED10D" w14:textId="77777777" w:rsidR="009118CD" w:rsidRPr="00DA6489" w:rsidRDefault="009118CD" w:rsidP="00CA4DCA">
            <w:pPr>
              <w:pStyle w:val="Policedetableau"/>
              <w:widowControl w:val="0"/>
              <w:rPr>
                <w:sz w:val="20"/>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2C469287" w14:textId="77777777" w:rsidR="009118CD" w:rsidRPr="00DA6489" w:rsidRDefault="009118CD" w:rsidP="00CA4DCA">
            <w:pPr>
              <w:pStyle w:val="Policedetableau"/>
              <w:widowControl w:val="0"/>
            </w:pPr>
            <w:r w:rsidRPr="00DA6489">
              <w:t>Point 2.10.5</w:t>
            </w:r>
            <w:r w:rsidR="006E762F" w:rsidRPr="00DA6489">
              <w:t>.</w:t>
            </w:r>
          </w:p>
        </w:tc>
      </w:tr>
      <w:tr w:rsidR="009118CD" w:rsidRPr="00DA6489" w14:paraId="40A6BD10" w14:textId="77777777" w:rsidTr="009C263F">
        <w:trPr>
          <w:cantSplit/>
          <w:trHeight w:val="20"/>
          <w:jc w:val="center"/>
        </w:trPr>
        <w:tc>
          <w:tcPr>
            <w:tcW w:w="1555" w:type="dxa"/>
            <w:vMerge w:val="restart"/>
            <w:tcBorders>
              <w:top w:val="single" w:sz="4" w:space="0" w:color="000000"/>
              <w:left w:val="single" w:sz="4" w:space="0" w:color="000000"/>
              <w:right w:val="single" w:sz="4" w:space="0" w:color="000000"/>
            </w:tcBorders>
            <w:vAlign w:val="center"/>
          </w:tcPr>
          <w:p w14:paraId="257E0DE7" w14:textId="77777777" w:rsidR="009118CD" w:rsidRPr="00DA6489" w:rsidRDefault="009118CD" w:rsidP="009C263F">
            <w:pPr>
              <w:pStyle w:val="Policedetableau"/>
              <w:widowControl w:val="0"/>
              <w:rPr>
                <w:rFonts w:eastAsia="Times New Roman" w:cs="Times New Roman"/>
              </w:rPr>
            </w:pPr>
            <w:r w:rsidRPr="00DA6489">
              <w:t>Poussières</w:t>
            </w:r>
          </w:p>
        </w:tc>
        <w:tc>
          <w:tcPr>
            <w:tcW w:w="2126" w:type="dxa"/>
            <w:tcBorders>
              <w:top w:val="single" w:sz="4" w:space="0" w:color="000000"/>
              <w:left w:val="single" w:sz="4" w:space="0" w:color="000000"/>
              <w:bottom w:val="single" w:sz="4" w:space="0" w:color="000000"/>
              <w:right w:val="single" w:sz="4" w:space="0" w:color="000000"/>
            </w:tcBorders>
            <w:vAlign w:val="center"/>
          </w:tcPr>
          <w:p w14:paraId="6FE821C5" w14:textId="77777777" w:rsidR="009118CD" w:rsidRPr="00DA6489" w:rsidRDefault="009118CD" w:rsidP="009C263F">
            <w:pPr>
              <w:pStyle w:val="Policedetableau"/>
              <w:widowControl w:val="0"/>
              <w:rPr>
                <w:rFonts w:eastAsia="Times New Roman" w:cs="Times New Roman"/>
              </w:rPr>
            </w:pPr>
            <w:r w:rsidRPr="00DA6489">
              <w:t>NF EN 13284-1 (</w:t>
            </w:r>
            <w:r w:rsidRPr="00DA6489">
              <w:rPr>
                <w:vertAlign w:val="superscript"/>
              </w:rPr>
              <w:t>3</w:t>
            </w:r>
            <w:r w:rsidRPr="00DA6489">
              <w:t>) (</w:t>
            </w:r>
            <w:r w:rsidRPr="00DA6489">
              <w:rPr>
                <w:vertAlign w:val="superscript"/>
              </w:rPr>
              <w:t>4</w:t>
            </w:r>
            <w:r w:rsidRPr="00DA6489">
              <w:t>)</w:t>
            </w:r>
          </w:p>
        </w:tc>
        <w:tc>
          <w:tcPr>
            <w:tcW w:w="2458" w:type="dxa"/>
            <w:tcBorders>
              <w:top w:val="single" w:sz="4" w:space="0" w:color="000000"/>
              <w:left w:val="single" w:sz="4" w:space="0" w:color="000000"/>
              <w:bottom w:val="single" w:sz="4" w:space="0" w:color="000000"/>
              <w:right w:val="single" w:sz="4" w:space="0" w:color="000000"/>
            </w:tcBorders>
            <w:vAlign w:val="center"/>
          </w:tcPr>
          <w:p w14:paraId="37646E04" w14:textId="77777777" w:rsidR="009118CD" w:rsidRPr="00DA6489" w:rsidRDefault="009118CD" w:rsidP="009C263F">
            <w:pPr>
              <w:pStyle w:val="Policedetableau"/>
              <w:widowControl w:val="0"/>
              <w:rPr>
                <w:rFonts w:eastAsia="Times New Roman" w:cs="Times New Roman"/>
              </w:rPr>
            </w:pPr>
            <w:r w:rsidRPr="00DA6489">
              <w:t>Trempage à chaud après fluxage</w:t>
            </w:r>
          </w:p>
        </w:tc>
        <w:tc>
          <w:tcPr>
            <w:tcW w:w="2268" w:type="dxa"/>
            <w:vMerge w:val="restart"/>
            <w:tcBorders>
              <w:top w:val="single" w:sz="4" w:space="0" w:color="000000"/>
              <w:left w:val="single" w:sz="4" w:space="0" w:color="000000"/>
              <w:right w:val="single" w:sz="4" w:space="0" w:color="000000"/>
            </w:tcBorders>
            <w:vAlign w:val="center"/>
          </w:tcPr>
          <w:p w14:paraId="22DD5537" w14:textId="77777777" w:rsidR="009118CD" w:rsidRPr="00DA6489" w:rsidRDefault="009118CD" w:rsidP="00CA4DCA">
            <w:pPr>
              <w:pStyle w:val="Policedetableau"/>
              <w:widowControl w:val="0"/>
              <w:rPr>
                <w:rFonts w:eastAsia="Times New Roman" w:cs="Times New Roman"/>
              </w:rPr>
            </w:pPr>
            <w:r w:rsidRPr="00DA6489">
              <w:rPr>
                <w:sz w:val="20"/>
              </w:rPr>
              <w:t xml:space="preserve">Annuelle </w:t>
            </w:r>
            <w:r w:rsidR="00A648F9" w:rsidRPr="00DA6489">
              <w:rPr>
                <w:sz w:val="20"/>
              </w:rPr>
              <w:t xml:space="preserve">si le flux est inférieur de </w:t>
            </w:r>
            <w:r w:rsidRPr="00DA6489">
              <w:rPr>
                <w:sz w:val="20"/>
              </w:rPr>
              <w:t>50 g/h, en continu si au-dessus</w:t>
            </w:r>
            <w:r w:rsidRPr="00DA6489">
              <w:t xml:space="preserve"> </w:t>
            </w:r>
          </w:p>
        </w:tc>
        <w:tc>
          <w:tcPr>
            <w:tcW w:w="1369" w:type="dxa"/>
            <w:tcBorders>
              <w:top w:val="single" w:sz="4" w:space="0" w:color="000000"/>
              <w:left w:val="single" w:sz="4" w:space="0" w:color="000000"/>
              <w:bottom w:val="single" w:sz="4" w:space="0" w:color="000000"/>
              <w:right w:val="single" w:sz="4" w:space="0" w:color="000000"/>
            </w:tcBorders>
            <w:vAlign w:val="center"/>
          </w:tcPr>
          <w:p w14:paraId="201AD694" w14:textId="77777777" w:rsidR="009118CD" w:rsidRPr="00DA6489" w:rsidRDefault="009118CD" w:rsidP="009C263F">
            <w:pPr>
              <w:pStyle w:val="Policedetableau"/>
              <w:widowControl w:val="0"/>
              <w:rPr>
                <w:rFonts w:eastAsia="Times New Roman" w:cs="Times New Roman"/>
              </w:rPr>
            </w:pPr>
            <w:r w:rsidRPr="00DA6489">
              <w:t>Point 2.10.</w:t>
            </w:r>
            <w:r w:rsidR="00306814" w:rsidRPr="00DA6489">
              <w:t>3</w:t>
            </w:r>
            <w:r w:rsidR="006E762F" w:rsidRPr="00DA6489">
              <w:t>.</w:t>
            </w:r>
          </w:p>
        </w:tc>
      </w:tr>
      <w:tr w:rsidR="009118CD" w:rsidRPr="00DA6489" w14:paraId="5AF3B2C6" w14:textId="77777777" w:rsidTr="009C263F">
        <w:trPr>
          <w:cantSplit/>
          <w:trHeight w:val="20"/>
          <w:jc w:val="center"/>
        </w:trPr>
        <w:tc>
          <w:tcPr>
            <w:tcW w:w="1555" w:type="dxa"/>
            <w:vMerge/>
            <w:tcBorders>
              <w:left w:val="single" w:sz="4" w:space="0" w:color="000000"/>
              <w:bottom w:val="single" w:sz="4" w:space="0" w:color="000000"/>
              <w:right w:val="single" w:sz="4" w:space="0" w:color="000000"/>
            </w:tcBorders>
            <w:vAlign w:val="center"/>
          </w:tcPr>
          <w:p w14:paraId="57AFEBB9" w14:textId="77777777" w:rsidR="009118CD" w:rsidRPr="00DA6489" w:rsidRDefault="009118CD" w:rsidP="00CA4DCA">
            <w:pPr>
              <w:pStyle w:val="Policedetableau"/>
              <w:widowControl w:val="0"/>
            </w:pPr>
          </w:p>
        </w:tc>
        <w:tc>
          <w:tcPr>
            <w:tcW w:w="2126" w:type="dxa"/>
            <w:tcBorders>
              <w:top w:val="single" w:sz="4" w:space="0" w:color="000000"/>
              <w:left w:val="single" w:sz="4" w:space="0" w:color="000000"/>
              <w:bottom w:val="single" w:sz="4" w:space="0" w:color="000000"/>
              <w:right w:val="single" w:sz="4" w:space="0" w:color="000000"/>
            </w:tcBorders>
            <w:vAlign w:val="center"/>
          </w:tcPr>
          <w:p w14:paraId="12F2FB0A" w14:textId="77777777" w:rsidR="009118CD" w:rsidRPr="00DA6489" w:rsidRDefault="00F36C3A" w:rsidP="00CA4DCA">
            <w:pPr>
              <w:pStyle w:val="Policedetableau"/>
              <w:widowControl w:val="0"/>
            </w:pPr>
            <w:r w:rsidRPr="00DA6489">
              <w:t>Pas de norme EN</w:t>
            </w:r>
          </w:p>
        </w:tc>
        <w:tc>
          <w:tcPr>
            <w:tcW w:w="2458" w:type="dxa"/>
            <w:tcBorders>
              <w:top w:val="single" w:sz="4" w:space="0" w:color="000000"/>
              <w:left w:val="single" w:sz="4" w:space="0" w:color="000000"/>
              <w:bottom w:val="single" w:sz="4" w:space="0" w:color="000000"/>
              <w:right w:val="single" w:sz="4" w:space="0" w:color="000000"/>
            </w:tcBorders>
            <w:vAlign w:val="center"/>
          </w:tcPr>
          <w:p w14:paraId="0E957884" w14:textId="77777777" w:rsidR="009118CD" w:rsidRPr="00DA6489" w:rsidRDefault="00306814" w:rsidP="00CA4DCA">
            <w:pPr>
              <w:pStyle w:val="Policedetableau"/>
              <w:widowControl w:val="0"/>
            </w:pPr>
            <w:r w:rsidRPr="00DA6489">
              <w:t>Régénération de l’acide usé</w:t>
            </w:r>
          </w:p>
        </w:tc>
        <w:tc>
          <w:tcPr>
            <w:tcW w:w="2268" w:type="dxa"/>
            <w:vMerge/>
            <w:tcBorders>
              <w:left w:val="single" w:sz="4" w:space="0" w:color="000000"/>
              <w:bottom w:val="single" w:sz="4" w:space="0" w:color="000000"/>
              <w:right w:val="single" w:sz="4" w:space="0" w:color="000000"/>
            </w:tcBorders>
            <w:vAlign w:val="center"/>
          </w:tcPr>
          <w:p w14:paraId="173D172E" w14:textId="77777777" w:rsidR="009118CD" w:rsidRPr="00DA6489" w:rsidRDefault="009118CD" w:rsidP="00CA4DCA">
            <w:pPr>
              <w:pStyle w:val="Policedetableau"/>
              <w:widowControl w:val="0"/>
              <w:rPr>
                <w:sz w:val="20"/>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1DAEEE2B" w14:textId="77777777" w:rsidR="009118CD" w:rsidRPr="00DA6489" w:rsidRDefault="009118CD" w:rsidP="00CA4DCA">
            <w:pPr>
              <w:pStyle w:val="Policedetableau"/>
              <w:widowControl w:val="0"/>
            </w:pPr>
            <w:r w:rsidRPr="00DA6489">
              <w:t>Point 2.10.5</w:t>
            </w:r>
            <w:r w:rsidR="006E762F" w:rsidRPr="00DA6489">
              <w:t>.</w:t>
            </w:r>
          </w:p>
        </w:tc>
      </w:tr>
      <w:tr w:rsidR="009118CD" w:rsidRPr="00DA6489" w14:paraId="693BC57F" w14:textId="77777777" w:rsidTr="009C263F">
        <w:trPr>
          <w:cantSplit/>
          <w:trHeight w:val="20"/>
          <w:jc w:val="center"/>
        </w:trPr>
        <w:tc>
          <w:tcPr>
            <w:tcW w:w="1555" w:type="dxa"/>
            <w:vMerge w:val="restart"/>
            <w:tcBorders>
              <w:top w:val="single" w:sz="4" w:space="0" w:color="000000"/>
              <w:left w:val="single" w:sz="4" w:space="0" w:color="000000"/>
              <w:right w:val="single" w:sz="4" w:space="0" w:color="000000"/>
            </w:tcBorders>
            <w:vAlign w:val="center"/>
          </w:tcPr>
          <w:p w14:paraId="521E36E3" w14:textId="77777777" w:rsidR="009118CD" w:rsidRPr="00DA6489" w:rsidRDefault="009118CD" w:rsidP="00CA4DCA">
            <w:pPr>
              <w:pStyle w:val="Policedetableau"/>
              <w:widowControl w:val="0"/>
              <w:rPr>
                <w:rFonts w:eastAsia="Times New Roman" w:cs="Times New Roman"/>
              </w:rPr>
            </w:pPr>
            <w:r w:rsidRPr="00DA6489">
              <w:t>SO</w:t>
            </w:r>
            <w:r w:rsidRPr="00DA6489">
              <w:rPr>
                <w:vertAlign w:val="subscript"/>
              </w:rPr>
              <w:t>X</w:t>
            </w:r>
          </w:p>
        </w:tc>
        <w:tc>
          <w:tcPr>
            <w:tcW w:w="2126" w:type="dxa"/>
            <w:tcBorders>
              <w:top w:val="single" w:sz="4" w:space="0" w:color="000000"/>
              <w:left w:val="single" w:sz="4" w:space="0" w:color="000000"/>
              <w:bottom w:val="single" w:sz="4" w:space="0" w:color="000000"/>
              <w:right w:val="single" w:sz="4" w:space="0" w:color="000000"/>
            </w:tcBorders>
            <w:vAlign w:val="center"/>
          </w:tcPr>
          <w:p w14:paraId="6C2C7DF3" w14:textId="77777777" w:rsidR="009118CD" w:rsidRPr="00DA6489" w:rsidRDefault="009118CD" w:rsidP="00CA4DCA">
            <w:pPr>
              <w:pStyle w:val="Policedetableau"/>
              <w:widowControl w:val="0"/>
              <w:rPr>
                <w:rFonts w:eastAsia="Times New Roman" w:cs="Times New Roman"/>
              </w:rPr>
            </w:pPr>
            <w:r w:rsidRPr="00DA6489">
              <w:t>NF EN 14791 (</w:t>
            </w:r>
            <w:r w:rsidRPr="00DA6489">
              <w:rPr>
                <w:vertAlign w:val="superscript"/>
              </w:rPr>
              <w:t>3</w:t>
            </w:r>
            <w:r w:rsidRPr="00DA6489">
              <w:t>)</w:t>
            </w:r>
          </w:p>
        </w:tc>
        <w:tc>
          <w:tcPr>
            <w:tcW w:w="2458" w:type="dxa"/>
            <w:tcBorders>
              <w:top w:val="single" w:sz="4" w:space="0" w:color="000000"/>
              <w:left w:val="single" w:sz="4" w:space="0" w:color="000000"/>
              <w:bottom w:val="single" w:sz="4" w:space="0" w:color="000000"/>
              <w:right w:val="single" w:sz="4" w:space="0" w:color="000000"/>
            </w:tcBorders>
            <w:vAlign w:val="center"/>
          </w:tcPr>
          <w:p w14:paraId="01E8CB2B" w14:textId="77777777" w:rsidR="009118CD" w:rsidRPr="00DA6489" w:rsidRDefault="009118CD" w:rsidP="00CA4DCA">
            <w:pPr>
              <w:pStyle w:val="Policedetableau"/>
              <w:widowControl w:val="0"/>
              <w:rPr>
                <w:rFonts w:eastAsia="Times New Roman" w:cs="Times New Roman"/>
                <w:lang w:eastAsia="en-GB"/>
              </w:rPr>
            </w:pPr>
            <w:r w:rsidRPr="00DA6489">
              <w:t>Décapage à l’acide sulfurique</w:t>
            </w:r>
          </w:p>
        </w:tc>
        <w:tc>
          <w:tcPr>
            <w:tcW w:w="2268" w:type="dxa"/>
            <w:vMerge w:val="restart"/>
            <w:tcBorders>
              <w:top w:val="single" w:sz="4" w:space="0" w:color="000000"/>
              <w:left w:val="single" w:sz="4" w:space="0" w:color="000000"/>
              <w:right w:val="single" w:sz="4" w:space="0" w:color="000000"/>
            </w:tcBorders>
            <w:vAlign w:val="center"/>
          </w:tcPr>
          <w:p w14:paraId="5AC6D5B6" w14:textId="77777777" w:rsidR="009118CD" w:rsidRPr="00DA6489" w:rsidRDefault="009118CD" w:rsidP="00CA4DCA">
            <w:pPr>
              <w:pStyle w:val="Policedetableau"/>
              <w:widowControl w:val="0"/>
              <w:rPr>
                <w:rFonts w:eastAsia="Times New Roman" w:cs="Times New Roman"/>
              </w:rPr>
            </w:pPr>
            <w:r w:rsidRPr="00DA6489">
              <w:rPr>
                <w:sz w:val="20"/>
              </w:rPr>
              <w:t xml:space="preserve">Annuelle </w:t>
            </w:r>
            <w:r w:rsidR="00A648F9" w:rsidRPr="00DA6489">
              <w:rPr>
                <w:sz w:val="20"/>
              </w:rPr>
              <w:t xml:space="preserve">si le flux est inférieur de </w:t>
            </w:r>
            <w:r w:rsidRPr="00DA6489">
              <w:rPr>
                <w:sz w:val="20"/>
              </w:rPr>
              <w:t>150 kg/h, en continu si au-dessus</w:t>
            </w:r>
            <w:r w:rsidRPr="00DA6489">
              <w:t xml:space="preserve"> </w:t>
            </w:r>
          </w:p>
        </w:tc>
        <w:tc>
          <w:tcPr>
            <w:tcW w:w="1369" w:type="dxa"/>
            <w:tcBorders>
              <w:top w:val="single" w:sz="4" w:space="0" w:color="000000"/>
              <w:left w:val="single" w:sz="4" w:space="0" w:color="000000"/>
              <w:bottom w:val="single" w:sz="4" w:space="0" w:color="000000"/>
              <w:right w:val="single" w:sz="4" w:space="0" w:color="000000"/>
            </w:tcBorders>
            <w:vAlign w:val="center"/>
          </w:tcPr>
          <w:p w14:paraId="19017D97" w14:textId="61B584D2" w:rsidR="009118CD" w:rsidRPr="00DA6489" w:rsidRDefault="006A5D96" w:rsidP="00CA4DCA">
            <w:pPr>
              <w:pStyle w:val="Policedetableau"/>
              <w:widowControl w:val="0"/>
              <w:rPr>
                <w:rFonts w:eastAsia="Times New Roman" w:cs="Times New Roman"/>
              </w:rPr>
            </w:pPr>
            <w:r>
              <w:rPr>
                <w:rFonts w:eastAsia="Times New Roman" w:cs="Times New Roman"/>
              </w:rPr>
              <w:t>-</w:t>
            </w:r>
          </w:p>
        </w:tc>
      </w:tr>
      <w:tr w:rsidR="009118CD" w:rsidRPr="00DA6489" w14:paraId="6BC2DBC6" w14:textId="77777777" w:rsidTr="009C263F">
        <w:trPr>
          <w:cantSplit/>
          <w:trHeight w:val="20"/>
          <w:jc w:val="center"/>
        </w:trPr>
        <w:tc>
          <w:tcPr>
            <w:tcW w:w="1555" w:type="dxa"/>
            <w:vMerge/>
            <w:tcBorders>
              <w:left w:val="single" w:sz="4" w:space="0" w:color="000000"/>
              <w:bottom w:val="single" w:sz="4" w:space="0" w:color="000000"/>
              <w:right w:val="single" w:sz="4" w:space="0" w:color="000000"/>
            </w:tcBorders>
            <w:vAlign w:val="center"/>
          </w:tcPr>
          <w:p w14:paraId="35148975" w14:textId="77777777" w:rsidR="009118CD" w:rsidRPr="00DA6489" w:rsidRDefault="009118CD" w:rsidP="00CA4DCA">
            <w:pPr>
              <w:pStyle w:val="Policedetableau"/>
              <w:widowControl w:val="0"/>
            </w:pPr>
          </w:p>
        </w:tc>
        <w:tc>
          <w:tcPr>
            <w:tcW w:w="2126" w:type="dxa"/>
            <w:tcBorders>
              <w:top w:val="single" w:sz="4" w:space="0" w:color="000000"/>
              <w:left w:val="single" w:sz="4" w:space="0" w:color="000000"/>
              <w:bottom w:val="single" w:sz="4" w:space="0" w:color="000000"/>
              <w:right w:val="single" w:sz="4" w:space="0" w:color="000000"/>
            </w:tcBorders>
            <w:vAlign w:val="center"/>
          </w:tcPr>
          <w:p w14:paraId="6FEA0BB1" w14:textId="77777777" w:rsidR="009118CD" w:rsidRPr="00DA6489" w:rsidRDefault="00F36C3A" w:rsidP="00CA4DCA">
            <w:pPr>
              <w:pStyle w:val="Policedetableau"/>
              <w:widowControl w:val="0"/>
            </w:pPr>
            <w:r w:rsidRPr="00DA6489">
              <w:t>Pas de norme EN</w:t>
            </w:r>
          </w:p>
        </w:tc>
        <w:tc>
          <w:tcPr>
            <w:tcW w:w="2458" w:type="dxa"/>
            <w:tcBorders>
              <w:top w:val="single" w:sz="4" w:space="0" w:color="000000"/>
              <w:left w:val="single" w:sz="4" w:space="0" w:color="000000"/>
              <w:bottom w:val="single" w:sz="4" w:space="0" w:color="000000"/>
              <w:right w:val="single" w:sz="4" w:space="0" w:color="000000"/>
            </w:tcBorders>
            <w:vAlign w:val="center"/>
          </w:tcPr>
          <w:p w14:paraId="00CF7C5E" w14:textId="77777777" w:rsidR="009118CD" w:rsidRPr="00DA6489" w:rsidRDefault="009118CD" w:rsidP="00CA4DCA">
            <w:pPr>
              <w:pStyle w:val="Policedetableau"/>
              <w:widowControl w:val="0"/>
            </w:pPr>
            <w:r w:rsidRPr="00DA6489">
              <w:t>Régénération de l’acide usé</w:t>
            </w:r>
          </w:p>
        </w:tc>
        <w:tc>
          <w:tcPr>
            <w:tcW w:w="2268" w:type="dxa"/>
            <w:vMerge/>
            <w:tcBorders>
              <w:left w:val="single" w:sz="4" w:space="0" w:color="000000"/>
              <w:bottom w:val="single" w:sz="4" w:space="0" w:color="000000"/>
              <w:right w:val="single" w:sz="4" w:space="0" w:color="000000"/>
            </w:tcBorders>
            <w:vAlign w:val="center"/>
          </w:tcPr>
          <w:p w14:paraId="32E2C764" w14:textId="77777777" w:rsidR="009118CD" w:rsidRPr="00DA6489" w:rsidRDefault="009118CD" w:rsidP="00CA4DCA">
            <w:pPr>
              <w:pStyle w:val="Policedetableau"/>
              <w:widowControl w:val="0"/>
              <w:rPr>
                <w:sz w:val="20"/>
              </w:rPr>
            </w:pPr>
          </w:p>
        </w:tc>
        <w:tc>
          <w:tcPr>
            <w:tcW w:w="1369" w:type="dxa"/>
            <w:tcBorders>
              <w:top w:val="single" w:sz="4" w:space="0" w:color="000000"/>
              <w:left w:val="single" w:sz="4" w:space="0" w:color="000000"/>
              <w:bottom w:val="single" w:sz="4" w:space="0" w:color="000000"/>
              <w:right w:val="single" w:sz="4" w:space="0" w:color="000000"/>
            </w:tcBorders>
            <w:vAlign w:val="center"/>
          </w:tcPr>
          <w:p w14:paraId="4108055F" w14:textId="77777777" w:rsidR="009118CD" w:rsidRPr="00DA6489" w:rsidRDefault="009118CD" w:rsidP="00CA4DCA">
            <w:pPr>
              <w:pStyle w:val="Policedetableau"/>
              <w:widowControl w:val="0"/>
            </w:pPr>
            <w:r w:rsidRPr="00DA6489">
              <w:t>Point 2.10.5</w:t>
            </w:r>
            <w:r w:rsidR="006E762F" w:rsidRPr="00DA6489">
              <w:t>.</w:t>
            </w:r>
          </w:p>
        </w:tc>
      </w:tr>
      <w:tr w:rsidR="00465A72" w:rsidRPr="00DA6489" w14:paraId="6105985C" w14:textId="77777777" w:rsidTr="00487EC1">
        <w:trPr>
          <w:cantSplit/>
          <w:trHeight w:val="20"/>
          <w:jc w:val="center"/>
        </w:trPr>
        <w:tc>
          <w:tcPr>
            <w:tcW w:w="1555" w:type="dxa"/>
            <w:tcBorders>
              <w:top w:val="single" w:sz="4" w:space="0" w:color="000000"/>
              <w:left w:val="single" w:sz="4" w:space="0" w:color="000000"/>
              <w:bottom w:val="single" w:sz="4" w:space="0" w:color="000000"/>
              <w:right w:val="single" w:sz="4" w:space="0" w:color="000000"/>
            </w:tcBorders>
            <w:vAlign w:val="center"/>
          </w:tcPr>
          <w:p w14:paraId="2D761D63" w14:textId="77777777" w:rsidR="00465A72" w:rsidRPr="00DA6489" w:rsidRDefault="00465A72" w:rsidP="009C263F">
            <w:pPr>
              <w:pStyle w:val="Policedetableau"/>
              <w:widowControl w:val="0"/>
              <w:rPr>
                <w:rFonts w:eastAsia="Times New Roman" w:cs="Times New Roman"/>
              </w:rPr>
            </w:pPr>
            <w:r w:rsidRPr="00DA6489">
              <w:t>Zn</w:t>
            </w:r>
          </w:p>
        </w:tc>
        <w:tc>
          <w:tcPr>
            <w:tcW w:w="2126" w:type="dxa"/>
            <w:tcBorders>
              <w:top w:val="single" w:sz="4" w:space="0" w:color="000000"/>
              <w:left w:val="single" w:sz="4" w:space="0" w:color="000000"/>
              <w:bottom w:val="single" w:sz="4" w:space="0" w:color="000000"/>
              <w:right w:val="single" w:sz="4" w:space="0" w:color="000000"/>
            </w:tcBorders>
            <w:vAlign w:val="center"/>
          </w:tcPr>
          <w:p w14:paraId="27522C84" w14:textId="77777777" w:rsidR="00465A72" w:rsidRPr="00DA6489" w:rsidRDefault="00465A72" w:rsidP="009C263F">
            <w:pPr>
              <w:pStyle w:val="Policedetableau"/>
              <w:widowControl w:val="0"/>
              <w:rPr>
                <w:rFonts w:eastAsia="Times New Roman" w:cs="Times New Roman"/>
              </w:rPr>
            </w:pPr>
            <w:r w:rsidRPr="00DA6489">
              <w:t>NF EN 14385</w:t>
            </w:r>
          </w:p>
        </w:tc>
        <w:tc>
          <w:tcPr>
            <w:tcW w:w="2458" w:type="dxa"/>
            <w:tcBorders>
              <w:top w:val="single" w:sz="4" w:space="0" w:color="000000"/>
              <w:left w:val="single" w:sz="4" w:space="0" w:color="000000"/>
              <w:bottom w:val="single" w:sz="4" w:space="0" w:color="000000"/>
              <w:right w:val="single" w:sz="4" w:space="0" w:color="000000"/>
            </w:tcBorders>
            <w:vAlign w:val="center"/>
          </w:tcPr>
          <w:p w14:paraId="16829DB8" w14:textId="77777777" w:rsidR="00465A72" w:rsidRPr="00DA6489" w:rsidRDefault="00465A72" w:rsidP="009C263F">
            <w:pPr>
              <w:pStyle w:val="Policedetableau"/>
              <w:widowControl w:val="0"/>
              <w:rPr>
                <w:rFonts w:eastAsia="Times New Roman" w:cs="Times New Roman"/>
              </w:rPr>
            </w:pPr>
            <w:r w:rsidRPr="00DA6489">
              <w:t>Trempage à chaud après fluxage</w:t>
            </w:r>
          </w:p>
        </w:tc>
        <w:tc>
          <w:tcPr>
            <w:tcW w:w="2268" w:type="dxa"/>
            <w:tcBorders>
              <w:top w:val="single" w:sz="4" w:space="0" w:color="000000"/>
              <w:left w:val="single" w:sz="4" w:space="0" w:color="000000"/>
              <w:bottom w:val="single" w:sz="4" w:space="0" w:color="000000"/>
              <w:right w:val="single" w:sz="4" w:space="0" w:color="000000"/>
            </w:tcBorders>
            <w:vAlign w:val="center"/>
          </w:tcPr>
          <w:p w14:paraId="2BE9668C" w14:textId="77777777" w:rsidR="00465A72" w:rsidRPr="00DA6489" w:rsidRDefault="00465A72" w:rsidP="009C263F">
            <w:pPr>
              <w:pStyle w:val="Policedetableau"/>
              <w:widowControl w:val="0"/>
              <w:rPr>
                <w:rFonts w:eastAsia="Times New Roman" w:cs="Times New Roman"/>
                <w:strike/>
              </w:rPr>
            </w:pPr>
            <w:r w:rsidRPr="00DA6489">
              <w:rPr>
                <w:sz w:val="20"/>
              </w:rPr>
              <w:t xml:space="preserve">Annuelle </w:t>
            </w:r>
            <w:r w:rsidR="00A648F9" w:rsidRPr="00DA6489">
              <w:rPr>
                <w:sz w:val="20"/>
              </w:rPr>
              <w:t>si le flux est inférieur de</w:t>
            </w:r>
            <w:r w:rsidRPr="00DA6489">
              <w:rPr>
                <w:sz w:val="20"/>
              </w:rPr>
              <w:t xml:space="preserve"> 500 g/h, journalière si au-dessus </w:t>
            </w:r>
          </w:p>
        </w:tc>
        <w:tc>
          <w:tcPr>
            <w:tcW w:w="1369" w:type="dxa"/>
            <w:tcBorders>
              <w:top w:val="single" w:sz="4" w:space="0" w:color="000000"/>
              <w:left w:val="single" w:sz="4" w:space="0" w:color="000000"/>
              <w:bottom w:val="single" w:sz="4" w:space="0" w:color="000000"/>
              <w:right w:val="single" w:sz="4" w:space="0" w:color="000000"/>
            </w:tcBorders>
            <w:vAlign w:val="center"/>
          </w:tcPr>
          <w:p w14:paraId="340FE65F" w14:textId="77777777" w:rsidR="00465A72" w:rsidRPr="00DA6489" w:rsidRDefault="00465A72" w:rsidP="009C263F">
            <w:pPr>
              <w:pStyle w:val="Policedetableau"/>
              <w:widowControl w:val="0"/>
              <w:rPr>
                <w:rFonts w:eastAsia="Times New Roman" w:cs="Times New Roman"/>
              </w:rPr>
            </w:pPr>
            <w:r w:rsidRPr="00DA6489">
              <w:t>Point 2.1</w:t>
            </w:r>
            <w:r w:rsidR="00306814" w:rsidRPr="00DA6489">
              <w:t>3</w:t>
            </w:r>
            <w:r w:rsidRPr="00DA6489">
              <w:t>.2</w:t>
            </w:r>
            <w:r w:rsidR="006E762F" w:rsidRPr="00DA6489">
              <w:t>.</w:t>
            </w:r>
          </w:p>
        </w:tc>
      </w:tr>
      <w:tr w:rsidR="00CA4DCA" w:rsidRPr="00DA6489" w14:paraId="3A525B18" w14:textId="77777777" w:rsidTr="00487EC1">
        <w:trPr>
          <w:cantSplit/>
          <w:trHeight w:val="20"/>
          <w:jc w:val="center"/>
        </w:trPr>
        <w:tc>
          <w:tcPr>
            <w:tcW w:w="9776" w:type="dxa"/>
            <w:gridSpan w:val="5"/>
            <w:tcBorders>
              <w:top w:val="single" w:sz="4" w:space="0" w:color="000000"/>
              <w:left w:val="single" w:sz="4" w:space="0" w:color="000000"/>
              <w:bottom w:val="single" w:sz="4" w:space="0" w:color="000000"/>
              <w:right w:val="single" w:sz="4" w:space="0" w:color="000000"/>
            </w:tcBorders>
          </w:tcPr>
          <w:p w14:paraId="2EB2F710" w14:textId="77777777" w:rsidR="00CA4DCA" w:rsidRPr="00DA6489" w:rsidRDefault="00CA4DCA" w:rsidP="00CA4DCA">
            <w:pPr>
              <w:pStyle w:val="Footnote"/>
              <w:widowControl w:val="0"/>
              <w:rPr>
                <w:rFonts w:eastAsia="Times New Roman" w:cs="Times New Roman"/>
              </w:rPr>
            </w:pPr>
            <w:r w:rsidRPr="00DA6489">
              <w:t>(</w:t>
            </w:r>
            <w:r w:rsidRPr="00DA6489">
              <w:rPr>
                <w:vertAlign w:val="superscript"/>
              </w:rPr>
              <w:t>1</w:t>
            </w:r>
            <w:r w:rsidRPr="00DA6489">
              <w:t>) Autant que possible, les mesures sont effectuées au niveau d’émission le plus élevé</w:t>
            </w:r>
            <w:r w:rsidR="00CE27C4" w:rsidRPr="00DA6489">
              <w:t>e</w:t>
            </w:r>
            <w:r w:rsidRPr="00DA6489">
              <w:t xml:space="preserve"> attendu en conditions normales de fonctionnement.</w:t>
            </w:r>
          </w:p>
          <w:p w14:paraId="22BCDB09" w14:textId="77777777" w:rsidR="00CA4DCA" w:rsidRPr="00DA6489" w:rsidRDefault="00CA4DCA" w:rsidP="00CA4DCA">
            <w:pPr>
              <w:pStyle w:val="Footnote"/>
              <w:widowControl w:val="0"/>
              <w:rPr>
                <w:rFonts w:eastAsia="Times New Roman" w:cs="Times New Roman"/>
              </w:rPr>
            </w:pPr>
            <w:r w:rsidRPr="00DA6489">
              <w:t>(</w:t>
            </w:r>
            <w:r w:rsidRPr="00DA6489">
              <w:rPr>
                <w:vertAlign w:val="superscript"/>
              </w:rPr>
              <w:t>2</w:t>
            </w:r>
            <w:r w:rsidRPr="00DA6489">
              <w:t>) La surveillance ne s’applique pas lorsque seule de l’électricité est utilisée.</w:t>
            </w:r>
          </w:p>
          <w:p w14:paraId="422BA0EA" w14:textId="77777777" w:rsidR="00CA4DCA" w:rsidRPr="00DA6489" w:rsidRDefault="00CA4DCA" w:rsidP="00CA4DCA">
            <w:pPr>
              <w:pStyle w:val="Footnote"/>
              <w:widowControl w:val="0"/>
              <w:rPr>
                <w:rFonts w:eastAsia="Times New Roman" w:cs="Times New Roman"/>
              </w:rPr>
            </w:pPr>
            <w:r w:rsidRPr="00DA6489">
              <w:t>(</w:t>
            </w:r>
            <w:r w:rsidRPr="00DA6489">
              <w:rPr>
                <w:vertAlign w:val="superscript"/>
              </w:rPr>
              <w:t>3</w:t>
            </w:r>
            <w:r w:rsidRPr="00DA6489">
              <w:t>) Pour les mesures en continu, les normes NF EN génériques suivantes s’appliquent : NF EN 15267-1, NF EN 15267-2, NF EN 15267</w:t>
            </w:r>
            <w:r w:rsidRPr="00DA6489">
              <w:noBreakHyphen/>
              <w:t>3 et NF EN 14181.</w:t>
            </w:r>
          </w:p>
          <w:p w14:paraId="1EC91723" w14:textId="77777777" w:rsidR="00CA4DCA" w:rsidRPr="00DA6489" w:rsidRDefault="00CA4DCA" w:rsidP="00CA4DCA">
            <w:pPr>
              <w:pStyle w:val="Footnote"/>
              <w:widowControl w:val="0"/>
              <w:rPr>
                <w:rFonts w:eastAsia="Times New Roman" w:cs="Times New Roman"/>
              </w:rPr>
            </w:pPr>
            <w:r w:rsidRPr="00DA6489">
              <w:t>(</w:t>
            </w:r>
            <w:r w:rsidRPr="00DA6489">
              <w:rPr>
                <w:vertAlign w:val="superscript"/>
              </w:rPr>
              <w:t>4</w:t>
            </w:r>
            <w:r w:rsidRPr="00DA6489">
              <w:t>) Pour les mesures en continu, la norme NF EN 13284-2 s’applique également.</w:t>
            </w:r>
          </w:p>
          <w:p w14:paraId="2389634C" w14:textId="41887865" w:rsidR="00CA4DCA" w:rsidRPr="00DA6489" w:rsidRDefault="00CA4DCA" w:rsidP="00CA4DCA">
            <w:pPr>
              <w:pStyle w:val="Footnote"/>
              <w:widowControl w:val="0"/>
            </w:pPr>
            <w:r w:rsidRPr="00DA6489">
              <w:t>(</w:t>
            </w:r>
            <w:r w:rsidR="005A483D" w:rsidRPr="00DA6489">
              <w:rPr>
                <w:vertAlign w:val="superscript"/>
              </w:rPr>
              <w:t>5</w:t>
            </w:r>
            <w:r w:rsidRPr="00DA6489">
              <w:t>) Lorsque les techniques </w:t>
            </w:r>
            <w:proofErr w:type="gramStart"/>
            <w:r w:rsidRPr="00DA6489">
              <w:t>a</w:t>
            </w:r>
            <w:proofErr w:type="gramEnd"/>
            <w:r w:rsidRPr="00DA6489">
              <w:t>) ou b) d</w:t>
            </w:r>
            <w:r w:rsidR="0024241B">
              <w:t>u point</w:t>
            </w:r>
            <w:r w:rsidR="00465A72" w:rsidRPr="00DA6489">
              <w:t xml:space="preserve"> 2.10.6</w:t>
            </w:r>
            <w:r w:rsidR="006E762F" w:rsidRPr="00DA6489">
              <w:t>.</w:t>
            </w:r>
            <w:r w:rsidR="00465A72" w:rsidRPr="00DA6489">
              <w:t xml:space="preserve"> </w:t>
            </w:r>
            <w:proofErr w:type="gramStart"/>
            <w:r w:rsidRPr="00DA6489">
              <w:t>ne</w:t>
            </w:r>
            <w:proofErr w:type="gramEnd"/>
            <w:r w:rsidRPr="00DA6489">
              <w:t xml:space="preserve"> sont pas applicables, la mesure de la concentration de </w:t>
            </w:r>
            <w:proofErr w:type="spellStart"/>
            <w:r w:rsidRPr="00DA6489">
              <w:t>HCl</w:t>
            </w:r>
            <w:proofErr w:type="spellEnd"/>
            <w:r w:rsidRPr="00DA6489">
              <w:t xml:space="preserve"> dans la phase gazeuse au-dessus du bain de décapage est effectuée au moins une fois par an.</w:t>
            </w:r>
          </w:p>
          <w:p w14:paraId="68B31C52" w14:textId="77777777" w:rsidR="00CA4DCA" w:rsidRPr="00DA6489" w:rsidRDefault="00CA4DCA" w:rsidP="00CA4DCA">
            <w:pPr>
              <w:pStyle w:val="Footnote"/>
              <w:widowControl w:val="0"/>
              <w:rPr>
                <w:rFonts w:eastAsia="Times New Roman" w:cs="Times New Roman"/>
              </w:rPr>
            </w:pPr>
          </w:p>
        </w:tc>
      </w:tr>
    </w:tbl>
    <w:p w14:paraId="047D7161" w14:textId="77777777" w:rsidR="005C0576" w:rsidRPr="00DA6489" w:rsidRDefault="005C0576"/>
    <w:p w14:paraId="5B73388E" w14:textId="77777777" w:rsidR="005C0576" w:rsidRPr="00DA6489" w:rsidRDefault="00520523" w:rsidP="004E323C">
      <w:pPr>
        <w:pStyle w:val="Titre2"/>
      </w:pPr>
      <w:r w:rsidRPr="00DA6489">
        <w:tab/>
        <w:t>2.6</w:t>
      </w:r>
      <w:r w:rsidR="00A149D9" w:rsidRPr="00DA6489">
        <w:t>.</w:t>
      </w:r>
      <w:r w:rsidRPr="00DA6489">
        <w:t xml:space="preserve"> Utilisation de substances dangereuses</w:t>
      </w:r>
    </w:p>
    <w:p w14:paraId="6E4D80C4" w14:textId="73FB44B7" w:rsidR="00535048" w:rsidRPr="00DA6489" w:rsidRDefault="00A702EF">
      <w:pPr>
        <w:pStyle w:val="Titre20"/>
        <w:rPr>
          <w:rFonts w:eastAsia="Segoe UI" w:cs="Times New Roman"/>
          <w:b w:val="0"/>
          <w:bCs/>
          <w:sz w:val="22"/>
          <w:szCs w:val="22"/>
        </w:rPr>
      </w:pPr>
      <w:r w:rsidRPr="00DA6489">
        <w:rPr>
          <w:rFonts w:eastAsia="Segoe UI" w:cs="Times New Roman"/>
          <w:b w:val="0"/>
          <w:bCs/>
          <w:sz w:val="22"/>
          <w:szCs w:val="22"/>
        </w:rPr>
        <w:t>L’exploitant</w:t>
      </w:r>
      <w:r w:rsidR="00535048" w:rsidRPr="00DA6489">
        <w:rPr>
          <w:rFonts w:eastAsia="Segoe UI" w:cs="Times New Roman"/>
          <w:b w:val="0"/>
          <w:bCs/>
          <w:sz w:val="22"/>
          <w:szCs w:val="22"/>
        </w:rPr>
        <w:t xml:space="preserve"> utilise des solutions contenant d’autres </w:t>
      </w:r>
      <w:r w:rsidR="00776805">
        <w:rPr>
          <w:rFonts w:eastAsia="Segoe UI" w:cs="Times New Roman"/>
          <w:b w:val="0"/>
          <w:bCs/>
          <w:sz w:val="22"/>
          <w:szCs w:val="22"/>
        </w:rPr>
        <w:t>substances</w:t>
      </w:r>
      <w:r w:rsidR="00776805" w:rsidRPr="00DA6489">
        <w:rPr>
          <w:rFonts w:eastAsia="Segoe UI" w:cs="Times New Roman"/>
          <w:b w:val="0"/>
          <w:bCs/>
          <w:sz w:val="22"/>
          <w:szCs w:val="22"/>
        </w:rPr>
        <w:t xml:space="preserve"> </w:t>
      </w:r>
      <w:r w:rsidR="009D73F6" w:rsidRPr="00DA6489">
        <w:rPr>
          <w:rFonts w:eastAsia="Segoe UI" w:cs="Times New Roman"/>
          <w:b w:val="0"/>
          <w:bCs/>
          <w:sz w:val="22"/>
          <w:szCs w:val="22"/>
        </w:rPr>
        <w:t>que le chrome hexavalent</w:t>
      </w:r>
      <w:r w:rsidR="00535048" w:rsidRPr="00DA6489">
        <w:rPr>
          <w:rFonts w:eastAsia="Segoe UI" w:cs="Times New Roman"/>
          <w:b w:val="0"/>
          <w:bCs/>
          <w:sz w:val="22"/>
          <w:szCs w:val="22"/>
        </w:rPr>
        <w:t xml:space="preserve"> (contenant par exemple du manganèse, du zinc, du fluorure de titane, des phosphates et/ou des molybdates)</w:t>
      </w:r>
      <w:r w:rsidR="0092516A" w:rsidRPr="00DA6489">
        <w:rPr>
          <w:rFonts w:eastAsia="Segoe UI" w:cs="Times New Roman"/>
          <w:b w:val="0"/>
          <w:bCs/>
          <w:sz w:val="22"/>
          <w:szCs w:val="22"/>
        </w:rPr>
        <w:t>. Il peut aussi utiliser</w:t>
      </w:r>
      <w:r w:rsidR="00AF17D2" w:rsidRPr="00DA6489">
        <w:rPr>
          <w:rFonts w:eastAsia="Segoe UI" w:cs="Times New Roman"/>
          <w:b w:val="0"/>
          <w:bCs/>
          <w:sz w:val="22"/>
          <w:szCs w:val="22"/>
        </w:rPr>
        <w:t xml:space="preserve"> </w:t>
      </w:r>
      <w:r w:rsidR="00535048" w:rsidRPr="00DA6489">
        <w:rPr>
          <w:rFonts w:eastAsia="Segoe UI" w:cs="Times New Roman"/>
          <w:b w:val="0"/>
          <w:bCs/>
          <w:sz w:val="22"/>
          <w:szCs w:val="22"/>
        </w:rPr>
        <w:t xml:space="preserve">des solutions de polymères organiques (contenant par exemple des polyuréthanes ou des polyesters). </w:t>
      </w:r>
    </w:p>
    <w:p w14:paraId="1395E5BE" w14:textId="78685931" w:rsidR="00535048" w:rsidRPr="00DA6489" w:rsidRDefault="00C0350E" w:rsidP="00DA6489">
      <w:r w:rsidRPr="00DA6489">
        <w:t xml:space="preserve">Il peut être dérogé à l’alinéa précédent </w:t>
      </w:r>
      <w:r w:rsidR="00535048" w:rsidRPr="00DA6489">
        <w:t>en raison des spécifications du produit (par exemple, qualité de la surface, bonne affinité à la peinture, soudabilité, formabilité, résistance à la corrosion)</w:t>
      </w:r>
      <w:r w:rsidRPr="00DA6489">
        <w:t xml:space="preserve"> et sous réserve </w:t>
      </w:r>
      <w:r w:rsidR="00DD7164" w:rsidRPr="00DA6489">
        <w:t xml:space="preserve">de bénéficier </w:t>
      </w:r>
      <w:r w:rsidRPr="00DA6489">
        <w:t xml:space="preserve">d'une autorisation de la Commission européenne </w:t>
      </w:r>
      <w:r w:rsidR="00DD7164" w:rsidRPr="00DA6489">
        <w:t xml:space="preserve">au titre du règlement  1907/2006 </w:t>
      </w:r>
      <w:r w:rsidR="00E240A4" w:rsidRPr="00DA6489">
        <w:t xml:space="preserve">du 18 décembre 2006 </w:t>
      </w:r>
      <w:r w:rsidR="00DD7164" w:rsidRPr="00DA6489">
        <w:t xml:space="preserve">susvisé </w:t>
      </w:r>
      <w:r w:rsidRPr="00DA6489">
        <w:t xml:space="preserve">ou d’avoir déposé un dossier de demande d’autorisation </w:t>
      </w:r>
      <w:r w:rsidR="00DD7164" w:rsidRPr="00DA6489">
        <w:t xml:space="preserve">au titre de ce même règlement </w:t>
      </w:r>
      <w:r w:rsidRPr="00DA6489">
        <w:t xml:space="preserve">avant la date limite de dépôt des dossiers et que ce dossier soit </w:t>
      </w:r>
      <w:r w:rsidR="00DD7164" w:rsidRPr="00DA6489">
        <w:t>toujours en cours d’instruction</w:t>
      </w:r>
      <w:r w:rsidR="00535048" w:rsidRPr="00DA6489">
        <w:t>.</w:t>
      </w:r>
    </w:p>
    <w:p w14:paraId="789B7699" w14:textId="71A80B29" w:rsidR="005C0576" w:rsidRPr="00DA6489" w:rsidRDefault="00520523" w:rsidP="004E323C">
      <w:pPr>
        <w:pStyle w:val="Titre2"/>
      </w:pPr>
      <w:r w:rsidRPr="00DA6489">
        <w:tab/>
        <w:t>2.7</w:t>
      </w:r>
      <w:r w:rsidR="00A149D9" w:rsidRPr="00DA6489">
        <w:t>.</w:t>
      </w:r>
      <w:r w:rsidRPr="00DA6489">
        <w:t xml:space="preserve"> </w:t>
      </w:r>
      <w:r w:rsidR="00B33CF9" w:rsidRPr="00DA6489">
        <w:t>Dispositions générales sur l’</w:t>
      </w:r>
      <w:r w:rsidR="00362640" w:rsidRPr="00DA6489">
        <w:t>efficacité</w:t>
      </w:r>
      <w:r w:rsidRPr="00DA6489">
        <w:t xml:space="preserve"> énergétique</w:t>
      </w:r>
    </w:p>
    <w:p w14:paraId="7F21BDD8" w14:textId="1BB224F6" w:rsidR="005C0576" w:rsidRPr="00DA6489" w:rsidRDefault="00520523" w:rsidP="004E323C">
      <w:pPr>
        <w:pStyle w:val="Titre30"/>
        <w:ind w:left="708" w:firstLine="708"/>
      </w:pPr>
      <w:r w:rsidRPr="00DA6489">
        <w:t>2.7.1</w:t>
      </w:r>
      <w:r w:rsidR="00A149D9" w:rsidRPr="00DA6489">
        <w:t>.</w:t>
      </w:r>
      <w:r w:rsidRPr="00DA6489">
        <w:t xml:space="preserve"> </w:t>
      </w:r>
      <w:r w:rsidR="00E240A4" w:rsidRPr="00DA6489">
        <w:t xml:space="preserve">Efficacité énergétique au </w:t>
      </w:r>
      <w:r w:rsidRPr="00DA6489">
        <w:t>niveau du site</w:t>
      </w:r>
    </w:p>
    <w:p w14:paraId="4C7D07D2" w14:textId="77777777" w:rsidR="005C0576" w:rsidRPr="00DA6489" w:rsidRDefault="00520523">
      <w:r w:rsidRPr="00DA6489">
        <w:t>L’exploitant met en place un plan d’efficacité énergétique et un bilan énergétique tel que décrit dans le tableau ci-dessous, afin d’utiliser efficacement l’énergie :</w:t>
      </w:r>
    </w:p>
    <w:tbl>
      <w:tblPr>
        <w:tblW w:w="8786" w:type="dxa"/>
        <w:tblLayout w:type="fixed"/>
        <w:tblLook w:val="04A0" w:firstRow="1" w:lastRow="0" w:firstColumn="1" w:lastColumn="0" w:noHBand="0" w:noVBand="1"/>
      </w:tblPr>
      <w:tblGrid>
        <w:gridCol w:w="326"/>
        <w:gridCol w:w="1329"/>
        <w:gridCol w:w="4130"/>
        <w:gridCol w:w="3001"/>
      </w:tblGrid>
      <w:tr w:rsidR="005C0576" w:rsidRPr="00DA6489" w14:paraId="5C8BC50F" w14:textId="77777777" w:rsidTr="00487EC1">
        <w:trPr>
          <w:cantSplit/>
          <w:tblHeader/>
        </w:trPr>
        <w:tc>
          <w:tcPr>
            <w:tcW w:w="16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A1E2F8" w14:textId="77777777" w:rsidR="005C0576" w:rsidRPr="00DA6489" w:rsidRDefault="00520523">
            <w:pPr>
              <w:widowControl w:val="0"/>
              <w:rPr>
                <w:b/>
              </w:rPr>
            </w:pPr>
            <w:r w:rsidRPr="00DA6489">
              <w:rPr>
                <w:b/>
              </w:rPr>
              <w:lastRenderedPageBreak/>
              <w:t>Technique</w:t>
            </w:r>
          </w:p>
        </w:tc>
        <w:tc>
          <w:tcPr>
            <w:tcW w:w="4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D4293" w14:textId="77777777" w:rsidR="005C0576" w:rsidRPr="00DA6489" w:rsidRDefault="00520523">
            <w:pPr>
              <w:widowControl w:val="0"/>
              <w:rPr>
                <w:b/>
              </w:rPr>
            </w:pPr>
            <w:r w:rsidRPr="00DA6489">
              <w:rPr>
                <w:b/>
              </w:rPr>
              <w:t>Description</w:t>
            </w:r>
          </w:p>
        </w:tc>
        <w:tc>
          <w:tcPr>
            <w:tcW w:w="3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FCC41" w14:textId="77777777" w:rsidR="005C0576" w:rsidRPr="00DA6489" w:rsidRDefault="00520523">
            <w:pPr>
              <w:widowControl w:val="0"/>
              <w:rPr>
                <w:b/>
              </w:rPr>
            </w:pPr>
            <w:r w:rsidRPr="00DA6489">
              <w:rPr>
                <w:b/>
              </w:rPr>
              <w:t>Applicabilité</w:t>
            </w:r>
          </w:p>
        </w:tc>
      </w:tr>
      <w:tr w:rsidR="005C0576" w:rsidRPr="00DA6489" w14:paraId="432A85D8" w14:textId="77777777" w:rsidTr="00487EC1">
        <w:trPr>
          <w:cantSplit/>
          <w:tblHeader/>
        </w:trPr>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13BC6B" w14:textId="77777777" w:rsidR="005C0576" w:rsidRPr="00DA6489" w:rsidRDefault="00520523">
            <w:pPr>
              <w:pStyle w:val="Policedetableau"/>
              <w:widowControl w:val="0"/>
            </w:pPr>
            <w:proofErr w:type="gramStart"/>
            <w:r w:rsidRPr="00DA6489">
              <w:t>a</w:t>
            </w:r>
            <w:proofErr w:type="gramEnd"/>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304B43" w14:textId="77777777" w:rsidR="005C0576" w:rsidRPr="00DA6489" w:rsidRDefault="00520523">
            <w:pPr>
              <w:pStyle w:val="Policedetableau"/>
              <w:widowControl w:val="0"/>
            </w:pPr>
            <w:r w:rsidRPr="00DA6489">
              <w:t>Plan d’efficacité énergétique et audits énergétiques</w:t>
            </w:r>
          </w:p>
        </w:tc>
        <w:tc>
          <w:tcPr>
            <w:tcW w:w="4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3FC85" w14:textId="77777777" w:rsidR="005C0576" w:rsidRPr="00DA6489" w:rsidRDefault="00520523">
            <w:pPr>
              <w:pStyle w:val="Policedetableau"/>
              <w:widowControl w:val="0"/>
            </w:pPr>
            <w:r w:rsidRPr="00DA6489">
              <w:t>Un plan d’efficacité énergétique fait partie du SME (voir le point 2.1</w:t>
            </w:r>
            <w:r w:rsidR="00A149D9" w:rsidRPr="00DA6489">
              <w:t>.</w:t>
            </w:r>
            <w:r w:rsidRPr="00DA6489">
              <w:t>) et implique de définir et de surveiller la consommation d’énergie spécifique de l’activité ou des procédés (voir le point 2.7.2</w:t>
            </w:r>
            <w:r w:rsidR="00A149D9" w:rsidRPr="00DA6489">
              <w:t>.</w:t>
            </w:r>
            <w:r w:rsidRPr="00DA6489">
              <w:t>), de définir, sur une base annuelle, des indicateurs de performance clés (par exemple, MJ/tonne de produits) et de planifier les objectifs d’amélioration périodique et les actions associées.</w:t>
            </w:r>
          </w:p>
          <w:p w14:paraId="01BB301E" w14:textId="77777777" w:rsidR="005C0576" w:rsidRPr="00DA6489" w:rsidRDefault="00520523">
            <w:pPr>
              <w:pStyle w:val="Policedetableau"/>
              <w:widowControl w:val="0"/>
            </w:pPr>
            <w:r w:rsidRPr="00DA6489">
              <w:t>Des audits énergétiques sont réalisés au moins une fois par an pour s’assurer que les objectifs du plan de gestion de l’énergie sont atteints.</w:t>
            </w:r>
          </w:p>
          <w:p w14:paraId="0531B26A" w14:textId="77777777" w:rsidR="005C0576" w:rsidRPr="00DA6489" w:rsidRDefault="00520523">
            <w:pPr>
              <w:pStyle w:val="Policedetableau"/>
              <w:widowControl w:val="0"/>
            </w:pPr>
            <w:r w:rsidRPr="00DA6489">
              <w:t>Le plan d’efficacité énergétique et les audits énergétiques peuvent être intégrés dans le plan global d’efficacité énergétique d’une installation de plus grande taille (par exemple, une installation sidérurgique).</w:t>
            </w:r>
          </w:p>
        </w:tc>
        <w:tc>
          <w:tcPr>
            <w:tcW w:w="30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9632DF" w14:textId="77777777" w:rsidR="005C0576" w:rsidRPr="00DA6489" w:rsidRDefault="00520523">
            <w:pPr>
              <w:pStyle w:val="Policedetableau"/>
              <w:widowControl w:val="0"/>
            </w:pPr>
            <w:r w:rsidRPr="00DA6489">
              <w:t>Le niveau de détail du plan d’efficacité énergétique, des audits énergétiques ainsi que du bilan énergétique est généralement fonction de la nature, de la taille et de la complexité de l’unité ainsi que des types de sources d’énergie utilisés.</w:t>
            </w:r>
          </w:p>
        </w:tc>
      </w:tr>
      <w:tr w:rsidR="005C0576" w:rsidRPr="00DA6489" w14:paraId="3F7DCB57" w14:textId="77777777" w:rsidTr="00487EC1">
        <w:trPr>
          <w:cantSplit/>
          <w:tblHeader/>
        </w:trPr>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D8F27" w14:textId="77777777" w:rsidR="005C0576" w:rsidRPr="00DA6489" w:rsidRDefault="00520523">
            <w:pPr>
              <w:pStyle w:val="Policedetableau"/>
              <w:widowControl w:val="0"/>
            </w:pPr>
            <w:proofErr w:type="gramStart"/>
            <w:r w:rsidRPr="00DA6489">
              <w:t>b</w:t>
            </w:r>
            <w:proofErr w:type="gramEnd"/>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9A349" w14:textId="77777777" w:rsidR="005C0576" w:rsidRPr="00DA6489" w:rsidRDefault="00520523">
            <w:pPr>
              <w:pStyle w:val="Policedetableau"/>
              <w:widowControl w:val="0"/>
            </w:pPr>
            <w:r w:rsidRPr="00DA6489">
              <w:t>Bilan énergétique</w:t>
            </w:r>
          </w:p>
        </w:tc>
        <w:tc>
          <w:tcPr>
            <w:tcW w:w="41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9F25F" w14:textId="77777777" w:rsidR="005C0576" w:rsidRPr="00DA6489" w:rsidRDefault="00520523">
            <w:pPr>
              <w:pStyle w:val="Policedetableau"/>
              <w:widowControl w:val="0"/>
            </w:pPr>
            <w:r w:rsidRPr="00DA6489">
              <w:t>Établissement, sur une base annuelle, d’un bilan énergétique fournissant une répartition de la consommation et de la production d’énergie (y compris l’exportation d’énergie) par type de source d’énergie (par exemple, électricité, gaz naturel, gaz sidérurgiques, énergies renouvelables, chaleur importée et/ou refroidissement). Il comprend notamment :</w:t>
            </w:r>
          </w:p>
          <w:p w14:paraId="61A411F5" w14:textId="77777777" w:rsidR="005C0576" w:rsidRPr="00DA6489" w:rsidRDefault="002B0F11">
            <w:pPr>
              <w:pStyle w:val="Policedetableau"/>
              <w:widowControl w:val="0"/>
            </w:pPr>
            <w:r w:rsidRPr="00DA6489">
              <w:t xml:space="preserve">- </w:t>
            </w:r>
            <w:r w:rsidR="00520523" w:rsidRPr="00DA6489">
              <w:t>la définition des limites énergétiques des procédés</w:t>
            </w:r>
            <w:r w:rsidR="007D795A" w:rsidRPr="00DA6489">
              <w:t xml:space="preserve"> </w:t>
            </w:r>
            <w:r w:rsidR="00520523" w:rsidRPr="00DA6489">
              <w:t>;</w:t>
            </w:r>
          </w:p>
          <w:p w14:paraId="6E51CFF9" w14:textId="77777777" w:rsidR="005C0576" w:rsidRPr="00DA6489" w:rsidRDefault="002B0F11">
            <w:pPr>
              <w:pStyle w:val="Policedetableau"/>
              <w:widowControl w:val="0"/>
            </w:pPr>
            <w:r w:rsidRPr="00DA6489">
              <w:t xml:space="preserve">- </w:t>
            </w:r>
            <w:r w:rsidR="00520523" w:rsidRPr="00DA6489">
              <w:t>des informations sur la consommation d’énergie, exprimée en énergie fournie</w:t>
            </w:r>
            <w:r w:rsidR="007D795A" w:rsidRPr="00DA6489">
              <w:t xml:space="preserve"> </w:t>
            </w:r>
            <w:r w:rsidR="00520523" w:rsidRPr="00DA6489">
              <w:t>;</w:t>
            </w:r>
          </w:p>
          <w:p w14:paraId="53A479D8" w14:textId="77777777" w:rsidR="005C0576" w:rsidRPr="00DA6489" w:rsidRDefault="002B0F11">
            <w:pPr>
              <w:pStyle w:val="Policedetableau"/>
              <w:widowControl w:val="0"/>
            </w:pPr>
            <w:r w:rsidRPr="00DA6489">
              <w:t xml:space="preserve">- </w:t>
            </w:r>
            <w:r w:rsidR="00520523" w:rsidRPr="00DA6489">
              <w:t>des informations sur l’énergie exportée à partir de l’unité</w:t>
            </w:r>
            <w:r w:rsidR="007D795A" w:rsidRPr="00DA6489">
              <w:t xml:space="preserve"> </w:t>
            </w:r>
            <w:r w:rsidR="00520523" w:rsidRPr="00DA6489">
              <w:t>;</w:t>
            </w:r>
          </w:p>
          <w:p w14:paraId="67E32D02" w14:textId="77777777" w:rsidR="005C0576" w:rsidRPr="00DA6489" w:rsidRDefault="002B0F11">
            <w:pPr>
              <w:pStyle w:val="Policedetableau"/>
              <w:widowControl w:val="0"/>
            </w:pPr>
            <w:r w:rsidRPr="00DA6489">
              <w:t xml:space="preserve">- </w:t>
            </w:r>
            <w:r w:rsidR="00520523" w:rsidRPr="00DA6489">
              <w:t xml:space="preserve">des informations sur le flux d’énergie (par exemple, diagrammes de </w:t>
            </w:r>
            <w:proofErr w:type="spellStart"/>
            <w:r w:rsidR="00520523" w:rsidRPr="00DA6489">
              <w:t>Sankey</w:t>
            </w:r>
            <w:proofErr w:type="spellEnd"/>
            <w:r w:rsidR="00520523" w:rsidRPr="00DA6489">
              <w:t xml:space="preserve"> ou bilans énergétiques), montrant la manière dont l’énergie est utilisée tout au long des procédés.</w:t>
            </w:r>
          </w:p>
        </w:tc>
        <w:tc>
          <w:tcPr>
            <w:tcW w:w="30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4281E4" w14:textId="77777777" w:rsidR="005C0576" w:rsidRPr="00DA6489" w:rsidRDefault="005C0576">
            <w:pPr>
              <w:pStyle w:val="Policedetableau"/>
              <w:widowControl w:val="0"/>
            </w:pPr>
          </w:p>
        </w:tc>
      </w:tr>
    </w:tbl>
    <w:p w14:paraId="76E3B7B7" w14:textId="77777777" w:rsidR="00487EC1" w:rsidRPr="00DA6489" w:rsidRDefault="00520523" w:rsidP="00487EC1">
      <w:pPr>
        <w:pStyle w:val="Titre20"/>
        <w:rPr>
          <w:b w:val="0"/>
          <w:sz w:val="22"/>
        </w:rPr>
      </w:pPr>
      <w:r w:rsidRPr="00DA6489">
        <w:rPr>
          <w:b w:val="0"/>
          <w:sz w:val="22"/>
        </w:rPr>
        <w:t>Ce plan d’efficacité énergétique et audits énergétiques ainsi que ce bilan énergétique sont tenus à la disposition de l’inspection des installations classées.</w:t>
      </w:r>
    </w:p>
    <w:p w14:paraId="190BDF85" w14:textId="1C40B16F" w:rsidR="005A483D" w:rsidRPr="00DA6489" w:rsidRDefault="00520523" w:rsidP="004E323C">
      <w:pPr>
        <w:pStyle w:val="Titre30"/>
      </w:pPr>
      <w:r w:rsidRPr="00DA6489">
        <w:tab/>
        <w:t>2.7.2</w:t>
      </w:r>
      <w:r w:rsidR="001D02B7" w:rsidRPr="00DA6489">
        <w:t>.</w:t>
      </w:r>
      <w:r w:rsidRPr="00DA6489">
        <w:t xml:space="preserve"> </w:t>
      </w:r>
      <w:r w:rsidR="00E240A4" w:rsidRPr="00DA6489">
        <w:t>Efficacité énergétique a</w:t>
      </w:r>
      <w:r w:rsidRPr="00DA6489">
        <w:t>u niveau du chauffage de la matière entrante</w:t>
      </w:r>
    </w:p>
    <w:p w14:paraId="778AA47D" w14:textId="77777777" w:rsidR="005C0576" w:rsidRPr="00DA6489" w:rsidRDefault="00520523">
      <w:r w:rsidRPr="00DA6489">
        <w:t>L’exploitant respecte les niveaux de consommation d’énergie spécifique du chauffage (y compris le chauffage et le séchage de la matière entrante ainsi que le chauffage des bains et des cuves de galvanisation) fixés dans le tableau ci-après.</w:t>
      </w:r>
    </w:p>
    <w:tbl>
      <w:tblPr>
        <w:tblW w:w="8495" w:type="dxa"/>
        <w:jc w:val="center"/>
        <w:tblLayout w:type="fixed"/>
        <w:tblLook w:val="04A0" w:firstRow="1" w:lastRow="0" w:firstColumn="1" w:lastColumn="0" w:noHBand="0" w:noVBand="1"/>
      </w:tblPr>
      <w:tblGrid>
        <w:gridCol w:w="1501"/>
        <w:gridCol w:w="6994"/>
      </w:tblGrid>
      <w:tr w:rsidR="005C0576" w:rsidRPr="00DA6489" w14:paraId="49BBFBBC" w14:textId="77777777">
        <w:trPr>
          <w:cantSplit/>
          <w:tblHeader/>
          <w:jc w:val="center"/>
        </w:trPr>
        <w:tc>
          <w:tcPr>
            <w:tcW w:w="1501" w:type="dxa"/>
            <w:tcBorders>
              <w:top w:val="single" w:sz="4" w:space="0" w:color="000000"/>
              <w:left w:val="single" w:sz="4" w:space="0" w:color="000000"/>
              <w:bottom w:val="single" w:sz="4" w:space="0" w:color="000000"/>
              <w:right w:val="single" w:sz="4" w:space="0" w:color="000000"/>
            </w:tcBorders>
            <w:vAlign w:val="center"/>
          </w:tcPr>
          <w:p w14:paraId="1CD551F0" w14:textId="77777777" w:rsidR="005C0576" w:rsidRPr="00DA6489" w:rsidRDefault="00520523">
            <w:pPr>
              <w:pStyle w:val="Policedetableau"/>
              <w:widowControl w:val="0"/>
              <w:rPr>
                <w:b/>
              </w:rPr>
            </w:pPr>
            <w:r w:rsidRPr="00DA6489">
              <w:rPr>
                <w:b/>
              </w:rPr>
              <w:lastRenderedPageBreak/>
              <w:t>Unité</w:t>
            </w:r>
          </w:p>
        </w:tc>
        <w:tc>
          <w:tcPr>
            <w:tcW w:w="6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527D9" w14:textId="77777777" w:rsidR="005C0576" w:rsidRPr="00DA6489" w:rsidRDefault="00520523">
            <w:pPr>
              <w:pStyle w:val="Policedetableau"/>
              <w:widowControl w:val="0"/>
              <w:rPr>
                <w:b/>
              </w:rPr>
            </w:pPr>
            <w:r w:rsidRPr="00DA6489">
              <w:rPr>
                <w:b/>
              </w:rPr>
              <w:t>Niveaux de performance environnementale</w:t>
            </w:r>
          </w:p>
          <w:p w14:paraId="46C68A7F" w14:textId="77777777" w:rsidR="005C0576" w:rsidRPr="00DA6489" w:rsidRDefault="00520523">
            <w:pPr>
              <w:pStyle w:val="Policedetableau"/>
              <w:widowControl w:val="0"/>
              <w:rPr>
                <w:b/>
              </w:rPr>
            </w:pPr>
            <w:r w:rsidRPr="00DA6489">
              <w:rPr>
                <w:b/>
              </w:rPr>
              <w:t>(</w:t>
            </w:r>
            <w:proofErr w:type="gramStart"/>
            <w:r w:rsidRPr="00DA6489">
              <w:rPr>
                <w:b/>
              </w:rPr>
              <w:t>moyenne</w:t>
            </w:r>
            <w:proofErr w:type="gramEnd"/>
            <w:r w:rsidRPr="00DA6489">
              <w:rPr>
                <w:b/>
              </w:rPr>
              <w:t xml:space="preserve"> annuelle)</w:t>
            </w:r>
          </w:p>
        </w:tc>
      </w:tr>
      <w:tr w:rsidR="005C0576" w:rsidRPr="00DA6489" w14:paraId="3E38292E" w14:textId="77777777">
        <w:trPr>
          <w:cantSplit/>
          <w:tblHeader/>
          <w:jc w:val="center"/>
        </w:trPr>
        <w:tc>
          <w:tcPr>
            <w:tcW w:w="1501" w:type="dxa"/>
            <w:tcBorders>
              <w:top w:val="single" w:sz="4" w:space="0" w:color="000000"/>
              <w:left w:val="single" w:sz="4" w:space="0" w:color="000000"/>
              <w:bottom w:val="single" w:sz="4" w:space="0" w:color="000000"/>
              <w:right w:val="single" w:sz="4" w:space="0" w:color="000000"/>
            </w:tcBorders>
          </w:tcPr>
          <w:p w14:paraId="4BB52DB8" w14:textId="77777777" w:rsidR="005C0576" w:rsidRPr="00DA6489" w:rsidRDefault="00520523">
            <w:pPr>
              <w:pStyle w:val="Policedetableau"/>
              <w:widowControl w:val="0"/>
            </w:pPr>
            <w:proofErr w:type="gramStart"/>
            <w:r w:rsidRPr="00DA6489">
              <w:t>kWh</w:t>
            </w:r>
            <w:proofErr w:type="gramEnd"/>
            <w:r w:rsidRPr="00DA6489">
              <w:t>/t</w:t>
            </w:r>
          </w:p>
        </w:tc>
        <w:tc>
          <w:tcPr>
            <w:tcW w:w="6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A7BE32" w14:textId="77777777" w:rsidR="005C0576" w:rsidRPr="00DA6489" w:rsidRDefault="00520523">
            <w:pPr>
              <w:pStyle w:val="Policedetableau"/>
              <w:widowControl w:val="0"/>
            </w:pPr>
            <w:r w:rsidRPr="00DA6489">
              <w:t xml:space="preserve">800 </w:t>
            </w:r>
            <w:r w:rsidRPr="00DA6489">
              <w:rPr>
                <w:vertAlign w:val="superscript"/>
              </w:rPr>
              <w:t>(1) (2) (3)</w:t>
            </w:r>
          </w:p>
        </w:tc>
      </w:tr>
      <w:tr w:rsidR="005C0576" w:rsidRPr="00DA6489" w14:paraId="19EFA2A5" w14:textId="77777777">
        <w:trPr>
          <w:cantSplit/>
          <w:tblHeader/>
          <w:jc w:val="center"/>
        </w:trPr>
        <w:tc>
          <w:tcPr>
            <w:tcW w:w="8494" w:type="dxa"/>
            <w:gridSpan w:val="2"/>
            <w:tcBorders>
              <w:top w:val="single" w:sz="4" w:space="0" w:color="000000"/>
              <w:left w:val="single" w:sz="4" w:space="0" w:color="000000"/>
              <w:bottom w:val="single" w:sz="4" w:space="0" w:color="000000"/>
              <w:right w:val="single" w:sz="4" w:space="0" w:color="000000"/>
            </w:tcBorders>
          </w:tcPr>
          <w:p w14:paraId="0B909937" w14:textId="098811DA" w:rsidR="005C0576" w:rsidRPr="00DA6489" w:rsidRDefault="00520523" w:rsidP="00B863F3">
            <w:pPr>
              <w:pStyle w:val="Footnote"/>
              <w:widowControl w:val="0"/>
            </w:pPr>
            <w:r w:rsidRPr="00DA6489">
              <w:t xml:space="preserve">(1) </w:t>
            </w:r>
            <w:r w:rsidR="00175127">
              <w:t>La consommation spécifique du chauffage</w:t>
            </w:r>
            <w:r w:rsidR="00B863F3" w:rsidRPr="00DA6489">
              <w:t xml:space="preserve"> peut être plus élevée lorsque la centrifugation est utilisée pour éliminer l’excès de zinc et/ou lorsque la température du bain de galvanisation est supérieure à 500 °C. </w:t>
            </w:r>
          </w:p>
          <w:p w14:paraId="45528735" w14:textId="77777777" w:rsidR="005C0576" w:rsidRPr="00DA6489" w:rsidRDefault="00520523">
            <w:pPr>
              <w:pStyle w:val="Footnote"/>
              <w:widowControl w:val="0"/>
            </w:pPr>
            <w:r w:rsidRPr="00DA6489">
              <w:t xml:space="preserve">(2) Le niveau de performance environnementale </w:t>
            </w:r>
            <w:r w:rsidR="002B0F11" w:rsidRPr="00DA6489">
              <w:t>est</w:t>
            </w:r>
            <w:r w:rsidRPr="00DA6489">
              <w:t xml:space="preserve"> </w:t>
            </w:r>
            <w:r w:rsidR="002B0F11" w:rsidRPr="00DA6489">
              <w:t xml:space="preserve">de </w:t>
            </w:r>
            <w:r w:rsidRPr="00DA6489">
              <w:t>1 200 kWh/t pour les unités de galvanisation discontinue dont le débit de production annuel moyen est inférieur à 150 t/m</w:t>
            </w:r>
            <w:r w:rsidRPr="00DA6489">
              <w:rPr>
                <w:vertAlign w:val="superscript"/>
              </w:rPr>
              <w:t xml:space="preserve">3 </w:t>
            </w:r>
            <w:r w:rsidRPr="00DA6489">
              <w:t>de volume de cuve.</w:t>
            </w:r>
          </w:p>
          <w:p w14:paraId="0A19C6E3" w14:textId="77777777" w:rsidR="005C0576" w:rsidRPr="00DA6489" w:rsidRDefault="00520523">
            <w:pPr>
              <w:pStyle w:val="Footnote"/>
              <w:widowControl w:val="0"/>
            </w:pPr>
            <w:r w:rsidRPr="00DA6489">
              <w:t xml:space="preserve">(3) Dans le cas d’unités de galvanisation discontinue produisant principalement des produits minces (par exemple &lt; 1,5 mm), le niveau de performance environnementale </w:t>
            </w:r>
            <w:r w:rsidR="00E04506" w:rsidRPr="00DA6489">
              <w:t>est de</w:t>
            </w:r>
            <w:r w:rsidRPr="00DA6489">
              <w:t xml:space="preserve"> 1 000 kWh/t.</w:t>
            </w:r>
          </w:p>
        </w:tc>
      </w:tr>
    </w:tbl>
    <w:p w14:paraId="193F65EA" w14:textId="77777777" w:rsidR="007D795A" w:rsidRPr="00DA6489" w:rsidRDefault="007D795A"/>
    <w:p w14:paraId="303590E9" w14:textId="78E3AE69" w:rsidR="005C0576" w:rsidRPr="00DA6489" w:rsidRDefault="00520523">
      <w:bookmarkStart w:id="1" w:name="_Hlk231291066"/>
      <w:r w:rsidRPr="00DA6489">
        <w:t>Le préfet peut fixer</w:t>
      </w:r>
      <w:r w:rsidR="00484A26" w:rsidRPr="00DA6489">
        <w:t>,</w:t>
      </w:r>
      <w:r w:rsidRPr="00DA6489">
        <w:t xml:space="preserve"> </w:t>
      </w:r>
      <w:r w:rsidR="00484A26" w:rsidRPr="00DA6489">
        <w:t xml:space="preserve">au vu d’une justification fournie par l’exploitant comprenant notamment une étude technico-économique, </w:t>
      </w:r>
      <w:r w:rsidRPr="00DA6489">
        <w:t>une valeur différente par arrêté préfectoral, sous réserve du respect d</w:t>
      </w:r>
      <w:r w:rsidR="002B0F11" w:rsidRPr="00DA6489">
        <w:t>u II d</w:t>
      </w:r>
      <w:r w:rsidRPr="00DA6489">
        <w:t>e l’article R.</w:t>
      </w:r>
      <w:r w:rsidR="00A149D9" w:rsidRPr="00DA6489">
        <w:t xml:space="preserve"> </w:t>
      </w:r>
      <w:r w:rsidRPr="00DA6489">
        <w:t xml:space="preserve">515-62 </w:t>
      </w:r>
      <w:r w:rsidR="002B0F11" w:rsidRPr="00DA6489">
        <w:t>du code de l’environnement</w:t>
      </w:r>
      <w:r w:rsidRPr="00DA6489">
        <w:t>.</w:t>
      </w:r>
    </w:p>
    <w:bookmarkEnd w:id="1"/>
    <w:p w14:paraId="1204F863" w14:textId="77777777" w:rsidR="002B0F11" w:rsidRPr="00DA6489" w:rsidRDefault="002B0F11" w:rsidP="002B0F11">
      <w:pPr>
        <w:spacing w:after="0" w:line="240" w:lineRule="auto"/>
        <w:rPr>
          <w:rFonts w:eastAsia="Times New Roman" w:cs="Times New Roman"/>
          <w:lang w:eastAsia="fr-FR"/>
        </w:rPr>
      </w:pPr>
      <w:r w:rsidRPr="00DA6489">
        <w:rPr>
          <w:rFonts w:eastAsia="Times New Roman" w:cs="Times New Roman"/>
          <w:lang w:eastAsia="fr-FR"/>
        </w:rPr>
        <w:t>L’exploitant tient à la disposition de l’inspection des installations classées la liste détaillée des procédés mis en œuvre, ainsi que les éléments et justificatifs permettant de connaître les niveaux de performance atteints.</w:t>
      </w:r>
    </w:p>
    <w:p w14:paraId="63B9BB37" w14:textId="77777777" w:rsidR="007D795A" w:rsidRPr="00DA6489" w:rsidRDefault="007D795A" w:rsidP="002B0F11">
      <w:pPr>
        <w:spacing w:after="0" w:line="240" w:lineRule="auto"/>
        <w:rPr>
          <w:rFonts w:eastAsia="Times New Roman" w:cs="Times New Roman"/>
          <w:lang w:eastAsia="fr-FR"/>
        </w:rPr>
      </w:pPr>
    </w:p>
    <w:p w14:paraId="6750113C" w14:textId="7486316A" w:rsidR="007D795A" w:rsidRPr="00DA6489" w:rsidRDefault="00C460DD" w:rsidP="007D795A">
      <w:r w:rsidRPr="00DA6489">
        <w:t>Dans le cas du chauffage de la matière entrante, l</w:t>
      </w:r>
      <w:r w:rsidR="007D795A" w:rsidRPr="00DA6489">
        <w:t xml:space="preserve">es niveaux de performance environnementale liés à la consommation spécifique d’énergie correspondent à des moyennes annuelles calculées </w:t>
      </w:r>
      <w:r w:rsidR="00484A26" w:rsidRPr="00DA6489">
        <w:t xml:space="preserve">par la formule </w:t>
      </w:r>
      <w:r w:rsidR="007E36CE" w:rsidRPr="00DA6489">
        <w:t>suivante :</w:t>
      </w:r>
    </w:p>
    <w:p w14:paraId="05B205FD" w14:textId="77777777" w:rsidR="007D795A" w:rsidRPr="00DA6489" w:rsidRDefault="007D795A" w:rsidP="007D795A">
      <w:pPr>
        <w:jc w:val="center"/>
      </w:pPr>
      <m:oMathPara>
        <m:oMathParaPr>
          <m:jc m:val="center"/>
        </m:oMathParaPr>
        <m:oMath>
          <m:r>
            <m:rPr>
              <m:lit/>
              <m:nor/>
            </m:rPr>
            <w:rPr>
              <w:rFonts w:ascii="Cambria Math" w:hAnsi="Cambria Math"/>
            </w:rPr>
            <m:t>consommation spécifique d’énergie=</m:t>
          </m:r>
          <m:f>
            <m:fPr>
              <m:ctrlPr>
                <w:rPr>
                  <w:rFonts w:ascii="Cambria Math" w:hAnsi="Cambria Math"/>
                </w:rPr>
              </m:ctrlPr>
            </m:fPr>
            <m:num>
              <m:r>
                <m:rPr>
                  <m:lit/>
                  <m:nor/>
                </m:rPr>
                <w:rPr>
                  <w:rFonts w:ascii="Cambria Math" w:hAnsi="Cambria Math"/>
                </w:rPr>
                <m:t>consommation d’énergie</m:t>
              </m:r>
            </m:num>
            <m:den>
              <m:r>
                <m:rPr>
                  <m:lit/>
                  <m:nor/>
                </m:rPr>
                <w:rPr>
                  <w:rFonts w:ascii="Cambria Math" w:hAnsi="Cambria Math"/>
                </w:rPr>
                <m:t>matière entrante</m:t>
              </m:r>
            </m:den>
          </m:f>
        </m:oMath>
      </m:oMathPara>
    </w:p>
    <w:p w14:paraId="199C7090" w14:textId="77777777" w:rsidR="007D795A" w:rsidRPr="00DA6489" w:rsidRDefault="00484A26" w:rsidP="007D795A">
      <w:pPr>
        <w:spacing w:after="0" w:line="240" w:lineRule="auto"/>
        <w:ind w:left="709" w:hanging="709"/>
        <w:rPr>
          <w:rFonts w:eastAsia="Times New Roman" w:cs="Times New Roman"/>
          <w:szCs w:val="24"/>
        </w:rPr>
      </w:pPr>
      <w:proofErr w:type="gramStart"/>
      <w:r w:rsidRPr="00DA6489">
        <w:t>où</w:t>
      </w:r>
      <w:proofErr w:type="gramEnd"/>
      <w:r w:rsidR="007D795A" w:rsidRPr="00DA6489">
        <w:t> :</w:t>
      </w:r>
    </w:p>
    <w:p w14:paraId="2196F9E3" w14:textId="51A6F019" w:rsidR="007D795A" w:rsidRPr="00DA6489" w:rsidRDefault="00E240A4" w:rsidP="007D795A">
      <w:pPr>
        <w:pStyle w:val="Paragraphedeliste"/>
        <w:numPr>
          <w:ilvl w:val="0"/>
          <w:numId w:val="20"/>
        </w:numPr>
        <w:spacing w:after="0" w:line="240" w:lineRule="auto"/>
        <w:jc w:val="left"/>
        <w:rPr>
          <w:rFonts w:eastAsia="Times New Roman" w:cs="Times New Roman"/>
          <w:szCs w:val="24"/>
        </w:rPr>
      </w:pPr>
      <w:proofErr w:type="gramStart"/>
      <w:r w:rsidRPr="00DA6489">
        <w:t>la</w:t>
      </w:r>
      <w:proofErr w:type="gramEnd"/>
      <w:r w:rsidRPr="00DA6489">
        <w:t xml:space="preserve"> </w:t>
      </w:r>
      <w:r w:rsidR="007D795A" w:rsidRPr="00DA6489">
        <w:t>consommation d’énergie correspond à la quantité totale de chaleur (générée par des sources d’énergie primaire) et d’électricité consommée par tous les fours au cours du ou des procédés concernés</w:t>
      </w:r>
      <w:r w:rsidR="00161F3F" w:rsidRPr="00DA6489">
        <w:t> ;</w:t>
      </w:r>
    </w:p>
    <w:p w14:paraId="37FD4E6F" w14:textId="77777777" w:rsidR="007D795A" w:rsidRPr="00DA6489" w:rsidRDefault="007D795A" w:rsidP="00CC33A1">
      <w:pPr>
        <w:pStyle w:val="Paragraphedeliste"/>
        <w:numPr>
          <w:ilvl w:val="0"/>
          <w:numId w:val="20"/>
        </w:numPr>
        <w:spacing w:after="0" w:line="240" w:lineRule="auto"/>
        <w:jc w:val="left"/>
        <w:rPr>
          <w:rFonts w:eastAsia="Times New Roman" w:cs="Times New Roman"/>
          <w:szCs w:val="24"/>
        </w:rPr>
      </w:pPr>
      <w:proofErr w:type="gramStart"/>
      <w:r w:rsidRPr="00DA6489">
        <w:t>la</w:t>
      </w:r>
      <w:proofErr w:type="gramEnd"/>
      <w:r w:rsidRPr="00DA6489">
        <w:t xml:space="preserve"> matière entrante</w:t>
      </w:r>
      <w:r w:rsidR="00161F3F" w:rsidRPr="00DA6489">
        <w:t xml:space="preserve"> est</w:t>
      </w:r>
      <w:r w:rsidRPr="00DA6489">
        <w:t xml:space="preserve"> la quantité totale de métal traitée, exprimée en t/an.</w:t>
      </w:r>
    </w:p>
    <w:p w14:paraId="0BB6D16B" w14:textId="35548129" w:rsidR="00306814" w:rsidRPr="00DA6489" w:rsidRDefault="004E323C" w:rsidP="004E323C">
      <w:pPr>
        <w:pStyle w:val="Titre2"/>
      </w:pPr>
      <w:r w:rsidRPr="00DA6489">
        <w:t>2.8</w:t>
      </w:r>
      <w:r w:rsidR="00C460DD" w:rsidRPr="00DA6489">
        <w:t xml:space="preserve">. </w:t>
      </w:r>
      <w:r w:rsidR="00520523" w:rsidRPr="00DA6489">
        <w:t>Utilisation rationnelle des matières</w:t>
      </w:r>
    </w:p>
    <w:p w14:paraId="7F8CA838" w14:textId="77777777" w:rsidR="005C0576" w:rsidRPr="00DA6489" w:rsidRDefault="001D02B7" w:rsidP="004E323C">
      <w:pPr>
        <w:pStyle w:val="Titre30"/>
        <w:ind w:firstLine="708"/>
      </w:pPr>
      <w:r w:rsidRPr="00DA6489">
        <w:t>2.8.1.</w:t>
      </w:r>
      <w:r w:rsidR="00396272" w:rsidRPr="00DA6489">
        <w:t> </w:t>
      </w:r>
      <w:r w:rsidR="00520523" w:rsidRPr="00DA6489">
        <w:t>Tenu</w:t>
      </w:r>
      <w:r w:rsidR="00117C9D" w:rsidRPr="00DA6489">
        <w:t>e</w:t>
      </w:r>
      <w:r w:rsidR="00520523" w:rsidRPr="00DA6489">
        <w:t xml:space="preserve"> d’un registre </w:t>
      </w:r>
    </w:p>
    <w:p w14:paraId="521E6EF1" w14:textId="442184ED" w:rsidR="005C0576" w:rsidRPr="00DA6489" w:rsidRDefault="00520523">
      <w:r w:rsidRPr="00DA6489">
        <w:t xml:space="preserve">L’exploitant tient un registre indiquant toutes les techniques utilisées sur le site ainsi que toutes analyses, surveillance et optimisation des paramètres pour une utilisation rationnelle des matières </w:t>
      </w:r>
      <w:r w:rsidR="00776805">
        <w:t xml:space="preserve">dans </w:t>
      </w:r>
      <w:r w:rsidRPr="00DA6489">
        <w:t>des différents process. Ce registre est tenu à la disposition de l’inspection des installations classées.</w:t>
      </w:r>
    </w:p>
    <w:p w14:paraId="74930477" w14:textId="37F4A2AF" w:rsidR="005C0576" w:rsidRPr="00DA6489" w:rsidRDefault="001D02B7" w:rsidP="004E323C">
      <w:pPr>
        <w:pStyle w:val="Titre30"/>
        <w:ind w:firstLine="708"/>
      </w:pPr>
      <w:r w:rsidRPr="00DA6489">
        <w:t>2.8.2. </w:t>
      </w:r>
      <w:r w:rsidR="00E240A4" w:rsidRPr="00DA6489">
        <w:t>Utilisation rationnelle des matières</w:t>
      </w:r>
      <w:r w:rsidR="00E240A4" w:rsidRPr="00DA6489" w:rsidDel="00E240A4">
        <w:t xml:space="preserve"> </w:t>
      </w:r>
      <w:r w:rsidR="00E240A4" w:rsidRPr="00DA6489">
        <w:t>l</w:t>
      </w:r>
      <w:r w:rsidR="00520523" w:rsidRPr="00DA6489">
        <w:t>ors du dégraissage</w:t>
      </w:r>
    </w:p>
    <w:p w14:paraId="471F3F2B" w14:textId="77777777" w:rsidR="005C0576" w:rsidRPr="00DA6489" w:rsidRDefault="00520523">
      <w:r w:rsidRPr="00DA6489">
        <w:t>L’exploitant utilise les matières de façon rationnelle lors du dégraissage et réduit la production de solution de dégraissage usée en appliquant une combinaison des techniques énumérées ci-dessous.</w:t>
      </w:r>
    </w:p>
    <w:tbl>
      <w:tblPr>
        <w:tblW w:w="8495" w:type="dxa"/>
        <w:tblLayout w:type="fixed"/>
        <w:tblLook w:val="04A0" w:firstRow="1" w:lastRow="0" w:firstColumn="1" w:lastColumn="0" w:noHBand="0" w:noVBand="1"/>
      </w:tblPr>
      <w:tblGrid>
        <w:gridCol w:w="840"/>
        <w:gridCol w:w="1941"/>
        <w:gridCol w:w="3564"/>
        <w:gridCol w:w="2150"/>
      </w:tblGrid>
      <w:tr w:rsidR="005C0576" w:rsidRPr="00DA6489" w14:paraId="0F504A2D" w14:textId="77777777">
        <w:trPr>
          <w:trHeight w:val="113"/>
        </w:trPr>
        <w:tc>
          <w:tcPr>
            <w:tcW w:w="2780" w:type="dxa"/>
            <w:gridSpan w:val="2"/>
            <w:tcBorders>
              <w:top w:val="single" w:sz="4" w:space="0" w:color="000000"/>
              <w:left w:val="single" w:sz="4" w:space="0" w:color="000000"/>
              <w:bottom w:val="single" w:sz="4" w:space="0" w:color="000000"/>
              <w:right w:val="single" w:sz="4" w:space="0" w:color="000000"/>
            </w:tcBorders>
            <w:shd w:val="clear" w:color="auto" w:fill="auto"/>
          </w:tcPr>
          <w:p w14:paraId="14C72ADE" w14:textId="77777777" w:rsidR="005C0576" w:rsidRPr="00DA6489" w:rsidRDefault="00520523">
            <w:pPr>
              <w:pStyle w:val="Policedetableau"/>
              <w:widowControl w:val="0"/>
              <w:rPr>
                <w:b/>
              </w:rPr>
            </w:pPr>
            <w:r w:rsidRPr="00DA6489">
              <w:rPr>
                <w:b/>
              </w:rPr>
              <w:t>Technique</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37C43CBF" w14:textId="77777777" w:rsidR="005C0576" w:rsidRPr="00DA6489" w:rsidRDefault="00520523">
            <w:pPr>
              <w:pStyle w:val="Policedetableau"/>
              <w:widowControl w:val="0"/>
              <w:rPr>
                <w:b/>
              </w:rPr>
            </w:pPr>
            <w:r w:rsidRPr="00DA6489">
              <w:rPr>
                <w:b/>
              </w:rPr>
              <w:t>Description</w:t>
            </w:r>
          </w:p>
        </w:tc>
        <w:tc>
          <w:tcPr>
            <w:tcW w:w="2150" w:type="dxa"/>
            <w:tcBorders>
              <w:top w:val="single" w:sz="4" w:space="0" w:color="000000"/>
              <w:left w:val="single" w:sz="4" w:space="0" w:color="000000"/>
              <w:bottom w:val="single" w:sz="4" w:space="0" w:color="000000"/>
              <w:right w:val="single" w:sz="4" w:space="0" w:color="000000"/>
            </w:tcBorders>
            <w:shd w:val="clear" w:color="auto" w:fill="auto"/>
          </w:tcPr>
          <w:p w14:paraId="7E5B4AC4" w14:textId="77777777" w:rsidR="005C0576" w:rsidRPr="00DA6489" w:rsidRDefault="00520523">
            <w:pPr>
              <w:pStyle w:val="Policedetableau"/>
              <w:widowControl w:val="0"/>
              <w:rPr>
                <w:b/>
              </w:rPr>
            </w:pPr>
            <w:r w:rsidRPr="00DA6489">
              <w:rPr>
                <w:b/>
              </w:rPr>
              <w:t>Applicabilité</w:t>
            </w:r>
          </w:p>
        </w:tc>
      </w:tr>
      <w:tr w:rsidR="005C0576" w:rsidRPr="00DA6489" w14:paraId="56E814BD" w14:textId="77777777">
        <w:tc>
          <w:tcPr>
            <w:tcW w:w="8494" w:type="dxa"/>
            <w:gridSpan w:val="4"/>
            <w:tcBorders>
              <w:top w:val="single" w:sz="4" w:space="0" w:color="000000"/>
              <w:left w:val="single" w:sz="4" w:space="0" w:color="000000"/>
              <w:bottom w:val="single" w:sz="4" w:space="0" w:color="000000"/>
              <w:right w:val="single" w:sz="4" w:space="0" w:color="000000"/>
            </w:tcBorders>
            <w:shd w:val="clear" w:color="auto" w:fill="auto"/>
          </w:tcPr>
          <w:p w14:paraId="163A5553" w14:textId="77777777" w:rsidR="005C0576" w:rsidRPr="00DA6489" w:rsidRDefault="00520523">
            <w:pPr>
              <w:pStyle w:val="Policedetableau"/>
              <w:widowControl w:val="0"/>
              <w:rPr>
                <w:b/>
                <w:i/>
              </w:rPr>
            </w:pPr>
            <w:r w:rsidRPr="00DA6489">
              <w:rPr>
                <w:b/>
                <w:i/>
              </w:rPr>
              <w:t>Éviter ou réduire la nécessité d’un dégraissage</w:t>
            </w:r>
          </w:p>
        </w:tc>
      </w:tr>
      <w:tr w:rsidR="005C0576" w:rsidRPr="00DA6489" w14:paraId="09DEAB18" w14:textId="77777777">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06A5B" w14:textId="77777777" w:rsidR="005C0576" w:rsidRPr="00DA6489" w:rsidRDefault="00520523">
            <w:pPr>
              <w:pStyle w:val="Policedetableau"/>
              <w:widowControl w:val="0"/>
            </w:pPr>
            <w:proofErr w:type="gramStart"/>
            <w:r w:rsidRPr="00DA6489">
              <w:t>a</w:t>
            </w:r>
            <w:proofErr w:type="gramEnd"/>
          </w:p>
        </w:tc>
        <w:tc>
          <w:tcPr>
            <w:tcW w:w="19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CFAC8" w14:textId="77777777" w:rsidR="005C0576" w:rsidRPr="00DA6489" w:rsidRDefault="00520523">
            <w:pPr>
              <w:pStyle w:val="Policedetableau"/>
              <w:widowControl w:val="0"/>
            </w:pPr>
            <w:r w:rsidRPr="00DA6489">
              <w:t>Utilisation de matières entrantes peu souillées d’huile et de graisse</w:t>
            </w:r>
          </w:p>
        </w:tc>
        <w:tc>
          <w:tcPr>
            <w:tcW w:w="35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1D7656" w14:textId="77777777" w:rsidR="005C0576" w:rsidRPr="00DA6489" w:rsidRDefault="00520523">
            <w:pPr>
              <w:pStyle w:val="Policedetableau"/>
              <w:widowControl w:val="0"/>
            </w:pPr>
            <w:r w:rsidRPr="00DA6489">
              <w:t>L’utilisation de matières entrantes peu souillées d’huile et de graisse prolonge la durée de vie de la solution de dégraissage.</w:t>
            </w:r>
          </w:p>
        </w:tc>
        <w:tc>
          <w:tcPr>
            <w:tcW w:w="2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51BD78" w14:textId="77777777" w:rsidR="005C0576" w:rsidRPr="00DA6489" w:rsidRDefault="00520523">
            <w:pPr>
              <w:pStyle w:val="Policedetableau"/>
              <w:widowControl w:val="0"/>
            </w:pPr>
            <w:r w:rsidRPr="00DA6489">
              <w:t xml:space="preserve">L’applicabilité peut être limitée si la qualité de la matière entrante ne peut être </w:t>
            </w:r>
            <w:r w:rsidR="0000543F" w:rsidRPr="00DA6489">
              <w:t>amélioré</w:t>
            </w:r>
            <w:r w:rsidR="00C060D3" w:rsidRPr="00DA6489">
              <w:t>e</w:t>
            </w:r>
            <w:r w:rsidRPr="00DA6489">
              <w:t>.</w:t>
            </w:r>
          </w:p>
        </w:tc>
      </w:tr>
      <w:tr w:rsidR="005C0576" w:rsidRPr="00DA6489" w14:paraId="14A02BBC" w14:textId="77777777">
        <w:tc>
          <w:tcPr>
            <w:tcW w:w="8494" w:type="dxa"/>
            <w:gridSpan w:val="4"/>
            <w:tcBorders>
              <w:top w:val="single" w:sz="4" w:space="0" w:color="000000"/>
              <w:left w:val="single" w:sz="4" w:space="0" w:color="000000"/>
              <w:bottom w:val="single" w:sz="4" w:space="0" w:color="000000"/>
              <w:right w:val="single" w:sz="4" w:space="0" w:color="000000"/>
            </w:tcBorders>
            <w:shd w:val="clear" w:color="auto" w:fill="auto"/>
          </w:tcPr>
          <w:p w14:paraId="3E566CFE" w14:textId="77777777" w:rsidR="005C0576" w:rsidRPr="00DA6489" w:rsidRDefault="00520523">
            <w:pPr>
              <w:pStyle w:val="Policedetableau"/>
              <w:widowControl w:val="0"/>
              <w:rPr>
                <w:b/>
                <w:i/>
              </w:rPr>
            </w:pPr>
            <w:r w:rsidRPr="00DA6489">
              <w:rPr>
                <w:b/>
                <w:i/>
              </w:rPr>
              <w:t>Optimisation du dégraissage</w:t>
            </w:r>
          </w:p>
        </w:tc>
      </w:tr>
      <w:tr w:rsidR="005C0576" w:rsidRPr="00DA6489" w14:paraId="27EDEA05" w14:textId="77777777">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A8E82" w14:textId="77777777" w:rsidR="005C0576" w:rsidRPr="00DA6489" w:rsidRDefault="00520523">
            <w:pPr>
              <w:pStyle w:val="Policedetableau"/>
              <w:widowControl w:val="0"/>
            </w:pPr>
            <w:proofErr w:type="gramStart"/>
            <w:r w:rsidRPr="00DA6489">
              <w:t>b</w:t>
            </w:r>
            <w:proofErr w:type="gramEnd"/>
          </w:p>
        </w:tc>
        <w:tc>
          <w:tcPr>
            <w:tcW w:w="19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9E872" w14:textId="77777777" w:rsidR="005C0576" w:rsidRPr="00DA6489" w:rsidRDefault="00520523">
            <w:pPr>
              <w:pStyle w:val="Policedetableau"/>
              <w:widowControl w:val="0"/>
            </w:pPr>
            <w:r w:rsidRPr="00DA6489">
              <w:t xml:space="preserve">Techniques générales pour une efficacité accrue du </w:t>
            </w:r>
            <w:r w:rsidRPr="00DA6489">
              <w:lastRenderedPageBreak/>
              <w:t>dégraissage</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18572160" w14:textId="77777777" w:rsidR="005C0576" w:rsidRPr="00DA6489" w:rsidRDefault="00520523">
            <w:pPr>
              <w:pStyle w:val="Policedetableau"/>
              <w:widowControl w:val="0"/>
            </w:pPr>
            <w:r w:rsidRPr="00DA6489">
              <w:lastRenderedPageBreak/>
              <w:t>Il s’agit notamment des techniques suivantes :</w:t>
            </w:r>
          </w:p>
          <w:p w14:paraId="61A8300C" w14:textId="57E358BA" w:rsidR="005C0576" w:rsidRPr="00DA6489" w:rsidRDefault="008A3F03">
            <w:pPr>
              <w:pStyle w:val="Policedetableau"/>
              <w:widowControl w:val="0"/>
            </w:pPr>
            <w:r w:rsidRPr="00DA6489">
              <w:t xml:space="preserve">- </w:t>
            </w:r>
            <w:r w:rsidR="00E240A4" w:rsidRPr="00DA6489">
              <w:t xml:space="preserve">surveillance </w:t>
            </w:r>
            <w:r w:rsidR="00520523" w:rsidRPr="00DA6489">
              <w:t>et optimis</w:t>
            </w:r>
            <w:r w:rsidR="0000543F" w:rsidRPr="00DA6489">
              <w:t>atio</w:t>
            </w:r>
            <w:r w:rsidR="00C060D3" w:rsidRPr="00DA6489">
              <w:t>n</w:t>
            </w:r>
            <w:r w:rsidR="00520523" w:rsidRPr="00DA6489">
              <w:t xml:space="preserve"> </w:t>
            </w:r>
            <w:r w:rsidR="00175127">
              <w:t xml:space="preserve">de </w:t>
            </w:r>
            <w:r w:rsidR="00520523" w:rsidRPr="00DA6489">
              <w:t xml:space="preserve">la </w:t>
            </w:r>
            <w:r w:rsidR="00520523" w:rsidRPr="00DA6489">
              <w:lastRenderedPageBreak/>
              <w:t xml:space="preserve">température et </w:t>
            </w:r>
            <w:r w:rsidR="00175127">
              <w:t xml:space="preserve">de </w:t>
            </w:r>
            <w:r w:rsidR="00520523" w:rsidRPr="00DA6489">
              <w:t>la concentration des agents de dégraissage dans la solution de dégraissage</w:t>
            </w:r>
            <w:r w:rsidR="0000543F" w:rsidRPr="00DA6489">
              <w:t xml:space="preserve"> </w:t>
            </w:r>
            <w:r w:rsidR="00520523" w:rsidRPr="00DA6489">
              <w:t>;</w:t>
            </w:r>
          </w:p>
          <w:p w14:paraId="0C4823D7" w14:textId="5AEE253E" w:rsidR="005C0576" w:rsidRPr="00DA6489" w:rsidRDefault="008A3F03">
            <w:pPr>
              <w:pStyle w:val="Policedetableau"/>
              <w:widowControl w:val="0"/>
            </w:pPr>
            <w:r w:rsidRPr="00DA6489">
              <w:t xml:space="preserve">- </w:t>
            </w:r>
            <w:r w:rsidR="0092516A" w:rsidRPr="00DA6489">
              <w:t xml:space="preserve">amélioration de </w:t>
            </w:r>
            <w:r w:rsidR="00520523" w:rsidRPr="00DA6489">
              <w:t>l’effet de la solution de dégraissage sur la matière entrante (par exemple, en déplaçant la matière entrante, en agitant la solution de dégraissage ou en produisant une cavitation de la solution au moyen d’ultrasons sur la surface à dégraisser).</w:t>
            </w:r>
          </w:p>
        </w:tc>
        <w:tc>
          <w:tcPr>
            <w:tcW w:w="2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39CA9" w14:textId="77777777" w:rsidR="005C0576" w:rsidRPr="00DA6489" w:rsidRDefault="00F95481">
            <w:pPr>
              <w:pStyle w:val="Policedetableau"/>
              <w:widowControl w:val="0"/>
            </w:pPr>
            <w:r w:rsidRPr="00DA6489">
              <w:lastRenderedPageBreak/>
              <w:t>Applicable d’une manière générale. </w:t>
            </w:r>
          </w:p>
        </w:tc>
      </w:tr>
      <w:tr w:rsidR="005C0576" w:rsidRPr="00DA6489" w14:paraId="74D4A978" w14:textId="77777777">
        <w:trPr>
          <w:trHeight w:val="50"/>
        </w:trPr>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7877F" w14:textId="77777777" w:rsidR="005C0576" w:rsidRPr="00DA6489" w:rsidRDefault="00520523">
            <w:pPr>
              <w:pStyle w:val="Policedetableau"/>
              <w:widowControl w:val="0"/>
            </w:pPr>
            <w:proofErr w:type="gramStart"/>
            <w:r w:rsidRPr="00DA6489">
              <w:t>c</w:t>
            </w:r>
            <w:proofErr w:type="gramEnd"/>
          </w:p>
        </w:tc>
        <w:tc>
          <w:tcPr>
            <w:tcW w:w="19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6107F" w14:textId="77777777" w:rsidR="005C0576" w:rsidRPr="00DA6489" w:rsidRDefault="00520523">
            <w:pPr>
              <w:pStyle w:val="Policedetableau"/>
              <w:widowControl w:val="0"/>
            </w:pPr>
            <w:r w:rsidRPr="00DA6489">
              <w:t>Minimisation de l’entraînement de la solution de dégraissage</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2EC38745" w14:textId="76445482" w:rsidR="005C0576" w:rsidRPr="00DA6489" w:rsidRDefault="00520523">
            <w:pPr>
              <w:pStyle w:val="Policedetableau"/>
              <w:widowControl w:val="0"/>
            </w:pPr>
            <w:r w:rsidRPr="00DA6489">
              <w:t>Il s’agit notamment des techniques suivantes</w:t>
            </w:r>
            <w:r w:rsidR="00121F46" w:rsidRPr="00DA6489">
              <w:t xml:space="preserve"> </w:t>
            </w:r>
            <w:r w:rsidRPr="00DA6489">
              <w:t>:</w:t>
            </w:r>
          </w:p>
          <w:p w14:paraId="1E291F36" w14:textId="7E9F15BA" w:rsidR="005C0576" w:rsidRPr="00DA6489" w:rsidRDefault="008A3F03">
            <w:pPr>
              <w:pStyle w:val="Policedetableau"/>
              <w:widowControl w:val="0"/>
            </w:pPr>
            <w:r w:rsidRPr="00DA6489">
              <w:t xml:space="preserve">- </w:t>
            </w:r>
            <w:r w:rsidR="00E240A4" w:rsidRPr="00DA6489">
              <w:t xml:space="preserve">utilisation </w:t>
            </w:r>
            <w:r w:rsidR="00520523" w:rsidRPr="00DA6489">
              <w:t>des rouleaux d’essorage, par exemple pour le dégraissage continu des bandes</w:t>
            </w:r>
            <w:r w:rsidR="00F876CA" w:rsidRPr="00DA6489">
              <w:t xml:space="preserve"> </w:t>
            </w:r>
            <w:r w:rsidR="00520523" w:rsidRPr="00DA6489">
              <w:t xml:space="preserve">; </w:t>
            </w:r>
          </w:p>
          <w:p w14:paraId="2A9F167D" w14:textId="56C10680" w:rsidR="005C0576" w:rsidRPr="00DA6489" w:rsidRDefault="008A3F03">
            <w:pPr>
              <w:pStyle w:val="Policedetableau"/>
              <w:widowControl w:val="0"/>
            </w:pPr>
            <w:r w:rsidRPr="00DA6489">
              <w:t xml:space="preserve">- </w:t>
            </w:r>
            <w:r w:rsidR="00E240A4" w:rsidRPr="00DA6489">
              <w:t xml:space="preserve">prévision </w:t>
            </w:r>
            <w:r w:rsidR="00F876CA" w:rsidRPr="00DA6489">
              <w:t>d’un</w:t>
            </w:r>
            <w:r w:rsidR="00520523" w:rsidRPr="00DA6489">
              <w:t xml:space="preserve"> temps d’égouttage suffisant, par exemple en soulevant lentement les pièces à traiter.</w:t>
            </w:r>
          </w:p>
        </w:tc>
        <w:tc>
          <w:tcPr>
            <w:tcW w:w="2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E71E8" w14:textId="77777777" w:rsidR="005C0576" w:rsidRPr="00DA6489" w:rsidRDefault="00F95481">
            <w:pPr>
              <w:pStyle w:val="Policedetableau"/>
              <w:widowControl w:val="0"/>
            </w:pPr>
            <w:r w:rsidRPr="00DA6489">
              <w:t>Applicable d’une manière générale. </w:t>
            </w:r>
          </w:p>
        </w:tc>
      </w:tr>
      <w:tr w:rsidR="005C0576" w:rsidRPr="00DA6489" w14:paraId="293164D7" w14:textId="77777777">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658C8" w14:textId="77777777" w:rsidR="005C0576" w:rsidRPr="00DA6489" w:rsidRDefault="00520523">
            <w:pPr>
              <w:pStyle w:val="Policedetableau"/>
              <w:widowControl w:val="0"/>
            </w:pPr>
            <w:proofErr w:type="gramStart"/>
            <w:r w:rsidRPr="00DA6489">
              <w:t>d</w:t>
            </w:r>
            <w:proofErr w:type="gramEnd"/>
          </w:p>
        </w:tc>
        <w:tc>
          <w:tcPr>
            <w:tcW w:w="19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8B19E" w14:textId="77777777" w:rsidR="005C0576" w:rsidRPr="00DA6489" w:rsidRDefault="00520523">
            <w:pPr>
              <w:pStyle w:val="Policedetableau"/>
              <w:widowControl w:val="0"/>
            </w:pPr>
            <w:r w:rsidRPr="00DA6489">
              <w:t>Dégraissage en cascade à contre-courant</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7A02E6BE" w14:textId="77777777" w:rsidR="005C0576" w:rsidRPr="00DA6489" w:rsidRDefault="00520523">
            <w:pPr>
              <w:pStyle w:val="Policedetableau"/>
              <w:widowControl w:val="0"/>
            </w:pPr>
            <w:r w:rsidRPr="00DA6489">
              <w:t>Le dégraissage est effectué dans deux ou plusieurs bains successifs, la matière entrante étant déplacée du bain de dégraissage le plus souillé vers le bain le plus propre.</w:t>
            </w:r>
          </w:p>
        </w:tc>
        <w:tc>
          <w:tcPr>
            <w:tcW w:w="2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AF9E3" w14:textId="77777777" w:rsidR="005C0576" w:rsidRPr="00DA6489" w:rsidRDefault="00F95481">
            <w:pPr>
              <w:pStyle w:val="Policedetableau"/>
              <w:widowControl w:val="0"/>
            </w:pPr>
            <w:r w:rsidRPr="00DA6489">
              <w:t>Applicable d’une manière générale. </w:t>
            </w:r>
          </w:p>
        </w:tc>
      </w:tr>
      <w:tr w:rsidR="005C0576" w:rsidRPr="00DA6489" w14:paraId="119E5589" w14:textId="77777777">
        <w:tc>
          <w:tcPr>
            <w:tcW w:w="8494" w:type="dxa"/>
            <w:gridSpan w:val="4"/>
            <w:tcBorders>
              <w:top w:val="single" w:sz="4" w:space="0" w:color="000000"/>
              <w:left w:val="single" w:sz="4" w:space="0" w:color="000000"/>
              <w:bottom w:val="single" w:sz="4" w:space="0" w:color="000000"/>
              <w:right w:val="single" w:sz="4" w:space="0" w:color="000000"/>
            </w:tcBorders>
            <w:shd w:val="clear" w:color="auto" w:fill="auto"/>
          </w:tcPr>
          <w:p w14:paraId="66F64ABE" w14:textId="77777777" w:rsidR="005C0576" w:rsidRPr="00DA6489" w:rsidRDefault="00520523">
            <w:pPr>
              <w:pStyle w:val="Policedetableau"/>
              <w:widowControl w:val="0"/>
              <w:rPr>
                <w:b/>
                <w:i/>
              </w:rPr>
            </w:pPr>
            <w:r w:rsidRPr="00DA6489">
              <w:rPr>
                <w:b/>
                <w:i/>
              </w:rPr>
              <w:t>Prolonger la durée de vie des bains de dégraissage</w:t>
            </w:r>
          </w:p>
        </w:tc>
      </w:tr>
      <w:tr w:rsidR="005C0576" w:rsidRPr="00DA6489" w14:paraId="38774119" w14:textId="77777777">
        <w:tc>
          <w:tcPr>
            <w:tcW w:w="8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41B93" w14:textId="77777777" w:rsidR="005C0576" w:rsidRPr="00DA6489" w:rsidRDefault="00520523">
            <w:pPr>
              <w:pStyle w:val="Policedetableau"/>
              <w:widowControl w:val="0"/>
            </w:pPr>
            <w:proofErr w:type="gramStart"/>
            <w:r w:rsidRPr="00DA6489">
              <w:t>e</w:t>
            </w:r>
            <w:proofErr w:type="gramEnd"/>
          </w:p>
        </w:tc>
        <w:tc>
          <w:tcPr>
            <w:tcW w:w="19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E28FBA" w14:textId="77777777" w:rsidR="005C0576" w:rsidRPr="00DA6489" w:rsidRDefault="00520523">
            <w:pPr>
              <w:pStyle w:val="Policedetableau"/>
              <w:widowControl w:val="0"/>
            </w:pPr>
            <w:r w:rsidRPr="00DA6489">
              <w:t>Nettoyage et réutilisation de la solution de dégraissage</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14:paraId="53B08453" w14:textId="77777777" w:rsidR="005C0576" w:rsidRPr="00DA6489" w:rsidRDefault="00520523">
            <w:pPr>
              <w:pStyle w:val="Policedetableau"/>
              <w:widowControl w:val="0"/>
            </w:pPr>
            <w:r w:rsidRPr="00DA6489">
              <w:t>Des techniques de séparation magnétique, de séparation de l’huile (par exemple, écrémeurs, déversoirs), de microfiltration ou d’ultrafiltration ou de traitement biologique sont utilisées pour nettoyer la solution de dégraissage en vue de sa réutilisation.</w:t>
            </w:r>
          </w:p>
        </w:tc>
        <w:tc>
          <w:tcPr>
            <w:tcW w:w="2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14600" w14:textId="77777777" w:rsidR="005C0576" w:rsidRPr="00DA6489" w:rsidRDefault="00F95481">
            <w:pPr>
              <w:pStyle w:val="Policedetableau"/>
              <w:widowControl w:val="0"/>
            </w:pPr>
            <w:r w:rsidRPr="00DA6489">
              <w:t>Applicable d’une manière générale. </w:t>
            </w:r>
          </w:p>
        </w:tc>
      </w:tr>
    </w:tbl>
    <w:p w14:paraId="5209206A" w14:textId="120D431C" w:rsidR="005C0576" w:rsidRPr="00DA6489" w:rsidRDefault="00520523" w:rsidP="004E323C">
      <w:pPr>
        <w:pStyle w:val="Titre30"/>
        <w:ind w:firstLine="708"/>
      </w:pPr>
      <w:r w:rsidRPr="00DA6489">
        <w:t>2.8.3</w:t>
      </w:r>
      <w:r w:rsidR="001D02B7" w:rsidRPr="00DA6489">
        <w:t>.</w:t>
      </w:r>
      <w:r w:rsidRPr="00DA6489">
        <w:t xml:space="preserve"> </w:t>
      </w:r>
      <w:r w:rsidR="00E240A4" w:rsidRPr="00DA6489">
        <w:t>Utilisation rationnelle des matières</w:t>
      </w:r>
      <w:r w:rsidR="00E240A4" w:rsidRPr="00DA6489" w:rsidDel="00E240A4">
        <w:t xml:space="preserve"> </w:t>
      </w:r>
      <w:r w:rsidR="00E240A4" w:rsidRPr="00DA6489">
        <w:t>lors</w:t>
      </w:r>
      <w:r w:rsidRPr="00DA6489">
        <w:t xml:space="preserve"> du chauffage de l’acide de décapage</w:t>
      </w:r>
    </w:p>
    <w:p w14:paraId="4202688D" w14:textId="43E268AB" w:rsidR="005C0576" w:rsidRPr="00DA6489" w:rsidRDefault="00520523">
      <w:r w:rsidRPr="00DA6489">
        <w:t xml:space="preserve">L’exploitant utilise les matières de façon </w:t>
      </w:r>
      <w:r w:rsidR="00F876CA" w:rsidRPr="00DA6489">
        <w:t>raisonnée</w:t>
      </w:r>
      <w:r w:rsidRPr="00DA6489">
        <w:t xml:space="preserve"> lors du décapage et réduit la production d’acide de décapage usé lorsque l’acide de décapage est chauffé</w:t>
      </w:r>
      <w:r w:rsidR="00776805">
        <w:t>,</w:t>
      </w:r>
      <w:r w:rsidRPr="00DA6489">
        <w:t xml:space="preserve"> en appliquant </w:t>
      </w:r>
      <w:r w:rsidR="00B76F75" w:rsidRPr="00DA6489">
        <w:t xml:space="preserve">au moins </w:t>
      </w:r>
      <w:r w:rsidRPr="00DA6489">
        <w:t xml:space="preserve">l’une des techniques indiquées ci-dessous. </w:t>
      </w:r>
      <w:r w:rsidR="00F876CA" w:rsidRPr="00DA6489">
        <w:t>L</w:t>
      </w:r>
      <w:r w:rsidRPr="00DA6489">
        <w:t>’injection directe de vapeur</w:t>
      </w:r>
      <w:r w:rsidR="00F876CA" w:rsidRPr="00DA6489">
        <w:t xml:space="preserve"> est interdite</w:t>
      </w:r>
      <w:r w:rsidR="00AE54CC" w:rsidRPr="00DA6489">
        <w:t xml:space="preserve">, </w:t>
      </w:r>
      <w:r w:rsidR="00AF17D2" w:rsidRPr="00DA6489">
        <w:t>l’utilisation d’</w:t>
      </w:r>
      <w:r w:rsidR="00AE54CC" w:rsidRPr="00DA6489">
        <w:t xml:space="preserve">autres systèmes d’injection de vapeur </w:t>
      </w:r>
      <w:r w:rsidR="00AF17D2" w:rsidRPr="00DA6489">
        <w:t>demeure</w:t>
      </w:r>
      <w:r w:rsidR="003D455A" w:rsidRPr="00DA6489">
        <w:t xml:space="preserve"> </w:t>
      </w:r>
      <w:r w:rsidR="00AE54CC" w:rsidRPr="00DA6489">
        <w:t>possible.</w:t>
      </w:r>
    </w:p>
    <w:tbl>
      <w:tblPr>
        <w:tblW w:w="4900" w:type="pct"/>
        <w:tblLayout w:type="fixed"/>
        <w:tblLook w:val="01E0" w:firstRow="1" w:lastRow="1" w:firstColumn="1" w:lastColumn="1" w:noHBand="0" w:noVBand="0"/>
      </w:tblPr>
      <w:tblGrid>
        <w:gridCol w:w="383"/>
        <w:gridCol w:w="2213"/>
        <w:gridCol w:w="5728"/>
      </w:tblGrid>
      <w:tr w:rsidR="005C0576" w:rsidRPr="00DA6489" w14:paraId="7B3F2E56" w14:textId="77777777">
        <w:tc>
          <w:tcPr>
            <w:tcW w:w="2599" w:type="dxa"/>
            <w:gridSpan w:val="2"/>
            <w:tcBorders>
              <w:top w:val="single" w:sz="4" w:space="0" w:color="000000"/>
              <w:left w:val="single" w:sz="4" w:space="0" w:color="000000"/>
              <w:bottom w:val="single" w:sz="4" w:space="0" w:color="000000"/>
              <w:right w:val="single" w:sz="4" w:space="0" w:color="000000"/>
            </w:tcBorders>
            <w:shd w:val="clear" w:color="auto" w:fill="auto"/>
          </w:tcPr>
          <w:p w14:paraId="7171BF03" w14:textId="77777777" w:rsidR="005C0576" w:rsidRPr="00DA6489" w:rsidRDefault="00520523">
            <w:pPr>
              <w:pStyle w:val="Policedetableau"/>
              <w:widowControl w:val="0"/>
              <w:rPr>
                <w:b/>
              </w:rPr>
            </w:pPr>
            <w:r w:rsidRPr="00DA6489">
              <w:rPr>
                <w:b/>
              </w:rPr>
              <w:t>Technique</w:t>
            </w:r>
          </w:p>
        </w:tc>
        <w:tc>
          <w:tcPr>
            <w:tcW w:w="5734" w:type="dxa"/>
            <w:tcBorders>
              <w:top w:val="single" w:sz="4" w:space="0" w:color="000000"/>
              <w:left w:val="single" w:sz="4" w:space="0" w:color="000000"/>
              <w:bottom w:val="single" w:sz="4" w:space="0" w:color="000000"/>
              <w:right w:val="single" w:sz="4" w:space="0" w:color="000000"/>
            </w:tcBorders>
            <w:shd w:val="clear" w:color="auto" w:fill="auto"/>
          </w:tcPr>
          <w:p w14:paraId="33B9D578" w14:textId="77777777" w:rsidR="005C0576" w:rsidRPr="00DA6489" w:rsidRDefault="00520523">
            <w:pPr>
              <w:pStyle w:val="Policedetableau"/>
              <w:widowControl w:val="0"/>
              <w:rPr>
                <w:b/>
              </w:rPr>
            </w:pPr>
            <w:r w:rsidRPr="00DA6489">
              <w:rPr>
                <w:b/>
              </w:rPr>
              <w:t>Description</w:t>
            </w:r>
          </w:p>
        </w:tc>
      </w:tr>
      <w:tr w:rsidR="005C0576" w:rsidRPr="00DA6489" w14:paraId="2BE86040" w14:textId="77777777">
        <w:tc>
          <w:tcPr>
            <w:tcW w:w="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E19FF7" w14:textId="77777777" w:rsidR="005C0576" w:rsidRPr="00DA6489" w:rsidRDefault="00520523">
            <w:pPr>
              <w:pStyle w:val="Policedetableau"/>
              <w:widowControl w:val="0"/>
            </w:pPr>
            <w:proofErr w:type="gramStart"/>
            <w:r w:rsidRPr="00DA6489">
              <w:t>a</w:t>
            </w:r>
            <w:proofErr w:type="gramEnd"/>
          </w:p>
        </w:tc>
        <w:tc>
          <w:tcPr>
            <w:tcW w:w="2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290FD" w14:textId="77777777" w:rsidR="005C0576" w:rsidRPr="00DA6489" w:rsidRDefault="00520523">
            <w:pPr>
              <w:pStyle w:val="Policedetableau"/>
              <w:widowControl w:val="0"/>
            </w:pPr>
            <w:r w:rsidRPr="00DA6489">
              <w:t>Chauffage de l’acide avec des échangeurs de chaleur</w:t>
            </w:r>
          </w:p>
        </w:tc>
        <w:tc>
          <w:tcPr>
            <w:tcW w:w="57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0ED9C" w14:textId="77777777" w:rsidR="005C0576" w:rsidRPr="00DA6489" w:rsidRDefault="00520523">
            <w:pPr>
              <w:pStyle w:val="Policedetableau"/>
              <w:widowControl w:val="0"/>
            </w:pPr>
            <w:r w:rsidRPr="00DA6489">
              <w:t>Des échangeurs de chaleur résistants à la corrosion sont immergés dans l’acide de décapage pour un chauffage indirect, par exemple avec de la vapeur.</w:t>
            </w:r>
          </w:p>
        </w:tc>
      </w:tr>
      <w:tr w:rsidR="005C0576" w:rsidRPr="00DA6489" w14:paraId="53493686" w14:textId="77777777">
        <w:tc>
          <w:tcPr>
            <w:tcW w:w="3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14448" w14:textId="77777777" w:rsidR="005C0576" w:rsidRPr="00DA6489" w:rsidRDefault="00520523">
            <w:pPr>
              <w:pStyle w:val="Policedetableau"/>
              <w:widowControl w:val="0"/>
            </w:pPr>
            <w:proofErr w:type="gramStart"/>
            <w:r w:rsidRPr="00DA6489">
              <w:t>b</w:t>
            </w:r>
            <w:proofErr w:type="gramEnd"/>
          </w:p>
        </w:tc>
        <w:tc>
          <w:tcPr>
            <w:tcW w:w="22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652724" w14:textId="77777777" w:rsidR="005C0576" w:rsidRPr="00DA6489" w:rsidRDefault="00520523">
            <w:pPr>
              <w:pStyle w:val="Policedetableau"/>
              <w:widowControl w:val="0"/>
            </w:pPr>
            <w:r w:rsidRPr="00DA6489">
              <w:t>Chauffage de l’acide par combustion submergée</w:t>
            </w:r>
          </w:p>
        </w:tc>
        <w:tc>
          <w:tcPr>
            <w:tcW w:w="57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B77A1" w14:textId="77777777" w:rsidR="005C0576" w:rsidRPr="00DA6489" w:rsidRDefault="00480A74">
            <w:pPr>
              <w:pStyle w:val="Policedetableau"/>
              <w:widowControl w:val="0"/>
            </w:pPr>
            <w:r w:rsidRPr="00DA6489">
              <w:rPr>
                <w:rStyle w:val="hgkelc"/>
              </w:rPr>
              <w:t xml:space="preserve">Chauffage consistant à produire une combustion directement dans le fluide à chauffer. Les bulles des gaz de combustion s'échappent de la rampe de dispersion, remontent dans le bain et entrent en contact direct avec </w:t>
            </w:r>
            <w:r w:rsidR="00520523" w:rsidRPr="00DA6489">
              <w:t>l’acide de décapage, libérant de l’énergie par transfert thermique direct.</w:t>
            </w:r>
          </w:p>
        </w:tc>
      </w:tr>
    </w:tbl>
    <w:p w14:paraId="3ABDA71E" w14:textId="21D456CD" w:rsidR="005C0576" w:rsidRPr="00DA6489" w:rsidRDefault="00520523" w:rsidP="004E323C">
      <w:pPr>
        <w:pStyle w:val="Titre30"/>
        <w:ind w:firstLine="708"/>
      </w:pPr>
      <w:r w:rsidRPr="00DA6489">
        <w:lastRenderedPageBreak/>
        <w:t>2.8.4</w:t>
      </w:r>
      <w:r w:rsidR="00480A74" w:rsidRPr="00DA6489">
        <w:t>.</w:t>
      </w:r>
      <w:r w:rsidRPr="00DA6489">
        <w:t xml:space="preserve"> </w:t>
      </w:r>
      <w:r w:rsidR="00813109" w:rsidRPr="00DA6489">
        <w:t>Utilisation rationnelle des matières</w:t>
      </w:r>
      <w:r w:rsidR="00813109" w:rsidRPr="00DA6489" w:rsidDel="00E240A4">
        <w:t xml:space="preserve"> </w:t>
      </w:r>
      <w:r w:rsidR="00813109" w:rsidRPr="00DA6489">
        <w:t>lors</w:t>
      </w:r>
      <w:r w:rsidRPr="00DA6489">
        <w:t xml:space="preserve"> du décapage</w:t>
      </w:r>
    </w:p>
    <w:p w14:paraId="18C10E15" w14:textId="603BDDCC" w:rsidR="005C0576" w:rsidRPr="00DA6489" w:rsidRDefault="00520523">
      <w:r w:rsidRPr="00DA6489">
        <w:t>I</w:t>
      </w:r>
      <w:r w:rsidR="00F876CA" w:rsidRPr="00DA6489">
        <w:t>.</w:t>
      </w:r>
      <w:r w:rsidR="00813109" w:rsidRPr="00DA6489">
        <w:t xml:space="preserve"> </w:t>
      </w:r>
      <w:r w:rsidRPr="00DA6489">
        <w:t xml:space="preserve">- Lorsqu’il utilise l’acide chlorhydrique comme acide de décapage, l’exploitant respecte les niveaux de consommation spécifique d’acide de décapage fixés dans le tableau ci-après. </w:t>
      </w:r>
    </w:p>
    <w:tbl>
      <w:tblPr>
        <w:tblW w:w="5000" w:type="pct"/>
        <w:jc w:val="center"/>
        <w:tblLayout w:type="fixed"/>
        <w:tblLook w:val="04A0" w:firstRow="1" w:lastRow="0" w:firstColumn="1" w:lastColumn="0" w:noHBand="0" w:noVBand="1"/>
      </w:tblPr>
      <w:tblGrid>
        <w:gridCol w:w="2831"/>
        <w:gridCol w:w="2831"/>
        <w:gridCol w:w="2832"/>
      </w:tblGrid>
      <w:tr w:rsidR="005C0576" w:rsidRPr="00DA6489" w14:paraId="15614812" w14:textId="77777777">
        <w:trPr>
          <w:cantSplit/>
          <w:tblHeade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5E97C" w14:textId="77777777" w:rsidR="005C0576" w:rsidRPr="00DA6489" w:rsidRDefault="00520523">
            <w:pPr>
              <w:pStyle w:val="Policedetableau"/>
              <w:widowControl w:val="0"/>
            </w:pPr>
            <w:r w:rsidRPr="00DA6489">
              <w:t>Acide de décapage</w:t>
            </w: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B1A2E" w14:textId="77777777" w:rsidR="005C0576" w:rsidRPr="00DA6489" w:rsidRDefault="00520523">
            <w:pPr>
              <w:pStyle w:val="Policedetableau"/>
              <w:widowControl w:val="0"/>
            </w:pPr>
            <w:r w:rsidRPr="00DA6489">
              <w:t>Unité</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83246" w14:textId="77777777" w:rsidR="005C0576" w:rsidRPr="00DA6489" w:rsidRDefault="00520523">
            <w:pPr>
              <w:pStyle w:val="Policedetableau"/>
              <w:widowControl w:val="0"/>
            </w:pPr>
            <w:r w:rsidRPr="00DA6489">
              <w:t>Niveau de performance environnementale</w:t>
            </w:r>
          </w:p>
          <w:p w14:paraId="1F3D7FEC" w14:textId="77777777" w:rsidR="005C0576" w:rsidRPr="00DA6489" w:rsidRDefault="00520523">
            <w:pPr>
              <w:pStyle w:val="Policedetableau"/>
              <w:widowControl w:val="0"/>
            </w:pPr>
            <w:r w:rsidRPr="00DA6489">
              <w:t>(</w:t>
            </w:r>
            <w:proofErr w:type="gramStart"/>
            <w:r w:rsidRPr="00DA6489">
              <w:t>moyenne</w:t>
            </w:r>
            <w:proofErr w:type="gramEnd"/>
            <w:r w:rsidRPr="00DA6489">
              <w:t xml:space="preserve"> sur 3 ans)</w:t>
            </w:r>
          </w:p>
        </w:tc>
      </w:tr>
      <w:tr w:rsidR="005C0576" w:rsidRPr="00DA6489" w14:paraId="3EF09991" w14:textId="77777777">
        <w:trPr>
          <w:cantSplit/>
          <w:tblHeader/>
          <w:jc w:val="center"/>
        </w:trPr>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168B04" w14:textId="77777777" w:rsidR="005C0576" w:rsidRPr="00DA6489" w:rsidRDefault="00520523">
            <w:pPr>
              <w:pStyle w:val="Policedetableau"/>
              <w:widowControl w:val="0"/>
            </w:pPr>
            <w:r w:rsidRPr="00DA6489">
              <w:t>Acide chlorhydrique, 28 % en poids</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14:paraId="0BE0064D" w14:textId="77777777" w:rsidR="005C0576" w:rsidRPr="00DA6489" w:rsidRDefault="00520523">
            <w:pPr>
              <w:pStyle w:val="Policedetableau"/>
              <w:widowControl w:val="0"/>
            </w:pPr>
            <w:proofErr w:type="gramStart"/>
            <w:r w:rsidRPr="00DA6489">
              <w:t>kg</w:t>
            </w:r>
            <w:proofErr w:type="gramEnd"/>
            <w:r w:rsidRPr="00DA6489">
              <w:t>/t</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5E7664" w14:textId="77777777" w:rsidR="005C0576" w:rsidRPr="00DA6489" w:rsidRDefault="00520523">
            <w:pPr>
              <w:pStyle w:val="Policedetableau"/>
              <w:widowControl w:val="0"/>
            </w:pPr>
            <w:r w:rsidRPr="00DA6489">
              <w:t xml:space="preserve">30 </w:t>
            </w:r>
            <w:r w:rsidRPr="00DA6489">
              <w:rPr>
                <w:vertAlign w:val="superscript"/>
              </w:rPr>
              <w:t>(1)</w:t>
            </w:r>
          </w:p>
        </w:tc>
      </w:tr>
      <w:tr w:rsidR="005C0576" w:rsidRPr="00DA6489" w14:paraId="4D45EA73" w14:textId="77777777">
        <w:trPr>
          <w:cantSplit/>
          <w:tblHeader/>
          <w:jc w:val="center"/>
        </w:trPr>
        <w:tc>
          <w:tcPr>
            <w:tcW w:w="85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F403534" w14:textId="77777777" w:rsidR="005C0576" w:rsidRPr="00DA6489" w:rsidRDefault="00520523">
            <w:pPr>
              <w:pStyle w:val="Footnote"/>
              <w:widowControl w:val="0"/>
            </w:pPr>
            <w:r w:rsidRPr="00DA6489">
              <w:t xml:space="preserve">(1) Le niveau de performance environnementale </w:t>
            </w:r>
            <w:r w:rsidR="001717E2" w:rsidRPr="00DA6489">
              <w:t>est de</w:t>
            </w:r>
            <w:r w:rsidRPr="00DA6489">
              <w:t xml:space="preserve"> 50 kg/t lorsque la galvanisation concerne principalement des pièces présentant une surface spécifique élevée (par exemple, produits minces &lt; 1,5 mm, tubes d’une épaisseur de paroi &lt; 3 mm) ou lors d’une </w:t>
            </w:r>
            <w:proofErr w:type="spellStart"/>
            <w:r w:rsidRPr="00DA6489">
              <w:t>regalvanisation</w:t>
            </w:r>
            <w:proofErr w:type="spellEnd"/>
            <w:r w:rsidRPr="00DA6489">
              <w:t>.</w:t>
            </w:r>
          </w:p>
        </w:tc>
      </w:tr>
    </w:tbl>
    <w:p w14:paraId="4D2A0ACF" w14:textId="2C677C96" w:rsidR="005C0576" w:rsidRPr="00DA6489" w:rsidRDefault="00520523">
      <w:r w:rsidRPr="00DA6489">
        <w:t>Le préfet peut fixer</w:t>
      </w:r>
      <w:r w:rsidR="00F876CA" w:rsidRPr="00DA6489">
        <w:t>, au vu d’une justification fournie par l’exploitant comprenant notamment une étude technico-économique</w:t>
      </w:r>
      <w:r w:rsidR="00121F46" w:rsidRPr="00DA6489">
        <w:t>,</w:t>
      </w:r>
      <w:r w:rsidR="00F876CA" w:rsidRPr="00DA6489">
        <w:t xml:space="preserve"> </w:t>
      </w:r>
      <w:r w:rsidRPr="00DA6489">
        <w:t>une valeur différente par arrêté préfectoral, sous réserve du respect d</w:t>
      </w:r>
      <w:r w:rsidR="001717E2" w:rsidRPr="00DA6489">
        <w:t>u II d</w:t>
      </w:r>
      <w:r w:rsidRPr="00DA6489">
        <w:t>e l’article R.</w:t>
      </w:r>
      <w:r w:rsidR="00F876CA" w:rsidRPr="00DA6489">
        <w:t xml:space="preserve"> </w:t>
      </w:r>
      <w:r w:rsidRPr="00DA6489">
        <w:t xml:space="preserve">515-62 </w:t>
      </w:r>
      <w:r w:rsidR="001717E2" w:rsidRPr="00DA6489">
        <w:t>du code de l’environnement</w:t>
      </w:r>
      <w:r w:rsidRPr="00DA6489">
        <w:t>.</w:t>
      </w:r>
    </w:p>
    <w:p w14:paraId="60ED8D06" w14:textId="24061D93" w:rsidR="007D795A" w:rsidRPr="00DA6489" w:rsidRDefault="007D795A" w:rsidP="007D795A">
      <w:r w:rsidRPr="00DA6489">
        <w:t xml:space="preserve">Les niveaux de performance environnementale liés à la consommation spécifique de matières correspondent à des moyennes calculées sur trois ans </w:t>
      </w:r>
      <w:r w:rsidR="00F876CA" w:rsidRPr="00DA6489">
        <w:t xml:space="preserve">par la formule </w:t>
      </w:r>
      <w:r w:rsidRPr="00DA6489">
        <w:t>suivante :</w:t>
      </w:r>
    </w:p>
    <w:p w14:paraId="1448199E" w14:textId="77777777" w:rsidR="007D795A" w:rsidRPr="00DA6489" w:rsidRDefault="007D795A" w:rsidP="007D795A">
      <w:pPr>
        <w:jc w:val="center"/>
      </w:pPr>
      <m:oMathPara>
        <m:oMathParaPr>
          <m:jc m:val="center"/>
        </m:oMathParaPr>
        <m:oMath>
          <m:r>
            <m:rPr>
              <m:lit/>
              <m:nor/>
            </m:rPr>
            <w:rPr>
              <w:rFonts w:ascii="Cambria Math" w:hAnsi="Cambria Math"/>
            </w:rPr>
            <m:t>consommation spécifique de matières=</m:t>
          </m:r>
          <m:f>
            <m:fPr>
              <m:ctrlPr>
                <w:rPr>
                  <w:rFonts w:ascii="Cambria Math" w:hAnsi="Cambria Math"/>
                </w:rPr>
              </m:ctrlPr>
            </m:fPr>
            <m:num>
              <m:r>
                <m:rPr>
                  <m:lit/>
                  <m:nor/>
                </m:rPr>
                <w:rPr>
                  <w:rFonts w:ascii="Cambria Math" w:hAnsi="Cambria Math"/>
                </w:rPr>
                <m:t>consommation de matières</m:t>
              </m:r>
            </m:num>
            <m:den>
              <m:r>
                <m:rPr>
                  <m:lit/>
                  <m:nor/>
                </m:rPr>
                <w:rPr>
                  <w:rFonts w:ascii="Cambria Math" w:hAnsi="Cambria Math"/>
                </w:rPr>
                <m:t>matière entrante</m:t>
              </m:r>
            </m:den>
          </m:f>
        </m:oMath>
      </m:oMathPara>
    </w:p>
    <w:p w14:paraId="2D0B6E3C" w14:textId="77777777" w:rsidR="00480A74" w:rsidRPr="00DA6489" w:rsidRDefault="00480A74" w:rsidP="00480A74">
      <w:pPr>
        <w:spacing w:after="0" w:line="240" w:lineRule="auto"/>
        <w:ind w:left="709" w:hanging="709"/>
        <w:rPr>
          <w:rFonts w:eastAsia="Times New Roman" w:cs="Times New Roman"/>
          <w:szCs w:val="24"/>
        </w:rPr>
      </w:pPr>
      <w:proofErr w:type="gramStart"/>
      <w:r w:rsidRPr="00DA6489">
        <w:t>où</w:t>
      </w:r>
      <w:proofErr w:type="gramEnd"/>
      <w:r w:rsidRPr="00DA6489">
        <w:t> :</w:t>
      </w:r>
    </w:p>
    <w:p w14:paraId="2A90B13D" w14:textId="71AF99B2" w:rsidR="00480A74" w:rsidRPr="006A5D96" w:rsidRDefault="0092516A" w:rsidP="006A5D96">
      <w:pPr>
        <w:pStyle w:val="Paragraphedeliste"/>
        <w:numPr>
          <w:ilvl w:val="0"/>
          <w:numId w:val="20"/>
        </w:numPr>
        <w:spacing w:after="0" w:line="240" w:lineRule="auto"/>
        <w:jc w:val="left"/>
      </w:pPr>
      <w:r w:rsidRPr="00DA6489">
        <w:t xml:space="preserve">La consommation de matière est égale à </w:t>
      </w:r>
      <w:r w:rsidR="00813109" w:rsidRPr="00DA6489">
        <w:t>la moyenne sur trois ans de la quantité totale de matières d’une même nature</w:t>
      </w:r>
      <w:r w:rsidR="006A5D96">
        <w:t xml:space="preserve"> </w:t>
      </w:r>
      <w:r w:rsidR="00813109" w:rsidRPr="00DA6489">
        <w:t>consommées par le ou les procédés concernés, exprimée en kg/</w:t>
      </w:r>
      <w:proofErr w:type="gramStart"/>
      <w:r w:rsidR="00813109" w:rsidRPr="00DA6489">
        <w:t>an;</w:t>
      </w:r>
      <w:proofErr w:type="gramEnd"/>
      <w:r w:rsidR="00813109" w:rsidRPr="00DA6489">
        <w:t xml:space="preserve"> et</w:t>
      </w:r>
      <w:r w:rsidR="00813109" w:rsidRPr="00DA6489" w:rsidDel="00813109">
        <w:t xml:space="preserve"> </w:t>
      </w:r>
    </w:p>
    <w:p w14:paraId="0BEC48E8" w14:textId="5C6F1F2F" w:rsidR="00480A74" w:rsidRPr="00DA6489" w:rsidRDefault="00813109" w:rsidP="00480A74">
      <w:pPr>
        <w:pStyle w:val="Paragraphedeliste"/>
        <w:numPr>
          <w:ilvl w:val="0"/>
          <w:numId w:val="20"/>
        </w:numPr>
        <w:spacing w:after="0" w:line="240" w:lineRule="auto"/>
        <w:jc w:val="left"/>
        <w:rPr>
          <w:rFonts w:eastAsia="Times New Roman" w:cs="Times New Roman"/>
          <w:szCs w:val="24"/>
        </w:rPr>
      </w:pPr>
      <w:proofErr w:type="gramStart"/>
      <w:r w:rsidRPr="00DA6489">
        <w:t>la</w:t>
      </w:r>
      <w:proofErr w:type="gramEnd"/>
      <w:r w:rsidRPr="00DA6489">
        <w:t xml:space="preserve"> </w:t>
      </w:r>
      <w:r w:rsidR="00480A74" w:rsidRPr="00DA6489">
        <w:t>matière entrante est la quantité totale de métal traitée, exprimée en t/an.</w:t>
      </w:r>
    </w:p>
    <w:p w14:paraId="0B06DAF0" w14:textId="77777777" w:rsidR="00480A74" w:rsidRPr="00DA6489" w:rsidRDefault="00480A74"/>
    <w:p w14:paraId="2109ECED" w14:textId="1793D2A1" w:rsidR="005C0576" w:rsidRPr="00DA6489" w:rsidRDefault="00520523">
      <w:r w:rsidRPr="00DA6489">
        <w:t>II</w:t>
      </w:r>
      <w:r w:rsidR="00F876CA" w:rsidRPr="00DA6489">
        <w:t>.</w:t>
      </w:r>
      <w:r w:rsidR="00813109" w:rsidRPr="00DA6489">
        <w:t xml:space="preserve"> </w:t>
      </w:r>
      <w:r w:rsidRPr="00DA6489">
        <w:t xml:space="preserve">- </w:t>
      </w:r>
      <w:r w:rsidR="00F876CA" w:rsidRPr="00DA6489">
        <w:t xml:space="preserve">Lorsque l’exploitant </w:t>
      </w:r>
      <w:r w:rsidR="00766B8F" w:rsidRPr="00DA6489">
        <w:t>n’applique pas les niveaux de consommation spécifique</w:t>
      </w:r>
      <w:r w:rsidR="00121F46" w:rsidRPr="00DA6489">
        <w:t>s</w:t>
      </w:r>
      <w:r w:rsidR="00766B8F" w:rsidRPr="00DA6489">
        <w:t xml:space="preserve"> du I</w:t>
      </w:r>
      <w:r w:rsidRPr="00DA6489">
        <w:t xml:space="preserve">, l’exploitant utilise les matières </w:t>
      </w:r>
      <w:r w:rsidR="00766B8F" w:rsidRPr="00DA6489">
        <w:t xml:space="preserve">pour le décapage </w:t>
      </w:r>
      <w:r w:rsidRPr="00DA6489">
        <w:t>de façon ra</w:t>
      </w:r>
      <w:r w:rsidR="00766B8F" w:rsidRPr="00DA6489">
        <w:t>isonnée</w:t>
      </w:r>
      <w:r w:rsidRPr="00DA6489">
        <w:t xml:space="preserve"> et réduit la production d’acide de décapage usé en appliquant une combinaison appropriée des techniques énumérées ci-dessous. </w:t>
      </w:r>
    </w:p>
    <w:tbl>
      <w:tblPr>
        <w:tblW w:w="8495" w:type="dxa"/>
        <w:tblLayout w:type="fixed"/>
        <w:tblLook w:val="01E0" w:firstRow="1" w:lastRow="1" w:firstColumn="1" w:lastColumn="1" w:noHBand="0" w:noVBand="0"/>
      </w:tblPr>
      <w:tblGrid>
        <w:gridCol w:w="327"/>
        <w:gridCol w:w="1856"/>
        <w:gridCol w:w="3534"/>
        <w:gridCol w:w="2778"/>
      </w:tblGrid>
      <w:tr w:rsidR="005C0576" w:rsidRPr="00DA6489" w14:paraId="3BA3DC05" w14:textId="77777777">
        <w:tc>
          <w:tcPr>
            <w:tcW w:w="2182" w:type="dxa"/>
            <w:gridSpan w:val="2"/>
            <w:tcBorders>
              <w:top w:val="single" w:sz="4" w:space="0" w:color="000000"/>
              <w:left w:val="single" w:sz="4" w:space="0" w:color="000000"/>
              <w:bottom w:val="single" w:sz="4" w:space="0" w:color="000000"/>
              <w:right w:val="single" w:sz="4" w:space="0" w:color="000000"/>
            </w:tcBorders>
            <w:shd w:val="clear" w:color="auto" w:fill="auto"/>
          </w:tcPr>
          <w:p w14:paraId="14D3125D" w14:textId="77777777" w:rsidR="005C0576" w:rsidRPr="00DA6489" w:rsidRDefault="00520523">
            <w:pPr>
              <w:pStyle w:val="Policedetableau"/>
              <w:widowControl w:val="0"/>
              <w:rPr>
                <w:b/>
              </w:rPr>
            </w:pPr>
            <w:r w:rsidRPr="00DA6489">
              <w:rPr>
                <w:b/>
              </w:rPr>
              <w:t>Technique</w:t>
            </w:r>
          </w:p>
        </w:tc>
        <w:tc>
          <w:tcPr>
            <w:tcW w:w="3534" w:type="dxa"/>
            <w:tcBorders>
              <w:top w:val="single" w:sz="4" w:space="0" w:color="000000"/>
              <w:left w:val="single" w:sz="4" w:space="0" w:color="000000"/>
              <w:bottom w:val="single" w:sz="4" w:space="0" w:color="000000"/>
              <w:right w:val="single" w:sz="4" w:space="0" w:color="000000"/>
            </w:tcBorders>
            <w:shd w:val="clear" w:color="auto" w:fill="auto"/>
          </w:tcPr>
          <w:p w14:paraId="00742EF3" w14:textId="77777777" w:rsidR="005C0576" w:rsidRPr="00DA6489" w:rsidRDefault="00520523">
            <w:pPr>
              <w:pStyle w:val="Policedetableau"/>
              <w:widowControl w:val="0"/>
              <w:rPr>
                <w:b/>
              </w:rPr>
            </w:pPr>
            <w:r w:rsidRPr="00DA6489">
              <w:rPr>
                <w:b/>
              </w:rPr>
              <w:t>Description</w:t>
            </w:r>
          </w:p>
        </w:tc>
        <w:tc>
          <w:tcPr>
            <w:tcW w:w="2778" w:type="dxa"/>
            <w:tcBorders>
              <w:top w:val="single" w:sz="4" w:space="0" w:color="000000"/>
              <w:left w:val="single" w:sz="4" w:space="0" w:color="000000"/>
              <w:bottom w:val="single" w:sz="4" w:space="0" w:color="000000"/>
              <w:right w:val="single" w:sz="4" w:space="0" w:color="000000"/>
            </w:tcBorders>
            <w:shd w:val="clear" w:color="auto" w:fill="auto"/>
          </w:tcPr>
          <w:p w14:paraId="0439E21B" w14:textId="77777777" w:rsidR="005C0576" w:rsidRPr="00DA6489" w:rsidRDefault="00520523">
            <w:pPr>
              <w:pStyle w:val="Policedetableau"/>
              <w:widowControl w:val="0"/>
              <w:rPr>
                <w:b/>
              </w:rPr>
            </w:pPr>
            <w:r w:rsidRPr="00DA6489">
              <w:rPr>
                <w:b/>
              </w:rPr>
              <w:t>Applicabilité</w:t>
            </w:r>
          </w:p>
        </w:tc>
      </w:tr>
      <w:tr w:rsidR="005C0576" w:rsidRPr="00DA6489" w14:paraId="661F3357" w14:textId="77777777">
        <w:tc>
          <w:tcPr>
            <w:tcW w:w="8494" w:type="dxa"/>
            <w:gridSpan w:val="4"/>
            <w:tcBorders>
              <w:top w:val="single" w:sz="4" w:space="0" w:color="000000"/>
              <w:left w:val="single" w:sz="4" w:space="0" w:color="000000"/>
              <w:bottom w:val="single" w:sz="4" w:space="0" w:color="000000"/>
              <w:right w:val="single" w:sz="4" w:space="0" w:color="000000"/>
            </w:tcBorders>
            <w:shd w:val="clear" w:color="auto" w:fill="auto"/>
          </w:tcPr>
          <w:p w14:paraId="183C8DF8" w14:textId="77777777" w:rsidR="005C0576" w:rsidRPr="00DA6489" w:rsidRDefault="00520523">
            <w:pPr>
              <w:pStyle w:val="Policedetableau"/>
              <w:widowControl w:val="0"/>
              <w:rPr>
                <w:b/>
                <w:i/>
              </w:rPr>
            </w:pPr>
            <w:r w:rsidRPr="00DA6489">
              <w:rPr>
                <w:b/>
                <w:i/>
              </w:rPr>
              <w:t>Éviter ou réduire la nécessité d’un décapage</w:t>
            </w:r>
          </w:p>
        </w:tc>
      </w:tr>
      <w:tr w:rsidR="005C0576" w:rsidRPr="00DA6489" w14:paraId="1869F027"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17F0C" w14:textId="77777777" w:rsidR="005C0576" w:rsidRPr="00DA6489" w:rsidRDefault="00532953">
            <w:pPr>
              <w:pStyle w:val="Policedetableau"/>
              <w:widowControl w:val="0"/>
            </w:pPr>
            <w:r w:rsidRPr="00DA6489">
              <w:t>1</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3E586" w14:textId="77777777" w:rsidR="005C0576" w:rsidRPr="00DA6489" w:rsidRDefault="00520523">
            <w:pPr>
              <w:pStyle w:val="Policedetableau"/>
              <w:widowControl w:val="0"/>
            </w:pPr>
            <w:r w:rsidRPr="00DA6489">
              <w:t>Minimisation de la corrosion des aciers</w:t>
            </w:r>
          </w:p>
        </w:tc>
        <w:tc>
          <w:tcPr>
            <w:tcW w:w="3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90A51" w14:textId="3E566488" w:rsidR="005C0576" w:rsidRPr="00DA6489" w:rsidRDefault="00520523">
            <w:pPr>
              <w:pStyle w:val="Policedetableau"/>
              <w:widowControl w:val="0"/>
            </w:pPr>
            <w:r w:rsidRPr="00DA6489">
              <w:t>Il s’agit notamment des techniques suivantes</w:t>
            </w:r>
            <w:r w:rsidR="00813109" w:rsidRPr="00DA6489">
              <w:t xml:space="preserve"> </w:t>
            </w:r>
            <w:r w:rsidRPr="00DA6489">
              <w:t>:</w:t>
            </w:r>
          </w:p>
          <w:p w14:paraId="3E4D8797" w14:textId="434E8591" w:rsidR="005C0576" w:rsidRPr="00DA6489" w:rsidRDefault="001717E2">
            <w:pPr>
              <w:pStyle w:val="Policedetableau"/>
              <w:widowControl w:val="0"/>
            </w:pPr>
            <w:r w:rsidRPr="00DA6489">
              <w:t xml:space="preserve">- </w:t>
            </w:r>
            <w:r w:rsidR="00813109" w:rsidRPr="00DA6489">
              <w:t xml:space="preserve">stockage </w:t>
            </w:r>
            <w:r w:rsidR="00175127">
              <w:t xml:space="preserve">de </w:t>
            </w:r>
            <w:r w:rsidR="00520523" w:rsidRPr="00DA6489">
              <w:t>la matière entrante dans des zones couverte</w:t>
            </w:r>
            <w:r w:rsidR="00C060D3" w:rsidRPr="00DA6489">
              <w:t>s</w:t>
            </w:r>
            <w:r w:rsidR="00766B8F" w:rsidRPr="00DA6489">
              <w:t xml:space="preserve"> </w:t>
            </w:r>
            <w:r w:rsidR="00520523" w:rsidRPr="00DA6489">
              <w:t>;</w:t>
            </w:r>
          </w:p>
          <w:p w14:paraId="3F576E3F" w14:textId="6AB74F43" w:rsidR="005C0576" w:rsidRPr="00DA6489" w:rsidRDefault="001717E2">
            <w:pPr>
              <w:pStyle w:val="Policedetableau"/>
              <w:widowControl w:val="0"/>
            </w:pPr>
            <w:r w:rsidRPr="00DA6489">
              <w:t>-</w:t>
            </w:r>
            <w:r w:rsidR="00766B8F" w:rsidRPr="00DA6489">
              <w:t xml:space="preserve"> </w:t>
            </w:r>
            <w:r w:rsidR="00813109" w:rsidRPr="00DA6489">
              <w:t xml:space="preserve">limitation </w:t>
            </w:r>
            <w:r w:rsidR="00766B8F" w:rsidRPr="00DA6489">
              <w:t xml:space="preserve">de </w:t>
            </w:r>
            <w:r w:rsidR="00520523" w:rsidRPr="00DA6489">
              <w:t>la durée de stockage de la matière entrante.</w:t>
            </w:r>
          </w:p>
        </w:tc>
        <w:tc>
          <w:tcPr>
            <w:tcW w:w="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D2ED2" w14:textId="77777777" w:rsidR="005C0576" w:rsidRPr="00DA6489" w:rsidRDefault="00F95481">
            <w:pPr>
              <w:pStyle w:val="Policedetableau"/>
              <w:widowControl w:val="0"/>
            </w:pPr>
            <w:r w:rsidRPr="00DA6489">
              <w:t>Applicable d’une manière générale. </w:t>
            </w:r>
          </w:p>
        </w:tc>
      </w:tr>
      <w:tr w:rsidR="005C0576" w:rsidRPr="00DA6489" w14:paraId="26AFEEC6" w14:textId="77777777">
        <w:tc>
          <w:tcPr>
            <w:tcW w:w="84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32ED50C" w14:textId="77777777" w:rsidR="005C0576" w:rsidRPr="00DA6489" w:rsidRDefault="00520523">
            <w:pPr>
              <w:pStyle w:val="Policedetableau"/>
              <w:widowControl w:val="0"/>
              <w:rPr>
                <w:b/>
                <w:i/>
              </w:rPr>
            </w:pPr>
            <w:r w:rsidRPr="00DA6489">
              <w:rPr>
                <w:b/>
                <w:i/>
              </w:rPr>
              <w:t>Optimisation du décapage</w:t>
            </w:r>
          </w:p>
        </w:tc>
      </w:tr>
      <w:tr w:rsidR="005C0576" w:rsidRPr="00DA6489" w14:paraId="190CDFB9"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7EB5C" w14:textId="77777777" w:rsidR="005C0576" w:rsidRPr="00DA6489" w:rsidRDefault="00532953">
            <w:pPr>
              <w:pStyle w:val="Policedetableau"/>
              <w:widowControl w:val="0"/>
            </w:pPr>
            <w:r w:rsidRPr="00DA6489">
              <w:t>2</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D0290" w14:textId="77777777" w:rsidR="005C0576" w:rsidRPr="00DA6489" w:rsidRDefault="00520523">
            <w:pPr>
              <w:pStyle w:val="Policedetableau"/>
              <w:widowControl w:val="0"/>
            </w:pPr>
            <w:r w:rsidRPr="00DA6489">
              <w:t>Rinçage après dégraissage alcalin</w:t>
            </w:r>
          </w:p>
        </w:tc>
        <w:tc>
          <w:tcPr>
            <w:tcW w:w="3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8157F" w14:textId="77777777" w:rsidR="005C0576" w:rsidRPr="00DA6489" w:rsidRDefault="00520523">
            <w:pPr>
              <w:pStyle w:val="Policedetableau"/>
              <w:widowControl w:val="0"/>
            </w:pPr>
            <w:r w:rsidRPr="00DA6489">
              <w:t>L’entraînement de la solution alcaline de dégraissage dans le bain de décapage est réduit grâce au rinçage de la matière entrante après le dégraissage.</w:t>
            </w:r>
          </w:p>
        </w:tc>
        <w:tc>
          <w:tcPr>
            <w:tcW w:w="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D720A" w14:textId="77777777" w:rsidR="005C0576" w:rsidRPr="00DA6489" w:rsidRDefault="00520523">
            <w:pPr>
              <w:pStyle w:val="Policedetableau"/>
              <w:widowControl w:val="0"/>
            </w:pPr>
            <w:r w:rsidRPr="00DA6489">
              <w:t>L’applicabilité aux unités existantes peut être limitée par le manque d’espace.</w:t>
            </w:r>
          </w:p>
        </w:tc>
      </w:tr>
      <w:tr w:rsidR="005C0576" w:rsidRPr="00DA6489" w14:paraId="41590E44"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F79E0" w14:textId="77777777" w:rsidR="005C0576" w:rsidRPr="00DA6489" w:rsidRDefault="00532953">
            <w:pPr>
              <w:pStyle w:val="Policedetableau"/>
              <w:widowControl w:val="0"/>
            </w:pPr>
            <w:r w:rsidRPr="00DA6489">
              <w:t>3</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34CA9" w14:textId="77777777" w:rsidR="005C0576" w:rsidRPr="00DA6489" w:rsidRDefault="00520523">
            <w:pPr>
              <w:pStyle w:val="Policedetableau"/>
              <w:widowControl w:val="0"/>
            </w:pPr>
            <w:r w:rsidRPr="00DA6489">
              <w:t>Techniques générales pour une efficacité accrue du décapage</w:t>
            </w:r>
          </w:p>
        </w:tc>
        <w:tc>
          <w:tcPr>
            <w:tcW w:w="3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40B167" w14:textId="77777777" w:rsidR="005C0576" w:rsidRPr="00DA6489" w:rsidRDefault="00520523">
            <w:pPr>
              <w:pStyle w:val="Policedetableau"/>
              <w:widowControl w:val="0"/>
            </w:pPr>
            <w:r w:rsidRPr="00DA6489">
              <w:t>Il s’agit notamment des techniques suivantes :</w:t>
            </w:r>
          </w:p>
          <w:p w14:paraId="7CE2BD97" w14:textId="54F562CB" w:rsidR="005C0576" w:rsidRPr="00DA6489" w:rsidRDefault="001717E2">
            <w:pPr>
              <w:pStyle w:val="Policedetableau"/>
              <w:widowControl w:val="0"/>
            </w:pPr>
            <w:r w:rsidRPr="00DA6489">
              <w:t xml:space="preserve">- </w:t>
            </w:r>
            <w:r w:rsidR="00813109" w:rsidRPr="00DA6489">
              <w:t xml:space="preserve">optimisation </w:t>
            </w:r>
            <w:r w:rsidR="00520523" w:rsidRPr="00DA6489">
              <w:t xml:space="preserve">de la température de décapage pour maximiser les taux de décapage tout en réduisant au minimum les émissions </w:t>
            </w:r>
            <w:r w:rsidR="00333D00" w:rsidRPr="00DA6489">
              <w:t>d’acides ;</w:t>
            </w:r>
          </w:p>
          <w:p w14:paraId="21904FC1" w14:textId="42013E46" w:rsidR="005C0576" w:rsidRPr="00DA6489" w:rsidRDefault="001717E2">
            <w:pPr>
              <w:pStyle w:val="Policedetableau"/>
              <w:widowControl w:val="0"/>
            </w:pPr>
            <w:r w:rsidRPr="00DA6489">
              <w:t xml:space="preserve">- </w:t>
            </w:r>
            <w:r w:rsidR="0092516A" w:rsidRPr="00DA6489">
              <w:t xml:space="preserve">optimisation </w:t>
            </w:r>
            <w:r w:rsidR="00520523" w:rsidRPr="00DA6489">
              <w:t xml:space="preserve">de la composition du bain de décapage (par exemple, </w:t>
            </w:r>
            <w:r w:rsidR="00520523" w:rsidRPr="00DA6489">
              <w:lastRenderedPageBreak/>
              <w:t>concentrations d’acide et de fer)</w:t>
            </w:r>
            <w:r w:rsidR="00121F46" w:rsidRPr="00DA6489">
              <w:t xml:space="preserve"> </w:t>
            </w:r>
            <w:r w:rsidR="00520523" w:rsidRPr="00DA6489">
              <w:t>;</w:t>
            </w:r>
          </w:p>
          <w:p w14:paraId="3850695E" w14:textId="1D041E0B" w:rsidR="005C0576" w:rsidRPr="00DA6489" w:rsidRDefault="001717E2">
            <w:pPr>
              <w:pStyle w:val="Policedetableau"/>
              <w:widowControl w:val="0"/>
            </w:pPr>
            <w:r w:rsidRPr="00DA6489">
              <w:t xml:space="preserve">- </w:t>
            </w:r>
            <w:r w:rsidR="0092516A" w:rsidRPr="00DA6489">
              <w:t xml:space="preserve">optimisation </w:t>
            </w:r>
            <w:r w:rsidR="00520523" w:rsidRPr="00DA6489">
              <w:t>du temps de décapage pour éviter un décapage excessif</w:t>
            </w:r>
            <w:r w:rsidR="00121F46" w:rsidRPr="00DA6489">
              <w:t xml:space="preserve"> </w:t>
            </w:r>
            <w:r w:rsidR="00520523" w:rsidRPr="00DA6489">
              <w:t>;</w:t>
            </w:r>
          </w:p>
          <w:p w14:paraId="7FE71535" w14:textId="56CD0EA7" w:rsidR="005C0576" w:rsidRPr="00DA6489" w:rsidRDefault="001717E2">
            <w:pPr>
              <w:pStyle w:val="Policedetableau"/>
              <w:widowControl w:val="0"/>
            </w:pPr>
            <w:r w:rsidRPr="00DA6489">
              <w:t xml:space="preserve">- </w:t>
            </w:r>
            <w:r w:rsidR="0092516A" w:rsidRPr="00DA6489">
              <w:t xml:space="preserve">abstention </w:t>
            </w:r>
            <w:r w:rsidR="00B76F75" w:rsidRPr="00DA6489">
              <w:t>de</w:t>
            </w:r>
            <w:r w:rsidR="00520523" w:rsidRPr="00DA6489">
              <w:t xml:space="preserve"> changements drastiques de composition du bain de décapage en le réapprovisionnant fréquemment en acide frais.</w:t>
            </w:r>
          </w:p>
        </w:tc>
        <w:tc>
          <w:tcPr>
            <w:tcW w:w="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59F31" w14:textId="1434939E" w:rsidR="005C0576" w:rsidRPr="00DA6489" w:rsidRDefault="00F95481">
            <w:pPr>
              <w:pStyle w:val="Policedetableau"/>
              <w:widowControl w:val="0"/>
            </w:pPr>
            <w:r w:rsidRPr="00DA6489">
              <w:lastRenderedPageBreak/>
              <w:t>Applicable d’une manière générale.</w:t>
            </w:r>
          </w:p>
        </w:tc>
      </w:tr>
      <w:tr w:rsidR="005C0576" w:rsidRPr="00DA6489" w14:paraId="547442D6"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51D06" w14:textId="77777777" w:rsidR="005C0576" w:rsidRPr="00DA6489" w:rsidRDefault="00532953">
            <w:pPr>
              <w:pStyle w:val="Policedetableau"/>
              <w:widowControl w:val="0"/>
            </w:pPr>
            <w:r w:rsidRPr="00DA6489">
              <w:t>4</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72C3F" w14:textId="77777777" w:rsidR="005C0576" w:rsidRPr="00DA6489" w:rsidRDefault="00520523">
            <w:pPr>
              <w:pStyle w:val="Policedetableau"/>
              <w:widowControl w:val="0"/>
            </w:pPr>
            <w:r w:rsidRPr="00DA6489">
              <w:t xml:space="preserve">Nettoyage du bain de décapage et réutilisation de l’acide libre </w:t>
            </w:r>
          </w:p>
        </w:tc>
        <w:tc>
          <w:tcPr>
            <w:tcW w:w="3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94826" w14:textId="77777777" w:rsidR="005C0576" w:rsidRPr="00DA6489" w:rsidRDefault="00520523">
            <w:pPr>
              <w:pStyle w:val="Policedetableau"/>
              <w:widowControl w:val="0"/>
            </w:pPr>
            <w:r w:rsidRPr="00DA6489">
              <w:t>Un circuit de nettoyage, par exemple au moyen d’un système de filtration, est utilisé pour éliminer les particules présentes dans l’acide de décapage. La fraction d’acide libre est ensuite récupérée par échange d’ions, par exemple à l’aide de résines.</w:t>
            </w:r>
          </w:p>
        </w:tc>
        <w:tc>
          <w:tcPr>
            <w:tcW w:w="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1BCC8" w14:textId="77777777" w:rsidR="005C0576" w:rsidRPr="00DA6489" w:rsidRDefault="00520523">
            <w:pPr>
              <w:pStyle w:val="Policedetableau"/>
              <w:widowControl w:val="0"/>
            </w:pPr>
            <w:r w:rsidRPr="00DA6489">
              <w:t>Non applicable si un décapage en cascade (ou assimilé) est utilisé, ce procédé ne donnant lieu qu’à de très faibles niveaux d’acide libre.</w:t>
            </w:r>
          </w:p>
        </w:tc>
      </w:tr>
      <w:tr w:rsidR="005C0576" w:rsidRPr="00DA6489" w14:paraId="76503633"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4E117" w14:textId="77777777" w:rsidR="005C0576" w:rsidRPr="00DA6489" w:rsidRDefault="00532953">
            <w:pPr>
              <w:pStyle w:val="Policedetableau"/>
              <w:widowControl w:val="0"/>
            </w:pPr>
            <w:r w:rsidRPr="00DA6489">
              <w:t>5</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BDE90" w14:textId="77777777" w:rsidR="005C0576" w:rsidRPr="00DA6489" w:rsidRDefault="00520523">
            <w:pPr>
              <w:pStyle w:val="Policedetableau"/>
              <w:widowControl w:val="0"/>
            </w:pPr>
            <w:r w:rsidRPr="00DA6489">
              <w:t>Décapage en cascade à contre</w:t>
            </w:r>
            <w:r w:rsidR="00D34654" w:rsidRPr="00DA6489">
              <w:t>-</w:t>
            </w:r>
            <w:r w:rsidRPr="00DA6489">
              <w:t xml:space="preserve">courant </w:t>
            </w:r>
          </w:p>
        </w:tc>
        <w:tc>
          <w:tcPr>
            <w:tcW w:w="3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85FE6D" w14:textId="77777777" w:rsidR="005C0576" w:rsidRPr="00DA6489" w:rsidRDefault="00520523">
            <w:pPr>
              <w:pStyle w:val="Policedetableau"/>
              <w:widowControl w:val="0"/>
            </w:pPr>
            <w:r w:rsidRPr="00DA6489">
              <w:t>Le décapage s’effectue dans au moins deux bains en série, la matière entrante étant déplacée du bain ayant la plus faible concentration d’acide vers celui ayant la concentration la plus élevée.</w:t>
            </w:r>
          </w:p>
        </w:tc>
        <w:tc>
          <w:tcPr>
            <w:tcW w:w="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E5358" w14:textId="77777777" w:rsidR="005C0576" w:rsidRPr="00DA6489" w:rsidRDefault="00520523">
            <w:pPr>
              <w:pStyle w:val="Policedetableau"/>
              <w:widowControl w:val="0"/>
            </w:pPr>
            <w:r w:rsidRPr="00DA6489">
              <w:t>L’applicabilité aux unités existantes peut être limitée par le manque d’espace.</w:t>
            </w:r>
          </w:p>
        </w:tc>
      </w:tr>
      <w:tr w:rsidR="005C0576" w:rsidRPr="00DA6489" w14:paraId="0FEA0F09"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C3D8E" w14:textId="77777777" w:rsidR="005C0576" w:rsidRPr="00DA6489" w:rsidRDefault="00532953">
            <w:pPr>
              <w:pStyle w:val="Policedetableau"/>
              <w:widowControl w:val="0"/>
            </w:pPr>
            <w:r w:rsidRPr="00DA6489">
              <w:t>6</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27AAD" w14:textId="77777777" w:rsidR="005C0576" w:rsidRPr="00DA6489" w:rsidRDefault="00520523">
            <w:pPr>
              <w:pStyle w:val="Policedetableau"/>
              <w:widowControl w:val="0"/>
            </w:pPr>
            <w:r w:rsidRPr="00DA6489">
              <w:t>Minimisation de l’entraînement de l’acide de décapage</w:t>
            </w:r>
          </w:p>
        </w:tc>
        <w:tc>
          <w:tcPr>
            <w:tcW w:w="3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9360F" w14:textId="400FBDFC" w:rsidR="005C0576" w:rsidRPr="00DA6489" w:rsidRDefault="00520523">
            <w:pPr>
              <w:pStyle w:val="Policedetableau"/>
              <w:widowControl w:val="0"/>
            </w:pPr>
            <w:r w:rsidRPr="00DA6489">
              <w:t xml:space="preserve">Il s’agit notamment des techniques </w:t>
            </w:r>
            <w:r w:rsidR="00813109" w:rsidRPr="00DA6489">
              <w:t>suivantes :</w:t>
            </w:r>
          </w:p>
          <w:p w14:paraId="1E9BB6EA" w14:textId="36F83F1E" w:rsidR="005C0576" w:rsidRPr="00DA6489" w:rsidRDefault="001717E2">
            <w:pPr>
              <w:pStyle w:val="Policedetableau"/>
              <w:widowControl w:val="0"/>
            </w:pPr>
            <w:r w:rsidRPr="00DA6489">
              <w:t xml:space="preserve">- </w:t>
            </w:r>
            <w:r w:rsidR="00520523" w:rsidRPr="00DA6489">
              <w:t xml:space="preserve">prévoir un temps d’égouttage suffisant, par exemple en soulevant lentement les pièces à </w:t>
            </w:r>
            <w:r w:rsidR="00813109" w:rsidRPr="00DA6489">
              <w:t>traiter ;</w:t>
            </w:r>
          </w:p>
          <w:p w14:paraId="56C50433" w14:textId="77777777" w:rsidR="005C0576" w:rsidRPr="00DA6489" w:rsidRDefault="001717E2">
            <w:pPr>
              <w:pStyle w:val="Policedetableau"/>
              <w:widowControl w:val="0"/>
            </w:pPr>
            <w:r w:rsidRPr="00DA6489">
              <w:t xml:space="preserve">- </w:t>
            </w:r>
            <w:r w:rsidR="00520523" w:rsidRPr="007632B6">
              <w:t>utiliser des bobines de fil machine vibrante.</w:t>
            </w:r>
          </w:p>
        </w:tc>
        <w:tc>
          <w:tcPr>
            <w:tcW w:w="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F0685" w14:textId="77777777" w:rsidR="005C0576" w:rsidRPr="00DA6489" w:rsidRDefault="00F95481">
            <w:pPr>
              <w:pStyle w:val="Policedetableau"/>
              <w:widowControl w:val="0"/>
            </w:pPr>
            <w:r w:rsidRPr="00DA6489">
              <w:t>Applicable d’une manière générale. </w:t>
            </w:r>
          </w:p>
        </w:tc>
      </w:tr>
      <w:tr w:rsidR="005C0576" w:rsidRPr="00DA6489" w14:paraId="6DDFD576"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F8345" w14:textId="77777777" w:rsidR="005C0576" w:rsidRPr="00DA6489" w:rsidRDefault="00532953">
            <w:pPr>
              <w:pStyle w:val="Policedetableau"/>
              <w:widowControl w:val="0"/>
            </w:pPr>
            <w:r w:rsidRPr="00DA6489">
              <w:t>7</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BADFC" w14:textId="77777777" w:rsidR="005C0576" w:rsidRPr="00DA6489" w:rsidRDefault="00520523">
            <w:pPr>
              <w:pStyle w:val="Policedetableau"/>
              <w:widowControl w:val="0"/>
            </w:pPr>
            <w:r w:rsidRPr="00DA6489">
              <w:t>Décapage par turbulence</w:t>
            </w:r>
          </w:p>
        </w:tc>
        <w:tc>
          <w:tcPr>
            <w:tcW w:w="3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E4DB2" w14:textId="6C9A422E" w:rsidR="005C0576" w:rsidRPr="00DA6489" w:rsidRDefault="00520523">
            <w:pPr>
              <w:pStyle w:val="Policedetableau"/>
              <w:widowControl w:val="0"/>
            </w:pPr>
            <w:r w:rsidRPr="00DA6489">
              <w:t xml:space="preserve">Il s’agit notamment des techniques </w:t>
            </w:r>
            <w:r w:rsidR="00813109" w:rsidRPr="00DA6489">
              <w:t>suivantes :</w:t>
            </w:r>
          </w:p>
          <w:p w14:paraId="71F7ABDC" w14:textId="74E9C835" w:rsidR="005C0576" w:rsidRPr="00DA6489" w:rsidRDefault="001717E2">
            <w:pPr>
              <w:pStyle w:val="Policedetableau"/>
              <w:widowControl w:val="0"/>
            </w:pPr>
            <w:r w:rsidRPr="00DA6489">
              <w:t xml:space="preserve">- </w:t>
            </w:r>
            <w:r w:rsidR="00520523" w:rsidRPr="00DA6489">
              <w:t xml:space="preserve">injection de l’acide de décapage à haute pression au moyen de </w:t>
            </w:r>
            <w:r w:rsidR="00813109" w:rsidRPr="00DA6489">
              <w:t>buses ;</w:t>
            </w:r>
          </w:p>
          <w:p w14:paraId="458913FA" w14:textId="77777777" w:rsidR="005C0576" w:rsidRPr="00DA6489" w:rsidRDefault="001717E2">
            <w:pPr>
              <w:pStyle w:val="Policedetableau"/>
              <w:widowControl w:val="0"/>
            </w:pPr>
            <w:r w:rsidRPr="00DA6489">
              <w:t xml:space="preserve">- </w:t>
            </w:r>
            <w:r w:rsidR="00520523" w:rsidRPr="00DA6489">
              <w:t>agitation de l’acide de décapage à l’aide d’une turbine immergée.</w:t>
            </w:r>
          </w:p>
        </w:tc>
        <w:tc>
          <w:tcPr>
            <w:tcW w:w="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03DCE" w14:textId="77777777" w:rsidR="005C0576" w:rsidRPr="00DA6489" w:rsidRDefault="00520523">
            <w:pPr>
              <w:pStyle w:val="Policedetableau"/>
              <w:widowControl w:val="0"/>
            </w:pPr>
            <w:r w:rsidRPr="00DA6489">
              <w:t>L’applicabilité aux unités existantes peut être limitée par le manque d’espace.</w:t>
            </w:r>
          </w:p>
        </w:tc>
      </w:tr>
      <w:tr w:rsidR="005C0576" w:rsidRPr="00DA6489" w14:paraId="6DE4F41D"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CF09A" w14:textId="77777777" w:rsidR="005C0576" w:rsidRPr="00DA6489" w:rsidRDefault="00532953">
            <w:pPr>
              <w:pStyle w:val="Policedetableau"/>
              <w:widowControl w:val="0"/>
            </w:pPr>
            <w:r w:rsidRPr="00DA6489">
              <w:t>8</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70A9A" w14:textId="77777777" w:rsidR="005C0576" w:rsidRPr="00DA6489" w:rsidRDefault="00520523">
            <w:pPr>
              <w:pStyle w:val="Policedetableau"/>
              <w:widowControl w:val="0"/>
            </w:pPr>
            <w:r w:rsidRPr="00DA6489">
              <w:t>Utilisation d’inhibiteurs de décapage</w:t>
            </w:r>
          </w:p>
        </w:tc>
        <w:tc>
          <w:tcPr>
            <w:tcW w:w="3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E9ACC" w14:textId="77777777" w:rsidR="005C0576" w:rsidRPr="00DA6489" w:rsidRDefault="00520523">
            <w:pPr>
              <w:pStyle w:val="Policedetableau"/>
              <w:widowControl w:val="0"/>
            </w:pPr>
            <w:r w:rsidRPr="00DA6489">
              <w:t>Des inhibiteurs de décapage sont ajoutés à l’acide de décapage pour protéger les parties non oxydées de la matière entrante contre un décapage excessif.</w:t>
            </w:r>
          </w:p>
        </w:tc>
        <w:tc>
          <w:tcPr>
            <w:tcW w:w="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570D4" w14:textId="77777777" w:rsidR="005C0576" w:rsidRPr="00DA6489" w:rsidRDefault="00520523">
            <w:pPr>
              <w:pStyle w:val="Policedetableau"/>
              <w:widowControl w:val="0"/>
            </w:pPr>
            <w:r w:rsidRPr="00DA6489">
              <w:t xml:space="preserve">Non applicable à l’acier hautement allié. </w:t>
            </w:r>
          </w:p>
          <w:p w14:paraId="3A26645C" w14:textId="77777777" w:rsidR="005C0576" w:rsidRPr="00DA6489" w:rsidRDefault="00520523">
            <w:pPr>
              <w:pStyle w:val="Policedetableau"/>
              <w:widowControl w:val="0"/>
            </w:pPr>
            <w:r w:rsidRPr="00DA6489">
              <w:t>L’applicabilité peut être limitée en raison des spécifications du produit.</w:t>
            </w:r>
          </w:p>
        </w:tc>
      </w:tr>
      <w:tr w:rsidR="005C0576" w:rsidRPr="00DA6489" w14:paraId="71AD17F5"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5DC73" w14:textId="77777777" w:rsidR="005C0576" w:rsidRPr="00DA6489" w:rsidRDefault="00532953">
            <w:pPr>
              <w:pStyle w:val="Policedetableau"/>
              <w:widowControl w:val="0"/>
            </w:pPr>
            <w:r w:rsidRPr="00DA6489">
              <w:t>9</w:t>
            </w:r>
          </w:p>
        </w:tc>
        <w:tc>
          <w:tcPr>
            <w:tcW w:w="1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6C812" w14:textId="77777777" w:rsidR="005C0576" w:rsidRPr="00DA6489" w:rsidRDefault="00520523">
            <w:pPr>
              <w:pStyle w:val="Policedetableau"/>
              <w:widowControl w:val="0"/>
            </w:pPr>
            <w:r w:rsidRPr="00DA6489">
              <w:t>Décapage activé lors d’un décapage à l’acide chlorhydrique</w:t>
            </w:r>
          </w:p>
        </w:tc>
        <w:tc>
          <w:tcPr>
            <w:tcW w:w="3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63F65" w14:textId="47B28FDE" w:rsidR="005C0576" w:rsidRPr="00DA6489" w:rsidRDefault="00520523">
            <w:pPr>
              <w:pStyle w:val="Policedetableau"/>
              <w:widowControl w:val="0"/>
            </w:pPr>
            <w:r w:rsidRPr="00DA6489">
              <w:t>Le décapage s’effectue avec une faible concentration d’acide chlorhydrique (environ 4 à 6 % en poids dans le bain) et une forte concentration de fer (environ 120 à 180 g/</w:t>
            </w:r>
            <w:r w:rsidR="00813109" w:rsidRPr="00DA6489">
              <w:t>L</w:t>
            </w:r>
            <w:r w:rsidRPr="00DA6489">
              <w:t>) à une température comprise entre 20 et 25 °C.</w:t>
            </w:r>
          </w:p>
        </w:tc>
        <w:tc>
          <w:tcPr>
            <w:tcW w:w="27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ACBE6" w14:textId="77777777" w:rsidR="005C0576" w:rsidRPr="00DA6489" w:rsidRDefault="00F95481">
            <w:pPr>
              <w:pStyle w:val="Policedetableau"/>
              <w:widowControl w:val="0"/>
            </w:pPr>
            <w:r w:rsidRPr="00DA6489">
              <w:t>Applicable d’une manière générale. </w:t>
            </w:r>
          </w:p>
        </w:tc>
      </w:tr>
    </w:tbl>
    <w:p w14:paraId="187D174E" w14:textId="2845FFCE" w:rsidR="005C0576" w:rsidRPr="00DA6489" w:rsidRDefault="00480A74" w:rsidP="004E323C">
      <w:pPr>
        <w:pStyle w:val="Titre30"/>
        <w:ind w:firstLine="708"/>
      </w:pPr>
      <w:r w:rsidRPr="00DA6489">
        <w:t xml:space="preserve">2.8.5. </w:t>
      </w:r>
      <w:r w:rsidR="00813109" w:rsidRPr="00DA6489">
        <w:t>Utilisation rationnelle des matières</w:t>
      </w:r>
      <w:r w:rsidR="00813109" w:rsidRPr="00DA6489" w:rsidDel="00E240A4">
        <w:t xml:space="preserve"> </w:t>
      </w:r>
      <w:r w:rsidR="00813109" w:rsidRPr="00DA6489">
        <w:t>lors</w:t>
      </w:r>
      <w:r w:rsidR="00520523" w:rsidRPr="00DA6489">
        <w:t xml:space="preserve"> du fluxage</w:t>
      </w:r>
    </w:p>
    <w:p w14:paraId="11F3C436" w14:textId="77777777" w:rsidR="005C0576" w:rsidRPr="00DA6489" w:rsidRDefault="00520523">
      <w:r w:rsidRPr="00DA6489">
        <w:t>L’exploitant utilise les matières de façon ra</w:t>
      </w:r>
      <w:r w:rsidR="00B76F75" w:rsidRPr="00DA6489">
        <w:t>isonnée</w:t>
      </w:r>
      <w:r w:rsidRPr="00DA6489">
        <w:t xml:space="preserve"> lors du fluxage et réduit la quantité de solution</w:t>
      </w:r>
      <w:r w:rsidR="00C060D3" w:rsidRPr="00DA6489">
        <w:t>s</w:t>
      </w:r>
      <w:r w:rsidRPr="00DA6489">
        <w:t xml:space="preserve"> de fluxage usée</w:t>
      </w:r>
      <w:r w:rsidR="00C060D3" w:rsidRPr="00DA6489">
        <w:t>s</w:t>
      </w:r>
      <w:r w:rsidRPr="00DA6489">
        <w:t xml:space="preserve"> à éliminer en appliquant l’ensemble des techniques a), b) et c), en combinaison avec la technique d) ou avec la technique e) indiqué</w:t>
      </w:r>
      <w:r w:rsidR="00CE27C4" w:rsidRPr="00DA6489">
        <w:t>e</w:t>
      </w:r>
      <w:r w:rsidRPr="00DA6489">
        <w:t>s ci-dessous.</w:t>
      </w:r>
    </w:p>
    <w:tbl>
      <w:tblPr>
        <w:tblW w:w="4900" w:type="pct"/>
        <w:tblLayout w:type="fixed"/>
        <w:tblLook w:val="01E0" w:firstRow="1" w:lastRow="1" w:firstColumn="1" w:lastColumn="1" w:noHBand="0" w:noVBand="0"/>
      </w:tblPr>
      <w:tblGrid>
        <w:gridCol w:w="369"/>
        <w:gridCol w:w="2223"/>
        <w:gridCol w:w="3821"/>
        <w:gridCol w:w="1911"/>
      </w:tblGrid>
      <w:tr w:rsidR="005C0576" w:rsidRPr="00DA6489" w14:paraId="79555913" w14:textId="77777777">
        <w:tc>
          <w:tcPr>
            <w:tcW w:w="2594" w:type="dxa"/>
            <w:gridSpan w:val="2"/>
            <w:tcBorders>
              <w:top w:val="single" w:sz="4" w:space="0" w:color="000000"/>
              <w:left w:val="single" w:sz="4" w:space="0" w:color="000000"/>
              <w:bottom w:val="single" w:sz="4" w:space="0" w:color="000000"/>
              <w:right w:val="single" w:sz="4" w:space="0" w:color="000000"/>
            </w:tcBorders>
            <w:shd w:val="clear" w:color="auto" w:fill="auto"/>
          </w:tcPr>
          <w:p w14:paraId="4FBAF9EC" w14:textId="77777777" w:rsidR="005C0576" w:rsidRPr="00DA6489" w:rsidRDefault="00520523">
            <w:pPr>
              <w:pStyle w:val="Policedetableau"/>
              <w:widowControl w:val="0"/>
              <w:rPr>
                <w:b/>
              </w:rPr>
            </w:pPr>
            <w:r w:rsidRPr="00DA6489">
              <w:rPr>
                <w:b/>
              </w:rPr>
              <w:t>Technique</w:t>
            </w:r>
          </w:p>
        </w:tc>
        <w:tc>
          <w:tcPr>
            <w:tcW w:w="3825" w:type="dxa"/>
            <w:tcBorders>
              <w:top w:val="single" w:sz="4" w:space="0" w:color="000000"/>
              <w:left w:val="single" w:sz="4" w:space="0" w:color="000000"/>
              <w:bottom w:val="single" w:sz="4" w:space="0" w:color="000000"/>
              <w:right w:val="single" w:sz="4" w:space="0" w:color="000000"/>
            </w:tcBorders>
            <w:shd w:val="clear" w:color="auto" w:fill="auto"/>
          </w:tcPr>
          <w:p w14:paraId="5312B650" w14:textId="77777777" w:rsidR="005C0576" w:rsidRPr="00DA6489" w:rsidRDefault="00520523">
            <w:pPr>
              <w:pStyle w:val="Policedetableau"/>
              <w:widowControl w:val="0"/>
              <w:rPr>
                <w:b/>
              </w:rPr>
            </w:pPr>
            <w:r w:rsidRPr="00DA6489">
              <w:rPr>
                <w:b/>
              </w:rPr>
              <w:t>Description</w:t>
            </w:r>
          </w:p>
        </w:tc>
        <w:tc>
          <w:tcPr>
            <w:tcW w:w="1913" w:type="dxa"/>
            <w:tcBorders>
              <w:top w:val="single" w:sz="4" w:space="0" w:color="000000"/>
              <w:left w:val="single" w:sz="4" w:space="0" w:color="000000"/>
              <w:bottom w:val="single" w:sz="4" w:space="0" w:color="000000"/>
              <w:right w:val="single" w:sz="4" w:space="0" w:color="000000"/>
            </w:tcBorders>
          </w:tcPr>
          <w:p w14:paraId="0FE90444" w14:textId="77777777" w:rsidR="005C0576" w:rsidRPr="00DA6489" w:rsidRDefault="00520523">
            <w:pPr>
              <w:pStyle w:val="Policedetableau"/>
              <w:widowControl w:val="0"/>
              <w:rPr>
                <w:b/>
              </w:rPr>
            </w:pPr>
            <w:r w:rsidRPr="00DA6489">
              <w:rPr>
                <w:b/>
              </w:rPr>
              <w:t>Applicabilité</w:t>
            </w:r>
          </w:p>
        </w:tc>
      </w:tr>
      <w:tr w:rsidR="005C0576" w:rsidRPr="00DA6489" w14:paraId="66CDE29D" w14:textId="77777777">
        <w:tc>
          <w:tcPr>
            <w:tcW w:w="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72CD4" w14:textId="77777777" w:rsidR="005C0576" w:rsidRPr="00DA6489" w:rsidRDefault="00520523">
            <w:pPr>
              <w:pStyle w:val="Policedetableau"/>
              <w:widowControl w:val="0"/>
            </w:pPr>
            <w:proofErr w:type="gramStart"/>
            <w:r w:rsidRPr="00DA6489">
              <w:lastRenderedPageBreak/>
              <w:t>a</w:t>
            </w:r>
            <w:proofErr w:type="gramEnd"/>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FB5D3" w14:textId="77777777" w:rsidR="005C0576" w:rsidRPr="00DA6489" w:rsidRDefault="00520523">
            <w:pPr>
              <w:pStyle w:val="Policedetableau"/>
              <w:widowControl w:val="0"/>
            </w:pPr>
            <w:r w:rsidRPr="00DA6489">
              <w:t>Rinçage des pièces après le décapage</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F66AC" w14:textId="77777777" w:rsidR="005C0576" w:rsidRPr="00DA6489" w:rsidRDefault="00520523">
            <w:pPr>
              <w:pStyle w:val="Policedetableau"/>
              <w:widowControl w:val="0"/>
            </w:pPr>
            <w:r w:rsidRPr="00DA6489">
              <w:t>Lors de la galvanisation discontinue, le rinçage des pièces après le décapage permet de limiter l’entraînement du fer dans la solution de fluxage.</w:t>
            </w:r>
          </w:p>
        </w:tc>
        <w:tc>
          <w:tcPr>
            <w:tcW w:w="1913" w:type="dxa"/>
            <w:tcBorders>
              <w:top w:val="single" w:sz="4" w:space="0" w:color="000000"/>
              <w:left w:val="single" w:sz="4" w:space="0" w:color="000000"/>
              <w:bottom w:val="single" w:sz="4" w:space="0" w:color="000000"/>
              <w:right w:val="single" w:sz="4" w:space="0" w:color="000000"/>
            </w:tcBorders>
            <w:vAlign w:val="center"/>
          </w:tcPr>
          <w:p w14:paraId="1E52BA9D" w14:textId="77777777" w:rsidR="005C0576" w:rsidRPr="00DA6489" w:rsidRDefault="00520523">
            <w:pPr>
              <w:pStyle w:val="Policedetableau"/>
              <w:widowControl w:val="0"/>
            </w:pPr>
            <w:r w:rsidRPr="00DA6489">
              <w:t>L’applicabilité aux unités existantes peut être limitée par le manque d’espace.</w:t>
            </w:r>
          </w:p>
        </w:tc>
      </w:tr>
      <w:tr w:rsidR="005C0576" w:rsidRPr="00DA6489" w14:paraId="650EDE9A" w14:textId="77777777">
        <w:tc>
          <w:tcPr>
            <w:tcW w:w="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B891D" w14:textId="77777777" w:rsidR="005C0576" w:rsidRPr="00DA6489" w:rsidRDefault="00520523">
            <w:pPr>
              <w:pStyle w:val="Policedetableau"/>
              <w:widowControl w:val="0"/>
            </w:pPr>
            <w:proofErr w:type="gramStart"/>
            <w:r w:rsidRPr="00DA6489">
              <w:t>b</w:t>
            </w:r>
            <w:proofErr w:type="gramEnd"/>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7DC7A" w14:textId="77777777" w:rsidR="005C0576" w:rsidRPr="00DA6489" w:rsidRDefault="00520523">
            <w:pPr>
              <w:pStyle w:val="Policedetableau"/>
              <w:widowControl w:val="0"/>
            </w:pPr>
            <w:r w:rsidRPr="00DA6489">
              <w:t>Optimisation du fluxage</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E1FDFA" w14:textId="77777777" w:rsidR="005C0576" w:rsidRPr="00DA6489" w:rsidRDefault="00520523">
            <w:pPr>
              <w:pStyle w:val="Policedetableau"/>
              <w:widowControl w:val="0"/>
            </w:pPr>
            <w:r w:rsidRPr="00DA6489">
              <w:t>La composition chimique de la solution de fluxage est contrôlée et ajustée fréquemment.</w:t>
            </w:r>
          </w:p>
          <w:p w14:paraId="18D92881" w14:textId="77777777" w:rsidR="005C0576" w:rsidRPr="00DA6489" w:rsidRDefault="00520523">
            <w:pPr>
              <w:pStyle w:val="Policedetableau"/>
              <w:widowControl w:val="0"/>
            </w:pPr>
            <w:r w:rsidRPr="00DA6489">
              <w:t>La quantité d’agent</w:t>
            </w:r>
            <w:r w:rsidR="00C060D3" w:rsidRPr="00DA6489">
              <w:t>s</w:t>
            </w:r>
            <w:r w:rsidRPr="00DA6489">
              <w:t xml:space="preserve"> de fluxage utilisée est réduite au niveau minimal requis pour atteindre les spécifications du produit.</w:t>
            </w:r>
          </w:p>
        </w:tc>
        <w:tc>
          <w:tcPr>
            <w:tcW w:w="1913" w:type="dxa"/>
            <w:tcBorders>
              <w:top w:val="single" w:sz="4" w:space="0" w:color="000000"/>
              <w:left w:val="single" w:sz="4" w:space="0" w:color="000000"/>
              <w:bottom w:val="single" w:sz="4" w:space="0" w:color="000000"/>
              <w:right w:val="single" w:sz="4" w:space="0" w:color="000000"/>
            </w:tcBorders>
            <w:vAlign w:val="center"/>
          </w:tcPr>
          <w:p w14:paraId="5DF397AE" w14:textId="77777777" w:rsidR="005C0576" w:rsidRPr="00DA6489" w:rsidRDefault="00F95481">
            <w:pPr>
              <w:pStyle w:val="Policedetableau"/>
              <w:widowControl w:val="0"/>
            </w:pPr>
            <w:r w:rsidRPr="00DA6489">
              <w:t>Applicable d’une manière générale. </w:t>
            </w:r>
          </w:p>
        </w:tc>
      </w:tr>
      <w:tr w:rsidR="005C0576" w:rsidRPr="00DA6489" w14:paraId="2D075FE1" w14:textId="77777777">
        <w:trPr>
          <w:trHeight w:val="593"/>
        </w:trPr>
        <w:tc>
          <w:tcPr>
            <w:tcW w:w="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EA579" w14:textId="77777777" w:rsidR="005C0576" w:rsidRPr="00DA6489" w:rsidRDefault="00520523">
            <w:pPr>
              <w:pStyle w:val="Policedetableau"/>
              <w:widowControl w:val="0"/>
            </w:pPr>
            <w:proofErr w:type="gramStart"/>
            <w:r w:rsidRPr="00DA6489">
              <w:t>c</w:t>
            </w:r>
            <w:proofErr w:type="gramEnd"/>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EB92C" w14:textId="77777777" w:rsidR="005C0576" w:rsidRPr="00DA6489" w:rsidRDefault="00520523">
            <w:pPr>
              <w:pStyle w:val="Policedetableau"/>
              <w:widowControl w:val="0"/>
            </w:pPr>
            <w:r w:rsidRPr="00DA6489">
              <w:t>Minimisation de l’entraînement de la solution de fluxage</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298E3" w14:textId="77777777" w:rsidR="005C0576" w:rsidRPr="00DA6489" w:rsidRDefault="00520523">
            <w:pPr>
              <w:pStyle w:val="Policedetableau"/>
              <w:widowControl w:val="0"/>
            </w:pPr>
            <w:r w:rsidRPr="00DA6489">
              <w:t>L’entraînement de la solution de fluxage est réduit au minimum en prévoyant suffisamment de temps pour que celle-ci s’égoutte.</w:t>
            </w:r>
          </w:p>
        </w:tc>
        <w:tc>
          <w:tcPr>
            <w:tcW w:w="1913" w:type="dxa"/>
            <w:tcBorders>
              <w:top w:val="single" w:sz="4" w:space="0" w:color="000000"/>
              <w:left w:val="single" w:sz="4" w:space="0" w:color="000000"/>
              <w:bottom w:val="single" w:sz="4" w:space="0" w:color="000000"/>
              <w:right w:val="single" w:sz="4" w:space="0" w:color="000000"/>
            </w:tcBorders>
            <w:vAlign w:val="center"/>
          </w:tcPr>
          <w:p w14:paraId="1F201662" w14:textId="77777777" w:rsidR="005C0576" w:rsidRPr="00DA6489" w:rsidRDefault="00F95481">
            <w:pPr>
              <w:pStyle w:val="Policedetableau"/>
              <w:widowControl w:val="0"/>
            </w:pPr>
            <w:r w:rsidRPr="00DA6489">
              <w:t>Applicable d’une manière générale. </w:t>
            </w:r>
          </w:p>
        </w:tc>
      </w:tr>
      <w:tr w:rsidR="005C0576" w:rsidRPr="00DA6489" w14:paraId="4786EC8A" w14:textId="77777777">
        <w:tc>
          <w:tcPr>
            <w:tcW w:w="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61003" w14:textId="77777777" w:rsidR="005C0576" w:rsidRPr="00DA6489" w:rsidRDefault="00520523">
            <w:pPr>
              <w:pStyle w:val="Policedetableau"/>
              <w:widowControl w:val="0"/>
            </w:pPr>
            <w:proofErr w:type="gramStart"/>
            <w:r w:rsidRPr="00DA6489">
              <w:t>d</w:t>
            </w:r>
            <w:proofErr w:type="gramEnd"/>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0EB54" w14:textId="77777777" w:rsidR="005C0576" w:rsidRPr="00DA6489" w:rsidRDefault="00520523">
            <w:pPr>
              <w:pStyle w:val="Policedetableau"/>
              <w:widowControl w:val="0"/>
            </w:pPr>
            <w:r w:rsidRPr="00DA6489">
              <w:t>Élimination du fer et réutilisation de la solution de fluxage</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0BDBF" w14:textId="77777777" w:rsidR="005C0576" w:rsidRPr="00DA6489" w:rsidRDefault="00520523">
            <w:pPr>
              <w:pStyle w:val="Policedetableau"/>
              <w:widowControl w:val="0"/>
            </w:pPr>
            <w:r w:rsidRPr="00DA6489">
              <w:t>Le fer est éliminé de la solution de fluxage au moyen d’une des techniques suivantes :</w:t>
            </w:r>
          </w:p>
          <w:p w14:paraId="7DDC261E" w14:textId="041AF2D3" w:rsidR="005C0576" w:rsidRPr="00DA6489" w:rsidRDefault="001717E2">
            <w:pPr>
              <w:pStyle w:val="Policedetableau"/>
              <w:widowControl w:val="0"/>
            </w:pPr>
            <w:r w:rsidRPr="00DA6489">
              <w:t xml:space="preserve">- </w:t>
            </w:r>
            <w:r w:rsidR="00813109" w:rsidRPr="00DA6489">
              <w:t xml:space="preserve">oxydation </w:t>
            </w:r>
            <w:r w:rsidR="00520523" w:rsidRPr="00DA6489">
              <w:t>électrolytique</w:t>
            </w:r>
            <w:r w:rsidR="000E38AC" w:rsidRPr="00DA6489">
              <w:t xml:space="preserve"> </w:t>
            </w:r>
            <w:r w:rsidR="00520523" w:rsidRPr="00DA6489">
              <w:t>;</w:t>
            </w:r>
          </w:p>
          <w:p w14:paraId="01AF5605" w14:textId="3C6B55AB" w:rsidR="005C0576" w:rsidRPr="00DA6489" w:rsidRDefault="001717E2">
            <w:pPr>
              <w:pStyle w:val="Policedetableau"/>
              <w:widowControl w:val="0"/>
            </w:pPr>
            <w:r w:rsidRPr="00DA6489">
              <w:t xml:space="preserve">- </w:t>
            </w:r>
            <w:r w:rsidR="00813109" w:rsidRPr="00DA6489">
              <w:t xml:space="preserve">oxydation </w:t>
            </w:r>
            <w:r w:rsidR="00520523" w:rsidRPr="00DA6489">
              <w:t>en utilisant de l’air ou de l’H</w:t>
            </w:r>
            <w:r w:rsidR="00520523" w:rsidRPr="00DA6489">
              <w:rPr>
                <w:vertAlign w:val="subscript"/>
              </w:rPr>
              <w:t>2</w:t>
            </w:r>
            <w:r w:rsidR="00520523" w:rsidRPr="00DA6489">
              <w:t>O</w:t>
            </w:r>
            <w:r w:rsidR="00520523" w:rsidRPr="00DA6489">
              <w:rPr>
                <w:vertAlign w:val="subscript"/>
              </w:rPr>
              <w:t>2</w:t>
            </w:r>
            <w:r w:rsidR="000E38AC" w:rsidRPr="00DA6489">
              <w:rPr>
                <w:vertAlign w:val="subscript"/>
              </w:rPr>
              <w:t xml:space="preserve"> </w:t>
            </w:r>
            <w:r w:rsidR="00520523" w:rsidRPr="00DA6489">
              <w:t>;</w:t>
            </w:r>
          </w:p>
          <w:p w14:paraId="3E83C0E1" w14:textId="77777777" w:rsidR="005C0576" w:rsidRPr="00DA6489" w:rsidRDefault="001717E2">
            <w:pPr>
              <w:pStyle w:val="Policedetableau"/>
              <w:widowControl w:val="0"/>
            </w:pPr>
            <w:r w:rsidRPr="00DA6489">
              <w:t xml:space="preserve">- </w:t>
            </w:r>
            <w:r w:rsidR="00520523" w:rsidRPr="00DA6489">
              <w:t xml:space="preserve">par </w:t>
            </w:r>
            <w:r w:rsidR="00480A74" w:rsidRPr="00DA6489">
              <w:t xml:space="preserve">résines </w:t>
            </w:r>
            <w:r w:rsidR="00520523" w:rsidRPr="00DA6489">
              <w:t>échange</w:t>
            </w:r>
            <w:r w:rsidR="00480A74" w:rsidRPr="00DA6489">
              <w:t>uses</w:t>
            </w:r>
            <w:r w:rsidR="00520523" w:rsidRPr="00DA6489">
              <w:t xml:space="preserve"> d’ions.</w:t>
            </w:r>
          </w:p>
          <w:p w14:paraId="5F8B4105" w14:textId="77777777" w:rsidR="005C0576" w:rsidRPr="00DA6489" w:rsidRDefault="00520523">
            <w:pPr>
              <w:pStyle w:val="Policedetableau"/>
              <w:widowControl w:val="0"/>
            </w:pPr>
            <w:r w:rsidRPr="00DA6489">
              <w:t>Une fois le fer éliminé, la solution de fluxage est réutilisée.</w:t>
            </w:r>
          </w:p>
        </w:tc>
        <w:tc>
          <w:tcPr>
            <w:tcW w:w="1913" w:type="dxa"/>
            <w:tcBorders>
              <w:top w:val="single" w:sz="4" w:space="0" w:color="000000"/>
              <w:left w:val="single" w:sz="4" w:space="0" w:color="000000"/>
              <w:bottom w:val="single" w:sz="4" w:space="0" w:color="000000"/>
              <w:right w:val="single" w:sz="4" w:space="0" w:color="000000"/>
            </w:tcBorders>
            <w:vAlign w:val="center"/>
          </w:tcPr>
          <w:p w14:paraId="7C4A4005" w14:textId="77777777" w:rsidR="005C0576" w:rsidRPr="00DA6489" w:rsidRDefault="00520523">
            <w:pPr>
              <w:pStyle w:val="Policedetableau"/>
              <w:widowControl w:val="0"/>
            </w:pPr>
            <w:r w:rsidRPr="00DA6489">
              <w:t>L’applicabilité aux unités de galvanisation discontinue existantes peut être limitée par le manque d’espace.</w:t>
            </w:r>
          </w:p>
        </w:tc>
      </w:tr>
      <w:tr w:rsidR="005C0576" w:rsidRPr="00DA6489" w14:paraId="00858955" w14:textId="77777777">
        <w:tc>
          <w:tcPr>
            <w:tcW w:w="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D3331" w14:textId="77777777" w:rsidR="005C0576" w:rsidRPr="00DA6489" w:rsidRDefault="00520523">
            <w:pPr>
              <w:pStyle w:val="Policedetableau"/>
              <w:widowControl w:val="0"/>
            </w:pPr>
            <w:proofErr w:type="gramStart"/>
            <w:r w:rsidRPr="00DA6489">
              <w:t>e</w:t>
            </w:r>
            <w:proofErr w:type="gramEnd"/>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19619" w14:textId="77777777" w:rsidR="005C0576" w:rsidRPr="00DA6489" w:rsidRDefault="00520523">
            <w:pPr>
              <w:pStyle w:val="Policedetableau"/>
              <w:widowControl w:val="0"/>
            </w:pPr>
            <w:r w:rsidRPr="00DA6489">
              <w:t>Récupération des sels de la solution de fluxage usée pour la production d’agents de fluxage</w:t>
            </w:r>
          </w:p>
        </w:tc>
        <w:tc>
          <w:tcPr>
            <w:tcW w:w="38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818DF" w14:textId="77777777" w:rsidR="005C0576" w:rsidRPr="00DA6489" w:rsidRDefault="00520523">
            <w:pPr>
              <w:pStyle w:val="Policedetableau"/>
              <w:widowControl w:val="0"/>
            </w:pPr>
            <w:r w:rsidRPr="00DA6489">
              <w:t>Les sels contenus dans la solution de fluxage usée sont récupérés afin de produire des agents de fluxage. Cette opération peut être réalisée sur site ou hors site.</w:t>
            </w:r>
          </w:p>
        </w:tc>
        <w:tc>
          <w:tcPr>
            <w:tcW w:w="1913" w:type="dxa"/>
            <w:tcBorders>
              <w:top w:val="single" w:sz="4" w:space="0" w:color="000000"/>
              <w:left w:val="single" w:sz="4" w:space="0" w:color="000000"/>
              <w:bottom w:val="single" w:sz="4" w:space="0" w:color="000000"/>
              <w:right w:val="single" w:sz="4" w:space="0" w:color="000000"/>
            </w:tcBorders>
            <w:vAlign w:val="center"/>
          </w:tcPr>
          <w:p w14:paraId="199EEA0C" w14:textId="77777777" w:rsidR="005C0576" w:rsidRPr="00DA6489" w:rsidRDefault="00520523">
            <w:pPr>
              <w:pStyle w:val="Policedetableau"/>
              <w:widowControl w:val="0"/>
            </w:pPr>
            <w:r w:rsidRPr="00DA6489">
              <w:t>L’applicabilité peut être limitée, en fonction de l’existence ou non de débouchés commerciaux.</w:t>
            </w:r>
          </w:p>
        </w:tc>
      </w:tr>
    </w:tbl>
    <w:p w14:paraId="1DF2337C" w14:textId="7CC243CE" w:rsidR="005C0576" w:rsidRPr="00DA6489" w:rsidRDefault="00480A74" w:rsidP="004E323C">
      <w:pPr>
        <w:pStyle w:val="Titre30"/>
        <w:ind w:firstLine="708"/>
      </w:pPr>
      <w:r w:rsidRPr="00DA6489">
        <w:t>2.8.6.</w:t>
      </w:r>
      <w:r w:rsidR="00520523" w:rsidRPr="00DA6489">
        <w:t xml:space="preserve"> </w:t>
      </w:r>
      <w:r w:rsidR="00813109" w:rsidRPr="00DA6489">
        <w:t>Utilisation rationnelle des matières</w:t>
      </w:r>
      <w:r w:rsidR="00813109" w:rsidRPr="00DA6489" w:rsidDel="00E240A4">
        <w:t xml:space="preserve"> </w:t>
      </w:r>
      <w:r w:rsidR="00813109" w:rsidRPr="00DA6489">
        <w:t>lors</w:t>
      </w:r>
      <w:r w:rsidR="00520523" w:rsidRPr="00DA6489">
        <w:t xml:space="preserve"> du trempage à chaud </w:t>
      </w:r>
    </w:p>
    <w:p w14:paraId="6FADD8F6" w14:textId="77777777" w:rsidR="005C0576" w:rsidRPr="00DA6489" w:rsidRDefault="00520523">
      <w:r w:rsidRPr="00DA6489">
        <w:t>L’exploitant utilise les matières de façon rationnelle</w:t>
      </w:r>
      <w:r w:rsidR="00F53675" w:rsidRPr="00DA6489">
        <w:t xml:space="preserve"> </w:t>
      </w:r>
      <w:r w:rsidRPr="00DA6489">
        <w:t>lors de l'étape de trempage à chaud et réduit la production de déchets en appliquant toutes les techniques indiquées ci-dessous.</w:t>
      </w:r>
    </w:p>
    <w:tbl>
      <w:tblPr>
        <w:tblW w:w="8500" w:type="dxa"/>
        <w:jc w:val="center"/>
        <w:tblLayout w:type="fixed"/>
        <w:tblLook w:val="01E0" w:firstRow="1" w:lastRow="1" w:firstColumn="1" w:lastColumn="1" w:noHBand="0" w:noVBand="0"/>
      </w:tblPr>
      <w:tblGrid>
        <w:gridCol w:w="326"/>
        <w:gridCol w:w="47"/>
        <w:gridCol w:w="2412"/>
        <w:gridCol w:w="45"/>
        <w:gridCol w:w="5670"/>
      </w:tblGrid>
      <w:tr w:rsidR="005C0576" w:rsidRPr="00DA6489" w14:paraId="60EE60FE" w14:textId="77777777" w:rsidTr="00480A74">
        <w:trPr>
          <w:jc w:val="center"/>
        </w:trPr>
        <w:tc>
          <w:tcPr>
            <w:tcW w:w="2785" w:type="dxa"/>
            <w:gridSpan w:val="3"/>
            <w:tcBorders>
              <w:top w:val="single" w:sz="4" w:space="0" w:color="000000"/>
              <w:left w:val="single" w:sz="4" w:space="0" w:color="000000"/>
              <w:bottom w:val="single" w:sz="4" w:space="0" w:color="000000"/>
              <w:right w:val="single" w:sz="4" w:space="0" w:color="000000"/>
            </w:tcBorders>
            <w:shd w:val="clear" w:color="auto" w:fill="auto"/>
          </w:tcPr>
          <w:p w14:paraId="7B69548E" w14:textId="77777777" w:rsidR="005C0576" w:rsidRPr="00DA6489" w:rsidRDefault="00520523">
            <w:pPr>
              <w:pStyle w:val="Policedetableau"/>
              <w:widowControl w:val="0"/>
              <w:rPr>
                <w:b/>
              </w:rPr>
            </w:pPr>
            <w:r w:rsidRPr="00DA6489">
              <w:rPr>
                <w:b/>
              </w:rPr>
              <w:t>Technique</w:t>
            </w:r>
          </w:p>
        </w:tc>
        <w:tc>
          <w:tcPr>
            <w:tcW w:w="5710" w:type="dxa"/>
            <w:gridSpan w:val="2"/>
            <w:tcBorders>
              <w:top w:val="single" w:sz="4" w:space="0" w:color="000000"/>
              <w:left w:val="single" w:sz="4" w:space="0" w:color="000000"/>
              <w:bottom w:val="single" w:sz="4" w:space="0" w:color="000000"/>
              <w:right w:val="single" w:sz="4" w:space="0" w:color="000000"/>
            </w:tcBorders>
            <w:shd w:val="clear" w:color="auto" w:fill="auto"/>
          </w:tcPr>
          <w:p w14:paraId="12DDC57F" w14:textId="77777777" w:rsidR="005C0576" w:rsidRPr="00DA6489" w:rsidRDefault="00520523">
            <w:pPr>
              <w:pStyle w:val="Policedetableau"/>
              <w:widowControl w:val="0"/>
              <w:rPr>
                <w:b/>
              </w:rPr>
            </w:pPr>
            <w:r w:rsidRPr="00DA6489">
              <w:rPr>
                <w:b/>
              </w:rPr>
              <w:t>Description</w:t>
            </w:r>
          </w:p>
        </w:tc>
      </w:tr>
      <w:tr w:rsidR="005C0576" w:rsidRPr="00DA6489" w14:paraId="48B8DA3D" w14:textId="77777777" w:rsidTr="00480A74">
        <w:trPr>
          <w:jc w:val="center"/>
        </w:trPr>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BD188" w14:textId="77777777" w:rsidR="005C0576" w:rsidRPr="00DA6489" w:rsidRDefault="00520523">
            <w:pPr>
              <w:pStyle w:val="Policedetableau"/>
              <w:widowControl w:val="0"/>
            </w:pPr>
            <w:proofErr w:type="gramStart"/>
            <w:r w:rsidRPr="00DA6489">
              <w:t>a</w:t>
            </w:r>
            <w:proofErr w:type="gramEnd"/>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721F67" w14:textId="77777777" w:rsidR="005C0576" w:rsidRPr="00DA6489" w:rsidRDefault="00520523">
            <w:pPr>
              <w:pStyle w:val="Policedetableau"/>
              <w:widowControl w:val="0"/>
            </w:pPr>
            <w:r w:rsidRPr="00DA6489">
              <w:t>Réduction de la production de mattes de fond</w:t>
            </w:r>
          </w:p>
        </w:tc>
        <w:tc>
          <w:tcPr>
            <w:tcW w:w="5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2B99D1" w14:textId="64DBF8C2" w:rsidR="005C0576" w:rsidRPr="00DA6489" w:rsidRDefault="00520523">
            <w:pPr>
              <w:pStyle w:val="Policedetableau"/>
              <w:widowControl w:val="0"/>
            </w:pPr>
            <w:r w:rsidRPr="00DA6489">
              <w:t xml:space="preserve">La production de mattes de fond est réduite, par exemple en effectuant un rinçage suffisant après le décapage, en éliminant le fer de la solution de fluxage </w:t>
            </w:r>
            <w:r w:rsidR="000E38AC" w:rsidRPr="00DA6489">
              <w:t>(</w:t>
            </w:r>
            <w:r w:rsidRPr="00DA6489">
              <w:t xml:space="preserve">voir le point </w:t>
            </w:r>
            <w:r w:rsidR="00813109" w:rsidRPr="00DA6489">
              <w:t xml:space="preserve">d du </w:t>
            </w:r>
            <w:r w:rsidRPr="00DA6489">
              <w:t>2.</w:t>
            </w:r>
            <w:r w:rsidR="00532953" w:rsidRPr="00DA6489">
              <w:t>8.5</w:t>
            </w:r>
            <w:r w:rsidR="000E38AC" w:rsidRPr="00DA6489">
              <w:t>.)</w:t>
            </w:r>
            <w:r w:rsidRPr="00DA6489">
              <w:t>, en utilisant des agents de fluxage à effet de décapage doux et en évitant une surchauffe locale dans la cuve de galvanisation.</w:t>
            </w:r>
          </w:p>
        </w:tc>
      </w:tr>
      <w:tr w:rsidR="005C0576" w:rsidRPr="00DA6489" w14:paraId="7CD9741D" w14:textId="77777777" w:rsidTr="00480A74">
        <w:trPr>
          <w:jc w:val="center"/>
        </w:trPr>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944E7" w14:textId="77777777" w:rsidR="005C0576" w:rsidRPr="00DA6489" w:rsidRDefault="00520523">
            <w:pPr>
              <w:pStyle w:val="Policedetableau"/>
              <w:widowControl w:val="0"/>
            </w:pPr>
            <w:proofErr w:type="gramStart"/>
            <w:r w:rsidRPr="00DA6489">
              <w:t>b</w:t>
            </w:r>
            <w:proofErr w:type="gramEnd"/>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F53D96" w14:textId="77777777" w:rsidR="005C0576" w:rsidRPr="00DA6489" w:rsidRDefault="00520523">
            <w:pPr>
              <w:pStyle w:val="Policedetableau"/>
              <w:widowControl w:val="0"/>
            </w:pPr>
            <w:r w:rsidRPr="00DA6489">
              <w:t>Prévention, collecte et réutilisation des projections de zinc lors de la galvanisation discontinue</w:t>
            </w:r>
          </w:p>
        </w:tc>
        <w:tc>
          <w:tcPr>
            <w:tcW w:w="5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48A473" w14:textId="65E323B5" w:rsidR="005C0576" w:rsidRPr="00DA6489" w:rsidRDefault="00520523">
            <w:pPr>
              <w:pStyle w:val="Policedetableau"/>
              <w:widowControl w:val="0"/>
            </w:pPr>
            <w:r w:rsidRPr="00DA6489">
              <w:t xml:space="preserve">La production de projections de zinc à partir de la cuve de galvanisation est limitée en minimisant l’entraînement de la solution de fluxage </w:t>
            </w:r>
            <w:r w:rsidR="000E38AC" w:rsidRPr="00DA6489">
              <w:t>(</w:t>
            </w:r>
            <w:r w:rsidRPr="00DA6489">
              <w:t xml:space="preserve">voir le </w:t>
            </w:r>
            <w:r w:rsidR="00813109" w:rsidRPr="00DA6489">
              <w:t xml:space="preserve">b du </w:t>
            </w:r>
            <w:r w:rsidRPr="00DA6489">
              <w:t>point 2.</w:t>
            </w:r>
            <w:r w:rsidR="00CE315E" w:rsidRPr="00DA6489">
              <w:t>10</w:t>
            </w:r>
            <w:r w:rsidR="00532953" w:rsidRPr="00DA6489">
              <w:t>.3</w:t>
            </w:r>
            <w:r w:rsidR="000E38AC" w:rsidRPr="00DA6489">
              <w:t>.)</w:t>
            </w:r>
            <w:r w:rsidRPr="00DA6489">
              <w:t xml:space="preserve">. Les projections de zinc sortant de la cuve sont collectées et réutilisées. La zone entourant la cuve est maintenue propre pour réduire la contamination </w:t>
            </w:r>
            <w:r w:rsidR="00813109" w:rsidRPr="00DA6489">
              <w:t xml:space="preserve">par </w:t>
            </w:r>
            <w:r w:rsidRPr="00DA6489">
              <w:t>des éclaboussures.</w:t>
            </w:r>
          </w:p>
        </w:tc>
      </w:tr>
      <w:tr w:rsidR="005C0576" w:rsidRPr="00DA6489" w14:paraId="066A8E46" w14:textId="77777777" w:rsidTr="00480A74">
        <w:trPr>
          <w:trHeight w:val="2381"/>
          <w:jc w:val="center"/>
        </w:trPr>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88069" w14:textId="77777777" w:rsidR="005C0576" w:rsidRPr="00DA6489" w:rsidRDefault="00520523">
            <w:pPr>
              <w:pStyle w:val="Policedetableau"/>
              <w:widowControl w:val="0"/>
            </w:pPr>
            <w:proofErr w:type="gramStart"/>
            <w:r w:rsidRPr="00DA6489">
              <w:lastRenderedPageBreak/>
              <w:t>c</w:t>
            </w:r>
            <w:proofErr w:type="gramEnd"/>
          </w:p>
        </w:tc>
        <w:tc>
          <w:tcPr>
            <w:tcW w:w="245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17309FF" w14:textId="6222CC9A" w:rsidR="005C0576" w:rsidRPr="00DA6489" w:rsidRDefault="00520523">
            <w:pPr>
              <w:pStyle w:val="Policedetableau"/>
              <w:widowControl w:val="0"/>
            </w:pPr>
            <w:r w:rsidRPr="00DA6489">
              <w:t>Réduction de la production de cendres de zinc</w:t>
            </w:r>
            <w:r w:rsidR="00717AED" w:rsidRPr="00DA6489">
              <w:t xml:space="preserve"> c’est à dire les cendres de zinc correspondant à une oxydation du zinc et des sels de fluxage brulés à la surface du bain</w:t>
            </w:r>
          </w:p>
        </w:tc>
        <w:tc>
          <w:tcPr>
            <w:tcW w:w="57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534AE9" w14:textId="77777777" w:rsidR="005C0576" w:rsidRPr="00DA6489" w:rsidRDefault="00520523">
            <w:pPr>
              <w:pStyle w:val="Policedetableau"/>
              <w:widowControl w:val="0"/>
            </w:pPr>
            <w:r w:rsidRPr="00DA6489">
              <w:t>La formation de cendres de zinc, c’est-à-dire l’oxydation du zinc à la surface du bain, est réduite, par exemple</w:t>
            </w:r>
            <w:r w:rsidR="009F3F04" w:rsidRPr="00DA6489">
              <w:t> :</w:t>
            </w:r>
          </w:p>
          <w:p w14:paraId="776DAD39" w14:textId="1A73F28D" w:rsidR="005C0576" w:rsidRPr="00DA6489" w:rsidRDefault="001717E2">
            <w:pPr>
              <w:pStyle w:val="Policedetableau"/>
              <w:widowControl w:val="0"/>
            </w:pPr>
            <w:r w:rsidRPr="00DA6489">
              <w:t xml:space="preserve">- </w:t>
            </w:r>
            <w:r w:rsidR="00520523" w:rsidRPr="00DA6489">
              <w:t>en séchant suffisamment les pièces à traiter/les fils avant le trempage</w:t>
            </w:r>
            <w:r w:rsidR="00813109" w:rsidRPr="00DA6489">
              <w:t xml:space="preserve"> </w:t>
            </w:r>
            <w:r w:rsidR="00520523" w:rsidRPr="00DA6489">
              <w:t>;</w:t>
            </w:r>
          </w:p>
          <w:p w14:paraId="459B6914" w14:textId="6D2CDD1E" w:rsidR="005C0576" w:rsidRPr="00DA6489" w:rsidRDefault="001717E2">
            <w:pPr>
              <w:pStyle w:val="Policedetableau"/>
              <w:widowControl w:val="0"/>
            </w:pPr>
            <w:r w:rsidRPr="00DA6489">
              <w:t xml:space="preserve">- </w:t>
            </w:r>
            <w:r w:rsidR="00520523" w:rsidRPr="00DA6489">
              <w:t>en évitant les perturbations inutiles du bain pendant la production, y compris pendant l’écrémage</w:t>
            </w:r>
            <w:r w:rsidR="00813109" w:rsidRPr="00DA6489">
              <w:t xml:space="preserve"> </w:t>
            </w:r>
            <w:r w:rsidR="00520523" w:rsidRPr="00DA6489">
              <w:t>;</w:t>
            </w:r>
          </w:p>
          <w:p w14:paraId="761B0A64" w14:textId="77777777" w:rsidR="005C0576" w:rsidRPr="00DA6489" w:rsidRDefault="001717E2">
            <w:pPr>
              <w:pStyle w:val="Policedetableau"/>
              <w:widowControl w:val="0"/>
            </w:pPr>
            <w:r w:rsidRPr="00DA6489">
              <w:t xml:space="preserve">- </w:t>
            </w:r>
            <w:r w:rsidR="00520523" w:rsidRPr="00DA6489">
              <w:t>en réduisant, lors du trempage à chaud continu des fils, la surface du bain se trouvant en contact avec l’air à l’aide d’un couvercle réfractaire flottant.</w:t>
            </w:r>
          </w:p>
        </w:tc>
      </w:tr>
      <w:tr w:rsidR="005C0576" w:rsidRPr="00DA6489" w14:paraId="006A8511" w14:textId="77777777" w:rsidTr="00480A74">
        <w:tblPrEx>
          <w:jc w:val="left"/>
        </w:tblPrEx>
        <w:tc>
          <w:tcPr>
            <w:tcW w:w="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E0D54B" w14:textId="77777777" w:rsidR="005C0576" w:rsidRPr="00DA6489" w:rsidRDefault="00520523">
            <w:pPr>
              <w:pStyle w:val="Policedetableau"/>
              <w:widowControl w:val="0"/>
            </w:pPr>
            <w:proofErr w:type="gramStart"/>
            <w:r w:rsidRPr="00DA6489">
              <w:t>d</w:t>
            </w:r>
            <w:proofErr w:type="gramEnd"/>
          </w:p>
        </w:tc>
        <w:tc>
          <w:tcPr>
            <w:tcW w:w="24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C636B20" w14:textId="77777777" w:rsidR="005C0576" w:rsidRPr="00DA6489" w:rsidRDefault="00520523">
            <w:pPr>
              <w:pStyle w:val="Policedetableau"/>
              <w:widowControl w:val="0"/>
            </w:pPr>
            <w:r w:rsidRPr="00DA6489">
              <w:t>Optimisation du temps de trempage</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16C09" w14:textId="77777777" w:rsidR="005C0576" w:rsidRPr="00DA6489" w:rsidRDefault="00520523">
            <w:pPr>
              <w:pStyle w:val="Policedetableau"/>
              <w:widowControl w:val="0"/>
            </w:pPr>
            <w:r w:rsidRPr="00DA6489">
              <w:t>Le temps de trempage est limité à la durée nécessaire pour atteindre les spécifications concernant l’épaisseur du revêtement.</w:t>
            </w:r>
          </w:p>
        </w:tc>
      </w:tr>
      <w:tr w:rsidR="005C0576" w:rsidRPr="00DA6489" w14:paraId="733D03DB" w14:textId="77777777" w:rsidTr="00480A74">
        <w:tblPrEx>
          <w:jc w:val="left"/>
        </w:tblPrEx>
        <w:tc>
          <w:tcPr>
            <w:tcW w:w="3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7F90F4" w14:textId="77777777" w:rsidR="005C0576" w:rsidRPr="00DA6489" w:rsidRDefault="00520523">
            <w:pPr>
              <w:pStyle w:val="Policedetableau"/>
              <w:widowControl w:val="0"/>
            </w:pPr>
            <w:proofErr w:type="gramStart"/>
            <w:r w:rsidRPr="00DA6489">
              <w:t>e</w:t>
            </w:r>
            <w:proofErr w:type="gramEnd"/>
          </w:p>
        </w:tc>
        <w:tc>
          <w:tcPr>
            <w:tcW w:w="245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E8A7D2" w14:textId="77777777" w:rsidR="005C0576" w:rsidRPr="00DA6489" w:rsidRDefault="00520523">
            <w:pPr>
              <w:pStyle w:val="Policedetableau"/>
              <w:widowControl w:val="0"/>
            </w:pPr>
            <w:r w:rsidRPr="00DA6489">
              <w:t>Lent retrait des pièces à traiter du bain</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B1E10" w14:textId="77777777" w:rsidR="005C0576" w:rsidRPr="00DA6489" w:rsidRDefault="00520523">
            <w:pPr>
              <w:pStyle w:val="Policedetableau"/>
              <w:widowControl w:val="0"/>
            </w:pPr>
            <w:r w:rsidRPr="00DA6489">
              <w:t>En retirant lentement les pièces galvanisées de la cuve de galvanisation, le drainage est amélioré et les éclaboussures de zinc sont réduites.</w:t>
            </w:r>
          </w:p>
        </w:tc>
      </w:tr>
    </w:tbl>
    <w:p w14:paraId="06C9E3AB" w14:textId="77777777" w:rsidR="005C0576" w:rsidRPr="00DA6489" w:rsidRDefault="005C0576"/>
    <w:p w14:paraId="0A2FDB62" w14:textId="18BC7EBE" w:rsidR="005C0576" w:rsidRPr="00DA6489" w:rsidRDefault="00480A74" w:rsidP="004E323C">
      <w:pPr>
        <w:pStyle w:val="Titre30"/>
        <w:ind w:firstLine="708"/>
      </w:pPr>
      <w:r w:rsidRPr="00DA6489">
        <w:t xml:space="preserve">2.8.7. </w:t>
      </w:r>
      <w:r w:rsidR="00121F46" w:rsidRPr="00DA6489">
        <w:t>Utilisation rationnelle des matières</w:t>
      </w:r>
      <w:r w:rsidR="00121F46" w:rsidRPr="00DA6489" w:rsidDel="00E240A4">
        <w:t xml:space="preserve"> </w:t>
      </w:r>
      <w:r w:rsidR="00121F46" w:rsidRPr="00DA6489">
        <w:t>l</w:t>
      </w:r>
      <w:r w:rsidR="00520523" w:rsidRPr="00DA6489">
        <w:t>ors de la phosphatation et de la passivation</w:t>
      </w:r>
    </w:p>
    <w:p w14:paraId="69000448" w14:textId="39F10DA9" w:rsidR="005C0576" w:rsidRPr="00DA6489" w:rsidRDefault="00520523">
      <w:r w:rsidRPr="00DA6489">
        <w:t xml:space="preserve">L’exploitant utilise les matières de façon rationnelle et réduit la quantité de déchets produits par la phosphatation et la passivation à éliminer en appliquant la technique a) et </w:t>
      </w:r>
      <w:r w:rsidR="00054C53" w:rsidRPr="00DA6489">
        <w:t xml:space="preserve">la </w:t>
      </w:r>
      <w:r w:rsidR="00121F46" w:rsidRPr="00DA6489">
        <w:t>technique</w:t>
      </w:r>
      <w:r w:rsidR="00054C53" w:rsidRPr="00DA6489">
        <w:t xml:space="preserve"> </w:t>
      </w:r>
      <w:r w:rsidR="00DC755A" w:rsidRPr="00DA6489">
        <w:t>b) indiquées</w:t>
      </w:r>
      <w:r w:rsidRPr="00DA6489">
        <w:t xml:space="preserve"> ci-dessous.</w:t>
      </w:r>
    </w:p>
    <w:tbl>
      <w:tblPr>
        <w:tblW w:w="8495" w:type="dxa"/>
        <w:tblLayout w:type="fixed"/>
        <w:tblLook w:val="01E0" w:firstRow="1" w:lastRow="1" w:firstColumn="1" w:lastColumn="1" w:noHBand="0" w:noVBand="0"/>
      </w:tblPr>
      <w:tblGrid>
        <w:gridCol w:w="326"/>
        <w:gridCol w:w="2421"/>
        <w:gridCol w:w="5748"/>
      </w:tblGrid>
      <w:tr w:rsidR="005C0576" w:rsidRPr="00DA6489" w14:paraId="7038B743" w14:textId="77777777">
        <w:tc>
          <w:tcPr>
            <w:tcW w:w="2747" w:type="dxa"/>
            <w:gridSpan w:val="2"/>
            <w:tcBorders>
              <w:top w:val="single" w:sz="4" w:space="0" w:color="000000"/>
              <w:left w:val="single" w:sz="4" w:space="0" w:color="000000"/>
              <w:bottom w:val="single" w:sz="4" w:space="0" w:color="000000"/>
              <w:right w:val="single" w:sz="4" w:space="0" w:color="000000"/>
            </w:tcBorders>
            <w:shd w:val="clear" w:color="auto" w:fill="auto"/>
          </w:tcPr>
          <w:p w14:paraId="40B13B83" w14:textId="77777777" w:rsidR="005C0576" w:rsidRPr="00DA6489" w:rsidRDefault="00520523">
            <w:pPr>
              <w:pStyle w:val="Policedetableau"/>
              <w:widowControl w:val="0"/>
              <w:rPr>
                <w:b/>
              </w:rPr>
            </w:pPr>
            <w:r w:rsidRPr="00DA6489">
              <w:rPr>
                <w:b/>
              </w:rPr>
              <w:t>Technique</w:t>
            </w:r>
          </w:p>
        </w:tc>
        <w:tc>
          <w:tcPr>
            <w:tcW w:w="5748" w:type="dxa"/>
            <w:tcBorders>
              <w:top w:val="single" w:sz="4" w:space="0" w:color="000000"/>
              <w:left w:val="single" w:sz="4" w:space="0" w:color="000000"/>
              <w:bottom w:val="single" w:sz="4" w:space="0" w:color="000000"/>
              <w:right w:val="single" w:sz="4" w:space="0" w:color="000000"/>
            </w:tcBorders>
            <w:shd w:val="clear" w:color="auto" w:fill="auto"/>
          </w:tcPr>
          <w:p w14:paraId="6A44E601" w14:textId="77777777" w:rsidR="005C0576" w:rsidRPr="00DA6489" w:rsidRDefault="00520523">
            <w:pPr>
              <w:pStyle w:val="Policedetableau"/>
              <w:widowControl w:val="0"/>
              <w:rPr>
                <w:b/>
              </w:rPr>
            </w:pPr>
            <w:r w:rsidRPr="00DA6489">
              <w:rPr>
                <w:b/>
              </w:rPr>
              <w:t>Description</w:t>
            </w:r>
          </w:p>
        </w:tc>
      </w:tr>
      <w:tr w:rsidR="005C0576" w:rsidRPr="00DA6489" w14:paraId="5EBF43EF" w14:textId="77777777">
        <w:tc>
          <w:tcPr>
            <w:tcW w:w="8495" w:type="dxa"/>
            <w:gridSpan w:val="3"/>
            <w:tcBorders>
              <w:top w:val="single" w:sz="4" w:space="0" w:color="000000"/>
              <w:left w:val="single" w:sz="4" w:space="0" w:color="000000"/>
              <w:bottom w:val="single" w:sz="4" w:space="0" w:color="000000"/>
              <w:right w:val="single" w:sz="4" w:space="0" w:color="000000"/>
            </w:tcBorders>
            <w:shd w:val="clear" w:color="auto" w:fill="auto"/>
          </w:tcPr>
          <w:p w14:paraId="4ADB6BB1" w14:textId="77777777" w:rsidR="005C0576" w:rsidRPr="00DA6489" w:rsidRDefault="00520523">
            <w:pPr>
              <w:pStyle w:val="Policedetableau"/>
              <w:widowControl w:val="0"/>
              <w:rPr>
                <w:b/>
                <w:i/>
              </w:rPr>
            </w:pPr>
            <w:r w:rsidRPr="00DA6489">
              <w:rPr>
                <w:b/>
                <w:i/>
              </w:rPr>
              <w:t>Prolonger la durée de vie des bains de traitement</w:t>
            </w:r>
          </w:p>
        </w:tc>
      </w:tr>
      <w:tr w:rsidR="005C0576" w:rsidRPr="00DA6489" w14:paraId="6B942EB4"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E1179" w14:textId="77777777" w:rsidR="005C0576" w:rsidRPr="00DA6489" w:rsidRDefault="00520523">
            <w:pPr>
              <w:pStyle w:val="Policedetableau"/>
              <w:widowControl w:val="0"/>
            </w:pPr>
            <w:proofErr w:type="gramStart"/>
            <w:r w:rsidRPr="00DA6489">
              <w:t>a</w:t>
            </w:r>
            <w:proofErr w:type="gramEnd"/>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12D24" w14:textId="77777777" w:rsidR="005C0576" w:rsidRPr="00DA6489" w:rsidRDefault="00520523">
            <w:pPr>
              <w:pStyle w:val="Policedetableau"/>
              <w:widowControl w:val="0"/>
            </w:pPr>
            <w:r w:rsidRPr="00DA6489">
              <w:t>Nettoyage et réutilisation de la solution de phosphatation ou de passivation</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DA448" w14:textId="77777777" w:rsidR="005C0576" w:rsidRPr="00DA6489" w:rsidRDefault="00520523">
            <w:pPr>
              <w:pStyle w:val="Policedetableau"/>
              <w:widowControl w:val="0"/>
            </w:pPr>
            <w:r w:rsidRPr="00DA6489">
              <w:t>Un circuit de nettoyage, par exemple avec un système de filtration, est utilisé pour nettoyer la solution de phosphatation ou de passivation en vue de sa réutilisation.</w:t>
            </w:r>
          </w:p>
        </w:tc>
      </w:tr>
      <w:tr w:rsidR="005C0576" w:rsidRPr="00DA6489" w14:paraId="12B17CCD" w14:textId="77777777">
        <w:tc>
          <w:tcPr>
            <w:tcW w:w="8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ED09359" w14:textId="77777777" w:rsidR="005C0576" w:rsidRPr="00DA6489" w:rsidRDefault="00520523">
            <w:pPr>
              <w:pStyle w:val="Policedetableau"/>
              <w:widowControl w:val="0"/>
              <w:rPr>
                <w:b/>
                <w:i/>
              </w:rPr>
            </w:pPr>
            <w:r w:rsidRPr="00DA6489">
              <w:rPr>
                <w:b/>
                <w:i/>
              </w:rPr>
              <w:t>Optimisation du traitement</w:t>
            </w:r>
          </w:p>
        </w:tc>
      </w:tr>
      <w:tr w:rsidR="005C0576" w:rsidRPr="00DA6489" w14:paraId="69DADE21" w14:textId="77777777">
        <w:trPr>
          <w:trHeight w:val="406"/>
        </w:trPr>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539AB" w14:textId="33FE5F83" w:rsidR="005C0576" w:rsidRPr="00DA6489" w:rsidRDefault="00054C53">
            <w:pPr>
              <w:pStyle w:val="Policedetableau"/>
              <w:widowControl w:val="0"/>
            </w:pPr>
            <w:proofErr w:type="gramStart"/>
            <w:r w:rsidRPr="00DA6489">
              <w:t>b</w:t>
            </w:r>
            <w:proofErr w:type="gramEnd"/>
          </w:p>
        </w:tc>
        <w:tc>
          <w:tcPr>
            <w:tcW w:w="2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2552D" w14:textId="77777777" w:rsidR="005C0576" w:rsidRPr="00DA6489" w:rsidRDefault="00520523">
            <w:pPr>
              <w:pStyle w:val="Policedetableau"/>
              <w:widowControl w:val="0"/>
            </w:pPr>
            <w:r w:rsidRPr="00DA6489">
              <w:t xml:space="preserve">Minimisation de l’entraînement de la solution chimique </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A6329" w14:textId="733D7470" w:rsidR="005C0576" w:rsidRPr="00DA6489" w:rsidRDefault="00520523">
            <w:pPr>
              <w:pStyle w:val="Policedetableau"/>
              <w:widowControl w:val="0"/>
            </w:pPr>
            <w:r w:rsidRPr="00DA6489">
              <w:t>L’entraînement de la solution chimique est réduit au minimum, par exemple en prévoyant un temps d’égouttage suffisant pour les pièces à traiter.</w:t>
            </w:r>
          </w:p>
        </w:tc>
      </w:tr>
    </w:tbl>
    <w:p w14:paraId="0C8887B6" w14:textId="77777777" w:rsidR="005C0576" w:rsidRPr="00DA6489" w:rsidRDefault="005C0576">
      <w:pPr>
        <w:spacing w:after="0" w:line="240" w:lineRule="auto"/>
        <w:jc w:val="left"/>
      </w:pPr>
    </w:p>
    <w:p w14:paraId="6CCAFDEC" w14:textId="17A8E0C1" w:rsidR="005C0576" w:rsidRPr="00DA6489" w:rsidRDefault="00520523" w:rsidP="004E323C">
      <w:pPr>
        <w:pStyle w:val="Titre30"/>
        <w:ind w:firstLine="708"/>
      </w:pPr>
      <w:r w:rsidRPr="00DA6489">
        <w:t>2.8.8</w:t>
      </w:r>
      <w:r w:rsidR="00480A74" w:rsidRPr="00DA6489">
        <w:t>.</w:t>
      </w:r>
      <w:r w:rsidRPr="00DA6489">
        <w:tab/>
      </w:r>
      <w:r w:rsidR="00121F46" w:rsidRPr="00DA6489">
        <w:t>Utilisation rationnelle des matières</w:t>
      </w:r>
      <w:r w:rsidR="00121F46" w:rsidRPr="00DA6489" w:rsidDel="00E240A4">
        <w:t xml:space="preserve"> </w:t>
      </w:r>
      <w:r w:rsidR="00121F46" w:rsidRPr="00DA6489">
        <w:t>l</w:t>
      </w:r>
      <w:r w:rsidRPr="00DA6489">
        <w:t>ors du soufflage de l’excès de zinc</w:t>
      </w:r>
      <w:r w:rsidR="008301ED" w:rsidRPr="00DA6489">
        <w:t xml:space="preserve"> des tubes galvanisés</w:t>
      </w:r>
    </w:p>
    <w:p w14:paraId="557E1064" w14:textId="09EABD7A" w:rsidR="005C0576" w:rsidRPr="00DA6489" w:rsidRDefault="00520523" w:rsidP="004101F8">
      <w:r w:rsidRPr="00DA6489">
        <w:t>L’exploitant récupère les particules contenant du zinc et les réutilise dans la cuve de galvanisation ou valorise leur contenu en zinc, afin de permettre une utilisation plus rationnelle des matières et de réduire la quantité de déchets à éliminer produits par le soufflage de l’excès de zinc des tubes galvanisés</w:t>
      </w:r>
      <w:r w:rsidR="008301ED" w:rsidRPr="00DA6489">
        <w:t>.</w:t>
      </w:r>
      <w:r w:rsidRPr="00DA6489">
        <w:t xml:space="preserve"> </w:t>
      </w:r>
    </w:p>
    <w:p w14:paraId="6047C0D7" w14:textId="02840D60" w:rsidR="005C0576" w:rsidRPr="00DA6489" w:rsidRDefault="00520523" w:rsidP="004E323C">
      <w:pPr>
        <w:pStyle w:val="Titre30"/>
        <w:ind w:firstLine="708"/>
      </w:pPr>
      <w:r w:rsidRPr="00DA6489">
        <w:t>2.8.9</w:t>
      </w:r>
      <w:r w:rsidR="00121F46" w:rsidRPr="00DA6489">
        <w:t xml:space="preserve">. </w:t>
      </w:r>
      <w:r w:rsidRPr="00DA6489">
        <w:t>Gestion des acides de décapage usés</w:t>
      </w:r>
    </w:p>
    <w:p w14:paraId="3BBDE341" w14:textId="057C0069" w:rsidR="005C0576" w:rsidRPr="00DA6489" w:rsidRDefault="00520523">
      <w:pPr>
        <w:rPr>
          <w:b/>
        </w:rPr>
      </w:pPr>
      <w:r w:rsidRPr="00DA6489">
        <w:t>L’exploitant valorise les acides de décapage usés (</w:t>
      </w:r>
      <w:r w:rsidR="000E38AC" w:rsidRPr="00DA6489">
        <w:t>a</w:t>
      </w:r>
      <w:r w:rsidRPr="00DA6489">
        <w:t>cide chlorhydrique,</w:t>
      </w:r>
      <w:r w:rsidR="00F53675" w:rsidRPr="00DA6489">
        <w:t xml:space="preserve"> </w:t>
      </w:r>
      <w:r w:rsidRPr="00DA6489">
        <w:t xml:space="preserve">acide sulfurique et </w:t>
      </w:r>
      <w:r w:rsidR="000E38AC" w:rsidRPr="00DA6489">
        <w:t>ac</w:t>
      </w:r>
      <w:r w:rsidRPr="00DA6489">
        <w:t>ide mixte). L’exploitant peut par exemple mettre en œuvre ou a recours, sur site ou hors site, à l’une des techniques de valorisation suivantes</w:t>
      </w:r>
      <w:r w:rsidRPr="00DA6489">
        <w:rPr>
          <w:b/>
        </w:rPr>
        <w:t xml:space="preserve"> : </w:t>
      </w:r>
    </w:p>
    <w:p w14:paraId="7EC404B5" w14:textId="0518B1EA" w:rsidR="005C0576" w:rsidRPr="00DA6489" w:rsidRDefault="00813109">
      <w:pPr>
        <w:pStyle w:val="Paragraphedeliste"/>
        <w:numPr>
          <w:ilvl w:val="0"/>
          <w:numId w:val="3"/>
        </w:numPr>
      </w:pPr>
      <w:proofErr w:type="gramStart"/>
      <w:r w:rsidRPr="00DA6489">
        <w:t>grillage</w:t>
      </w:r>
      <w:proofErr w:type="gramEnd"/>
      <w:r w:rsidRPr="00DA6489">
        <w:t xml:space="preserve"> </w:t>
      </w:r>
      <w:r w:rsidR="00520523" w:rsidRPr="00DA6489">
        <w:t>par pulvérisation ou par l’utilisation de réacteurs à lit fluidisé, pour la régénération de l’acide chlorhydrique ;</w:t>
      </w:r>
    </w:p>
    <w:p w14:paraId="40F59AA0" w14:textId="5D7EF542" w:rsidR="005C0576" w:rsidRPr="00DA6489" w:rsidRDefault="00813109">
      <w:pPr>
        <w:pStyle w:val="Paragraphedeliste"/>
        <w:numPr>
          <w:ilvl w:val="0"/>
          <w:numId w:val="3"/>
        </w:numPr>
      </w:pPr>
      <w:proofErr w:type="gramStart"/>
      <w:r w:rsidRPr="00DA6489">
        <w:t>cristallisation</w:t>
      </w:r>
      <w:proofErr w:type="gramEnd"/>
      <w:r w:rsidRPr="00DA6489">
        <w:t xml:space="preserve"> </w:t>
      </w:r>
      <w:r w:rsidR="00520523" w:rsidRPr="00DA6489">
        <w:t>du sulfate ferrique, pour la régénération de l’acide sulfurique ;</w:t>
      </w:r>
    </w:p>
    <w:p w14:paraId="2939C42B" w14:textId="6BA98C5C" w:rsidR="00F5776E" w:rsidRPr="00DA6489" w:rsidRDefault="00813109">
      <w:pPr>
        <w:pStyle w:val="Paragraphedeliste"/>
        <w:numPr>
          <w:ilvl w:val="0"/>
          <w:numId w:val="3"/>
        </w:numPr>
      </w:pPr>
      <w:proofErr w:type="gramStart"/>
      <w:r w:rsidRPr="00DA6489">
        <w:lastRenderedPageBreak/>
        <w:t>grillage</w:t>
      </w:r>
      <w:proofErr w:type="gramEnd"/>
      <w:r w:rsidRPr="00DA6489">
        <w:t xml:space="preserve"> </w:t>
      </w:r>
      <w:r w:rsidR="00520523" w:rsidRPr="00DA6489">
        <w:t>par pulvérisation, évaporation, échange d’ions ou la dialyse en dérivation, pour la régénération de l’acide mixte ;</w:t>
      </w:r>
    </w:p>
    <w:p w14:paraId="28276982" w14:textId="4968E64B" w:rsidR="005C0576" w:rsidRPr="00DA6489" w:rsidRDefault="00813109">
      <w:pPr>
        <w:pStyle w:val="Paragraphedeliste"/>
        <w:numPr>
          <w:ilvl w:val="0"/>
          <w:numId w:val="3"/>
        </w:numPr>
      </w:pPr>
      <w:proofErr w:type="gramStart"/>
      <w:r w:rsidRPr="00DA6489">
        <w:t>utilisation</w:t>
      </w:r>
      <w:proofErr w:type="gramEnd"/>
      <w:r w:rsidRPr="00DA6489">
        <w:t xml:space="preserve"> </w:t>
      </w:r>
      <w:r w:rsidR="00520523" w:rsidRPr="00DA6489">
        <w:t xml:space="preserve">en tant que matière première secondaire de l’acide de décapage usé (par exemple, pour la production de chlorure de fer ou de pigments). </w:t>
      </w:r>
    </w:p>
    <w:p w14:paraId="0B07696F" w14:textId="77777777" w:rsidR="005C0576" w:rsidRPr="00DA6489" w:rsidRDefault="005C0576">
      <w:pPr>
        <w:pStyle w:val="Paragraphedeliste"/>
      </w:pPr>
    </w:p>
    <w:p w14:paraId="36648C8F" w14:textId="77777777" w:rsidR="005C0576" w:rsidRPr="00DA6489" w:rsidRDefault="00520523">
      <w:r w:rsidRPr="00DA6489">
        <w:t>Dans le cas, où l’exploitant justifie qu’aucune voie de valorisation n’est possible ou que celle-ci présente un coût économiquement inacceptable et que l’utilisation de l’acide de décapage usé comme matière première secondaire est limitée en raison de l’absence de débouchés commerciaux, l’exploitant peut avoir recours à la neutralisation de l’acide de décapage usé.</w:t>
      </w:r>
    </w:p>
    <w:p w14:paraId="4A711D7E" w14:textId="4CEC514A" w:rsidR="005C0576" w:rsidRPr="00DA6489" w:rsidRDefault="00520523">
      <w:pPr>
        <w:rPr>
          <w:b/>
        </w:rPr>
      </w:pPr>
      <w:r w:rsidRPr="00DA6489">
        <w:t>L’exploitant tient à disposition de l’inspection des installations classées le dossier</w:t>
      </w:r>
      <w:r w:rsidR="00E626C1" w:rsidRPr="00DA6489">
        <w:t>,</w:t>
      </w:r>
      <w:r w:rsidRPr="00DA6489">
        <w:t xml:space="preserve"> ainsi que toutes pièces </w:t>
      </w:r>
      <w:r w:rsidR="00E626C1" w:rsidRPr="00DA6489">
        <w:t>justificatives</w:t>
      </w:r>
      <w:r w:rsidR="00903F91" w:rsidRPr="00DA6489">
        <w:t>,</w:t>
      </w:r>
      <w:r w:rsidR="00E626C1" w:rsidRPr="00DA6489">
        <w:t xml:space="preserve"> </w:t>
      </w:r>
      <w:r w:rsidRPr="00DA6489">
        <w:t>permettant de justifier le recours à la neutralisation de l’acide de décapage usé.</w:t>
      </w:r>
    </w:p>
    <w:p w14:paraId="708558EA" w14:textId="20E77B89" w:rsidR="005C0576" w:rsidRPr="00DA6489" w:rsidRDefault="00520523" w:rsidP="004E323C">
      <w:pPr>
        <w:pStyle w:val="Titre2"/>
      </w:pPr>
      <w:r w:rsidRPr="00DA6489">
        <w:t>2.9</w:t>
      </w:r>
      <w:r w:rsidR="00391B2E" w:rsidRPr="00DA6489">
        <w:t>.</w:t>
      </w:r>
      <w:r w:rsidRPr="00DA6489">
        <w:t xml:space="preserve"> Consommation d’eau et production d’eaux usées</w:t>
      </w:r>
    </w:p>
    <w:p w14:paraId="46B109A9" w14:textId="77777777" w:rsidR="005C0576" w:rsidRPr="00DA6489" w:rsidRDefault="00520523">
      <w:r w:rsidRPr="00DA6489">
        <w:t>L’exploitant optimise la consommation d’eau, recycl</w:t>
      </w:r>
      <w:r w:rsidR="00D41E11" w:rsidRPr="00DA6489">
        <w:t xml:space="preserve">e </w:t>
      </w:r>
      <w:r w:rsidRPr="00DA6489">
        <w:t>l’eau et réduit le volume d’eaux usées produites en appliquant à la fois les techniques a) et b) et une combinaison appropriée des techniques c) à f) indiquées ci-dessous. L’exploitant tient un registre indiquant toutes les techniques utilisées</w:t>
      </w:r>
      <w:r w:rsidR="00D41E11" w:rsidRPr="00DA6489">
        <w:t>. Ce registre</w:t>
      </w:r>
      <w:r w:rsidR="008301ED" w:rsidRPr="00DA6489">
        <w:t xml:space="preserve"> est </w:t>
      </w:r>
      <w:r w:rsidRPr="00DA6489">
        <w:t>à la disposition de l’inspection des installations classées.</w:t>
      </w:r>
    </w:p>
    <w:tbl>
      <w:tblPr>
        <w:tblW w:w="8495" w:type="dxa"/>
        <w:tblLayout w:type="fixed"/>
        <w:tblLook w:val="01E0" w:firstRow="1" w:lastRow="1" w:firstColumn="1" w:lastColumn="1" w:noHBand="0" w:noVBand="0"/>
      </w:tblPr>
      <w:tblGrid>
        <w:gridCol w:w="327"/>
        <w:gridCol w:w="1788"/>
        <w:gridCol w:w="4004"/>
        <w:gridCol w:w="2376"/>
      </w:tblGrid>
      <w:tr w:rsidR="005C0576" w:rsidRPr="00DA6489" w14:paraId="0E62EA34" w14:textId="77777777" w:rsidTr="00DA6489">
        <w:trPr>
          <w:cantSplit/>
        </w:trPr>
        <w:tc>
          <w:tcPr>
            <w:tcW w:w="2115" w:type="dxa"/>
            <w:gridSpan w:val="2"/>
            <w:tcBorders>
              <w:top w:val="single" w:sz="4" w:space="0" w:color="000000"/>
              <w:left w:val="single" w:sz="4" w:space="0" w:color="000000"/>
              <w:bottom w:val="single" w:sz="4" w:space="0" w:color="000000"/>
              <w:right w:val="single" w:sz="4" w:space="0" w:color="000000"/>
            </w:tcBorders>
            <w:shd w:val="clear" w:color="auto" w:fill="auto"/>
          </w:tcPr>
          <w:p w14:paraId="10CC6D97" w14:textId="77777777" w:rsidR="005C0576" w:rsidRPr="00DA6489" w:rsidRDefault="00520523">
            <w:pPr>
              <w:pStyle w:val="Policedetableau"/>
              <w:widowControl w:val="0"/>
              <w:rPr>
                <w:b/>
              </w:rPr>
            </w:pPr>
            <w:r w:rsidRPr="00DA6489">
              <w:rPr>
                <w:b/>
              </w:rPr>
              <w:t>Technique</w:t>
            </w:r>
          </w:p>
        </w:tc>
        <w:tc>
          <w:tcPr>
            <w:tcW w:w="4004" w:type="dxa"/>
            <w:tcBorders>
              <w:top w:val="single" w:sz="4" w:space="0" w:color="000000"/>
              <w:left w:val="single" w:sz="4" w:space="0" w:color="000000"/>
              <w:bottom w:val="single" w:sz="4" w:space="0" w:color="000000"/>
              <w:right w:val="single" w:sz="4" w:space="0" w:color="000000"/>
            </w:tcBorders>
            <w:shd w:val="clear" w:color="auto" w:fill="auto"/>
          </w:tcPr>
          <w:p w14:paraId="0D95017E" w14:textId="77777777" w:rsidR="005C0576" w:rsidRPr="00DA6489" w:rsidRDefault="00520523">
            <w:pPr>
              <w:pStyle w:val="Policedetableau"/>
              <w:widowControl w:val="0"/>
              <w:rPr>
                <w:b/>
              </w:rPr>
            </w:pPr>
            <w:r w:rsidRPr="00DA6489">
              <w:rPr>
                <w:b/>
              </w:rPr>
              <w:t>Description</w:t>
            </w:r>
          </w:p>
        </w:tc>
        <w:tc>
          <w:tcPr>
            <w:tcW w:w="2376" w:type="dxa"/>
            <w:tcBorders>
              <w:top w:val="single" w:sz="4" w:space="0" w:color="000000"/>
              <w:left w:val="single" w:sz="4" w:space="0" w:color="000000"/>
              <w:bottom w:val="single" w:sz="4" w:space="0" w:color="000000"/>
              <w:right w:val="single" w:sz="4" w:space="0" w:color="000000"/>
            </w:tcBorders>
            <w:shd w:val="clear" w:color="auto" w:fill="auto"/>
          </w:tcPr>
          <w:p w14:paraId="2866E4C4" w14:textId="77777777" w:rsidR="005C0576" w:rsidRPr="00DA6489" w:rsidRDefault="00520523">
            <w:pPr>
              <w:pStyle w:val="Policedetableau"/>
              <w:widowControl w:val="0"/>
              <w:rPr>
                <w:b/>
              </w:rPr>
            </w:pPr>
            <w:r w:rsidRPr="00DA6489">
              <w:rPr>
                <w:b/>
              </w:rPr>
              <w:t>Applicabilité</w:t>
            </w:r>
          </w:p>
        </w:tc>
      </w:tr>
      <w:tr w:rsidR="005C0576" w:rsidRPr="00DA6489" w14:paraId="0223E26A" w14:textId="77777777" w:rsidTr="00DA6489">
        <w:trPr>
          <w:cantSplit/>
        </w:trPr>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F8CCF" w14:textId="77777777" w:rsidR="005C0576" w:rsidRPr="00DA6489" w:rsidRDefault="00520523">
            <w:pPr>
              <w:pStyle w:val="Policedetableau"/>
              <w:widowControl w:val="0"/>
            </w:pPr>
            <w:proofErr w:type="gramStart"/>
            <w:r w:rsidRPr="00DA6489">
              <w:t>a</w:t>
            </w:r>
            <w:proofErr w:type="gramEnd"/>
          </w:p>
        </w:tc>
        <w:tc>
          <w:tcPr>
            <w:tcW w:w="1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9925A" w14:textId="77777777" w:rsidR="005C0576" w:rsidRPr="00DA6489" w:rsidRDefault="00520523">
            <w:pPr>
              <w:pStyle w:val="Policedetableau"/>
              <w:widowControl w:val="0"/>
            </w:pPr>
            <w:r w:rsidRPr="00DA6489">
              <w:t>Plan de gestion de l’eau et audits de l’eau</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06687" w14:textId="77777777" w:rsidR="005C0576" w:rsidRPr="00DA6489" w:rsidRDefault="00520523">
            <w:pPr>
              <w:pStyle w:val="Policedetableau"/>
              <w:widowControl w:val="0"/>
            </w:pPr>
            <w:r w:rsidRPr="00DA6489">
              <w:t>Un plan de gestion de l’eau et des audits de l’eau font partie du SME (voir le point 2.1</w:t>
            </w:r>
            <w:r w:rsidR="00D41E11" w:rsidRPr="00DA6489">
              <w:t>.</w:t>
            </w:r>
            <w:r w:rsidRPr="00DA6489">
              <w:t>) et comprennent :</w:t>
            </w:r>
          </w:p>
          <w:p w14:paraId="5E2A2F18" w14:textId="77777777" w:rsidR="005C0576" w:rsidRPr="00DA6489" w:rsidRDefault="008301ED">
            <w:pPr>
              <w:pStyle w:val="Policedetableau"/>
              <w:widowControl w:val="0"/>
            </w:pPr>
            <w:r w:rsidRPr="00DA6489">
              <w:t xml:space="preserve">- </w:t>
            </w:r>
            <w:r w:rsidR="00520523" w:rsidRPr="00DA6489">
              <w:t>des schémas de circulation et un bilan massique de l’eau dans l’installation ;</w:t>
            </w:r>
          </w:p>
          <w:p w14:paraId="135D94B2" w14:textId="77777777" w:rsidR="005C0576" w:rsidRPr="00DA6489" w:rsidRDefault="008301ED">
            <w:pPr>
              <w:pStyle w:val="Policedetableau"/>
              <w:widowControl w:val="0"/>
            </w:pPr>
            <w:r w:rsidRPr="00DA6489">
              <w:t xml:space="preserve">- </w:t>
            </w:r>
            <w:r w:rsidR="00520523" w:rsidRPr="00DA6489">
              <w:t xml:space="preserve">l’établissement d’objectifs en matière d’utilisation rationnelle de l’eau ; </w:t>
            </w:r>
          </w:p>
          <w:p w14:paraId="081E3680" w14:textId="77777777" w:rsidR="005C0576" w:rsidRPr="00DA6489" w:rsidRDefault="008301ED">
            <w:pPr>
              <w:pStyle w:val="Policedetableau"/>
              <w:widowControl w:val="0"/>
            </w:pPr>
            <w:r w:rsidRPr="00DA6489">
              <w:t xml:space="preserve">- </w:t>
            </w:r>
            <w:r w:rsidR="00520523" w:rsidRPr="00DA6489">
              <w:t>la mise en œuvre de techniques d’optimisation de l’eau (par exemple, contrôle de la consommation d’eau, recyclage de l’eau, détection et réparation de fuites).</w:t>
            </w:r>
          </w:p>
          <w:p w14:paraId="0A1D8B12" w14:textId="77777777" w:rsidR="005C0576" w:rsidRPr="00DA6489" w:rsidRDefault="00520523">
            <w:pPr>
              <w:pStyle w:val="Policedetableau"/>
              <w:widowControl w:val="0"/>
            </w:pPr>
            <w:r w:rsidRPr="00DA6489">
              <w:t>Des audits de l’eau sont effectués au moins une fois par an pour s’assurer que les objectifs du plan de gestion de l’eau sont atteints.</w:t>
            </w:r>
          </w:p>
          <w:p w14:paraId="2A6CD85B" w14:textId="77777777" w:rsidR="005C0576" w:rsidRPr="00DA6489" w:rsidRDefault="00520523">
            <w:pPr>
              <w:pStyle w:val="Policedetableau"/>
              <w:widowControl w:val="0"/>
            </w:pPr>
            <w:r w:rsidRPr="00DA6489">
              <w:t>Le plan de gestion de l’eau et les audits de l’eau peuvent être intégrés dans le plan global de gestion de l’eau d’une installation de plus grande taille</w:t>
            </w:r>
            <w:r w:rsidR="00E977B9" w:rsidRPr="00DA6489">
              <w:t>.</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4D1FC" w14:textId="77777777" w:rsidR="005C0576" w:rsidRPr="00DA6489" w:rsidRDefault="00520523">
            <w:pPr>
              <w:pStyle w:val="Policedetableau"/>
              <w:widowControl w:val="0"/>
            </w:pPr>
            <w:r w:rsidRPr="00DA6489">
              <w:t>Le niveau de détail du plan de gestion de l’eau et les audits de l’eau sont généralement fonction de la nature, de la taille et de la complexité de l’installation.</w:t>
            </w:r>
          </w:p>
          <w:p w14:paraId="2FE8697E" w14:textId="77777777" w:rsidR="005C0576" w:rsidRPr="00DA6489" w:rsidRDefault="005C0576">
            <w:pPr>
              <w:pStyle w:val="Policedetableau"/>
              <w:widowControl w:val="0"/>
            </w:pPr>
          </w:p>
        </w:tc>
      </w:tr>
      <w:tr w:rsidR="005C0576" w:rsidRPr="00DA6489" w14:paraId="4221236D" w14:textId="77777777" w:rsidTr="00DA6489">
        <w:trPr>
          <w:cantSplit/>
        </w:trPr>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1B59B" w14:textId="77777777" w:rsidR="005C0576" w:rsidRPr="00DA6489" w:rsidRDefault="00520523">
            <w:pPr>
              <w:pStyle w:val="Policedetableau"/>
              <w:widowControl w:val="0"/>
            </w:pPr>
            <w:proofErr w:type="gramStart"/>
            <w:r w:rsidRPr="00DA6489">
              <w:t>b</w:t>
            </w:r>
            <w:proofErr w:type="gramEnd"/>
          </w:p>
        </w:tc>
        <w:tc>
          <w:tcPr>
            <w:tcW w:w="1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0BE85" w14:textId="77777777" w:rsidR="005C0576" w:rsidRPr="00DA6489" w:rsidRDefault="00520523">
            <w:pPr>
              <w:pStyle w:val="Policedetableau"/>
              <w:widowControl w:val="0"/>
            </w:pPr>
            <w:r w:rsidRPr="00DA6489">
              <w:t>Séparation des flux d’eaux</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9E289" w14:textId="77777777" w:rsidR="005C0576" w:rsidRPr="00DA6489" w:rsidRDefault="00520523">
            <w:pPr>
              <w:pStyle w:val="Policedetableau"/>
              <w:widowControl w:val="0"/>
            </w:pPr>
            <w:r w:rsidRPr="00DA6489">
              <w:t>Chaque flux d’eau est collecté séparément, en fonction des polluants qu’il contient et des techniques de traitement requises. Les flux d’eaux usées qui peuvent être recyclés sans traitement sont séparés de ceux qui nécessitent un traitement.</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4831B" w14:textId="77777777" w:rsidR="00800EED" w:rsidRPr="00DA6489" w:rsidRDefault="00800EED">
            <w:pPr>
              <w:pStyle w:val="Policedetableau"/>
              <w:widowControl w:val="0"/>
            </w:pPr>
            <w:r w:rsidRPr="00DA6489">
              <w:t>Applicable d’une manière générale. </w:t>
            </w:r>
          </w:p>
          <w:p w14:paraId="41465469" w14:textId="77777777" w:rsidR="005C0576" w:rsidRPr="00DA6489" w:rsidRDefault="005C0576">
            <w:pPr>
              <w:pStyle w:val="Policedetableau"/>
              <w:widowControl w:val="0"/>
            </w:pPr>
          </w:p>
        </w:tc>
      </w:tr>
      <w:tr w:rsidR="005C0576" w:rsidRPr="00DA6489" w14:paraId="49EB7918" w14:textId="77777777" w:rsidTr="00DA6489">
        <w:trPr>
          <w:cantSplit/>
        </w:trPr>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8489F" w14:textId="77777777" w:rsidR="005C0576" w:rsidRPr="00DA6489" w:rsidRDefault="00520523">
            <w:pPr>
              <w:pStyle w:val="Policedetableau"/>
              <w:widowControl w:val="0"/>
            </w:pPr>
            <w:proofErr w:type="gramStart"/>
            <w:r w:rsidRPr="00DA6489">
              <w:lastRenderedPageBreak/>
              <w:t>d</w:t>
            </w:r>
            <w:proofErr w:type="gramEnd"/>
          </w:p>
        </w:tc>
        <w:tc>
          <w:tcPr>
            <w:tcW w:w="1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6F5F8" w14:textId="77777777" w:rsidR="005C0576" w:rsidRPr="00DA6489" w:rsidRDefault="00520523">
            <w:pPr>
              <w:pStyle w:val="Policedetableau"/>
              <w:widowControl w:val="0"/>
            </w:pPr>
            <w:r w:rsidRPr="00DA6489">
              <w:t>Réutilisation et/ou recyclage de l’eau</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70ED3" w14:textId="77777777" w:rsidR="005C0576" w:rsidRPr="00DA6489" w:rsidRDefault="00520523">
            <w:pPr>
              <w:pStyle w:val="Policedetableau"/>
              <w:widowControl w:val="0"/>
            </w:pPr>
            <w:r w:rsidRPr="00DA6489">
              <w:t>Les flux d’eau (par exemple, eaux de procédé, effluents de l’épuration par voie humide ou des bains de trempe) sont réutilisés et/ou recyclés en circuit fermé ou semi-fermé</w:t>
            </w:r>
            <w:r w:rsidR="00CE27C4" w:rsidRPr="00DA6489">
              <w:t>s</w:t>
            </w:r>
            <w:r w:rsidRPr="00DA6489">
              <w:t>, le cas échéant après un traitement (voir le point 2.11.1</w:t>
            </w:r>
            <w:r w:rsidR="00514A2F" w:rsidRPr="00DA6489">
              <w:t>.</w:t>
            </w:r>
            <w:r w:rsidRPr="00DA6489">
              <w:t>).</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0856E" w14:textId="77777777" w:rsidR="005C0576" w:rsidRPr="00DA6489" w:rsidRDefault="00520523">
            <w:pPr>
              <w:pStyle w:val="Policedetableau"/>
              <w:widowControl w:val="0"/>
            </w:pPr>
            <w:r w:rsidRPr="00DA6489">
              <w:t>Le degré de réutilisation et/ou de recyclage de l’eau est limité par le bilan hydrique de l’installation, la teneur en impuretés et/ou les caractéristiques des flux d’eau.</w:t>
            </w:r>
          </w:p>
        </w:tc>
      </w:tr>
      <w:tr w:rsidR="005C0576" w:rsidRPr="00DA6489" w14:paraId="43AE7FDC" w14:textId="77777777" w:rsidTr="00DA6489">
        <w:trPr>
          <w:cantSplit/>
        </w:trPr>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16708" w14:textId="77777777" w:rsidR="005C0576" w:rsidRPr="00DA6489" w:rsidRDefault="00520523">
            <w:pPr>
              <w:pStyle w:val="Policedetableau"/>
              <w:widowControl w:val="0"/>
            </w:pPr>
            <w:proofErr w:type="gramStart"/>
            <w:r w:rsidRPr="00DA6489">
              <w:t>e</w:t>
            </w:r>
            <w:proofErr w:type="gramEnd"/>
          </w:p>
        </w:tc>
        <w:tc>
          <w:tcPr>
            <w:tcW w:w="1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A8B88" w14:textId="77777777" w:rsidR="005C0576" w:rsidRPr="00DA6489" w:rsidRDefault="00520523">
            <w:pPr>
              <w:pStyle w:val="Policedetableau"/>
              <w:widowControl w:val="0"/>
            </w:pPr>
            <w:r w:rsidRPr="00DA6489">
              <w:t>Rinçage en cascade à contre-courant</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3789EB" w14:textId="17C0FEC9" w:rsidR="005C0576" w:rsidRPr="00DA6489" w:rsidRDefault="00520523">
            <w:pPr>
              <w:pStyle w:val="Policedetableau"/>
              <w:widowControl w:val="0"/>
            </w:pPr>
            <w:r w:rsidRPr="00DA6489">
              <w:t>Le rinçage est effectué dans au moins deux bains en série</w:t>
            </w:r>
            <w:r w:rsidR="00E626C1" w:rsidRPr="00DA6489">
              <w:t>,</w:t>
            </w:r>
            <w:r w:rsidRPr="00DA6489">
              <w:t xml:space="preserve"> où la matière entrante est déplacée du bain de rinçage le plus contaminé vers le bain le plus propre.</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2C7F9" w14:textId="77777777" w:rsidR="005C0576" w:rsidRPr="00DA6489" w:rsidRDefault="00520523">
            <w:pPr>
              <w:pStyle w:val="Policedetableau"/>
              <w:widowControl w:val="0"/>
            </w:pPr>
            <w:r w:rsidRPr="00DA6489">
              <w:t>L’applicabilité aux unités existantes peut être limitée par le manque d’espace.</w:t>
            </w:r>
          </w:p>
        </w:tc>
      </w:tr>
      <w:tr w:rsidR="005C0576" w:rsidRPr="00DA6489" w14:paraId="09FD4D2D" w14:textId="77777777" w:rsidTr="00DA6489">
        <w:trPr>
          <w:cantSplit/>
        </w:trPr>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6C040D" w14:textId="77777777" w:rsidR="005C0576" w:rsidRPr="00DA6489" w:rsidRDefault="00520523">
            <w:pPr>
              <w:pStyle w:val="Policedetableau"/>
              <w:widowControl w:val="0"/>
            </w:pPr>
            <w:proofErr w:type="gramStart"/>
            <w:r w:rsidRPr="00DA6489">
              <w:t>f</w:t>
            </w:r>
            <w:proofErr w:type="gramEnd"/>
          </w:p>
        </w:tc>
        <w:tc>
          <w:tcPr>
            <w:tcW w:w="17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41422" w14:textId="77777777" w:rsidR="005C0576" w:rsidRPr="00DA6489" w:rsidRDefault="00520523">
            <w:pPr>
              <w:pStyle w:val="Policedetableau"/>
              <w:widowControl w:val="0"/>
            </w:pPr>
            <w:r w:rsidRPr="00DA6489">
              <w:t xml:space="preserve">Recyclage ou réutilisation de l’eau de rinçage </w:t>
            </w:r>
          </w:p>
        </w:tc>
        <w:tc>
          <w:tcPr>
            <w:tcW w:w="4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512AE" w14:textId="77777777" w:rsidR="005C0576" w:rsidRPr="00DA6489" w:rsidRDefault="00520523">
            <w:pPr>
              <w:pStyle w:val="Policedetableau"/>
              <w:widowControl w:val="0"/>
            </w:pPr>
            <w:r w:rsidRPr="00DA6489">
              <w:t>L’eau de rinçage après le décapage ou le dégraissage est recyclée/réutilisée, le cas échéant après un traitement, dans les bains du procédé précédent comme eau d’appoint, eau de rinçage ou, si la concentration d’acide est suffisamment élevée, pour la valorisation de l’acide.</w:t>
            </w:r>
          </w:p>
        </w:tc>
        <w:tc>
          <w:tcPr>
            <w:tcW w:w="2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A44C7" w14:textId="77777777" w:rsidR="005C0576" w:rsidRPr="00DA6489" w:rsidRDefault="00F95481">
            <w:pPr>
              <w:pStyle w:val="Policedetableau"/>
              <w:widowControl w:val="0"/>
            </w:pPr>
            <w:r w:rsidRPr="00DA6489">
              <w:t>Applicable d’une manière générale. </w:t>
            </w:r>
          </w:p>
        </w:tc>
      </w:tr>
    </w:tbl>
    <w:p w14:paraId="55865CBC" w14:textId="77777777" w:rsidR="005C0576" w:rsidRPr="00DA6489" w:rsidRDefault="00520523" w:rsidP="004E323C">
      <w:pPr>
        <w:pStyle w:val="Titre2"/>
      </w:pPr>
      <w:r w:rsidRPr="00DA6489">
        <w:t>2.10</w:t>
      </w:r>
      <w:r w:rsidR="00391B2E" w:rsidRPr="00DA6489">
        <w:t>.</w:t>
      </w:r>
      <w:r w:rsidRPr="00DA6489">
        <w:t xml:space="preserve"> Émissions atmosphériques</w:t>
      </w:r>
    </w:p>
    <w:p w14:paraId="1EA08AA4" w14:textId="77777777" w:rsidR="005C0576" w:rsidRPr="00DA6489" w:rsidRDefault="00520523" w:rsidP="004E323C">
      <w:pPr>
        <w:pStyle w:val="Titre30"/>
        <w:ind w:firstLine="708"/>
      </w:pPr>
      <w:r w:rsidRPr="00DA6489">
        <w:t>2.10.1</w:t>
      </w:r>
      <w:r w:rsidR="00391B2E" w:rsidRPr="00DA6489">
        <w:t>.</w:t>
      </w:r>
      <w:r w:rsidRPr="00DA6489">
        <w:t xml:space="preserve"> Tenue d’un registre </w:t>
      </w:r>
    </w:p>
    <w:p w14:paraId="23AD4A90" w14:textId="77777777" w:rsidR="004E323C" w:rsidRPr="00DA6489" w:rsidRDefault="00520523" w:rsidP="004E323C">
      <w:pPr>
        <w:pStyle w:val="Titre3"/>
        <w:numPr>
          <w:ilvl w:val="0"/>
          <w:numId w:val="0"/>
        </w:numPr>
        <w:rPr>
          <w:b w:val="0"/>
        </w:rPr>
      </w:pPr>
      <w:r w:rsidRPr="00DA6489">
        <w:rPr>
          <w:b w:val="0"/>
          <w:sz w:val="22"/>
          <w:szCs w:val="22"/>
        </w:rPr>
        <w:t xml:space="preserve">L’exploitant tient un registre indiquant toutes les techniques utilisées sur le site ainsi que toutes analyses, </w:t>
      </w:r>
      <w:r w:rsidR="00903F91" w:rsidRPr="00DA6489">
        <w:rPr>
          <w:b w:val="0"/>
          <w:sz w:val="22"/>
          <w:szCs w:val="22"/>
        </w:rPr>
        <w:t xml:space="preserve">opérations </w:t>
      </w:r>
      <w:r w:rsidR="004507E1" w:rsidRPr="00DA6489">
        <w:rPr>
          <w:b w:val="0"/>
          <w:sz w:val="22"/>
          <w:szCs w:val="22"/>
        </w:rPr>
        <w:t xml:space="preserve">de </w:t>
      </w:r>
      <w:r w:rsidRPr="00DA6489">
        <w:rPr>
          <w:b w:val="0"/>
          <w:sz w:val="22"/>
          <w:szCs w:val="22"/>
        </w:rPr>
        <w:t xml:space="preserve">surveillance et </w:t>
      </w:r>
      <w:r w:rsidR="004507E1" w:rsidRPr="00DA6489">
        <w:rPr>
          <w:b w:val="0"/>
          <w:sz w:val="22"/>
          <w:szCs w:val="22"/>
        </w:rPr>
        <w:t>d’</w:t>
      </w:r>
      <w:r w:rsidRPr="00DA6489">
        <w:rPr>
          <w:b w:val="0"/>
          <w:sz w:val="22"/>
          <w:szCs w:val="22"/>
        </w:rPr>
        <w:t xml:space="preserve">optimisation des paramètres pour les émissions atmosphériques </w:t>
      </w:r>
      <w:r w:rsidR="00E626C1" w:rsidRPr="00DA6489">
        <w:rPr>
          <w:b w:val="0"/>
          <w:sz w:val="22"/>
          <w:szCs w:val="22"/>
        </w:rPr>
        <w:t>induites par</w:t>
      </w:r>
      <w:r w:rsidRPr="00DA6489">
        <w:rPr>
          <w:b w:val="0"/>
          <w:sz w:val="22"/>
          <w:szCs w:val="22"/>
        </w:rPr>
        <w:t xml:space="preserve"> différents process. Ce registre est tenu à la disposition de l’inspection des installations classées.</w:t>
      </w:r>
    </w:p>
    <w:p w14:paraId="0920439B" w14:textId="70D12CB7" w:rsidR="005C0576" w:rsidRPr="00DA6489" w:rsidRDefault="00520523" w:rsidP="004E323C">
      <w:pPr>
        <w:pStyle w:val="Titre30"/>
        <w:ind w:firstLine="708"/>
      </w:pPr>
      <w:r w:rsidRPr="00DA6489">
        <w:t>2.10.2</w:t>
      </w:r>
      <w:r w:rsidR="00391B2E" w:rsidRPr="00DA6489">
        <w:t>.</w:t>
      </w:r>
      <w:r w:rsidRPr="00DA6489">
        <w:t xml:space="preserve"> Émissions atmosphériques dues au chauffage</w:t>
      </w:r>
    </w:p>
    <w:p w14:paraId="35CE4097" w14:textId="658BF639" w:rsidR="005C0576" w:rsidRPr="00097A79" w:rsidRDefault="00520523" w:rsidP="004E323C">
      <w:pPr>
        <w:pStyle w:val="Titre4"/>
        <w:rPr>
          <w:i/>
          <w:lang w:val="fr-FR"/>
        </w:rPr>
      </w:pPr>
      <w:r w:rsidRPr="00097A79">
        <w:rPr>
          <w:lang w:val="fr-FR"/>
        </w:rPr>
        <w:t>2.10.2.1</w:t>
      </w:r>
      <w:r w:rsidR="00391B2E" w:rsidRPr="00097A79">
        <w:rPr>
          <w:lang w:val="fr-FR"/>
        </w:rPr>
        <w:t>.</w:t>
      </w:r>
      <w:r w:rsidRPr="00097A79">
        <w:rPr>
          <w:lang w:val="fr-FR"/>
        </w:rPr>
        <w:t xml:space="preserve"> Poussières</w:t>
      </w:r>
    </w:p>
    <w:p w14:paraId="7D20C9CF" w14:textId="6FA5DE24" w:rsidR="005C0576" w:rsidRPr="00DA6489" w:rsidRDefault="00520523">
      <w:r w:rsidRPr="00DA6489">
        <w:t>L’exploitant utilise soit de l’électricité produite</w:t>
      </w:r>
      <w:r w:rsidR="00514A2F" w:rsidRPr="00DA6489">
        <w:t xml:space="preserve"> </w:t>
      </w:r>
      <w:r w:rsidRPr="00DA6489">
        <w:t xml:space="preserve">à partir de sources d’énergie non fossiles, soit des combustibles </w:t>
      </w:r>
      <w:r w:rsidR="00514A2F" w:rsidRPr="00DA6489">
        <w:t xml:space="preserve">émettant </w:t>
      </w:r>
      <w:r w:rsidR="000A56C8">
        <w:t>dans</w:t>
      </w:r>
      <w:r w:rsidR="000A56C8" w:rsidRPr="00DA6489">
        <w:t xml:space="preserve"> </w:t>
      </w:r>
      <w:r w:rsidR="00514A2F" w:rsidRPr="00DA6489">
        <w:t xml:space="preserve">l’atmosphère de </w:t>
      </w:r>
      <w:r w:rsidRPr="00DA6489">
        <w:t>faible</w:t>
      </w:r>
      <w:r w:rsidR="00514A2F" w:rsidRPr="00DA6489">
        <w:t>s</w:t>
      </w:r>
      <w:r w:rsidRPr="00DA6489">
        <w:t xml:space="preserve"> teneur</w:t>
      </w:r>
      <w:r w:rsidR="00514A2F" w:rsidRPr="00DA6489">
        <w:t>s</w:t>
      </w:r>
      <w:r w:rsidRPr="00DA6489">
        <w:t xml:space="preserve"> en poussières et en cendres</w:t>
      </w:r>
      <w:r w:rsidR="00514A2F" w:rsidRPr="00DA6489">
        <w:t xml:space="preserve"> (par exemple gaz naturel, gaz de pétrole liquéfié)</w:t>
      </w:r>
      <w:r w:rsidRPr="00DA6489">
        <w:t>.</w:t>
      </w:r>
    </w:p>
    <w:p w14:paraId="6DEB102B" w14:textId="6F99349B" w:rsidR="005C0576" w:rsidRPr="00097A79" w:rsidRDefault="00520523" w:rsidP="004E323C">
      <w:pPr>
        <w:pStyle w:val="Titre4"/>
        <w:rPr>
          <w:i/>
          <w:lang w:val="fr-FR"/>
        </w:rPr>
      </w:pPr>
      <w:r w:rsidRPr="00097A79">
        <w:rPr>
          <w:lang w:val="fr-FR"/>
        </w:rPr>
        <w:t>2.10.2.2</w:t>
      </w:r>
      <w:r w:rsidR="00391B2E" w:rsidRPr="00097A79">
        <w:rPr>
          <w:lang w:val="fr-FR"/>
        </w:rPr>
        <w:t>.</w:t>
      </w:r>
      <w:r w:rsidR="00121F46" w:rsidRPr="00097A79">
        <w:rPr>
          <w:lang w:val="fr-FR"/>
        </w:rPr>
        <w:t xml:space="preserve"> </w:t>
      </w:r>
      <w:r w:rsidRPr="00097A79">
        <w:rPr>
          <w:lang w:val="fr-FR"/>
        </w:rPr>
        <w:t>SO</w:t>
      </w:r>
      <w:r w:rsidRPr="00097A79">
        <w:rPr>
          <w:vertAlign w:val="subscript"/>
          <w:lang w:val="fr-FR"/>
        </w:rPr>
        <w:t>2</w:t>
      </w:r>
    </w:p>
    <w:p w14:paraId="6DD83921" w14:textId="77777777" w:rsidR="005C0576" w:rsidRPr="00DA6489" w:rsidRDefault="00520523">
      <w:r w:rsidRPr="00DA6489">
        <w:t>L’exploitant utilise soit de l’électricité produite à partir de sources d’énergie non fossiles, soit un combustible ou une combinaison de combustibles à faible teneur en soufre pour réduire les émissions atmosphériques de SO</w:t>
      </w:r>
      <w:r w:rsidRPr="00DA6489">
        <w:rPr>
          <w:vertAlign w:val="subscript"/>
        </w:rPr>
        <w:t>2</w:t>
      </w:r>
      <w:r w:rsidRPr="00DA6489">
        <w:t xml:space="preserve"> dues au chauffage.</w:t>
      </w:r>
    </w:p>
    <w:p w14:paraId="1B149C67" w14:textId="63841465" w:rsidR="005C0576" w:rsidRPr="00DA6489" w:rsidRDefault="00520523">
      <w:r w:rsidRPr="00DA6489">
        <w:t>Les combustibles à faible teneur en soufre comprennent, par exemple, le gaz naturel</w:t>
      </w:r>
      <w:r w:rsidR="00121F46" w:rsidRPr="00DA6489">
        <w:t xml:space="preserve"> et</w:t>
      </w:r>
      <w:r w:rsidRPr="00DA6489">
        <w:t xml:space="preserve"> le gaz de pétrole liquéfié.</w:t>
      </w:r>
    </w:p>
    <w:p w14:paraId="00C0E72D" w14:textId="2026B40B" w:rsidR="005C0576" w:rsidRPr="00097A79" w:rsidRDefault="00520523" w:rsidP="004E323C">
      <w:pPr>
        <w:pStyle w:val="Titre4"/>
        <w:rPr>
          <w:i/>
          <w:lang w:val="fr-FR"/>
        </w:rPr>
      </w:pPr>
      <w:r w:rsidRPr="00097A79">
        <w:rPr>
          <w:lang w:val="fr-FR"/>
        </w:rPr>
        <w:t>2.10.2.3</w:t>
      </w:r>
      <w:r w:rsidR="00391B2E" w:rsidRPr="00097A79">
        <w:rPr>
          <w:lang w:val="fr-FR"/>
        </w:rPr>
        <w:t>.</w:t>
      </w:r>
      <w:r w:rsidRPr="00097A79">
        <w:rPr>
          <w:lang w:val="fr-FR"/>
        </w:rPr>
        <w:t xml:space="preserve"> NOx, CO et NH</w:t>
      </w:r>
      <w:r w:rsidRPr="00097A79">
        <w:rPr>
          <w:vertAlign w:val="subscript"/>
          <w:lang w:val="fr-FR"/>
        </w:rPr>
        <w:t>3</w:t>
      </w:r>
    </w:p>
    <w:p w14:paraId="03714EF7" w14:textId="77777777" w:rsidR="005C0576" w:rsidRPr="00DA6489" w:rsidRDefault="00520523">
      <w:r w:rsidRPr="00DA6489">
        <w:t>L’exploitant réduit les émissions atmosphériques de NO</w:t>
      </w:r>
      <w:r w:rsidRPr="00DA6489">
        <w:rPr>
          <w:vertAlign w:val="subscript"/>
        </w:rPr>
        <w:t>X</w:t>
      </w:r>
      <w:r w:rsidRPr="00DA6489">
        <w:t xml:space="preserve"> dues au chauffage tout en limitant les émissions de CO en utilisant soit de l’électricité produite à partir de sources d’énergie non fossiles, soit une combinaison appropriée des techniques indiquées ci-dessous.</w:t>
      </w:r>
    </w:p>
    <w:tbl>
      <w:tblPr>
        <w:tblW w:w="8495" w:type="dxa"/>
        <w:tblLayout w:type="fixed"/>
        <w:tblLook w:val="01E0" w:firstRow="1" w:lastRow="1" w:firstColumn="1" w:lastColumn="1" w:noHBand="0" w:noVBand="0"/>
      </w:tblPr>
      <w:tblGrid>
        <w:gridCol w:w="435"/>
        <w:gridCol w:w="2013"/>
        <w:gridCol w:w="2909"/>
        <w:gridCol w:w="3138"/>
      </w:tblGrid>
      <w:tr w:rsidR="005C0576" w:rsidRPr="00DA6489" w14:paraId="2631E66F" w14:textId="77777777" w:rsidTr="00F5776E">
        <w:tc>
          <w:tcPr>
            <w:tcW w:w="2448" w:type="dxa"/>
            <w:gridSpan w:val="2"/>
            <w:tcBorders>
              <w:top w:val="single" w:sz="4" w:space="0" w:color="000000"/>
              <w:left w:val="single" w:sz="4" w:space="0" w:color="000000"/>
              <w:bottom w:val="single" w:sz="4" w:space="0" w:color="000000"/>
              <w:right w:val="single" w:sz="4" w:space="0" w:color="000000"/>
            </w:tcBorders>
            <w:shd w:val="clear" w:color="auto" w:fill="auto"/>
          </w:tcPr>
          <w:p w14:paraId="2CEF1441" w14:textId="77777777" w:rsidR="005C0576" w:rsidRPr="00DA6489" w:rsidRDefault="00520523">
            <w:pPr>
              <w:pStyle w:val="Policedetableau"/>
              <w:widowControl w:val="0"/>
              <w:rPr>
                <w:b/>
              </w:rPr>
            </w:pPr>
            <w:r w:rsidRPr="00DA6489">
              <w:rPr>
                <w:b/>
              </w:rPr>
              <w:t>Technique</w:t>
            </w:r>
          </w:p>
        </w:tc>
        <w:tc>
          <w:tcPr>
            <w:tcW w:w="2909" w:type="dxa"/>
            <w:tcBorders>
              <w:top w:val="single" w:sz="4" w:space="0" w:color="000000"/>
              <w:left w:val="single" w:sz="4" w:space="0" w:color="000000"/>
              <w:bottom w:val="single" w:sz="4" w:space="0" w:color="000000"/>
              <w:right w:val="single" w:sz="4" w:space="0" w:color="000000"/>
            </w:tcBorders>
            <w:shd w:val="clear" w:color="auto" w:fill="auto"/>
          </w:tcPr>
          <w:p w14:paraId="6AE8BB43" w14:textId="77777777" w:rsidR="005C0576" w:rsidRPr="00DA6489" w:rsidRDefault="00520523">
            <w:pPr>
              <w:pStyle w:val="Policedetableau"/>
              <w:widowControl w:val="0"/>
              <w:rPr>
                <w:b/>
              </w:rPr>
            </w:pPr>
            <w:r w:rsidRPr="00DA6489">
              <w:rPr>
                <w:b/>
              </w:rPr>
              <w:t>Description</w:t>
            </w:r>
          </w:p>
        </w:tc>
        <w:tc>
          <w:tcPr>
            <w:tcW w:w="3138" w:type="dxa"/>
            <w:tcBorders>
              <w:top w:val="single" w:sz="4" w:space="0" w:color="000000"/>
              <w:left w:val="single" w:sz="4" w:space="0" w:color="000000"/>
              <w:bottom w:val="single" w:sz="4" w:space="0" w:color="000000"/>
              <w:right w:val="single" w:sz="4" w:space="0" w:color="000000"/>
            </w:tcBorders>
            <w:shd w:val="clear" w:color="auto" w:fill="auto"/>
          </w:tcPr>
          <w:p w14:paraId="7D64FC59" w14:textId="77777777" w:rsidR="005C0576" w:rsidRPr="00DA6489" w:rsidRDefault="00520523">
            <w:pPr>
              <w:pStyle w:val="Policedetableau"/>
              <w:widowControl w:val="0"/>
              <w:rPr>
                <w:b/>
              </w:rPr>
            </w:pPr>
            <w:r w:rsidRPr="00DA6489">
              <w:rPr>
                <w:b/>
              </w:rPr>
              <w:t>Applicabilité</w:t>
            </w:r>
          </w:p>
        </w:tc>
      </w:tr>
      <w:tr w:rsidR="005C0576" w:rsidRPr="00DA6489" w14:paraId="3EC5F1A0" w14:textId="77777777" w:rsidTr="00F5776E">
        <w:tc>
          <w:tcPr>
            <w:tcW w:w="849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361ECCA" w14:textId="77777777" w:rsidR="005C0576" w:rsidRPr="00DA6489" w:rsidRDefault="00520523">
            <w:pPr>
              <w:pStyle w:val="Policedetableau"/>
              <w:widowControl w:val="0"/>
              <w:rPr>
                <w:b/>
                <w:i/>
              </w:rPr>
            </w:pPr>
            <w:r w:rsidRPr="00DA6489">
              <w:rPr>
                <w:b/>
                <w:i/>
              </w:rPr>
              <w:t>Réduction de la production d’émissions</w:t>
            </w:r>
          </w:p>
        </w:tc>
      </w:tr>
      <w:tr w:rsidR="005C0576" w:rsidRPr="00DA6489" w14:paraId="50B3E9CD" w14:textId="77777777" w:rsidTr="00F5776E">
        <w:trPr>
          <w:trHeight w:val="251"/>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364B6" w14:textId="77777777" w:rsidR="005C0576" w:rsidRPr="00DA6489" w:rsidRDefault="005A5E18">
            <w:pPr>
              <w:pStyle w:val="Policedetableau"/>
              <w:widowControl w:val="0"/>
            </w:pPr>
            <w:r w:rsidRPr="00DA6489">
              <w:t>1</w:t>
            </w:r>
          </w:p>
        </w:tc>
        <w:tc>
          <w:tcPr>
            <w:tcW w:w="2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B6EF0" w14:textId="77777777" w:rsidR="005C0576" w:rsidRPr="00DA6489" w:rsidRDefault="00520523">
            <w:pPr>
              <w:pStyle w:val="Policedetableau"/>
              <w:widowControl w:val="0"/>
            </w:pPr>
            <w:r w:rsidRPr="00DA6489">
              <w:t>Automatisation et commande du four</w:t>
            </w:r>
          </w:p>
        </w:tc>
        <w:tc>
          <w:tcPr>
            <w:tcW w:w="2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BB857" w14:textId="77777777" w:rsidR="005C0576" w:rsidRPr="00DA6489" w:rsidRDefault="00520523">
            <w:pPr>
              <w:pStyle w:val="Policedetableau"/>
              <w:widowControl w:val="0"/>
            </w:pPr>
            <w:r w:rsidRPr="00DA6489">
              <w:t xml:space="preserve">Voir le point </w:t>
            </w:r>
            <w:r w:rsidR="00636254" w:rsidRPr="00DA6489">
              <w:t>1.1.</w:t>
            </w:r>
          </w:p>
        </w:tc>
        <w:tc>
          <w:tcPr>
            <w:tcW w:w="3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BC291" w14:textId="77777777" w:rsidR="005C0576" w:rsidRPr="00DA6489" w:rsidRDefault="00F95481">
            <w:pPr>
              <w:pStyle w:val="Policedetableau"/>
              <w:widowControl w:val="0"/>
            </w:pPr>
            <w:r w:rsidRPr="00DA6489">
              <w:t>Applicable d’une manière générale. </w:t>
            </w:r>
          </w:p>
        </w:tc>
      </w:tr>
      <w:tr w:rsidR="005C0576" w:rsidRPr="00DA6489" w14:paraId="5A9F9B1A" w14:textId="77777777" w:rsidTr="00F5776E">
        <w:trPr>
          <w:trHeight w:val="242"/>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D2EFF" w14:textId="77777777" w:rsidR="005C0576" w:rsidRPr="00DA6489" w:rsidRDefault="005A5E18">
            <w:pPr>
              <w:pStyle w:val="Policedetableau"/>
              <w:widowControl w:val="0"/>
            </w:pPr>
            <w:r w:rsidRPr="00DA6489">
              <w:lastRenderedPageBreak/>
              <w:t>2</w:t>
            </w:r>
          </w:p>
        </w:tc>
        <w:tc>
          <w:tcPr>
            <w:tcW w:w="2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0B816" w14:textId="77777777" w:rsidR="005C0576" w:rsidRPr="00DA6489" w:rsidRDefault="00520523">
            <w:pPr>
              <w:pStyle w:val="Policedetableau"/>
              <w:widowControl w:val="0"/>
            </w:pPr>
            <w:r w:rsidRPr="00DA6489">
              <w:t>Optimisation de la combustion</w:t>
            </w:r>
          </w:p>
        </w:tc>
        <w:tc>
          <w:tcPr>
            <w:tcW w:w="2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320D2" w14:textId="77777777" w:rsidR="005C0576" w:rsidRPr="00DA6489" w:rsidRDefault="00520523">
            <w:pPr>
              <w:pStyle w:val="Policedetableau"/>
              <w:widowControl w:val="0"/>
            </w:pPr>
            <w:r w:rsidRPr="00DA6489">
              <w:t xml:space="preserve">Voir le point </w:t>
            </w:r>
            <w:r w:rsidR="00636254" w:rsidRPr="00DA6489">
              <w:t>1.1.</w:t>
            </w:r>
          </w:p>
          <w:p w14:paraId="37CF09CE" w14:textId="77777777" w:rsidR="005C0576" w:rsidRPr="00DA6489" w:rsidRDefault="00520523">
            <w:pPr>
              <w:pStyle w:val="Policedetableau"/>
              <w:widowControl w:val="0"/>
            </w:pPr>
            <w:r w:rsidRPr="00DA6489">
              <w:t>Généralement utilisée en association avec d’autres techniques.</w:t>
            </w:r>
          </w:p>
        </w:tc>
        <w:tc>
          <w:tcPr>
            <w:tcW w:w="3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804DF" w14:textId="77777777" w:rsidR="005C0576" w:rsidRPr="00DA6489" w:rsidRDefault="00F95481">
            <w:pPr>
              <w:pStyle w:val="Policedetableau"/>
              <w:widowControl w:val="0"/>
            </w:pPr>
            <w:r w:rsidRPr="00DA6489">
              <w:t>Applicable d’une manière générale. </w:t>
            </w:r>
          </w:p>
        </w:tc>
      </w:tr>
      <w:tr w:rsidR="005C0576" w:rsidRPr="00DA6489" w14:paraId="02C672D2" w14:textId="77777777" w:rsidTr="00F5776E">
        <w:trPr>
          <w:trHeight w:val="3689"/>
        </w:trPr>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E2836" w14:textId="77777777" w:rsidR="005C0576" w:rsidRPr="00DA6489" w:rsidRDefault="005A5E18">
            <w:pPr>
              <w:pStyle w:val="Policedetableau"/>
              <w:widowControl w:val="0"/>
            </w:pPr>
            <w:r w:rsidRPr="00DA6489">
              <w:t>3</w:t>
            </w:r>
          </w:p>
        </w:tc>
        <w:tc>
          <w:tcPr>
            <w:tcW w:w="2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96B73" w14:textId="77777777" w:rsidR="005C0576" w:rsidRPr="00DA6489" w:rsidRDefault="00520523">
            <w:pPr>
              <w:pStyle w:val="Policedetableau"/>
              <w:widowControl w:val="0"/>
            </w:pPr>
            <w:r w:rsidRPr="00DA6489">
              <w:t>Combustion sans flamme</w:t>
            </w:r>
          </w:p>
        </w:tc>
        <w:tc>
          <w:tcPr>
            <w:tcW w:w="2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BC75C" w14:textId="77777777" w:rsidR="005C0576" w:rsidRPr="00DA6489" w:rsidRDefault="00520523">
            <w:pPr>
              <w:pStyle w:val="Policedetableau"/>
              <w:widowControl w:val="0"/>
            </w:pPr>
            <w:r w:rsidRPr="00DA6489">
              <w:t xml:space="preserve">Voir le point </w:t>
            </w:r>
            <w:r w:rsidR="00636254" w:rsidRPr="00DA6489">
              <w:t>1.1.</w:t>
            </w:r>
          </w:p>
        </w:tc>
        <w:tc>
          <w:tcPr>
            <w:tcW w:w="3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BF130" w14:textId="77777777" w:rsidR="005C0576" w:rsidRPr="00DA6489" w:rsidRDefault="00520523">
            <w:pPr>
              <w:pStyle w:val="Policedetableau"/>
              <w:widowControl w:val="0"/>
            </w:pPr>
            <w:r w:rsidRPr="00DA6489">
              <w:t>L’applicabilité aux unités existantes peut être limitée par la conception du four (c’est-à-dire le volume du four, l’espace pour les brûleurs, la distance entre les brûleurs) et la nécessité de changer le revêtement réfractaire.</w:t>
            </w:r>
          </w:p>
          <w:p w14:paraId="46906CF8" w14:textId="77777777" w:rsidR="005C0576" w:rsidRPr="00DA6489" w:rsidRDefault="00520523">
            <w:pPr>
              <w:pStyle w:val="Policedetableau"/>
              <w:widowControl w:val="0"/>
            </w:pPr>
            <w:r w:rsidRPr="00DA6489">
              <w:t>L’applicabilité peut être limitée pour les procédés où un contrôle étroit de la température ou du profil de température est nécessaire (par exemple, la recristallisation).</w:t>
            </w:r>
          </w:p>
          <w:p w14:paraId="2DB13837" w14:textId="77777777" w:rsidR="005C0576" w:rsidRPr="00DA6489" w:rsidRDefault="00520523">
            <w:pPr>
              <w:pStyle w:val="Policedetableau"/>
              <w:widowControl w:val="0"/>
            </w:pPr>
            <w:r w:rsidRPr="00DA6489">
              <w:t>Non applicable aux fours fonctionnant à une température inférieure à la température d’auto-inflammation requise pour une combustion sans flamme ou aux fours équipés de brûleurs à tubes radiants.</w:t>
            </w:r>
          </w:p>
        </w:tc>
      </w:tr>
      <w:tr w:rsidR="005C0576" w:rsidRPr="00DA6489" w14:paraId="659B469E" w14:textId="77777777" w:rsidTr="00F5776E">
        <w:tc>
          <w:tcPr>
            <w:tcW w:w="4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F97CA" w14:textId="77777777" w:rsidR="005C0576" w:rsidRPr="00DA6489" w:rsidRDefault="005A5E18">
            <w:pPr>
              <w:pStyle w:val="Policedetableau"/>
              <w:widowControl w:val="0"/>
            </w:pPr>
            <w:r w:rsidRPr="00DA6489">
              <w:t>4</w:t>
            </w:r>
          </w:p>
        </w:tc>
        <w:tc>
          <w:tcPr>
            <w:tcW w:w="20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EEE63" w14:textId="77777777" w:rsidR="005C0576" w:rsidRPr="00DA6489" w:rsidRDefault="00520523">
            <w:pPr>
              <w:pStyle w:val="Policedetableau"/>
              <w:widowControl w:val="0"/>
            </w:pPr>
            <w:proofErr w:type="spellStart"/>
            <w:r w:rsidRPr="00DA6489">
              <w:t>Oxycombustion</w:t>
            </w:r>
            <w:proofErr w:type="spellEnd"/>
          </w:p>
        </w:tc>
        <w:tc>
          <w:tcPr>
            <w:tcW w:w="2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C19D0" w14:textId="77777777" w:rsidR="005C0576" w:rsidRPr="00DA6489" w:rsidRDefault="00520523">
            <w:pPr>
              <w:pStyle w:val="Policedetableau"/>
              <w:widowControl w:val="0"/>
            </w:pPr>
            <w:r w:rsidRPr="00DA6489">
              <w:t xml:space="preserve">Voir le point </w:t>
            </w:r>
            <w:r w:rsidR="00306814" w:rsidRPr="00DA6489">
              <w:t>1.1</w:t>
            </w:r>
            <w:r w:rsidRPr="00DA6489">
              <w:t>.</w:t>
            </w:r>
          </w:p>
        </w:tc>
        <w:tc>
          <w:tcPr>
            <w:tcW w:w="3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73633" w14:textId="77777777" w:rsidR="005C0576" w:rsidRPr="00DA6489" w:rsidRDefault="00520523">
            <w:pPr>
              <w:pStyle w:val="Policedetableau"/>
              <w:widowControl w:val="0"/>
            </w:pPr>
            <w:r w:rsidRPr="00DA6489">
              <w:t xml:space="preserve">L’applicabilité peut être limitée pour les fours traitant de l’acier hautement allié. </w:t>
            </w:r>
          </w:p>
          <w:p w14:paraId="0A572343" w14:textId="77777777" w:rsidR="005C0576" w:rsidRPr="00DA6489" w:rsidRDefault="00520523">
            <w:pPr>
              <w:pStyle w:val="Policedetableau"/>
              <w:widowControl w:val="0"/>
            </w:pPr>
            <w:r w:rsidRPr="00DA6489">
              <w:t>L’applicabilité aux unités existantes peut être limitée par la conception du four et la nécessité d’un débit minimal de gaz résiduaires.</w:t>
            </w:r>
          </w:p>
          <w:p w14:paraId="4BF087EC" w14:textId="77777777" w:rsidR="005C0576" w:rsidRPr="00DA6489" w:rsidRDefault="00520523">
            <w:pPr>
              <w:pStyle w:val="Policedetableau"/>
              <w:widowControl w:val="0"/>
            </w:pPr>
            <w:r w:rsidRPr="00DA6489">
              <w:t>Non applicable aux fours équipés de brûleurs à tubes radiants.</w:t>
            </w:r>
          </w:p>
        </w:tc>
      </w:tr>
    </w:tbl>
    <w:p w14:paraId="10F10C18" w14:textId="77777777" w:rsidR="005C0576" w:rsidRPr="00DA6489" w:rsidRDefault="005C0576"/>
    <w:p w14:paraId="0A69AF64" w14:textId="4AAEE5AC" w:rsidR="005C0576" w:rsidRPr="00DA6489" w:rsidRDefault="00520523">
      <w:r w:rsidRPr="00DA6489">
        <w:t>L’exploitant respecte, pour les émissions canalisées de NO</w:t>
      </w:r>
      <w:r w:rsidRPr="00DA6489">
        <w:rPr>
          <w:vertAlign w:val="subscript"/>
        </w:rPr>
        <w:t>X</w:t>
      </w:r>
      <w:r w:rsidRPr="00DA6489">
        <w:t xml:space="preserve"> dues au chauffage de la cuve de galvanisation lors de la galvanisation discontinue, la valeur limite </w:t>
      </w:r>
      <w:r w:rsidR="00A9011A" w:rsidRPr="00DA6489">
        <w:t xml:space="preserve">d’émission </w:t>
      </w:r>
      <w:r w:rsidRPr="00DA6489">
        <w:t>suivante :</w:t>
      </w:r>
    </w:p>
    <w:p w14:paraId="5A87FD53" w14:textId="77777777" w:rsidR="00A9011A" w:rsidRPr="00DA6489" w:rsidRDefault="00A9011A"/>
    <w:tbl>
      <w:tblPr>
        <w:tblW w:w="8495" w:type="dxa"/>
        <w:jc w:val="center"/>
        <w:tblLayout w:type="fixed"/>
        <w:tblLook w:val="04A0" w:firstRow="1" w:lastRow="0" w:firstColumn="1" w:lastColumn="0" w:noHBand="0" w:noVBand="1"/>
      </w:tblPr>
      <w:tblGrid>
        <w:gridCol w:w="1218"/>
        <w:gridCol w:w="959"/>
        <w:gridCol w:w="6318"/>
      </w:tblGrid>
      <w:tr w:rsidR="005C0576" w:rsidRPr="00DA6489" w14:paraId="43067A50" w14:textId="77777777">
        <w:trPr>
          <w:jc w:val="center"/>
        </w:trPr>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A4B6C" w14:textId="77777777" w:rsidR="005C0576" w:rsidRPr="00DA6489" w:rsidRDefault="00520523">
            <w:pPr>
              <w:pStyle w:val="Policedetableau"/>
              <w:widowControl w:val="0"/>
              <w:rPr>
                <w:b/>
              </w:rPr>
            </w:pPr>
            <w:r w:rsidRPr="00DA6489">
              <w:rPr>
                <w:b/>
              </w:rPr>
              <w:t>Paramètre</w:t>
            </w:r>
          </w:p>
        </w:tc>
        <w:tc>
          <w:tcPr>
            <w:tcW w:w="9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AC3BA2" w14:textId="77777777" w:rsidR="005C0576" w:rsidRPr="00DA6489" w:rsidRDefault="00520523">
            <w:pPr>
              <w:pStyle w:val="Policedetableau"/>
              <w:widowControl w:val="0"/>
              <w:rPr>
                <w:b/>
              </w:rPr>
            </w:pPr>
            <w:r w:rsidRPr="00DA6489">
              <w:rPr>
                <w:b/>
              </w:rPr>
              <w:t>Unité</w:t>
            </w:r>
          </w:p>
        </w:tc>
        <w:tc>
          <w:tcPr>
            <w:tcW w:w="6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8A80B" w14:textId="77777777" w:rsidR="005C0576" w:rsidRPr="00DA6489" w:rsidRDefault="00520523">
            <w:pPr>
              <w:pStyle w:val="Policedetableau"/>
              <w:widowControl w:val="0"/>
              <w:rPr>
                <w:b/>
              </w:rPr>
            </w:pPr>
            <w:r w:rsidRPr="00DA6489">
              <w:rPr>
                <w:b/>
              </w:rPr>
              <w:t xml:space="preserve">VLE </w:t>
            </w:r>
          </w:p>
          <w:p w14:paraId="6ED380F0" w14:textId="77777777" w:rsidR="005C0576" w:rsidRPr="00DA6489" w:rsidRDefault="00520523">
            <w:pPr>
              <w:pStyle w:val="Policedetableau"/>
              <w:widowControl w:val="0"/>
              <w:rPr>
                <w:b/>
              </w:rPr>
            </w:pPr>
            <w:r w:rsidRPr="00DA6489">
              <w:rPr>
                <w:b/>
              </w:rPr>
              <w:t>(</w:t>
            </w:r>
            <w:proofErr w:type="gramStart"/>
            <w:r w:rsidRPr="00DA6489">
              <w:rPr>
                <w:b/>
              </w:rPr>
              <w:t>moyenne</w:t>
            </w:r>
            <w:proofErr w:type="gramEnd"/>
            <w:r w:rsidRPr="00DA6489">
              <w:rPr>
                <w:b/>
              </w:rPr>
              <w:t xml:space="preserve"> journalière ou moyenne sur la période d’échantillonnage)</w:t>
            </w:r>
          </w:p>
        </w:tc>
      </w:tr>
      <w:tr w:rsidR="005C0576" w:rsidRPr="00DA6489" w14:paraId="7A3E7322" w14:textId="77777777">
        <w:trPr>
          <w:jc w:val="center"/>
        </w:trPr>
        <w:tc>
          <w:tcPr>
            <w:tcW w:w="1218" w:type="dxa"/>
            <w:tcBorders>
              <w:top w:val="single" w:sz="4" w:space="0" w:color="000000"/>
              <w:left w:val="single" w:sz="4" w:space="0" w:color="000000"/>
              <w:bottom w:val="single" w:sz="4" w:space="0" w:color="000000"/>
              <w:right w:val="single" w:sz="4" w:space="0" w:color="000000"/>
            </w:tcBorders>
          </w:tcPr>
          <w:p w14:paraId="6A8F241B" w14:textId="77777777" w:rsidR="005C0576" w:rsidRPr="00DA6489" w:rsidRDefault="00520523">
            <w:pPr>
              <w:pStyle w:val="Policedetableau"/>
              <w:widowControl w:val="0"/>
            </w:pPr>
            <w:r w:rsidRPr="00DA6489">
              <w:t>NO</w:t>
            </w:r>
            <w:r w:rsidRPr="00DA6489">
              <w:rPr>
                <w:vertAlign w:val="subscript"/>
              </w:rPr>
              <w:t>X</w:t>
            </w:r>
          </w:p>
        </w:tc>
        <w:tc>
          <w:tcPr>
            <w:tcW w:w="959" w:type="dxa"/>
            <w:tcBorders>
              <w:top w:val="single" w:sz="4" w:space="0" w:color="000000"/>
              <w:left w:val="single" w:sz="4" w:space="0" w:color="000000"/>
              <w:bottom w:val="single" w:sz="4" w:space="0" w:color="000000"/>
              <w:right w:val="single" w:sz="4" w:space="0" w:color="000000"/>
            </w:tcBorders>
          </w:tcPr>
          <w:p w14:paraId="1068FFDF" w14:textId="77777777" w:rsidR="005C0576" w:rsidRPr="00DA6489" w:rsidRDefault="00520523">
            <w:pPr>
              <w:pStyle w:val="Policedetableau"/>
              <w:widowControl w:val="0"/>
            </w:pPr>
            <w:proofErr w:type="gramStart"/>
            <w:r w:rsidRPr="00DA6489">
              <w:t>mg</w:t>
            </w:r>
            <w:proofErr w:type="gramEnd"/>
            <w:r w:rsidRPr="00DA6489">
              <w:t>/Nm</w:t>
            </w:r>
            <w:r w:rsidRPr="00DA6489">
              <w:rPr>
                <w:vertAlign w:val="superscript"/>
              </w:rPr>
              <w:t>3</w:t>
            </w:r>
          </w:p>
        </w:tc>
        <w:tc>
          <w:tcPr>
            <w:tcW w:w="6318" w:type="dxa"/>
            <w:tcBorders>
              <w:top w:val="single" w:sz="4" w:space="0" w:color="000000"/>
              <w:left w:val="single" w:sz="4" w:space="0" w:color="000000"/>
              <w:bottom w:val="single" w:sz="4" w:space="0" w:color="000000"/>
              <w:right w:val="single" w:sz="4" w:space="0" w:color="000000"/>
            </w:tcBorders>
          </w:tcPr>
          <w:p w14:paraId="272CBC3F" w14:textId="77777777" w:rsidR="005C0576" w:rsidRPr="00DA6489" w:rsidRDefault="00520523">
            <w:pPr>
              <w:pStyle w:val="Policedetableau"/>
              <w:widowControl w:val="0"/>
            </w:pPr>
            <w:r w:rsidRPr="00DA6489">
              <w:t>300</w:t>
            </w:r>
          </w:p>
        </w:tc>
      </w:tr>
    </w:tbl>
    <w:p w14:paraId="48D3CCAC" w14:textId="77777777" w:rsidR="005C0576" w:rsidRPr="00DA6489" w:rsidRDefault="005C0576"/>
    <w:p w14:paraId="005FBCED" w14:textId="77777777" w:rsidR="005C0576" w:rsidRPr="00DA6489" w:rsidRDefault="00520523" w:rsidP="004E323C">
      <w:pPr>
        <w:pStyle w:val="Titre30"/>
        <w:ind w:firstLine="708"/>
      </w:pPr>
      <w:r w:rsidRPr="00DA6489">
        <w:t>2.</w:t>
      </w:r>
      <w:r w:rsidR="00306814" w:rsidRPr="00DA6489">
        <w:t>10</w:t>
      </w:r>
      <w:r w:rsidRPr="00DA6489">
        <w:t>.3</w:t>
      </w:r>
      <w:r w:rsidR="00391B2E" w:rsidRPr="00DA6489">
        <w:t>.</w:t>
      </w:r>
      <w:r w:rsidRPr="00DA6489">
        <w:t xml:space="preserve"> Émissions atmosphériques dues au trempage à chaud</w:t>
      </w:r>
    </w:p>
    <w:p w14:paraId="73DF8CC9" w14:textId="77777777" w:rsidR="005C0576" w:rsidRPr="00DA6489" w:rsidRDefault="00520523">
      <w:r w:rsidRPr="00DA6489">
        <w:t>L’exploitant réduit la production d’émissions de poussières et de zinc dues au trempage à chaud après fluxage en appliquant la technique b) ou les techniques a) et b), collecte les émissions en appliquant la technique c) ou la technique d), et traite les gaz résiduaires en appliquant la technique e) indiquée ci-dessous.</w:t>
      </w:r>
    </w:p>
    <w:tbl>
      <w:tblPr>
        <w:tblW w:w="5000" w:type="pct"/>
        <w:tblLayout w:type="fixed"/>
        <w:tblLook w:val="01E0" w:firstRow="1" w:lastRow="1" w:firstColumn="1" w:lastColumn="1" w:noHBand="0" w:noVBand="0"/>
      </w:tblPr>
      <w:tblGrid>
        <w:gridCol w:w="375"/>
        <w:gridCol w:w="1696"/>
        <w:gridCol w:w="3512"/>
        <w:gridCol w:w="2911"/>
      </w:tblGrid>
      <w:tr w:rsidR="005C0576" w:rsidRPr="00DA6489" w14:paraId="7DFC2DFE" w14:textId="77777777">
        <w:tc>
          <w:tcPr>
            <w:tcW w:w="2073" w:type="dxa"/>
            <w:gridSpan w:val="2"/>
            <w:tcBorders>
              <w:top w:val="single" w:sz="4" w:space="0" w:color="000000"/>
              <w:left w:val="single" w:sz="4" w:space="0" w:color="000000"/>
              <w:bottom w:val="single" w:sz="4" w:space="0" w:color="000000"/>
              <w:right w:val="single" w:sz="4" w:space="0" w:color="000000"/>
            </w:tcBorders>
            <w:shd w:val="clear" w:color="auto" w:fill="auto"/>
          </w:tcPr>
          <w:p w14:paraId="6229002B" w14:textId="77777777" w:rsidR="005C0576" w:rsidRPr="00DA6489" w:rsidRDefault="00520523">
            <w:pPr>
              <w:pStyle w:val="Policedetableau"/>
              <w:widowControl w:val="0"/>
              <w:rPr>
                <w:b/>
              </w:rPr>
            </w:pPr>
            <w:r w:rsidRPr="00DA6489">
              <w:rPr>
                <w:b/>
              </w:rPr>
              <w:lastRenderedPageBreak/>
              <w:t>Technique</w:t>
            </w:r>
          </w:p>
        </w:tc>
        <w:tc>
          <w:tcPr>
            <w:tcW w:w="3516" w:type="dxa"/>
            <w:tcBorders>
              <w:top w:val="single" w:sz="4" w:space="0" w:color="000000"/>
              <w:left w:val="single" w:sz="4" w:space="0" w:color="000000"/>
              <w:bottom w:val="single" w:sz="4" w:space="0" w:color="000000"/>
              <w:right w:val="single" w:sz="4" w:space="0" w:color="000000"/>
            </w:tcBorders>
            <w:shd w:val="clear" w:color="auto" w:fill="auto"/>
          </w:tcPr>
          <w:p w14:paraId="59F8514E" w14:textId="77777777" w:rsidR="005C0576" w:rsidRPr="00DA6489" w:rsidRDefault="00520523">
            <w:pPr>
              <w:pStyle w:val="Policedetableau"/>
              <w:widowControl w:val="0"/>
              <w:rPr>
                <w:b/>
              </w:rPr>
            </w:pPr>
            <w:r w:rsidRPr="00DA6489">
              <w:rPr>
                <w:b/>
              </w:rPr>
              <w:t>Description</w:t>
            </w:r>
          </w:p>
        </w:tc>
        <w:tc>
          <w:tcPr>
            <w:tcW w:w="2914" w:type="dxa"/>
            <w:tcBorders>
              <w:top w:val="single" w:sz="4" w:space="0" w:color="000000"/>
              <w:left w:val="single" w:sz="4" w:space="0" w:color="000000"/>
              <w:bottom w:val="single" w:sz="4" w:space="0" w:color="000000"/>
              <w:right w:val="single" w:sz="4" w:space="0" w:color="000000"/>
            </w:tcBorders>
          </w:tcPr>
          <w:p w14:paraId="2653F574" w14:textId="77777777" w:rsidR="005C0576" w:rsidRPr="00DA6489" w:rsidRDefault="00520523">
            <w:pPr>
              <w:pStyle w:val="Policedetableau"/>
              <w:widowControl w:val="0"/>
              <w:rPr>
                <w:b/>
              </w:rPr>
            </w:pPr>
            <w:r w:rsidRPr="00DA6489">
              <w:rPr>
                <w:b/>
              </w:rPr>
              <w:t>Applicabilité</w:t>
            </w:r>
          </w:p>
        </w:tc>
      </w:tr>
      <w:tr w:rsidR="005C0576" w:rsidRPr="00DA6489" w14:paraId="392802F7" w14:textId="77777777">
        <w:tc>
          <w:tcPr>
            <w:tcW w:w="850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E7D54B8" w14:textId="77777777" w:rsidR="005C0576" w:rsidRPr="00DA6489" w:rsidRDefault="00520523">
            <w:pPr>
              <w:pStyle w:val="Policedetableau"/>
              <w:widowControl w:val="0"/>
              <w:rPr>
                <w:b/>
                <w:i/>
              </w:rPr>
            </w:pPr>
            <w:r w:rsidRPr="00DA6489">
              <w:rPr>
                <w:b/>
                <w:i/>
              </w:rPr>
              <w:t>Réduction de la production d’émissions</w:t>
            </w:r>
          </w:p>
        </w:tc>
      </w:tr>
      <w:tr w:rsidR="005C0576" w:rsidRPr="00DA6489" w14:paraId="23801031" w14:textId="77777777">
        <w:trPr>
          <w:trHeight w:val="1277"/>
        </w:trPr>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069BB1" w14:textId="77777777" w:rsidR="005C0576" w:rsidRPr="00DA6489" w:rsidRDefault="00520523">
            <w:pPr>
              <w:pStyle w:val="Policedetableau"/>
              <w:widowControl w:val="0"/>
            </w:pPr>
            <w:proofErr w:type="gramStart"/>
            <w:r w:rsidRPr="00DA6489">
              <w:t>a</w:t>
            </w:r>
            <w:proofErr w:type="gramEnd"/>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FA699" w14:textId="77777777" w:rsidR="005C0576" w:rsidRPr="00DA6489" w:rsidRDefault="00520523">
            <w:pPr>
              <w:pStyle w:val="Policedetableau"/>
              <w:widowControl w:val="0"/>
            </w:pPr>
            <w:r w:rsidRPr="00DA6489">
              <w:t>Fluxage produisant peu de fumées</w:t>
            </w:r>
          </w:p>
        </w:tc>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7187E" w14:textId="77777777" w:rsidR="005C0576" w:rsidRPr="00DA6489" w:rsidRDefault="00520523">
            <w:pPr>
              <w:pStyle w:val="Policedetableau"/>
              <w:widowControl w:val="0"/>
            </w:pPr>
            <w:r w:rsidRPr="00DA6489">
              <w:t>Le chlorure d’ammonium contenu dans les agents de fluxage est partiellement remplacé par d’autres chlorures alcalins (par exemple, le chlorure de potassium) afin de réduire la formation de poussières.</w:t>
            </w:r>
          </w:p>
        </w:tc>
        <w:tc>
          <w:tcPr>
            <w:tcW w:w="2914" w:type="dxa"/>
            <w:tcBorders>
              <w:top w:val="single" w:sz="4" w:space="0" w:color="000000"/>
              <w:left w:val="single" w:sz="4" w:space="0" w:color="000000"/>
              <w:bottom w:val="single" w:sz="4" w:space="0" w:color="000000"/>
              <w:right w:val="single" w:sz="4" w:space="0" w:color="000000"/>
            </w:tcBorders>
            <w:vAlign w:val="center"/>
          </w:tcPr>
          <w:p w14:paraId="02737C9C" w14:textId="77777777" w:rsidR="005C0576" w:rsidRPr="00DA6489" w:rsidRDefault="00520523">
            <w:pPr>
              <w:pStyle w:val="Policedetableau"/>
              <w:widowControl w:val="0"/>
            </w:pPr>
            <w:r w:rsidRPr="00DA6489">
              <w:t>L’applicabilité peut être limitée en raison des spécifications du produit.</w:t>
            </w:r>
          </w:p>
        </w:tc>
      </w:tr>
      <w:tr w:rsidR="005C0576" w:rsidRPr="00DA6489" w14:paraId="497A146E" w14:textId="77777777">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9DF08" w14:textId="77777777" w:rsidR="005C0576" w:rsidRPr="00DA6489" w:rsidRDefault="00520523">
            <w:pPr>
              <w:pStyle w:val="Policedetableau"/>
              <w:widowControl w:val="0"/>
            </w:pPr>
            <w:proofErr w:type="gramStart"/>
            <w:r w:rsidRPr="00DA6489">
              <w:t>b</w:t>
            </w:r>
            <w:proofErr w:type="gramEnd"/>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DD500" w14:textId="77777777" w:rsidR="005C0576" w:rsidRPr="00DA6489" w:rsidRDefault="00520523">
            <w:pPr>
              <w:pStyle w:val="Policedetableau"/>
              <w:widowControl w:val="0"/>
            </w:pPr>
            <w:r w:rsidRPr="00DA6489">
              <w:t>Minimisation de l’entraînement de la solution de fluxage</w:t>
            </w:r>
          </w:p>
        </w:tc>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14974" w14:textId="77777777" w:rsidR="005C0576" w:rsidRPr="00DA6489" w:rsidRDefault="00520523">
            <w:pPr>
              <w:pStyle w:val="Policedetableau"/>
              <w:widowControl w:val="0"/>
            </w:pPr>
            <w:r w:rsidRPr="00DA6489">
              <w:t>Il s’agit notamment des techniques suivantes :</w:t>
            </w:r>
          </w:p>
          <w:p w14:paraId="0B3BB991" w14:textId="77670CD0" w:rsidR="005C0576" w:rsidRPr="00DA6489" w:rsidRDefault="00CB6505">
            <w:pPr>
              <w:pStyle w:val="Policedetableau"/>
              <w:widowControl w:val="0"/>
            </w:pPr>
            <w:r w:rsidRPr="00DA6489">
              <w:t xml:space="preserve">- </w:t>
            </w:r>
            <w:r w:rsidR="00A97472" w:rsidRPr="00DA6489">
              <w:t xml:space="preserve">optimisation </w:t>
            </w:r>
            <w:r w:rsidR="00520523" w:rsidRPr="00DA6489">
              <w:t>d</w:t>
            </w:r>
            <w:r w:rsidRPr="00DA6489">
              <w:t>u</w:t>
            </w:r>
            <w:r w:rsidR="00520523" w:rsidRPr="00DA6489">
              <w:t xml:space="preserve"> temps pour que la solution de fluxage s’égoutte </w:t>
            </w:r>
            <w:r w:rsidR="00306814" w:rsidRPr="00DA6489">
              <w:t>suffisamment ;</w:t>
            </w:r>
          </w:p>
          <w:p w14:paraId="0D4A9BAA" w14:textId="4763836B" w:rsidR="005C0576" w:rsidRPr="00DA6489" w:rsidRDefault="00CB6505">
            <w:pPr>
              <w:pStyle w:val="Policedetableau"/>
              <w:widowControl w:val="0"/>
            </w:pPr>
            <w:r w:rsidRPr="00DA6489">
              <w:t xml:space="preserve">- </w:t>
            </w:r>
            <w:r w:rsidR="00A97472" w:rsidRPr="00DA6489">
              <w:t xml:space="preserve">mise </w:t>
            </w:r>
            <w:r w:rsidRPr="00DA6489">
              <w:t>en place d’</w:t>
            </w:r>
            <w:r w:rsidR="00520523" w:rsidRPr="00DA6489">
              <w:t>un séchage avant le trempage.</w:t>
            </w:r>
          </w:p>
        </w:tc>
        <w:tc>
          <w:tcPr>
            <w:tcW w:w="2914" w:type="dxa"/>
            <w:tcBorders>
              <w:top w:val="single" w:sz="4" w:space="0" w:color="000000"/>
              <w:left w:val="single" w:sz="4" w:space="0" w:color="000000"/>
              <w:bottom w:val="single" w:sz="4" w:space="0" w:color="000000"/>
              <w:right w:val="single" w:sz="4" w:space="0" w:color="000000"/>
            </w:tcBorders>
            <w:vAlign w:val="center"/>
          </w:tcPr>
          <w:p w14:paraId="02426DC7" w14:textId="77777777" w:rsidR="005C0576" w:rsidRPr="00DA6489" w:rsidRDefault="00F95481">
            <w:pPr>
              <w:pStyle w:val="Policedetableau"/>
              <w:widowControl w:val="0"/>
            </w:pPr>
            <w:r w:rsidRPr="00DA6489">
              <w:t>Applicable d’une manière générale. </w:t>
            </w:r>
          </w:p>
        </w:tc>
      </w:tr>
      <w:tr w:rsidR="005C0576" w:rsidRPr="00DA6489" w14:paraId="0247F9EB" w14:textId="77777777">
        <w:tc>
          <w:tcPr>
            <w:tcW w:w="558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B6E8F16" w14:textId="77777777" w:rsidR="005C0576" w:rsidRPr="00DA6489" w:rsidRDefault="00520523">
            <w:pPr>
              <w:pStyle w:val="Policedetableau"/>
              <w:widowControl w:val="0"/>
              <w:rPr>
                <w:b/>
                <w:i/>
              </w:rPr>
            </w:pPr>
            <w:r w:rsidRPr="00DA6489">
              <w:rPr>
                <w:b/>
                <w:i/>
              </w:rPr>
              <w:t>Collecte des émissions</w:t>
            </w:r>
          </w:p>
        </w:tc>
        <w:tc>
          <w:tcPr>
            <w:tcW w:w="2914" w:type="dxa"/>
            <w:tcBorders>
              <w:top w:val="single" w:sz="4" w:space="0" w:color="000000"/>
              <w:left w:val="single" w:sz="4" w:space="0" w:color="000000"/>
              <w:bottom w:val="single" w:sz="4" w:space="0" w:color="000000"/>
              <w:right w:val="single" w:sz="4" w:space="0" w:color="000000"/>
            </w:tcBorders>
          </w:tcPr>
          <w:p w14:paraId="0B7428A5" w14:textId="77777777" w:rsidR="005C0576" w:rsidRPr="00DA6489" w:rsidRDefault="005C0576">
            <w:pPr>
              <w:pStyle w:val="Policedetableau"/>
              <w:widowControl w:val="0"/>
            </w:pPr>
          </w:p>
        </w:tc>
      </w:tr>
      <w:tr w:rsidR="005C0576" w:rsidRPr="00DA6489" w14:paraId="025767E3" w14:textId="77777777">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B53C9" w14:textId="77777777" w:rsidR="005C0576" w:rsidRPr="00DA6489" w:rsidRDefault="00520523">
            <w:pPr>
              <w:pStyle w:val="Policedetableau"/>
              <w:widowControl w:val="0"/>
            </w:pPr>
            <w:proofErr w:type="gramStart"/>
            <w:r w:rsidRPr="00DA6489">
              <w:t>c</w:t>
            </w:r>
            <w:proofErr w:type="gramEnd"/>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A0E54" w14:textId="77777777" w:rsidR="005C0576" w:rsidRPr="00DA6489" w:rsidRDefault="00520523">
            <w:pPr>
              <w:pStyle w:val="Policedetableau"/>
              <w:widowControl w:val="0"/>
            </w:pPr>
            <w:r w:rsidRPr="00DA6489">
              <w:t>Extraction d’air le plus près possible de la source d’émission</w:t>
            </w:r>
          </w:p>
        </w:tc>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481DC" w14:textId="77777777" w:rsidR="005C0576" w:rsidRPr="00DA6489" w:rsidRDefault="00520523">
            <w:pPr>
              <w:pStyle w:val="Policedetableau"/>
              <w:widowControl w:val="0"/>
            </w:pPr>
            <w:r w:rsidRPr="00DA6489">
              <w:t>L’air de la cuve est évacué, par exemple à l’aide d’une hotte aspirante latérale ou d’un système d’extraction de bord.</w:t>
            </w:r>
          </w:p>
        </w:tc>
        <w:tc>
          <w:tcPr>
            <w:tcW w:w="2914" w:type="dxa"/>
            <w:tcBorders>
              <w:top w:val="single" w:sz="4" w:space="0" w:color="000000"/>
              <w:left w:val="single" w:sz="4" w:space="0" w:color="000000"/>
              <w:bottom w:val="single" w:sz="4" w:space="0" w:color="000000"/>
              <w:right w:val="single" w:sz="4" w:space="0" w:color="000000"/>
            </w:tcBorders>
            <w:vAlign w:val="center"/>
          </w:tcPr>
          <w:p w14:paraId="6CD6AA7D" w14:textId="77777777" w:rsidR="005C0576" w:rsidRPr="00DA6489" w:rsidRDefault="00F95481">
            <w:pPr>
              <w:pStyle w:val="Policedetableau"/>
              <w:widowControl w:val="0"/>
            </w:pPr>
            <w:r w:rsidRPr="00DA6489">
              <w:t>Applicable d’une manière générale. </w:t>
            </w:r>
          </w:p>
        </w:tc>
      </w:tr>
      <w:tr w:rsidR="005C0576" w:rsidRPr="00DA6489" w14:paraId="35D0FE2E" w14:textId="77777777">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92749" w14:textId="77777777" w:rsidR="005C0576" w:rsidRPr="00DA6489" w:rsidRDefault="00520523">
            <w:pPr>
              <w:pStyle w:val="Policedetableau"/>
              <w:widowControl w:val="0"/>
            </w:pPr>
            <w:proofErr w:type="gramStart"/>
            <w:r w:rsidRPr="00DA6489">
              <w:t>d</w:t>
            </w:r>
            <w:proofErr w:type="gramEnd"/>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501BA" w14:textId="77777777" w:rsidR="005C0576" w:rsidRPr="00DA6489" w:rsidRDefault="00520523">
            <w:pPr>
              <w:pStyle w:val="Policedetableau"/>
              <w:widowControl w:val="0"/>
            </w:pPr>
            <w:r w:rsidRPr="00DA6489">
              <w:t>Cuve sous enceinte combinée à un système d’extraction de l’air</w:t>
            </w:r>
          </w:p>
        </w:tc>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FFDD5" w14:textId="77777777" w:rsidR="005C0576" w:rsidRPr="00DA6489" w:rsidRDefault="00520523">
            <w:pPr>
              <w:pStyle w:val="Policedetableau"/>
              <w:widowControl w:val="0"/>
            </w:pPr>
            <w:r w:rsidRPr="00DA6489">
              <w:t>Le trempage à chaud s’effectue dans une cuve fermée et l’air est évacué</w:t>
            </w:r>
            <w:r w:rsidR="008F2553" w:rsidRPr="00DA6489">
              <w:t xml:space="preserve"> par extraction</w:t>
            </w:r>
            <w:r w:rsidRPr="00DA6489">
              <w:t>.</w:t>
            </w:r>
          </w:p>
        </w:tc>
        <w:tc>
          <w:tcPr>
            <w:tcW w:w="2914" w:type="dxa"/>
            <w:tcBorders>
              <w:top w:val="single" w:sz="4" w:space="0" w:color="000000"/>
              <w:left w:val="single" w:sz="4" w:space="0" w:color="000000"/>
              <w:bottom w:val="single" w:sz="4" w:space="0" w:color="000000"/>
              <w:right w:val="single" w:sz="4" w:space="0" w:color="000000"/>
            </w:tcBorders>
          </w:tcPr>
          <w:p w14:paraId="7BF9B63B" w14:textId="77777777" w:rsidR="005C0576" w:rsidRPr="00DA6489" w:rsidRDefault="00520523">
            <w:pPr>
              <w:pStyle w:val="Policedetableau"/>
              <w:widowControl w:val="0"/>
            </w:pPr>
            <w:r w:rsidRPr="00DA6489">
              <w:t>L’applicabilité aux unités existantes peut être limitée lorsque l’enceinte interfère avec un système de transport existant pour les pièces à traiter lors de la galvanisation discontinue.</w:t>
            </w:r>
          </w:p>
        </w:tc>
      </w:tr>
      <w:tr w:rsidR="005C0576" w:rsidRPr="00DA6489" w14:paraId="6B39C842" w14:textId="77777777">
        <w:tc>
          <w:tcPr>
            <w:tcW w:w="850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DB3F138" w14:textId="77777777" w:rsidR="005C0576" w:rsidRPr="00DA6489" w:rsidRDefault="00520523">
            <w:pPr>
              <w:pStyle w:val="Policedetableau"/>
              <w:widowControl w:val="0"/>
              <w:rPr>
                <w:b/>
                <w:i/>
              </w:rPr>
            </w:pPr>
            <w:r w:rsidRPr="00DA6489">
              <w:rPr>
                <w:b/>
                <w:i/>
              </w:rPr>
              <w:t>Traitement des gaz résiduaires</w:t>
            </w:r>
          </w:p>
        </w:tc>
      </w:tr>
      <w:tr w:rsidR="005C0576" w:rsidRPr="00DA6489" w14:paraId="17BDB25F" w14:textId="77777777">
        <w:trPr>
          <w:trHeight w:val="50"/>
        </w:trPr>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480CB" w14:textId="77777777" w:rsidR="005C0576" w:rsidRPr="00DA6489" w:rsidRDefault="00520523">
            <w:pPr>
              <w:pStyle w:val="Policedetableau"/>
              <w:widowControl w:val="0"/>
            </w:pPr>
            <w:proofErr w:type="gramStart"/>
            <w:r w:rsidRPr="00DA6489">
              <w:t>e</w:t>
            </w:r>
            <w:proofErr w:type="gramEnd"/>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DA61D" w14:textId="77777777" w:rsidR="005C0576" w:rsidRPr="00DA6489" w:rsidRDefault="00520523">
            <w:pPr>
              <w:pStyle w:val="Policedetableau"/>
              <w:widowControl w:val="0"/>
            </w:pPr>
            <w:r w:rsidRPr="00DA6489">
              <w:t>Filtre en tissu</w:t>
            </w:r>
          </w:p>
        </w:tc>
        <w:tc>
          <w:tcPr>
            <w:tcW w:w="35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A937B" w14:textId="77777777" w:rsidR="005C0576" w:rsidRPr="00DA6489" w:rsidRDefault="00520523">
            <w:pPr>
              <w:pStyle w:val="Policedetableau"/>
              <w:widowControl w:val="0"/>
            </w:pPr>
            <w:r w:rsidRPr="00DA6489">
              <w:t xml:space="preserve">Voir le point </w:t>
            </w:r>
            <w:r w:rsidR="00636254" w:rsidRPr="00DA6489">
              <w:t>1.1.</w:t>
            </w:r>
          </w:p>
        </w:tc>
        <w:tc>
          <w:tcPr>
            <w:tcW w:w="2914" w:type="dxa"/>
            <w:tcBorders>
              <w:top w:val="single" w:sz="4" w:space="0" w:color="000000"/>
              <w:left w:val="single" w:sz="4" w:space="0" w:color="000000"/>
              <w:bottom w:val="single" w:sz="4" w:space="0" w:color="000000"/>
              <w:right w:val="single" w:sz="4" w:space="0" w:color="000000"/>
            </w:tcBorders>
          </w:tcPr>
          <w:p w14:paraId="3C68B392" w14:textId="77777777" w:rsidR="005C0576" w:rsidRPr="00DA6489" w:rsidRDefault="00F95481">
            <w:pPr>
              <w:pStyle w:val="Policedetableau"/>
              <w:widowControl w:val="0"/>
            </w:pPr>
            <w:r w:rsidRPr="00DA6489">
              <w:t>Applicable d’une manière générale. </w:t>
            </w:r>
          </w:p>
        </w:tc>
      </w:tr>
    </w:tbl>
    <w:p w14:paraId="6370A12E" w14:textId="77777777" w:rsidR="005C0576" w:rsidRPr="00DA6489" w:rsidRDefault="005C0576"/>
    <w:p w14:paraId="72E4442A" w14:textId="77777777" w:rsidR="005C0576" w:rsidRPr="00DA6489" w:rsidRDefault="00520523">
      <w:r w:rsidRPr="00DA6489">
        <w:t>L’exploitant respecte, pour les émissions de poussières, la valeur limite d’émission suivante.</w:t>
      </w:r>
    </w:p>
    <w:tbl>
      <w:tblPr>
        <w:tblW w:w="8495" w:type="dxa"/>
        <w:jc w:val="center"/>
        <w:tblLayout w:type="fixed"/>
        <w:tblLook w:val="04A0" w:firstRow="1" w:lastRow="0" w:firstColumn="1" w:lastColumn="0" w:noHBand="0" w:noVBand="1"/>
      </w:tblPr>
      <w:tblGrid>
        <w:gridCol w:w="2822"/>
        <w:gridCol w:w="1969"/>
        <w:gridCol w:w="3704"/>
      </w:tblGrid>
      <w:tr w:rsidR="005C0576" w:rsidRPr="00DA6489" w14:paraId="267500FC" w14:textId="77777777">
        <w:trPr>
          <w:cantSplit/>
          <w:tblHeader/>
          <w:jc w:val="center"/>
        </w:trPr>
        <w:tc>
          <w:tcPr>
            <w:tcW w:w="28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17F306" w14:textId="77777777" w:rsidR="005C0576" w:rsidRPr="00DA6489" w:rsidRDefault="00520523">
            <w:pPr>
              <w:pStyle w:val="Policedetableau"/>
              <w:widowControl w:val="0"/>
              <w:rPr>
                <w:b/>
              </w:rPr>
            </w:pPr>
            <w:r w:rsidRPr="00DA6489">
              <w:rPr>
                <w:b/>
              </w:rPr>
              <w:t>Paramètre</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2F915" w14:textId="77777777" w:rsidR="005C0576" w:rsidRPr="00DA6489" w:rsidRDefault="00520523">
            <w:pPr>
              <w:pStyle w:val="Policedetableau"/>
              <w:widowControl w:val="0"/>
              <w:rPr>
                <w:b/>
              </w:rPr>
            </w:pPr>
            <w:r w:rsidRPr="00DA6489">
              <w:rPr>
                <w:b/>
              </w:rPr>
              <w:t>Unité</w:t>
            </w:r>
          </w:p>
        </w:tc>
        <w:tc>
          <w:tcPr>
            <w:tcW w:w="3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A748C" w14:textId="77777777" w:rsidR="005C0576" w:rsidRPr="00DA6489" w:rsidRDefault="00520523">
            <w:pPr>
              <w:pStyle w:val="Policedetableau"/>
              <w:widowControl w:val="0"/>
              <w:rPr>
                <w:b/>
              </w:rPr>
            </w:pPr>
            <w:r w:rsidRPr="00DA6489">
              <w:rPr>
                <w:b/>
              </w:rPr>
              <w:t>VLE</w:t>
            </w:r>
          </w:p>
          <w:p w14:paraId="1945D124" w14:textId="77777777" w:rsidR="005C0576" w:rsidRPr="00DA6489" w:rsidRDefault="00520523">
            <w:pPr>
              <w:pStyle w:val="Policedetableau"/>
              <w:widowControl w:val="0"/>
              <w:rPr>
                <w:b/>
              </w:rPr>
            </w:pPr>
            <w:r w:rsidRPr="00DA6489">
              <w:rPr>
                <w:b/>
              </w:rPr>
              <w:t>(</w:t>
            </w:r>
            <w:proofErr w:type="gramStart"/>
            <w:r w:rsidRPr="00DA6489">
              <w:rPr>
                <w:b/>
              </w:rPr>
              <w:t>moyenne</w:t>
            </w:r>
            <w:proofErr w:type="gramEnd"/>
            <w:r w:rsidRPr="00DA6489">
              <w:rPr>
                <w:b/>
              </w:rPr>
              <w:t xml:space="preserve"> journalière ou moyenne sur la période d’échantillonnage)</w:t>
            </w:r>
          </w:p>
        </w:tc>
      </w:tr>
      <w:tr w:rsidR="005C0576" w:rsidRPr="00DA6489" w14:paraId="4F86A81E" w14:textId="77777777">
        <w:trPr>
          <w:cantSplit/>
          <w:tblHeader/>
          <w:jc w:val="center"/>
        </w:trPr>
        <w:tc>
          <w:tcPr>
            <w:tcW w:w="28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39225" w14:textId="77777777" w:rsidR="005C0576" w:rsidRPr="00DA6489" w:rsidRDefault="00520523">
            <w:pPr>
              <w:pStyle w:val="Policedetableau"/>
              <w:widowControl w:val="0"/>
            </w:pPr>
            <w:r w:rsidRPr="00DA6489">
              <w:t>Poussières</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A840A" w14:textId="77777777" w:rsidR="005C0576" w:rsidRPr="00DA6489" w:rsidRDefault="00520523">
            <w:pPr>
              <w:pStyle w:val="Policedetableau"/>
              <w:widowControl w:val="0"/>
            </w:pPr>
            <w:proofErr w:type="gramStart"/>
            <w:r w:rsidRPr="00DA6489">
              <w:t>mg</w:t>
            </w:r>
            <w:proofErr w:type="gramEnd"/>
            <w:r w:rsidRPr="00DA6489">
              <w:t>/Nm</w:t>
            </w:r>
            <w:r w:rsidRPr="00DA6489">
              <w:rPr>
                <w:vertAlign w:val="superscript"/>
              </w:rPr>
              <w:t>3</w:t>
            </w:r>
          </w:p>
        </w:tc>
        <w:tc>
          <w:tcPr>
            <w:tcW w:w="3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82B00" w14:textId="77777777" w:rsidR="005C0576" w:rsidRPr="00DA6489" w:rsidRDefault="00520523">
            <w:pPr>
              <w:pStyle w:val="Policedetableau"/>
              <w:widowControl w:val="0"/>
            </w:pPr>
            <w:r w:rsidRPr="00DA6489">
              <w:t>5</w:t>
            </w:r>
          </w:p>
        </w:tc>
      </w:tr>
    </w:tbl>
    <w:p w14:paraId="7BEC7052" w14:textId="094D0E3B" w:rsidR="005C0576" w:rsidRPr="00DA6489" w:rsidRDefault="00520523" w:rsidP="004E323C">
      <w:pPr>
        <w:pStyle w:val="Titre30"/>
        <w:ind w:firstLine="708"/>
      </w:pPr>
      <w:r w:rsidRPr="00DA6489">
        <w:t>2.10.4</w:t>
      </w:r>
      <w:r w:rsidR="00391B2E" w:rsidRPr="00DA6489">
        <w:t>.</w:t>
      </w:r>
      <w:r w:rsidRPr="00DA6489">
        <w:t xml:space="preserve"> Émissions atmosphériques dues au post-traitement</w:t>
      </w:r>
    </w:p>
    <w:p w14:paraId="389DE96F" w14:textId="77777777" w:rsidR="005C0576" w:rsidRPr="00DA6489" w:rsidRDefault="00520523">
      <w:r w:rsidRPr="00DA6489">
        <w:t>L’exploitant réduit les émissions atmosphériques provenant des bains ou des cuves chimiques lors du post-traitement (c’est-à-dire lors de la phosphatation et de la passivation), collecte les émissions en appliquant la technique a) ou la technique b) et, traite les gaz résiduaires en appliquant la technique c) et/ou la technique d) indiquées ci-dessous.</w:t>
      </w:r>
    </w:p>
    <w:tbl>
      <w:tblPr>
        <w:tblW w:w="8721" w:type="dxa"/>
        <w:tblLayout w:type="fixed"/>
        <w:tblLook w:val="01E0" w:firstRow="1" w:lastRow="1" w:firstColumn="1" w:lastColumn="1" w:noHBand="0" w:noVBand="0"/>
      </w:tblPr>
      <w:tblGrid>
        <w:gridCol w:w="376"/>
        <w:gridCol w:w="2284"/>
        <w:gridCol w:w="3594"/>
        <w:gridCol w:w="2467"/>
      </w:tblGrid>
      <w:tr w:rsidR="005C0576" w:rsidRPr="00DA6489" w14:paraId="45614CEC" w14:textId="77777777">
        <w:tc>
          <w:tcPr>
            <w:tcW w:w="2659" w:type="dxa"/>
            <w:gridSpan w:val="2"/>
            <w:tcBorders>
              <w:top w:val="single" w:sz="4" w:space="0" w:color="000000"/>
              <w:left w:val="single" w:sz="4" w:space="0" w:color="000000"/>
              <w:bottom w:val="single" w:sz="4" w:space="0" w:color="000000"/>
              <w:right w:val="single" w:sz="4" w:space="0" w:color="000000"/>
            </w:tcBorders>
            <w:shd w:val="clear" w:color="auto" w:fill="auto"/>
          </w:tcPr>
          <w:p w14:paraId="1D1113AE" w14:textId="77777777" w:rsidR="005C0576" w:rsidRPr="00DA6489" w:rsidRDefault="00520523">
            <w:pPr>
              <w:pStyle w:val="Policedetableau"/>
              <w:widowControl w:val="0"/>
              <w:rPr>
                <w:b/>
              </w:rPr>
            </w:pPr>
            <w:r w:rsidRPr="00DA6489">
              <w:rPr>
                <w:b/>
              </w:rPr>
              <w:t>Technique</w:t>
            </w: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14:paraId="332CB136" w14:textId="77777777" w:rsidR="005C0576" w:rsidRPr="00DA6489" w:rsidRDefault="00520523">
            <w:pPr>
              <w:pStyle w:val="Policedetableau"/>
              <w:widowControl w:val="0"/>
              <w:rPr>
                <w:b/>
              </w:rPr>
            </w:pPr>
            <w:r w:rsidRPr="00DA6489">
              <w:rPr>
                <w:b/>
              </w:rPr>
              <w:t>Description</w:t>
            </w:r>
          </w:p>
        </w:tc>
        <w:tc>
          <w:tcPr>
            <w:tcW w:w="2467" w:type="dxa"/>
            <w:tcBorders>
              <w:top w:val="single" w:sz="4" w:space="0" w:color="000000"/>
              <w:left w:val="single" w:sz="4" w:space="0" w:color="000000"/>
              <w:bottom w:val="single" w:sz="4" w:space="0" w:color="000000"/>
              <w:right w:val="single" w:sz="4" w:space="0" w:color="000000"/>
            </w:tcBorders>
          </w:tcPr>
          <w:p w14:paraId="54972488" w14:textId="77777777" w:rsidR="005C0576" w:rsidRPr="00DA6489" w:rsidRDefault="00520523">
            <w:pPr>
              <w:pStyle w:val="Policedetableau"/>
              <w:widowControl w:val="0"/>
              <w:rPr>
                <w:b/>
              </w:rPr>
            </w:pPr>
            <w:r w:rsidRPr="00DA6489">
              <w:rPr>
                <w:b/>
              </w:rPr>
              <w:t>Applicabilité</w:t>
            </w:r>
          </w:p>
        </w:tc>
      </w:tr>
      <w:tr w:rsidR="005C0576" w:rsidRPr="00DA6489" w14:paraId="273775BB" w14:textId="77777777">
        <w:tc>
          <w:tcPr>
            <w:tcW w:w="87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0D0D991" w14:textId="77777777" w:rsidR="005C0576" w:rsidRPr="00DA6489" w:rsidRDefault="00520523">
            <w:pPr>
              <w:pStyle w:val="Policedetableau"/>
              <w:widowControl w:val="0"/>
              <w:rPr>
                <w:b/>
                <w:i/>
              </w:rPr>
            </w:pPr>
            <w:r w:rsidRPr="00DA6489">
              <w:rPr>
                <w:b/>
                <w:i/>
              </w:rPr>
              <w:t>Collecte des émissions</w:t>
            </w:r>
          </w:p>
        </w:tc>
      </w:tr>
      <w:tr w:rsidR="005C0576" w:rsidRPr="00DA6489" w14:paraId="0A386180" w14:textId="77777777">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C498C" w14:textId="77777777" w:rsidR="005C0576" w:rsidRPr="00DA6489" w:rsidRDefault="00520523">
            <w:pPr>
              <w:pStyle w:val="Policedetableau"/>
              <w:widowControl w:val="0"/>
            </w:pPr>
            <w:proofErr w:type="gramStart"/>
            <w:r w:rsidRPr="00DA6489">
              <w:t>a</w:t>
            </w:r>
            <w:proofErr w:type="gramEnd"/>
          </w:p>
        </w:tc>
        <w:tc>
          <w:tcPr>
            <w:tcW w:w="2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E45B2" w14:textId="77777777" w:rsidR="005C0576" w:rsidRPr="00DA6489" w:rsidRDefault="00520523">
            <w:pPr>
              <w:pStyle w:val="Policedetableau"/>
              <w:widowControl w:val="0"/>
            </w:pPr>
            <w:r w:rsidRPr="00DA6489">
              <w:t>Extraction d’air le plus près possible de la source d’émission</w:t>
            </w:r>
          </w:p>
        </w:tc>
        <w:tc>
          <w:tcPr>
            <w:tcW w:w="3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47C3B" w14:textId="77777777" w:rsidR="005C0576" w:rsidRPr="00DA6489" w:rsidRDefault="00520523">
            <w:pPr>
              <w:pStyle w:val="Policedetableau"/>
              <w:widowControl w:val="0"/>
            </w:pPr>
            <w:r w:rsidRPr="00DA6489">
              <w:t xml:space="preserve">Les émissions provenant des cuves de stockage de produits chimiques et des bains chimiques sont captées, par exemple en appliquant une ou </w:t>
            </w:r>
            <w:r w:rsidRPr="00DA6489">
              <w:lastRenderedPageBreak/>
              <w:t>plusieurs des techniques suivantes :</w:t>
            </w:r>
          </w:p>
          <w:p w14:paraId="7AEEB09B" w14:textId="36E24FB8" w:rsidR="005C0576" w:rsidRPr="00DA6489" w:rsidRDefault="009400CA" w:rsidP="00F5776E">
            <w:pPr>
              <w:pStyle w:val="Policedetableau"/>
              <w:widowControl w:val="0"/>
              <w:numPr>
                <w:ilvl w:val="0"/>
                <w:numId w:val="3"/>
              </w:numPr>
              <w:ind w:left="205" w:hanging="205"/>
            </w:pPr>
            <w:proofErr w:type="gramStart"/>
            <w:r w:rsidRPr="00DA6489">
              <w:t>mise</w:t>
            </w:r>
            <w:proofErr w:type="gramEnd"/>
            <w:r w:rsidRPr="00DA6489">
              <w:t xml:space="preserve"> </w:t>
            </w:r>
            <w:r w:rsidR="008F2553" w:rsidRPr="00DA6489">
              <w:t xml:space="preserve">en place </w:t>
            </w:r>
            <w:r w:rsidRPr="00DA6489">
              <w:t xml:space="preserve">des hottes </w:t>
            </w:r>
            <w:r w:rsidR="00520523" w:rsidRPr="00DA6489">
              <w:t xml:space="preserve">aspirante latérale ou </w:t>
            </w:r>
            <w:r w:rsidR="008F2553" w:rsidRPr="00DA6489">
              <w:t xml:space="preserve">de </w:t>
            </w:r>
            <w:r w:rsidR="00520523" w:rsidRPr="00DA6489">
              <w:t>système d’extraction de bord</w:t>
            </w:r>
            <w:r w:rsidR="008F2553" w:rsidRPr="00DA6489">
              <w:t xml:space="preserve"> </w:t>
            </w:r>
            <w:r w:rsidR="00520523" w:rsidRPr="00DA6489">
              <w:t>;</w:t>
            </w:r>
          </w:p>
          <w:p w14:paraId="31FA2DF5" w14:textId="2319108D" w:rsidR="005C0576" w:rsidRPr="00DA6489" w:rsidRDefault="009400CA" w:rsidP="00F5776E">
            <w:pPr>
              <w:pStyle w:val="Policedetableau"/>
              <w:widowControl w:val="0"/>
              <w:numPr>
                <w:ilvl w:val="0"/>
                <w:numId w:val="3"/>
              </w:numPr>
              <w:ind w:left="205" w:hanging="205"/>
            </w:pPr>
            <w:proofErr w:type="gramStart"/>
            <w:r w:rsidRPr="00DA6489">
              <w:t>mise</w:t>
            </w:r>
            <w:proofErr w:type="gramEnd"/>
            <w:r w:rsidRPr="00DA6489">
              <w:t xml:space="preserve"> </w:t>
            </w:r>
            <w:r w:rsidR="008F2553" w:rsidRPr="00DA6489">
              <w:t xml:space="preserve">en place de </w:t>
            </w:r>
            <w:r w:rsidR="00520523" w:rsidRPr="00DA6489">
              <w:t>cuves équipées de couvercles mobiles ;</w:t>
            </w:r>
          </w:p>
          <w:p w14:paraId="65C1EF63" w14:textId="4947EB70" w:rsidR="005C0576" w:rsidRPr="00DA6489" w:rsidRDefault="009400CA" w:rsidP="00F5776E">
            <w:pPr>
              <w:pStyle w:val="Policedetableau"/>
              <w:widowControl w:val="0"/>
              <w:numPr>
                <w:ilvl w:val="0"/>
                <w:numId w:val="3"/>
              </w:numPr>
              <w:ind w:left="205" w:hanging="205"/>
            </w:pPr>
            <w:proofErr w:type="gramStart"/>
            <w:r w:rsidRPr="00DA6489">
              <w:t>mise</w:t>
            </w:r>
            <w:proofErr w:type="gramEnd"/>
            <w:r w:rsidRPr="00DA6489">
              <w:t xml:space="preserve"> </w:t>
            </w:r>
            <w:r w:rsidR="008F2553" w:rsidRPr="00DA6489">
              <w:t>en place d</w:t>
            </w:r>
            <w:r w:rsidR="00564D69">
              <w:t xml:space="preserve">e </w:t>
            </w:r>
            <w:r w:rsidR="00520523" w:rsidRPr="00DA6489">
              <w:t>hottes de couverture ;</w:t>
            </w:r>
          </w:p>
          <w:p w14:paraId="5C098B92" w14:textId="7BF4125C" w:rsidR="005C0576" w:rsidRPr="00DA6489" w:rsidRDefault="009400CA" w:rsidP="00F5776E">
            <w:pPr>
              <w:pStyle w:val="Policedetableau"/>
              <w:widowControl w:val="0"/>
              <w:numPr>
                <w:ilvl w:val="0"/>
                <w:numId w:val="3"/>
              </w:numPr>
              <w:ind w:left="205" w:hanging="205"/>
            </w:pPr>
            <w:proofErr w:type="gramStart"/>
            <w:r w:rsidRPr="00DA6489">
              <w:t>implantation</w:t>
            </w:r>
            <w:proofErr w:type="gramEnd"/>
            <w:r w:rsidRPr="00DA6489">
              <w:t xml:space="preserve"> </w:t>
            </w:r>
            <w:r w:rsidR="008F2553" w:rsidRPr="00DA6489">
              <w:t>d</w:t>
            </w:r>
            <w:r w:rsidR="00520523" w:rsidRPr="00DA6489">
              <w:t>es bains dans des zones confinées.</w:t>
            </w:r>
          </w:p>
          <w:p w14:paraId="753C3B60" w14:textId="77777777" w:rsidR="005C0576" w:rsidRPr="00DA6489" w:rsidRDefault="00520523">
            <w:pPr>
              <w:pStyle w:val="Policedetableau"/>
              <w:widowControl w:val="0"/>
            </w:pPr>
            <w:r w:rsidRPr="00DA6489">
              <w:t>Les émissions captées sont ensuite extraites.</w:t>
            </w:r>
          </w:p>
        </w:tc>
        <w:tc>
          <w:tcPr>
            <w:tcW w:w="2467" w:type="dxa"/>
            <w:tcBorders>
              <w:top w:val="single" w:sz="4" w:space="0" w:color="000000"/>
              <w:left w:val="single" w:sz="4" w:space="0" w:color="000000"/>
              <w:bottom w:val="single" w:sz="4" w:space="0" w:color="000000"/>
              <w:right w:val="single" w:sz="4" w:space="0" w:color="000000"/>
            </w:tcBorders>
          </w:tcPr>
          <w:p w14:paraId="22BEBBD3" w14:textId="77777777" w:rsidR="005C0576" w:rsidRPr="00DA6489" w:rsidRDefault="00520523">
            <w:pPr>
              <w:pStyle w:val="Policedetableau"/>
              <w:widowControl w:val="0"/>
            </w:pPr>
            <w:r w:rsidRPr="00DA6489">
              <w:lastRenderedPageBreak/>
              <w:t xml:space="preserve">Uniquement applicable lorsque le traitement est effectué par pulvérisation ou lorsque des substances </w:t>
            </w:r>
            <w:r w:rsidRPr="00DA6489">
              <w:lastRenderedPageBreak/>
              <w:t>volatiles sont utilisées.</w:t>
            </w:r>
          </w:p>
        </w:tc>
      </w:tr>
      <w:tr w:rsidR="005C0576" w:rsidRPr="00DA6489" w14:paraId="75436423" w14:textId="77777777">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128CB" w14:textId="77777777" w:rsidR="005C0576" w:rsidRPr="00DA6489" w:rsidRDefault="00520523">
            <w:pPr>
              <w:pStyle w:val="Policedetableau"/>
              <w:widowControl w:val="0"/>
            </w:pPr>
            <w:proofErr w:type="gramStart"/>
            <w:r w:rsidRPr="00DA6489">
              <w:lastRenderedPageBreak/>
              <w:t>b</w:t>
            </w:r>
            <w:proofErr w:type="gramEnd"/>
          </w:p>
        </w:tc>
        <w:tc>
          <w:tcPr>
            <w:tcW w:w="2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6BD8D" w14:textId="77777777" w:rsidR="005C0576" w:rsidRPr="00DA6489" w:rsidRDefault="00520523">
            <w:pPr>
              <w:pStyle w:val="Policedetableau"/>
              <w:widowControl w:val="0"/>
            </w:pPr>
            <w:r w:rsidRPr="00DA6489">
              <w:t>Cuves fermées combinées à un système d’extraction de l’air en cas de post-traitement continu</w:t>
            </w:r>
          </w:p>
        </w:tc>
        <w:tc>
          <w:tcPr>
            <w:tcW w:w="3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2A0D7" w14:textId="77777777" w:rsidR="005C0576" w:rsidRPr="00DA6489" w:rsidRDefault="00520523">
            <w:pPr>
              <w:pStyle w:val="Policedetableau"/>
              <w:widowControl w:val="0"/>
            </w:pPr>
            <w:r w:rsidRPr="00DA6489">
              <w:t>La phosphatation et la passivation s’effectuent dans des cuves fermées et l’air est extrait des cuves.</w:t>
            </w:r>
          </w:p>
        </w:tc>
        <w:tc>
          <w:tcPr>
            <w:tcW w:w="2467" w:type="dxa"/>
            <w:tcBorders>
              <w:top w:val="single" w:sz="4" w:space="0" w:color="000000"/>
              <w:left w:val="single" w:sz="4" w:space="0" w:color="000000"/>
              <w:bottom w:val="single" w:sz="4" w:space="0" w:color="000000"/>
              <w:right w:val="single" w:sz="4" w:space="0" w:color="000000"/>
            </w:tcBorders>
            <w:vAlign w:val="center"/>
          </w:tcPr>
          <w:p w14:paraId="1681310C" w14:textId="77777777" w:rsidR="005C0576" w:rsidRPr="00DA6489" w:rsidRDefault="00520523">
            <w:pPr>
              <w:pStyle w:val="Policedetableau"/>
              <w:widowControl w:val="0"/>
            </w:pPr>
            <w:r w:rsidRPr="00DA6489">
              <w:t>Uniquement applicable lorsque le traitement est effectué par pulvérisation ou lorsque des substances volatiles sont utilisées.</w:t>
            </w:r>
          </w:p>
        </w:tc>
      </w:tr>
      <w:tr w:rsidR="005C0576" w:rsidRPr="00DA6489" w14:paraId="109A82F9" w14:textId="77777777">
        <w:tc>
          <w:tcPr>
            <w:tcW w:w="872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5657732" w14:textId="77777777" w:rsidR="005C0576" w:rsidRPr="00DA6489" w:rsidRDefault="00520523">
            <w:pPr>
              <w:pStyle w:val="Policedetableau"/>
              <w:widowControl w:val="0"/>
              <w:rPr>
                <w:b/>
                <w:i/>
              </w:rPr>
            </w:pPr>
            <w:r w:rsidRPr="00DA6489">
              <w:rPr>
                <w:b/>
                <w:i/>
              </w:rPr>
              <w:t>Traitement des gaz résiduaires</w:t>
            </w:r>
          </w:p>
        </w:tc>
      </w:tr>
      <w:tr w:rsidR="005C0576" w:rsidRPr="00DA6489" w14:paraId="669CE66A" w14:textId="77777777">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F3AB7" w14:textId="77777777" w:rsidR="005C0576" w:rsidRPr="00DA6489" w:rsidRDefault="00520523">
            <w:pPr>
              <w:pStyle w:val="Policedetableau"/>
              <w:widowControl w:val="0"/>
            </w:pPr>
            <w:proofErr w:type="gramStart"/>
            <w:r w:rsidRPr="00DA6489">
              <w:t>c</w:t>
            </w:r>
            <w:proofErr w:type="gramEnd"/>
          </w:p>
        </w:tc>
        <w:tc>
          <w:tcPr>
            <w:tcW w:w="2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9C3110" w14:textId="77777777" w:rsidR="005C0576" w:rsidRPr="00DA6489" w:rsidRDefault="00520523">
            <w:pPr>
              <w:pStyle w:val="Policedetableau"/>
              <w:widowControl w:val="0"/>
            </w:pPr>
            <w:r w:rsidRPr="00DA6489">
              <w:t>Épuration par voie humide</w:t>
            </w:r>
          </w:p>
        </w:tc>
        <w:tc>
          <w:tcPr>
            <w:tcW w:w="3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2D73A" w14:textId="77777777" w:rsidR="005C0576" w:rsidRPr="00DA6489" w:rsidRDefault="00520523">
            <w:pPr>
              <w:pStyle w:val="Policedetableau"/>
              <w:widowControl w:val="0"/>
            </w:pPr>
            <w:r w:rsidRPr="00DA6489">
              <w:t xml:space="preserve">Voir le point </w:t>
            </w:r>
            <w:r w:rsidR="00636254" w:rsidRPr="00DA6489">
              <w:t>1.1.</w:t>
            </w:r>
          </w:p>
        </w:tc>
        <w:tc>
          <w:tcPr>
            <w:tcW w:w="2467" w:type="dxa"/>
            <w:tcBorders>
              <w:top w:val="single" w:sz="4" w:space="0" w:color="000000"/>
              <w:left w:val="single" w:sz="4" w:space="0" w:color="000000"/>
              <w:bottom w:val="single" w:sz="4" w:space="0" w:color="000000"/>
              <w:right w:val="single" w:sz="4" w:space="0" w:color="000000"/>
            </w:tcBorders>
          </w:tcPr>
          <w:p w14:paraId="4DD7B08D" w14:textId="77777777" w:rsidR="005C0576" w:rsidRPr="00DA6489" w:rsidRDefault="00F95481">
            <w:pPr>
              <w:pStyle w:val="Policedetableau"/>
              <w:widowControl w:val="0"/>
            </w:pPr>
            <w:r w:rsidRPr="00DA6489">
              <w:t>Applicable d’une manière générale. </w:t>
            </w:r>
          </w:p>
        </w:tc>
      </w:tr>
      <w:tr w:rsidR="005C0576" w:rsidRPr="00DA6489" w14:paraId="655D1E9E" w14:textId="77777777">
        <w:tc>
          <w:tcPr>
            <w:tcW w:w="3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05E81" w14:textId="77777777" w:rsidR="005C0576" w:rsidRPr="00DA6489" w:rsidRDefault="00520523">
            <w:pPr>
              <w:pStyle w:val="Policedetableau"/>
              <w:widowControl w:val="0"/>
            </w:pPr>
            <w:proofErr w:type="gramStart"/>
            <w:r w:rsidRPr="00DA6489">
              <w:t>d</w:t>
            </w:r>
            <w:proofErr w:type="gramEnd"/>
          </w:p>
        </w:tc>
        <w:tc>
          <w:tcPr>
            <w:tcW w:w="2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64737" w14:textId="77777777" w:rsidR="005C0576" w:rsidRPr="00DA6489" w:rsidRDefault="00520523">
            <w:pPr>
              <w:pStyle w:val="Policedetableau"/>
              <w:widowControl w:val="0"/>
            </w:pPr>
            <w:proofErr w:type="spellStart"/>
            <w:r w:rsidRPr="00DA6489">
              <w:t>Dévésiculeur</w:t>
            </w:r>
            <w:proofErr w:type="spellEnd"/>
          </w:p>
        </w:tc>
        <w:tc>
          <w:tcPr>
            <w:tcW w:w="35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6E658" w14:textId="77777777" w:rsidR="005C0576" w:rsidRPr="00DA6489" w:rsidRDefault="00520523">
            <w:pPr>
              <w:pStyle w:val="Policedetableau"/>
              <w:widowControl w:val="0"/>
            </w:pPr>
            <w:r w:rsidRPr="00DA6489">
              <w:t xml:space="preserve">Voir le point </w:t>
            </w:r>
            <w:r w:rsidR="00636254" w:rsidRPr="00DA6489">
              <w:t>1.1.</w:t>
            </w:r>
          </w:p>
        </w:tc>
        <w:tc>
          <w:tcPr>
            <w:tcW w:w="2467" w:type="dxa"/>
            <w:tcBorders>
              <w:top w:val="single" w:sz="4" w:space="0" w:color="000000"/>
              <w:left w:val="single" w:sz="4" w:space="0" w:color="000000"/>
              <w:bottom w:val="single" w:sz="4" w:space="0" w:color="000000"/>
              <w:right w:val="single" w:sz="4" w:space="0" w:color="000000"/>
            </w:tcBorders>
            <w:vAlign w:val="center"/>
          </w:tcPr>
          <w:p w14:paraId="580F7DE2" w14:textId="5E0CA52E" w:rsidR="005C0576" w:rsidRPr="00DA6489" w:rsidRDefault="00F95481">
            <w:pPr>
              <w:pStyle w:val="Policedetableau"/>
              <w:widowControl w:val="0"/>
            </w:pPr>
            <w:r w:rsidRPr="00DA6489">
              <w:t>Applicable d’une manière générale.</w:t>
            </w:r>
          </w:p>
        </w:tc>
      </w:tr>
    </w:tbl>
    <w:p w14:paraId="406C733B" w14:textId="77777777" w:rsidR="005C0576" w:rsidRPr="00DA6489" w:rsidRDefault="005C0576"/>
    <w:p w14:paraId="1B8D847D" w14:textId="77777777" w:rsidR="005C0576" w:rsidRPr="00DA6489" w:rsidRDefault="00520523" w:rsidP="004E323C">
      <w:pPr>
        <w:pStyle w:val="Titre30"/>
        <w:ind w:firstLine="708"/>
      </w:pPr>
      <w:r w:rsidRPr="00DA6489">
        <w:t>2.10.5</w:t>
      </w:r>
      <w:r w:rsidR="00391B2E" w:rsidRPr="00DA6489">
        <w:t>.</w:t>
      </w:r>
      <w:r w:rsidRPr="00DA6489">
        <w:t xml:space="preserve"> </w:t>
      </w:r>
      <w:bookmarkStart w:id="2" w:name="_Hlk185855832"/>
      <w:r w:rsidRPr="00DA6489">
        <w:t>Émissions atmosphériques dues à la régénération de l’acide usé</w:t>
      </w:r>
      <w:bookmarkEnd w:id="2"/>
    </w:p>
    <w:p w14:paraId="1F207206" w14:textId="671FF1F0" w:rsidR="005C0576" w:rsidRPr="00DA6489" w:rsidRDefault="00520523">
      <w:r w:rsidRPr="00DA6489">
        <w:t>I</w:t>
      </w:r>
      <w:r w:rsidR="008F2553" w:rsidRPr="00DA6489">
        <w:t xml:space="preserve">. </w:t>
      </w:r>
      <w:r w:rsidRPr="00DA6489">
        <w:t>- Lorsqu</w:t>
      </w:r>
      <w:r w:rsidR="00E418E8" w:rsidRPr="00DA6489">
        <w:t>e l’exploitant</w:t>
      </w:r>
      <w:r w:rsidRPr="00DA6489">
        <w:t xml:space="preserve"> utilise l’acide chlorhydrique, </w:t>
      </w:r>
      <w:r w:rsidR="00B34D3C">
        <w:t>il</w:t>
      </w:r>
      <w:r w:rsidR="00B34D3C" w:rsidRPr="00DA6489">
        <w:t xml:space="preserve"> </w:t>
      </w:r>
      <w:r w:rsidRPr="00DA6489">
        <w:t xml:space="preserve">respecte les valeurs limites d’émission suivantes pour les émissions atmosphériques canalisées de poussières, de </w:t>
      </w:r>
      <w:proofErr w:type="spellStart"/>
      <w:r w:rsidRPr="00DA6489">
        <w:t>HCl</w:t>
      </w:r>
      <w:proofErr w:type="spellEnd"/>
      <w:r w:rsidRPr="00DA6489">
        <w:t>, de SO</w:t>
      </w:r>
      <w:r w:rsidRPr="00DA6489">
        <w:rPr>
          <w:vertAlign w:val="subscript"/>
        </w:rPr>
        <w:t>2</w:t>
      </w:r>
      <w:r w:rsidRPr="00DA6489">
        <w:t xml:space="preserve"> et de NO</w:t>
      </w:r>
      <w:r w:rsidRPr="00DA6489">
        <w:rPr>
          <w:vertAlign w:val="subscript"/>
        </w:rPr>
        <w:t>X</w:t>
      </w:r>
      <w:r w:rsidRPr="00DA6489">
        <w:t xml:space="preserve"> dues à la régénération de l’acide chlorhydrique usé par </w:t>
      </w:r>
      <w:r w:rsidR="008F2553" w:rsidRPr="00DA6489">
        <w:t xml:space="preserve">la technique de </w:t>
      </w:r>
      <w:r w:rsidRPr="00DA6489">
        <w:t>grillage par pulvérisation ou par l’utilisation de réacteurs à lit fluidisé.</w:t>
      </w:r>
    </w:p>
    <w:tbl>
      <w:tblPr>
        <w:tblW w:w="5000" w:type="pct"/>
        <w:jc w:val="center"/>
        <w:tblLayout w:type="fixed"/>
        <w:tblLook w:val="04A0" w:firstRow="1" w:lastRow="0" w:firstColumn="1" w:lastColumn="0" w:noHBand="0" w:noVBand="1"/>
      </w:tblPr>
      <w:tblGrid>
        <w:gridCol w:w="1430"/>
        <w:gridCol w:w="1140"/>
        <w:gridCol w:w="5924"/>
      </w:tblGrid>
      <w:tr w:rsidR="005C0576" w:rsidRPr="00DA6489" w14:paraId="70F10055" w14:textId="77777777">
        <w:trPr>
          <w:cantSplit/>
          <w:tblHeader/>
          <w:jc w:val="center"/>
        </w:trPr>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31603" w14:textId="77777777" w:rsidR="005C0576" w:rsidRPr="00DA6489" w:rsidRDefault="00520523">
            <w:pPr>
              <w:pStyle w:val="Policedetableau"/>
              <w:widowControl w:val="0"/>
              <w:rPr>
                <w:b/>
              </w:rPr>
            </w:pPr>
            <w:r w:rsidRPr="00DA6489">
              <w:rPr>
                <w:b/>
              </w:rPr>
              <w:t>Paramètre</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5604" w14:textId="77777777" w:rsidR="005C0576" w:rsidRPr="00DA6489" w:rsidRDefault="00520523">
            <w:pPr>
              <w:pStyle w:val="Policedetableau"/>
              <w:widowControl w:val="0"/>
              <w:rPr>
                <w:b/>
              </w:rPr>
            </w:pPr>
            <w:r w:rsidRPr="00DA6489">
              <w:rPr>
                <w:b/>
              </w:rPr>
              <w:t>Unité</w:t>
            </w:r>
          </w:p>
        </w:tc>
        <w:tc>
          <w:tcPr>
            <w:tcW w:w="5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60CAFD" w14:textId="77777777" w:rsidR="005C0576" w:rsidRPr="00DA6489" w:rsidRDefault="00520523">
            <w:pPr>
              <w:pStyle w:val="Policedetableau"/>
              <w:widowControl w:val="0"/>
              <w:rPr>
                <w:b/>
              </w:rPr>
            </w:pPr>
            <w:r w:rsidRPr="00DA6489">
              <w:rPr>
                <w:b/>
              </w:rPr>
              <w:t>VLE</w:t>
            </w:r>
          </w:p>
          <w:p w14:paraId="62584F8F" w14:textId="77777777" w:rsidR="005C0576" w:rsidRPr="00DA6489" w:rsidRDefault="00520523">
            <w:pPr>
              <w:pStyle w:val="Policedetableau"/>
              <w:widowControl w:val="0"/>
              <w:rPr>
                <w:b/>
              </w:rPr>
            </w:pPr>
            <w:r w:rsidRPr="00DA6489">
              <w:rPr>
                <w:b/>
              </w:rPr>
              <w:t>(</w:t>
            </w:r>
            <w:proofErr w:type="gramStart"/>
            <w:r w:rsidRPr="00DA6489">
              <w:rPr>
                <w:b/>
              </w:rPr>
              <w:t>moyenne</w:t>
            </w:r>
            <w:proofErr w:type="gramEnd"/>
            <w:r w:rsidRPr="00DA6489">
              <w:rPr>
                <w:b/>
              </w:rPr>
              <w:t xml:space="preserve"> journalière ou moyenne sur la période d’échantillonnage)</w:t>
            </w:r>
          </w:p>
        </w:tc>
      </w:tr>
      <w:tr w:rsidR="005C0576" w:rsidRPr="00DA6489" w14:paraId="62B694EA" w14:textId="77777777">
        <w:trPr>
          <w:cantSplit/>
          <w:tblHeader/>
          <w:jc w:val="center"/>
        </w:trPr>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69F7B" w14:textId="77777777" w:rsidR="005C0576" w:rsidRPr="00DA6489" w:rsidRDefault="00520523">
            <w:pPr>
              <w:pStyle w:val="Policedetableau"/>
              <w:widowControl w:val="0"/>
            </w:pPr>
            <w:r w:rsidRPr="00DA6489">
              <w:t>Poussières</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13362" w14:textId="77777777" w:rsidR="005C0576" w:rsidRPr="00DA6489" w:rsidRDefault="00520523">
            <w:pPr>
              <w:pStyle w:val="Policedetableau"/>
              <w:widowControl w:val="0"/>
            </w:pPr>
            <w:proofErr w:type="gramStart"/>
            <w:r w:rsidRPr="00DA6489">
              <w:t>mg</w:t>
            </w:r>
            <w:proofErr w:type="gramEnd"/>
            <w:r w:rsidRPr="00DA6489">
              <w:t>/Nm</w:t>
            </w:r>
            <w:r w:rsidRPr="00DA6489">
              <w:rPr>
                <w:vertAlign w:val="superscript"/>
              </w:rPr>
              <w:t>3</w:t>
            </w:r>
          </w:p>
        </w:tc>
        <w:tc>
          <w:tcPr>
            <w:tcW w:w="5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D208C" w14:textId="77777777" w:rsidR="005C0576" w:rsidRPr="00DA6489" w:rsidRDefault="00520523">
            <w:pPr>
              <w:pStyle w:val="Policedetableau"/>
              <w:widowControl w:val="0"/>
            </w:pPr>
            <w:r w:rsidRPr="00DA6489">
              <w:t xml:space="preserve">15 </w:t>
            </w:r>
          </w:p>
        </w:tc>
      </w:tr>
      <w:tr w:rsidR="005C0576" w:rsidRPr="00DA6489" w14:paraId="7D93AAB4" w14:textId="77777777">
        <w:trPr>
          <w:cantSplit/>
          <w:tblHeader/>
          <w:jc w:val="center"/>
        </w:trPr>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BD12B" w14:textId="77777777" w:rsidR="005C0576" w:rsidRPr="00DA6489" w:rsidRDefault="00520523">
            <w:pPr>
              <w:pStyle w:val="Policedetableau"/>
              <w:widowControl w:val="0"/>
            </w:pPr>
            <w:proofErr w:type="spellStart"/>
            <w:r w:rsidRPr="00DA6489">
              <w:t>HCl</w:t>
            </w:r>
            <w:proofErr w:type="spellEnd"/>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41146" w14:textId="77777777" w:rsidR="005C0576" w:rsidRPr="00DA6489" w:rsidRDefault="00520523">
            <w:pPr>
              <w:pStyle w:val="Policedetableau"/>
              <w:widowControl w:val="0"/>
            </w:pPr>
            <w:proofErr w:type="gramStart"/>
            <w:r w:rsidRPr="00DA6489">
              <w:t>mg</w:t>
            </w:r>
            <w:proofErr w:type="gramEnd"/>
            <w:r w:rsidRPr="00DA6489">
              <w:t>/Nm</w:t>
            </w:r>
            <w:r w:rsidRPr="00DA6489">
              <w:rPr>
                <w:vertAlign w:val="superscript"/>
              </w:rPr>
              <w:t>3</w:t>
            </w:r>
          </w:p>
        </w:tc>
        <w:tc>
          <w:tcPr>
            <w:tcW w:w="5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77C2D" w14:textId="77777777" w:rsidR="005C0576" w:rsidRPr="00DA6489" w:rsidRDefault="00520523">
            <w:pPr>
              <w:pStyle w:val="Policedetableau"/>
              <w:widowControl w:val="0"/>
            </w:pPr>
            <w:r w:rsidRPr="00DA6489">
              <w:t xml:space="preserve">15 </w:t>
            </w:r>
          </w:p>
        </w:tc>
      </w:tr>
      <w:tr w:rsidR="005C0576" w:rsidRPr="00DA6489" w14:paraId="59DC44E1" w14:textId="77777777">
        <w:trPr>
          <w:cantSplit/>
          <w:tblHeader/>
          <w:jc w:val="center"/>
        </w:trPr>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8ABDC" w14:textId="77777777" w:rsidR="005C0576" w:rsidRPr="00DA6489" w:rsidRDefault="00520523">
            <w:pPr>
              <w:pStyle w:val="Policedetableau"/>
              <w:widowControl w:val="0"/>
            </w:pPr>
            <w:r w:rsidRPr="00DA6489">
              <w:t>SO</w:t>
            </w:r>
            <w:r w:rsidRPr="00DA6489">
              <w:rPr>
                <w:vertAlign w:val="subscript"/>
              </w:rPr>
              <w:t>2</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5E31F" w14:textId="77777777" w:rsidR="005C0576" w:rsidRPr="00DA6489" w:rsidRDefault="00520523">
            <w:pPr>
              <w:pStyle w:val="Policedetableau"/>
              <w:widowControl w:val="0"/>
            </w:pPr>
            <w:proofErr w:type="gramStart"/>
            <w:r w:rsidRPr="00DA6489">
              <w:t>mg</w:t>
            </w:r>
            <w:proofErr w:type="gramEnd"/>
            <w:r w:rsidRPr="00DA6489">
              <w:t>/Nm</w:t>
            </w:r>
            <w:r w:rsidRPr="00DA6489">
              <w:rPr>
                <w:vertAlign w:val="superscript"/>
              </w:rPr>
              <w:t>3</w:t>
            </w:r>
          </w:p>
        </w:tc>
        <w:tc>
          <w:tcPr>
            <w:tcW w:w="5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7120C" w14:textId="77777777" w:rsidR="005C0576" w:rsidRPr="00DA6489" w:rsidRDefault="00520523">
            <w:pPr>
              <w:pStyle w:val="Policedetableau"/>
              <w:widowControl w:val="0"/>
            </w:pPr>
            <w:r w:rsidRPr="00DA6489">
              <w:t>10</w:t>
            </w:r>
          </w:p>
        </w:tc>
      </w:tr>
      <w:tr w:rsidR="005C0576" w:rsidRPr="00DA6489" w14:paraId="21C73F0D" w14:textId="77777777">
        <w:trPr>
          <w:cantSplit/>
          <w:tblHeader/>
          <w:jc w:val="center"/>
        </w:trPr>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B4281" w14:textId="77777777" w:rsidR="005C0576" w:rsidRPr="00DA6489" w:rsidRDefault="00520523">
            <w:pPr>
              <w:pStyle w:val="Policedetableau"/>
              <w:widowControl w:val="0"/>
            </w:pPr>
            <w:r w:rsidRPr="00DA6489">
              <w:t>NO</w:t>
            </w:r>
            <w:r w:rsidRPr="00DA6489">
              <w:rPr>
                <w:vertAlign w:val="subscript"/>
              </w:rPr>
              <w:t>X</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335BD" w14:textId="77777777" w:rsidR="005C0576" w:rsidRPr="00DA6489" w:rsidRDefault="00520523">
            <w:pPr>
              <w:pStyle w:val="Policedetableau"/>
              <w:widowControl w:val="0"/>
            </w:pPr>
            <w:proofErr w:type="gramStart"/>
            <w:r w:rsidRPr="00DA6489">
              <w:t>mg</w:t>
            </w:r>
            <w:proofErr w:type="gramEnd"/>
            <w:r w:rsidRPr="00DA6489">
              <w:t>/Nm</w:t>
            </w:r>
            <w:r w:rsidRPr="00DA6489">
              <w:rPr>
                <w:vertAlign w:val="superscript"/>
              </w:rPr>
              <w:t>3</w:t>
            </w:r>
          </w:p>
        </w:tc>
        <w:tc>
          <w:tcPr>
            <w:tcW w:w="5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17CA2" w14:textId="77777777" w:rsidR="005C0576" w:rsidRPr="00DA6489" w:rsidRDefault="00520523">
            <w:pPr>
              <w:pStyle w:val="Policedetableau"/>
              <w:widowControl w:val="0"/>
            </w:pPr>
            <w:r w:rsidRPr="00DA6489">
              <w:t>180</w:t>
            </w:r>
          </w:p>
        </w:tc>
      </w:tr>
    </w:tbl>
    <w:p w14:paraId="73CA9449" w14:textId="77777777" w:rsidR="005C0576" w:rsidRPr="00DA6489" w:rsidRDefault="005C0576"/>
    <w:p w14:paraId="3DA7A80F" w14:textId="5235A3F6" w:rsidR="005C0576" w:rsidRPr="00DA6489" w:rsidRDefault="00520523">
      <w:r w:rsidRPr="00DA6489">
        <w:t>II</w:t>
      </w:r>
      <w:r w:rsidR="00A9011A" w:rsidRPr="00DA6489">
        <w:t>.</w:t>
      </w:r>
      <w:r w:rsidR="009400CA" w:rsidRPr="00DA6489">
        <w:t xml:space="preserve"> </w:t>
      </w:r>
      <w:r w:rsidR="00A9011A" w:rsidRPr="00DA6489">
        <w:t>-</w:t>
      </w:r>
      <w:r w:rsidRPr="00DA6489">
        <w:t xml:space="preserve"> Afin de réduire les émissions atmosphériques </w:t>
      </w:r>
      <w:r w:rsidR="009E0967" w:rsidRPr="00DA6489">
        <w:t xml:space="preserve">canalisées </w:t>
      </w:r>
      <w:r w:rsidRPr="00DA6489">
        <w:t>de poussières, d’acides (</w:t>
      </w:r>
      <w:proofErr w:type="spellStart"/>
      <w:r w:rsidRPr="00DA6489">
        <w:t>HCl</w:t>
      </w:r>
      <w:proofErr w:type="spellEnd"/>
      <w:r w:rsidRPr="00DA6489">
        <w:t>, HF), de SO</w:t>
      </w:r>
      <w:r w:rsidRPr="00DA6489">
        <w:rPr>
          <w:vertAlign w:val="subscript"/>
        </w:rPr>
        <w:t>2</w:t>
      </w:r>
      <w:r w:rsidRPr="00DA6489">
        <w:t xml:space="preserve"> et de NO</w:t>
      </w:r>
      <w:r w:rsidRPr="00DA6489">
        <w:rPr>
          <w:vertAlign w:val="subscript"/>
        </w:rPr>
        <w:t>X</w:t>
      </w:r>
      <w:r w:rsidRPr="00DA6489">
        <w:t xml:space="preserve"> (tout en limitant les émissions de CO) dues à la régénération de l’acide usé, l’exploitant applique une combinaison des techniques indiquées ci-dessous.</w:t>
      </w:r>
    </w:p>
    <w:tbl>
      <w:tblPr>
        <w:tblW w:w="8495" w:type="dxa"/>
        <w:tblLayout w:type="fixed"/>
        <w:tblLook w:val="01E0" w:firstRow="1" w:lastRow="1" w:firstColumn="1" w:lastColumn="1" w:noHBand="0" w:noVBand="0"/>
      </w:tblPr>
      <w:tblGrid>
        <w:gridCol w:w="327"/>
        <w:gridCol w:w="2202"/>
        <w:gridCol w:w="3664"/>
        <w:gridCol w:w="2302"/>
      </w:tblGrid>
      <w:tr w:rsidR="005C0576" w:rsidRPr="00DA6489" w14:paraId="61FFBBC7" w14:textId="77777777" w:rsidTr="00535048">
        <w:tc>
          <w:tcPr>
            <w:tcW w:w="2529" w:type="dxa"/>
            <w:gridSpan w:val="2"/>
            <w:tcBorders>
              <w:top w:val="single" w:sz="4" w:space="0" w:color="000000"/>
              <w:left w:val="single" w:sz="4" w:space="0" w:color="000000"/>
              <w:bottom w:val="single" w:sz="4" w:space="0" w:color="000000"/>
              <w:right w:val="single" w:sz="4" w:space="0" w:color="000000"/>
            </w:tcBorders>
            <w:shd w:val="clear" w:color="auto" w:fill="auto"/>
          </w:tcPr>
          <w:p w14:paraId="63E724E2" w14:textId="77777777" w:rsidR="005C0576" w:rsidRPr="00DA6489" w:rsidRDefault="00520523">
            <w:pPr>
              <w:pStyle w:val="Policedetableau"/>
              <w:widowControl w:val="0"/>
              <w:rPr>
                <w:b/>
              </w:rPr>
            </w:pPr>
            <w:r w:rsidRPr="00DA6489">
              <w:rPr>
                <w:b/>
              </w:rPr>
              <w:t>Technique</w:t>
            </w:r>
          </w:p>
        </w:tc>
        <w:tc>
          <w:tcPr>
            <w:tcW w:w="3664" w:type="dxa"/>
            <w:tcBorders>
              <w:top w:val="single" w:sz="4" w:space="0" w:color="000000"/>
              <w:left w:val="single" w:sz="4" w:space="0" w:color="000000"/>
              <w:bottom w:val="single" w:sz="4" w:space="0" w:color="000000"/>
              <w:right w:val="single" w:sz="4" w:space="0" w:color="000000"/>
            </w:tcBorders>
            <w:shd w:val="clear" w:color="auto" w:fill="auto"/>
          </w:tcPr>
          <w:p w14:paraId="357EDF59" w14:textId="77777777" w:rsidR="005C0576" w:rsidRPr="00DA6489" w:rsidRDefault="00520523">
            <w:pPr>
              <w:pStyle w:val="Policedetableau"/>
              <w:widowControl w:val="0"/>
              <w:rPr>
                <w:b/>
              </w:rPr>
            </w:pPr>
            <w:r w:rsidRPr="00DA6489">
              <w:rPr>
                <w:b/>
              </w:rPr>
              <w:t>Description</w:t>
            </w:r>
          </w:p>
        </w:tc>
        <w:tc>
          <w:tcPr>
            <w:tcW w:w="2302" w:type="dxa"/>
            <w:tcBorders>
              <w:top w:val="single" w:sz="4" w:space="0" w:color="000000"/>
              <w:left w:val="single" w:sz="4" w:space="0" w:color="000000"/>
              <w:bottom w:val="single" w:sz="4" w:space="0" w:color="000000"/>
              <w:right w:val="single" w:sz="4" w:space="0" w:color="000000"/>
            </w:tcBorders>
            <w:shd w:val="clear" w:color="auto" w:fill="auto"/>
          </w:tcPr>
          <w:p w14:paraId="5F4B2CBA" w14:textId="77777777" w:rsidR="005C0576" w:rsidRPr="00DA6489" w:rsidRDefault="00520523">
            <w:pPr>
              <w:pStyle w:val="Policedetableau"/>
              <w:widowControl w:val="0"/>
              <w:rPr>
                <w:b/>
              </w:rPr>
            </w:pPr>
            <w:r w:rsidRPr="00DA6489">
              <w:rPr>
                <w:b/>
              </w:rPr>
              <w:t>Applicabilité</w:t>
            </w:r>
          </w:p>
        </w:tc>
      </w:tr>
      <w:tr w:rsidR="005C0576" w:rsidRPr="00DA6489" w14:paraId="60A23A42" w14:textId="77777777" w:rsidTr="00535048">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3A3D3" w14:textId="77777777" w:rsidR="005C0576" w:rsidRPr="00DA6489" w:rsidRDefault="00520523">
            <w:pPr>
              <w:pStyle w:val="Policedetableau"/>
              <w:widowControl w:val="0"/>
            </w:pPr>
            <w:proofErr w:type="gramStart"/>
            <w:r w:rsidRPr="00DA6489">
              <w:t>a</w:t>
            </w:r>
            <w:proofErr w:type="gramEnd"/>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0AA06" w14:textId="77777777" w:rsidR="005C0576" w:rsidRPr="00DA6489" w:rsidRDefault="00520523">
            <w:pPr>
              <w:pStyle w:val="Policedetableau"/>
              <w:widowControl w:val="0"/>
            </w:pPr>
            <w:r w:rsidRPr="00DA6489">
              <w:t>Utilisation d’un combustible ou d’une combinaison de combustibles à faible teneur en soufre et/ou à faible potentiel de formation de NO</w:t>
            </w:r>
            <w:r w:rsidRPr="00DA6489">
              <w:rPr>
                <w:vertAlign w:val="subscript"/>
              </w:rPr>
              <w:t>X</w:t>
            </w:r>
          </w:p>
        </w:tc>
        <w:tc>
          <w:tcPr>
            <w:tcW w:w="3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76FE4" w14:textId="77777777" w:rsidR="005C0576" w:rsidRPr="00DA6489" w:rsidRDefault="00520523">
            <w:pPr>
              <w:pStyle w:val="Policedetableau"/>
              <w:widowControl w:val="0"/>
            </w:pPr>
            <w:r w:rsidRPr="00DA6489">
              <w:t>Voir le point 2.1</w:t>
            </w:r>
            <w:r w:rsidR="00FD78ED" w:rsidRPr="00DA6489">
              <w:t>0</w:t>
            </w:r>
            <w:r w:rsidRPr="00DA6489">
              <w:t>.</w:t>
            </w:r>
            <w:r w:rsidR="00FD78ED" w:rsidRPr="00DA6489">
              <w:t>2</w:t>
            </w:r>
            <w:r w:rsidRPr="00DA6489">
              <w:t>.2</w:t>
            </w:r>
          </w:p>
        </w:tc>
        <w:tc>
          <w:tcPr>
            <w:tcW w:w="23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1C2AC8" w14:textId="77777777" w:rsidR="005C0576" w:rsidRPr="00DA6489" w:rsidRDefault="00F95481">
            <w:pPr>
              <w:pStyle w:val="Policedetableau"/>
              <w:widowControl w:val="0"/>
            </w:pPr>
            <w:r w:rsidRPr="00DA6489">
              <w:t>Applicable d’une manière générale. </w:t>
            </w:r>
          </w:p>
        </w:tc>
      </w:tr>
      <w:tr w:rsidR="005C0576" w:rsidRPr="00DA6489" w14:paraId="3F89C967" w14:textId="77777777" w:rsidTr="00535048">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1DCB4" w14:textId="77777777" w:rsidR="005C0576" w:rsidRPr="00DA6489" w:rsidRDefault="00520523">
            <w:pPr>
              <w:pStyle w:val="Policedetableau"/>
              <w:widowControl w:val="0"/>
            </w:pPr>
            <w:proofErr w:type="gramStart"/>
            <w:r w:rsidRPr="00DA6489">
              <w:t>b</w:t>
            </w:r>
            <w:proofErr w:type="gramEnd"/>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9CC05B" w14:textId="77777777" w:rsidR="005C0576" w:rsidRPr="00DA6489" w:rsidRDefault="00520523">
            <w:pPr>
              <w:pStyle w:val="Policedetableau"/>
              <w:widowControl w:val="0"/>
            </w:pPr>
            <w:r w:rsidRPr="00DA6489">
              <w:t>Optimisation de la combustion</w:t>
            </w:r>
          </w:p>
        </w:tc>
        <w:tc>
          <w:tcPr>
            <w:tcW w:w="3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C2A2B" w14:textId="77777777" w:rsidR="005C0576" w:rsidRPr="00DA6489" w:rsidRDefault="00520523">
            <w:pPr>
              <w:pStyle w:val="Policedetableau"/>
              <w:widowControl w:val="0"/>
            </w:pPr>
            <w:r w:rsidRPr="00DA6489">
              <w:t xml:space="preserve">Voir le point </w:t>
            </w:r>
            <w:r w:rsidR="00513E14" w:rsidRPr="00DA6489">
              <w:t>1.1</w:t>
            </w:r>
            <w:r w:rsidRPr="00DA6489">
              <w:t>.</w:t>
            </w:r>
          </w:p>
          <w:p w14:paraId="023A7590" w14:textId="77777777" w:rsidR="005C0576" w:rsidRPr="00DA6489" w:rsidRDefault="00520523">
            <w:pPr>
              <w:pStyle w:val="Policedetableau"/>
              <w:widowControl w:val="0"/>
            </w:pPr>
            <w:r w:rsidRPr="00DA6489">
              <w:t xml:space="preserve">Généralement utilisée en association </w:t>
            </w:r>
            <w:r w:rsidRPr="00DA6489">
              <w:lastRenderedPageBreak/>
              <w:t>avec d’autres techniques.</w:t>
            </w:r>
          </w:p>
        </w:tc>
        <w:tc>
          <w:tcPr>
            <w:tcW w:w="23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CC2CC" w14:textId="77777777" w:rsidR="005C0576" w:rsidRPr="00DA6489" w:rsidRDefault="00F95481">
            <w:pPr>
              <w:pStyle w:val="Policedetableau"/>
              <w:widowControl w:val="0"/>
            </w:pPr>
            <w:r w:rsidRPr="00DA6489">
              <w:lastRenderedPageBreak/>
              <w:t>Applicable d’une manière générale. </w:t>
            </w:r>
          </w:p>
        </w:tc>
      </w:tr>
      <w:tr w:rsidR="005C0576" w:rsidRPr="00DA6489" w14:paraId="25BEFDE6" w14:textId="77777777" w:rsidTr="00535048">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0553A" w14:textId="77777777" w:rsidR="005C0576" w:rsidRPr="00DA6489" w:rsidRDefault="00520523">
            <w:pPr>
              <w:pStyle w:val="Policedetableau"/>
              <w:widowControl w:val="0"/>
            </w:pPr>
            <w:proofErr w:type="gramStart"/>
            <w:r w:rsidRPr="00DA6489">
              <w:t>c</w:t>
            </w:r>
            <w:proofErr w:type="gramEnd"/>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25F9F" w14:textId="77777777" w:rsidR="005C0576" w:rsidRPr="00DA6489" w:rsidRDefault="00520523">
            <w:pPr>
              <w:pStyle w:val="Policedetableau"/>
              <w:widowControl w:val="0"/>
            </w:pPr>
            <w:r w:rsidRPr="00DA6489">
              <w:t>Brûleurs bas NO</w:t>
            </w:r>
            <w:r w:rsidRPr="00DA6489">
              <w:rPr>
                <w:vertAlign w:val="subscript"/>
              </w:rPr>
              <w:t>X</w:t>
            </w:r>
          </w:p>
        </w:tc>
        <w:tc>
          <w:tcPr>
            <w:tcW w:w="3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B3087" w14:textId="77777777" w:rsidR="005C0576" w:rsidRPr="00DA6489" w:rsidRDefault="00520523">
            <w:pPr>
              <w:pStyle w:val="Policedetableau"/>
              <w:widowControl w:val="0"/>
            </w:pPr>
            <w:r w:rsidRPr="00DA6489">
              <w:t xml:space="preserve">Voir le point </w:t>
            </w:r>
            <w:r w:rsidR="00513E14" w:rsidRPr="00DA6489">
              <w:t>1.1</w:t>
            </w:r>
            <w:r w:rsidRPr="00DA6489">
              <w:t>.</w:t>
            </w:r>
          </w:p>
        </w:tc>
        <w:tc>
          <w:tcPr>
            <w:tcW w:w="23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175C0" w14:textId="77777777" w:rsidR="005C0576" w:rsidRPr="00DA6489" w:rsidRDefault="00520523">
            <w:pPr>
              <w:pStyle w:val="Policedetableau"/>
              <w:widowControl w:val="0"/>
            </w:pPr>
            <w:r w:rsidRPr="00DA6489">
              <w:t>Dans les unités existantes, l’applicabilité peut être limitée par des contraintes de conception et/ou de fonctionnement.</w:t>
            </w:r>
          </w:p>
        </w:tc>
      </w:tr>
      <w:tr w:rsidR="005C0576" w:rsidRPr="00DA6489" w14:paraId="4DE35F7A" w14:textId="77777777" w:rsidTr="00535048">
        <w:tc>
          <w:tcPr>
            <w:tcW w:w="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F2E68" w14:textId="77777777" w:rsidR="005C0576" w:rsidRPr="00DA6489" w:rsidRDefault="00520523">
            <w:pPr>
              <w:pStyle w:val="Policedetableau"/>
              <w:widowControl w:val="0"/>
            </w:pPr>
            <w:proofErr w:type="gramStart"/>
            <w:r w:rsidRPr="00DA6489">
              <w:t>d</w:t>
            </w:r>
            <w:proofErr w:type="gramEnd"/>
          </w:p>
        </w:tc>
        <w:tc>
          <w:tcPr>
            <w:tcW w:w="2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41B0E" w14:textId="77777777" w:rsidR="005C0576" w:rsidRPr="00DA6489" w:rsidRDefault="00520523">
            <w:pPr>
              <w:pStyle w:val="Policedetableau"/>
              <w:widowControl w:val="0"/>
            </w:pPr>
            <w:r w:rsidRPr="00DA6489">
              <w:t xml:space="preserve">Épuration par voie humide puis utilisation d’un </w:t>
            </w:r>
            <w:proofErr w:type="spellStart"/>
            <w:r w:rsidRPr="00DA6489">
              <w:t>dévésiculeur</w:t>
            </w:r>
            <w:proofErr w:type="spellEnd"/>
          </w:p>
        </w:tc>
        <w:tc>
          <w:tcPr>
            <w:tcW w:w="3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EC8AB" w14:textId="77777777" w:rsidR="005C0576" w:rsidRPr="00DA6489" w:rsidRDefault="00520523">
            <w:pPr>
              <w:pStyle w:val="Policedetableau"/>
              <w:widowControl w:val="0"/>
            </w:pPr>
            <w:r w:rsidRPr="00DA6489">
              <w:t xml:space="preserve">Voir le point </w:t>
            </w:r>
            <w:r w:rsidR="00F5776E" w:rsidRPr="00DA6489">
              <w:t>.</w:t>
            </w:r>
            <w:r w:rsidR="00513E14" w:rsidRPr="00DA6489">
              <w:t>1.1</w:t>
            </w:r>
            <w:r w:rsidRPr="00DA6489">
              <w:t>.</w:t>
            </w:r>
          </w:p>
          <w:p w14:paraId="60F52721" w14:textId="77777777" w:rsidR="005C0576" w:rsidRPr="00DA6489" w:rsidRDefault="00520523">
            <w:pPr>
              <w:pStyle w:val="Policedetableau"/>
              <w:widowControl w:val="0"/>
            </w:pPr>
            <w:r w:rsidRPr="00DA6489">
              <w:t>En ce qui concerne la régénération d’acide mixte, une base est ajouté</w:t>
            </w:r>
            <w:r w:rsidR="00D34654" w:rsidRPr="00DA6489">
              <w:t>e</w:t>
            </w:r>
            <w:r w:rsidRPr="00DA6489">
              <w:t xml:space="preserve"> à la solution d’épuration pour éliminer les traces de HF et/ou un agent oxydant (par exemple, du peroxyde d’hydrogène) est ajouté à la solution d’épuration pour réduire les émissions de NO</w:t>
            </w:r>
            <w:r w:rsidRPr="00DA6489">
              <w:rPr>
                <w:vertAlign w:val="subscript"/>
              </w:rPr>
              <w:t>X</w:t>
            </w:r>
            <w:r w:rsidRPr="00DA6489">
              <w:t>. En cas d’utilisation de peroxyde d’hydrogène, l’acide nitrique formé peut être recyclé dans les cuves de décapage.</w:t>
            </w:r>
          </w:p>
        </w:tc>
        <w:tc>
          <w:tcPr>
            <w:tcW w:w="23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B031E" w14:textId="77777777" w:rsidR="005C0576" w:rsidRPr="00DA6489" w:rsidRDefault="00F95481">
            <w:pPr>
              <w:pStyle w:val="Policedetableau"/>
              <w:widowControl w:val="0"/>
            </w:pPr>
            <w:r w:rsidRPr="00DA6489">
              <w:t>Applicable d’une manière générale. </w:t>
            </w:r>
          </w:p>
        </w:tc>
      </w:tr>
    </w:tbl>
    <w:p w14:paraId="26D2B366" w14:textId="77777777" w:rsidR="005C0576" w:rsidRPr="00DA6489" w:rsidRDefault="005C0576"/>
    <w:p w14:paraId="7C390EFE" w14:textId="1F06AC35" w:rsidR="005C0576" w:rsidRPr="00DA6489" w:rsidRDefault="00520523" w:rsidP="00FF3330">
      <w:pPr>
        <w:pStyle w:val="Titre30"/>
        <w:ind w:firstLine="708"/>
      </w:pPr>
      <w:r w:rsidRPr="00DA6489">
        <w:t>2.10.6</w:t>
      </w:r>
      <w:r w:rsidR="00391B2E" w:rsidRPr="00DA6489">
        <w:t>.</w:t>
      </w:r>
      <w:r w:rsidRPr="00DA6489">
        <w:tab/>
        <w:t xml:space="preserve">Émissions atmosphériques </w:t>
      </w:r>
      <w:r w:rsidR="00D05726" w:rsidRPr="00DA6489">
        <w:t>canalisé</w:t>
      </w:r>
      <w:r w:rsidR="00C07765" w:rsidRPr="00DA6489">
        <w:t>e</w:t>
      </w:r>
      <w:r w:rsidR="00D05726" w:rsidRPr="00DA6489">
        <w:t xml:space="preserve">s </w:t>
      </w:r>
      <w:r w:rsidRPr="00DA6489">
        <w:t>pour les opérations de décapage et de dézingage</w:t>
      </w:r>
    </w:p>
    <w:p w14:paraId="3401164B" w14:textId="628659D5" w:rsidR="005C0576" w:rsidRPr="00DA6489" w:rsidRDefault="00520523">
      <w:r w:rsidRPr="00DA6489">
        <w:t>Pour les opérations de décapage et de dézingage, l’exploitant respecte l</w:t>
      </w:r>
      <w:r w:rsidR="00A9011A" w:rsidRPr="00DA6489">
        <w:t>a</w:t>
      </w:r>
      <w:r w:rsidRPr="00DA6489">
        <w:t xml:space="preserve"> valeur limite d’émission suivante.</w:t>
      </w:r>
    </w:p>
    <w:tbl>
      <w:tblPr>
        <w:tblW w:w="5000" w:type="pct"/>
        <w:jc w:val="center"/>
        <w:tblLayout w:type="fixed"/>
        <w:tblLook w:val="04A0" w:firstRow="1" w:lastRow="0" w:firstColumn="1" w:lastColumn="0" w:noHBand="0" w:noVBand="1"/>
      </w:tblPr>
      <w:tblGrid>
        <w:gridCol w:w="1430"/>
        <w:gridCol w:w="1140"/>
        <w:gridCol w:w="5924"/>
      </w:tblGrid>
      <w:tr w:rsidR="005C0576" w:rsidRPr="00DA6489" w14:paraId="6BF28F87" w14:textId="77777777">
        <w:trPr>
          <w:cantSplit/>
          <w:tblHeader/>
          <w:jc w:val="center"/>
        </w:trPr>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10401" w14:textId="77777777" w:rsidR="005C0576" w:rsidRPr="00DA6489" w:rsidRDefault="00520523">
            <w:pPr>
              <w:pStyle w:val="Policedetableau"/>
              <w:widowControl w:val="0"/>
              <w:rPr>
                <w:b/>
              </w:rPr>
            </w:pPr>
            <w:r w:rsidRPr="00DA6489">
              <w:rPr>
                <w:b/>
              </w:rPr>
              <w:t>Paramètre</w:t>
            </w:r>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35C27" w14:textId="77777777" w:rsidR="005C0576" w:rsidRPr="00DA6489" w:rsidRDefault="00520523">
            <w:pPr>
              <w:pStyle w:val="Policedetableau"/>
              <w:widowControl w:val="0"/>
              <w:rPr>
                <w:b/>
              </w:rPr>
            </w:pPr>
            <w:r w:rsidRPr="00DA6489">
              <w:rPr>
                <w:b/>
              </w:rPr>
              <w:t>Unité</w:t>
            </w:r>
          </w:p>
        </w:tc>
        <w:tc>
          <w:tcPr>
            <w:tcW w:w="5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30A13" w14:textId="77777777" w:rsidR="005C0576" w:rsidRPr="00DA6489" w:rsidRDefault="00520523">
            <w:pPr>
              <w:pStyle w:val="Policedetableau"/>
              <w:widowControl w:val="0"/>
              <w:rPr>
                <w:b/>
              </w:rPr>
            </w:pPr>
            <w:r w:rsidRPr="00DA6489">
              <w:rPr>
                <w:b/>
              </w:rPr>
              <w:t xml:space="preserve">VLE </w:t>
            </w:r>
          </w:p>
          <w:p w14:paraId="739666CC" w14:textId="77777777" w:rsidR="005C0576" w:rsidRPr="00DA6489" w:rsidRDefault="00520523">
            <w:pPr>
              <w:pStyle w:val="Policedetableau"/>
              <w:widowControl w:val="0"/>
              <w:rPr>
                <w:b/>
              </w:rPr>
            </w:pPr>
            <w:r w:rsidRPr="00DA6489">
              <w:rPr>
                <w:b/>
              </w:rPr>
              <w:t>(</w:t>
            </w:r>
            <w:proofErr w:type="gramStart"/>
            <w:r w:rsidRPr="00DA6489">
              <w:rPr>
                <w:b/>
              </w:rPr>
              <w:t>moyenne</w:t>
            </w:r>
            <w:proofErr w:type="gramEnd"/>
            <w:r w:rsidRPr="00DA6489">
              <w:rPr>
                <w:b/>
              </w:rPr>
              <w:t xml:space="preserve"> journalière ou moyenne sur la période d’échantillonnage)</w:t>
            </w:r>
          </w:p>
        </w:tc>
      </w:tr>
      <w:tr w:rsidR="005C0576" w:rsidRPr="00DA6489" w14:paraId="36BFA773" w14:textId="77777777">
        <w:trPr>
          <w:cantSplit/>
          <w:tblHeader/>
          <w:jc w:val="center"/>
        </w:trPr>
        <w:tc>
          <w:tcPr>
            <w:tcW w:w="1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90BC7" w14:textId="77777777" w:rsidR="005C0576" w:rsidRPr="00DA6489" w:rsidRDefault="00520523">
            <w:pPr>
              <w:pStyle w:val="Policedetableau"/>
              <w:widowControl w:val="0"/>
            </w:pPr>
            <w:proofErr w:type="spellStart"/>
            <w:r w:rsidRPr="00DA6489">
              <w:t>HCl</w:t>
            </w:r>
            <w:proofErr w:type="spellEnd"/>
          </w:p>
        </w:tc>
        <w:tc>
          <w:tcPr>
            <w:tcW w:w="11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5B41F" w14:textId="77777777" w:rsidR="005C0576" w:rsidRPr="00DA6489" w:rsidRDefault="00520523">
            <w:pPr>
              <w:pStyle w:val="Policedetableau"/>
              <w:widowControl w:val="0"/>
            </w:pPr>
            <w:proofErr w:type="gramStart"/>
            <w:r w:rsidRPr="00DA6489">
              <w:t>mg</w:t>
            </w:r>
            <w:proofErr w:type="gramEnd"/>
            <w:r w:rsidRPr="00DA6489">
              <w:t>/Nm</w:t>
            </w:r>
            <w:r w:rsidRPr="00DA6489">
              <w:rPr>
                <w:vertAlign w:val="superscript"/>
              </w:rPr>
              <w:t>3</w:t>
            </w:r>
          </w:p>
        </w:tc>
        <w:tc>
          <w:tcPr>
            <w:tcW w:w="5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BF980" w14:textId="77777777" w:rsidR="005C0576" w:rsidRPr="00DA6489" w:rsidRDefault="00520523">
            <w:pPr>
              <w:pStyle w:val="Policedetableau"/>
              <w:widowControl w:val="0"/>
            </w:pPr>
            <w:r w:rsidRPr="00DA6489">
              <w:t>6</w:t>
            </w:r>
          </w:p>
        </w:tc>
      </w:tr>
    </w:tbl>
    <w:p w14:paraId="7187BBAB" w14:textId="77777777" w:rsidR="005C0576" w:rsidRPr="00DA6489" w:rsidRDefault="005C0576"/>
    <w:p w14:paraId="7F37879A" w14:textId="77777777" w:rsidR="00636254" w:rsidRPr="00DA6489" w:rsidRDefault="00C26686" w:rsidP="00636254">
      <w:pPr>
        <w:spacing w:after="0"/>
      </w:pPr>
      <w:r w:rsidRPr="00DA6489">
        <w:t>Pour les installation</w:t>
      </w:r>
      <w:r w:rsidR="00636254" w:rsidRPr="00DA6489">
        <w:t>s</w:t>
      </w:r>
      <w:r w:rsidR="00DD7164" w:rsidRPr="00DA6489">
        <w:t xml:space="preserve"> nouvelles</w:t>
      </w:r>
      <w:r w:rsidRPr="00DA6489">
        <w:t xml:space="preserve">, </w:t>
      </w:r>
      <w:r w:rsidR="00636254" w:rsidRPr="00DA6489">
        <w:t>l’exploitant contrôle les paramètres de fonctionnement (c’est-à-dire la température et la concentration d’acide dans le bain) et applique les techniques indiquées ci-dessous, dans l’ordre de priorité suivant :</w:t>
      </w:r>
    </w:p>
    <w:p w14:paraId="105A2226" w14:textId="77777777" w:rsidR="00636254" w:rsidRPr="00DA6489" w:rsidRDefault="00636254" w:rsidP="00636254">
      <w:pPr>
        <w:spacing w:after="0"/>
      </w:pPr>
    </w:p>
    <w:p w14:paraId="6CDCC160" w14:textId="2629C2A9" w:rsidR="00C26686" w:rsidRPr="00DA6489" w:rsidRDefault="009400CA" w:rsidP="00636254">
      <w:pPr>
        <w:pStyle w:val="Paragraphedeliste"/>
        <w:numPr>
          <w:ilvl w:val="0"/>
          <w:numId w:val="3"/>
        </w:numPr>
        <w:spacing w:after="0"/>
      </w:pPr>
      <w:proofErr w:type="gramStart"/>
      <w:r w:rsidRPr="00DA6489">
        <w:t>technique</w:t>
      </w:r>
      <w:proofErr w:type="gramEnd"/>
      <w:r w:rsidRPr="00DA6489">
        <w:t> </w:t>
      </w:r>
      <w:r w:rsidR="00C26686" w:rsidRPr="00DA6489">
        <w:t>a) en combinaison avec la technique c) ;</w:t>
      </w:r>
    </w:p>
    <w:p w14:paraId="6BF37B34" w14:textId="2B1D84EB" w:rsidR="00C26686" w:rsidRPr="00DA6489" w:rsidRDefault="009400CA" w:rsidP="00C26686">
      <w:pPr>
        <w:pStyle w:val="Paragraphedeliste"/>
        <w:numPr>
          <w:ilvl w:val="0"/>
          <w:numId w:val="3"/>
        </w:numPr>
      </w:pPr>
      <w:proofErr w:type="gramStart"/>
      <w:r w:rsidRPr="00DA6489">
        <w:t>technique</w:t>
      </w:r>
      <w:proofErr w:type="gramEnd"/>
      <w:r w:rsidRPr="00DA6489">
        <w:t> </w:t>
      </w:r>
      <w:r w:rsidR="00C26686" w:rsidRPr="00DA6489">
        <w:t>b) en combinaison avec la technique c) ;</w:t>
      </w:r>
    </w:p>
    <w:p w14:paraId="76CA797E" w14:textId="2680F5B4" w:rsidR="00C26686" w:rsidRPr="00DA6489" w:rsidRDefault="009400CA" w:rsidP="0019178D">
      <w:pPr>
        <w:pStyle w:val="Paragraphedeliste"/>
        <w:numPr>
          <w:ilvl w:val="0"/>
          <w:numId w:val="3"/>
        </w:numPr>
      </w:pPr>
      <w:proofErr w:type="gramStart"/>
      <w:r w:rsidRPr="00DA6489">
        <w:t>technique</w:t>
      </w:r>
      <w:proofErr w:type="gramEnd"/>
      <w:r w:rsidRPr="00DA6489">
        <w:t> </w:t>
      </w:r>
      <w:r w:rsidR="00C26686" w:rsidRPr="00DA6489">
        <w:t>d) en combinaison avec la technique b)</w:t>
      </w:r>
      <w:r w:rsidR="00DD7164" w:rsidRPr="00DA6489">
        <w:t>.</w:t>
      </w:r>
      <w:r w:rsidR="00C26686" w:rsidRPr="00DA6489">
        <w:t> </w:t>
      </w:r>
    </w:p>
    <w:p w14:paraId="50A3BD80" w14:textId="2A24C15C" w:rsidR="005C0576" w:rsidRPr="00DA6489" w:rsidRDefault="00520523" w:rsidP="0019178D">
      <w:pPr>
        <w:spacing w:after="0"/>
      </w:pPr>
      <w:r w:rsidRPr="00DA6489">
        <w:t xml:space="preserve">Le cas échéant, pour </w:t>
      </w:r>
      <w:r w:rsidR="00F5776E" w:rsidRPr="00DA6489">
        <w:t>les installations existantes</w:t>
      </w:r>
      <w:r w:rsidRPr="00DA6489">
        <w:t xml:space="preserve">, si l’exploitant démontre que le suivi des paramètres permet un niveau de protection de l’environnement </w:t>
      </w:r>
      <w:r w:rsidR="00DD7164" w:rsidRPr="00DA6489">
        <w:t xml:space="preserve">au moins </w:t>
      </w:r>
      <w:r w:rsidRPr="00DA6489">
        <w:t>équivalent à celui de la mise en œuvre des techniques de captation et de traitement</w:t>
      </w:r>
      <w:r w:rsidR="00DD7164" w:rsidRPr="00DA6489">
        <w:t>,</w:t>
      </w:r>
      <w:r w:rsidR="0019178D" w:rsidRPr="00DA6489">
        <w:t xml:space="preserve"> et après</w:t>
      </w:r>
      <w:r w:rsidR="00DD7164" w:rsidRPr="00DA6489">
        <w:t xml:space="preserve"> </w:t>
      </w:r>
      <w:r w:rsidR="0019178D" w:rsidRPr="00DA6489">
        <w:t xml:space="preserve">avoir appliqué les combinaisons de techniques indiquées ci-dessus, dans l’ordre de priorité, </w:t>
      </w:r>
      <w:r w:rsidR="00DD7164" w:rsidRPr="00DA6489">
        <w:t>l’exploitant</w:t>
      </w:r>
      <w:r w:rsidRPr="00DA6489">
        <w:t xml:space="preserve"> peut utiliser sa </w:t>
      </w:r>
      <w:r w:rsidR="00DD7164" w:rsidRPr="00DA6489">
        <w:t xml:space="preserve">propre </w:t>
      </w:r>
      <w:r w:rsidRPr="00DA6489">
        <w:t>technique</w:t>
      </w:r>
      <w:r w:rsidR="00324A0E" w:rsidRPr="00DA6489">
        <w:t xml:space="preserve"> en appliquant </w:t>
      </w:r>
      <w:r w:rsidR="009400CA" w:rsidRPr="00DA6489">
        <w:t xml:space="preserve">au moins </w:t>
      </w:r>
      <w:r w:rsidRPr="00DA6489">
        <w:t xml:space="preserve">la technique d. </w:t>
      </w:r>
    </w:p>
    <w:p w14:paraId="34A9B28A" w14:textId="77777777" w:rsidR="005C0576" w:rsidRPr="00DA6489" w:rsidRDefault="005C0576"/>
    <w:tbl>
      <w:tblPr>
        <w:tblW w:w="8495" w:type="dxa"/>
        <w:tblLayout w:type="fixed"/>
        <w:tblLook w:val="01E0" w:firstRow="1" w:lastRow="1" w:firstColumn="1" w:lastColumn="1" w:noHBand="0" w:noVBand="0"/>
      </w:tblPr>
      <w:tblGrid>
        <w:gridCol w:w="327"/>
        <w:gridCol w:w="2129"/>
        <w:gridCol w:w="3962"/>
        <w:gridCol w:w="2077"/>
      </w:tblGrid>
      <w:tr w:rsidR="005C0576" w:rsidRPr="00DA6489" w14:paraId="4DA86D80" w14:textId="77777777">
        <w:tc>
          <w:tcPr>
            <w:tcW w:w="2455" w:type="dxa"/>
            <w:gridSpan w:val="2"/>
            <w:tcBorders>
              <w:top w:val="single" w:sz="4" w:space="0" w:color="000000"/>
              <w:left w:val="single" w:sz="4" w:space="0" w:color="000000"/>
              <w:bottom w:val="single" w:sz="4" w:space="0" w:color="000000"/>
              <w:right w:val="single" w:sz="4" w:space="0" w:color="000000"/>
            </w:tcBorders>
            <w:shd w:val="clear" w:color="auto" w:fill="auto"/>
          </w:tcPr>
          <w:p w14:paraId="6D332635" w14:textId="77777777" w:rsidR="005C0576" w:rsidRPr="00DA6489" w:rsidRDefault="00520523">
            <w:pPr>
              <w:pStyle w:val="Policedetableau"/>
              <w:widowControl w:val="0"/>
              <w:rPr>
                <w:b/>
              </w:rPr>
            </w:pPr>
            <w:r w:rsidRPr="00DA6489">
              <w:rPr>
                <w:b/>
              </w:rPr>
              <w:t>Technique</w:t>
            </w:r>
          </w:p>
        </w:tc>
        <w:tc>
          <w:tcPr>
            <w:tcW w:w="3962" w:type="dxa"/>
            <w:tcBorders>
              <w:top w:val="single" w:sz="4" w:space="0" w:color="000000"/>
              <w:left w:val="single" w:sz="4" w:space="0" w:color="000000"/>
              <w:bottom w:val="single" w:sz="4" w:space="0" w:color="000000"/>
              <w:right w:val="single" w:sz="4" w:space="0" w:color="000000"/>
            </w:tcBorders>
            <w:shd w:val="clear" w:color="auto" w:fill="auto"/>
          </w:tcPr>
          <w:p w14:paraId="5E4DA36E" w14:textId="77777777" w:rsidR="005C0576" w:rsidRPr="00DA6489" w:rsidRDefault="00520523">
            <w:pPr>
              <w:pStyle w:val="Policedetableau"/>
              <w:widowControl w:val="0"/>
              <w:rPr>
                <w:b/>
              </w:rPr>
            </w:pPr>
            <w:r w:rsidRPr="00DA6489">
              <w:rPr>
                <w:b/>
              </w:rPr>
              <w:t>Description</w:t>
            </w:r>
          </w:p>
        </w:tc>
        <w:tc>
          <w:tcPr>
            <w:tcW w:w="2077" w:type="dxa"/>
            <w:tcBorders>
              <w:top w:val="single" w:sz="4" w:space="0" w:color="000000"/>
              <w:left w:val="single" w:sz="4" w:space="0" w:color="000000"/>
              <w:bottom w:val="single" w:sz="4" w:space="0" w:color="000000"/>
              <w:right w:val="single" w:sz="4" w:space="0" w:color="000000"/>
            </w:tcBorders>
          </w:tcPr>
          <w:p w14:paraId="6383AD9E" w14:textId="77777777" w:rsidR="005C0576" w:rsidRPr="00DA6489" w:rsidRDefault="00520523">
            <w:pPr>
              <w:pStyle w:val="Policedetableau"/>
              <w:widowControl w:val="0"/>
              <w:rPr>
                <w:b/>
              </w:rPr>
            </w:pPr>
            <w:r w:rsidRPr="00DA6489">
              <w:rPr>
                <w:b/>
              </w:rPr>
              <w:t>Applicabilité</w:t>
            </w:r>
          </w:p>
        </w:tc>
      </w:tr>
      <w:tr w:rsidR="005C0576" w:rsidRPr="00DA6489" w14:paraId="5B475C6A" w14:textId="77777777">
        <w:tc>
          <w:tcPr>
            <w:tcW w:w="84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17D9EF1" w14:textId="77777777" w:rsidR="005C0576" w:rsidRPr="00DA6489" w:rsidRDefault="00520523">
            <w:pPr>
              <w:pStyle w:val="Policedetableau"/>
              <w:widowControl w:val="0"/>
              <w:rPr>
                <w:b/>
                <w:i/>
              </w:rPr>
            </w:pPr>
            <w:r w:rsidRPr="00DA6489">
              <w:rPr>
                <w:b/>
                <w:i/>
              </w:rPr>
              <w:t>Collecte des émissions</w:t>
            </w:r>
          </w:p>
        </w:tc>
      </w:tr>
      <w:tr w:rsidR="005C0576" w:rsidRPr="00DA6489" w14:paraId="77C974CC"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138AE" w14:textId="77777777" w:rsidR="005C0576" w:rsidRPr="00DA6489" w:rsidRDefault="00520523">
            <w:pPr>
              <w:pStyle w:val="Policedetableau"/>
              <w:widowControl w:val="0"/>
            </w:pPr>
            <w:proofErr w:type="gramStart"/>
            <w:r w:rsidRPr="00DA6489">
              <w:t>a</w:t>
            </w:r>
            <w:proofErr w:type="gramEnd"/>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853D0" w14:textId="77777777" w:rsidR="005C0576" w:rsidRPr="00DA6489" w:rsidRDefault="00520523">
            <w:pPr>
              <w:pStyle w:val="Policedetableau"/>
              <w:widowControl w:val="0"/>
            </w:pPr>
            <w:r w:rsidRPr="00DA6489">
              <w:t xml:space="preserve">Section de prétraitement sous enceinte avec </w:t>
            </w:r>
            <w:r w:rsidRPr="00DA6489">
              <w:lastRenderedPageBreak/>
              <w:t>extraction</w:t>
            </w:r>
          </w:p>
        </w:tc>
        <w:tc>
          <w:tcPr>
            <w:tcW w:w="3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41BEA" w14:textId="77777777" w:rsidR="005C0576" w:rsidRPr="00DA6489" w:rsidRDefault="00520523">
            <w:pPr>
              <w:pStyle w:val="Policedetableau"/>
              <w:widowControl w:val="0"/>
            </w:pPr>
            <w:r w:rsidRPr="00DA6489">
              <w:lastRenderedPageBreak/>
              <w:t xml:space="preserve">Toute la section de prétraitement (par exemple, dégraissage, décapage, fluxage) est mise sous enceinte et les fumées sont </w:t>
            </w:r>
            <w:r w:rsidRPr="00DA6489">
              <w:lastRenderedPageBreak/>
              <w:t>extraites de l’enceinte.</w:t>
            </w:r>
          </w:p>
        </w:tc>
        <w:tc>
          <w:tcPr>
            <w:tcW w:w="2077" w:type="dxa"/>
            <w:tcBorders>
              <w:top w:val="single" w:sz="4" w:space="0" w:color="000000"/>
              <w:left w:val="single" w:sz="4" w:space="0" w:color="000000"/>
              <w:bottom w:val="single" w:sz="4" w:space="0" w:color="000000"/>
              <w:right w:val="single" w:sz="4" w:space="0" w:color="000000"/>
            </w:tcBorders>
            <w:vAlign w:val="center"/>
          </w:tcPr>
          <w:p w14:paraId="447FD98B" w14:textId="77777777" w:rsidR="005C0576" w:rsidRPr="00DA6489" w:rsidRDefault="00520523">
            <w:pPr>
              <w:pStyle w:val="Policedetableau"/>
              <w:widowControl w:val="0"/>
            </w:pPr>
            <w:r w:rsidRPr="00DA6489">
              <w:lastRenderedPageBreak/>
              <w:t xml:space="preserve">Uniquement applicable aux unités nouvelles ou aux </w:t>
            </w:r>
            <w:r w:rsidRPr="00DA6489">
              <w:lastRenderedPageBreak/>
              <w:t>transformations majeures d’unités</w:t>
            </w:r>
          </w:p>
        </w:tc>
      </w:tr>
      <w:tr w:rsidR="005C0576" w:rsidRPr="00DA6489" w14:paraId="7C52FFC5"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2A502" w14:textId="77777777" w:rsidR="005C0576" w:rsidRPr="00DA6489" w:rsidRDefault="00520523">
            <w:pPr>
              <w:pStyle w:val="Policedetableau"/>
              <w:widowControl w:val="0"/>
            </w:pPr>
            <w:proofErr w:type="gramStart"/>
            <w:r w:rsidRPr="00DA6489">
              <w:lastRenderedPageBreak/>
              <w:t>b</w:t>
            </w:r>
            <w:proofErr w:type="gramEnd"/>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0EA9C" w14:textId="77777777" w:rsidR="005C0576" w:rsidRPr="00DA6489" w:rsidRDefault="00520523">
            <w:pPr>
              <w:pStyle w:val="Policedetableau"/>
              <w:widowControl w:val="0"/>
            </w:pPr>
            <w:r w:rsidRPr="00DA6489">
              <w:t>Extraction par hotte aspirante latérale ou système d’extraction de bord</w:t>
            </w:r>
          </w:p>
        </w:tc>
        <w:tc>
          <w:tcPr>
            <w:tcW w:w="3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534F1" w14:textId="4F91849D" w:rsidR="005C0576" w:rsidRPr="00DA6489" w:rsidRDefault="00520523">
            <w:pPr>
              <w:pStyle w:val="Policedetableau"/>
              <w:widowControl w:val="0"/>
            </w:pPr>
            <w:r w:rsidRPr="00DA6489">
              <w:t xml:space="preserve">Les fumées acides provenant des cuves de décapage sont extraites à l’aide de hottes aspirantes latérales ou d’un système d’extraction de bord placé sur les </w:t>
            </w:r>
            <w:r w:rsidR="000A56C8">
              <w:t>bords</w:t>
            </w:r>
            <w:r w:rsidR="000A56C8" w:rsidRPr="00DA6489">
              <w:t xml:space="preserve"> </w:t>
            </w:r>
            <w:r w:rsidRPr="00DA6489">
              <w:t>des cuves de décapage. Cette technique peut également être appliquée aux émissions des cuves de dégraissage.</w:t>
            </w:r>
          </w:p>
        </w:tc>
        <w:tc>
          <w:tcPr>
            <w:tcW w:w="2077" w:type="dxa"/>
            <w:tcBorders>
              <w:top w:val="single" w:sz="4" w:space="0" w:color="000000"/>
              <w:left w:val="single" w:sz="4" w:space="0" w:color="000000"/>
              <w:bottom w:val="single" w:sz="4" w:space="0" w:color="000000"/>
              <w:right w:val="single" w:sz="4" w:space="0" w:color="000000"/>
            </w:tcBorders>
            <w:vAlign w:val="center"/>
          </w:tcPr>
          <w:p w14:paraId="1F8CEC53" w14:textId="77777777" w:rsidR="005C0576" w:rsidRPr="00DA6489" w:rsidRDefault="00520523">
            <w:pPr>
              <w:pStyle w:val="Policedetableau"/>
              <w:widowControl w:val="0"/>
            </w:pPr>
            <w:r w:rsidRPr="00DA6489">
              <w:t>L’applicabilité aux unités existantes peut être limitée par le manque d’espace.</w:t>
            </w:r>
          </w:p>
        </w:tc>
      </w:tr>
      <w:tr w:rsidR="005C0576" w:rsidRPr="00DA6489" w14:paraId="6C1E7273" w14:textId="77777777">
        <w:tc>
          <w:tcPr>
            <w:tcW w:w="84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72B1DAF" w14:textId="77777777" w:rsidR="005C0576" w:rsidRPr="00DA6489" w:rsidRDefault="00520523">
            <w:pPr>
              <w:pStyle w:val="Policedetableau"/>
              <w:widowControl w:val="0"/>
            </w:pPr>
            <w:r w:rsidRPr="00DA6489">
              <w:t>Traitement des gaz résiduaires</w:t>
            </w:r>
          </w:p>
        </w:tc>
      </w:tr>
      <w:tr w:rsidR="005C0576" w:rsidRPr="00DA6489" w14:paraId="5182DFEF"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19A89A" w14:textId="77777777" w:rsidR="005C0576" w:rsidRPr="00DA6489" w:rsidRDefault="00520523">
            <w:pPr>
              <w:pStyle w:val="Policedetableau"/>
              <w:widowControl w:val="0"/>
            </w:pPr>
            <w:proofErr w:type="gramStart"/>
            <w:r w:rsidRPr="00DA6489">
              <w:t>c</w:t>
            </w:r>
            <w:proofErr w:type="gramEnd"/>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5FB7A" w14:textId="77777777" w:rsidR="005C0576" w:rsidRPr="00DA6489" w:rsidRDefault="00520523">
            <w:pPr>
              <w:pStyle w:val="Policedetableau"/>
              <w:widowControl w:val="0"/>
            </w:pPr>
            <w:r w:rsidRPr="00DA6489">
              <w:t xml:space="preserve">Épuration par voie humide suivie d’un </w:t>
            </w:r>
            <w:proofErr w:type="spellStart"/>
            <w:r w:rsidRPr="00DA6489">
              <w:t>dévésiculeur</w:t>
            </w:r>
            <w:proofErr w:type="spellEnd"/>
          </w:p>
        </w:tc>
        <w:tc>
          <w:tcPr>
            <w:tcW w:w="3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D67DE" w14:textId="77777777" w:rsidR="005C0576" w:rsidRPr="00DA6489" w:rsidRDefault="00520523">
            <w:pPr>
              <w:pStyle w:val="Policedetableau"/>
              <w:widowControl w:val="0"/>
            </w:pPr>
            <w:r w:rsidRPr="00DA6489">
              <w:t xml:space="preserve">Voir le point </w:t>
            </w:r>
            <w:r w:rsidR="00636254" w:rsidRPr="00DA6489">
              <w:t>1.1.</w:t>
            </w:r>
          </w:p>
        </w:tc>
        <w:tc>
          <w:tcPr>
            <w:tcW w:w="2077" w:type="dxa"/>
            <w:tcBorders>
              <w:top w:val="single" w:sz="4" w:space="0" w:color="000000"/>
              <w:left w:val="single" w:sz="4" w:space="0" w:color="000000"/>
              <w:bottom w:val="single" w:sz="4" w:space="0" w:color="000000"/>
              <w:right w:val="single" w:sz="4" w:space="0" w:color="000000"/>
            </w:tcBorders>
            <w:vAlign w:val="center"/>
          </w:tcPr>
          <w:p w14:paraId="45365C61" w14:textId="77777777" w:rsidR="005C0576" w:rsidRPr="00DA6489" w:rsidRDefault="00F95481">
            <w:pPr>
              <w:pStyle w:val="Policedetableau"/>
              <w:widowControl w:val="0"/>
            </w:pPr>
            <w:r w:rsidRPr="00DA6489">
              <w:t>Applicable d’une manière générale. </w:t>
            </w:r>
          </w:p>
        </w:tc>
      </w:tr>
      <w:tr w:rsidR="005C0576" w:rsidRPr="00DA6489" w14:paraId="3839F8FA" w14:textId="77777777">
        <w:tc>
          <w:tcPr>
            <w:tcW w:w="849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4D5C6D7" w14:textId="77777777" w:rsidR="005C0576" w:rsidRPr="00DA6489" w:rsidRDefault="00520523">
            <w:pPr>
              <w:pStyle w:val="Policedetableau"/>
              <w:widowControl w:val="0"/>
            </w:pPr>
            <w:r w:rsidRPr="00DA6489">
              <w:t>Réduction d’émissions</w:t>
            </w:r>
          </w:p>
        </w:tc>
      </w:tr>
      <w:tr w:rsidR="005C0576" w:rsidRPr="00DA6489" w14:paraId="2ADAF889" w14:textId="77777777">
        <w:tc>
          <w:tcPr>
            <w:tcW w:w="3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1649E" w14:textId="77777777" w:rsidR="005C0576" w:rsidRPr="00DA6489" w:rsidRDefault="00520523">
            <w:pPr>
              <w:pStyle w:val="Policedetableau"/>
              <w:widowControl w:val="0"/>
            </w:pPr>
            <w:proofErr w:type="gramStart"/>
            <w:r w:rsidRPr="00DA6489">
              <w:t>d</w:t>
            </w:r>
            <w:proofErr w:type="gramEnd"/>
          </w:p>
        </w:tc>
        <w:tc>
          <w:tcPr>
            <w:tcW w:w="2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DB40C" w14:textId="77777777" w:rsidR="005C0576" w:rsidRPr="00DA6489" w:rsidRDefault="00520523">
            <w:pPr>
              <w:pStyle w:val="Policedetableau"/>
              <w:widowControl w:val="0"/>
            </w:pPr>
            <w:r w:rsidRPr="00DA6489">
              <w:t>Plage de fonctionnement restreinte pour les bains de décapage ouverts à l’acide chlorhydrique</w:t>
            </w:r>
          </w:p>
        </w:tc>
        <w:tc>
          <w:tcPr>
            <w:tcW w:w="3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12878" w14:textId="77777777" w:rsidR="005C0576" w:rsidRPr="00DA6489" w:rsidRDefault="00520523">
            <w:pPr>
              <w:pStyle w:val="Policedetableau"/>
              <w:widowControl w:val="0"/>
            </w:pPr>
            <w:r w:rsidRPr="00DA6489">
              <w:t xml:space="preserve">L'utilisation des bains à l’acide chlorhydrique est strictement limitée aux intervalles de température et de concentration en </w:t>
            </w:r>
            <w:proofErr w:type="spellStart"/>
            <w:r w:rsidRPr="00DA6489">
              <w:t>HCl</w:t>
            </w:r>
            <w:proofErr w:type="spellEnd"/>
            <w:r w:rsidRPr="00DA6489">
              <w:t xml:space="preserve"> correspondant aux conditions </w:t>
            </w:r>
            <w:r w:rsidR="00F5776E" w:rsidRPr="00DA6489">
              <w:t>suivantes :</w:t>
            </w:r>
          </w:p>
          <w:p w14:paraId="1C7A6407" w14:textId="77777777" w:rsidR="005C0576" w:rsidRPr="00DA6489" w:rsidRDefault="00520523">
            <w:pPr>
              <w:pStyle w:val="Policedetableau"/>
              <w:widowControl w:val="0"/>
            </w:pPr>
            <w:r w:rsidRPr="00DA6489">
              <w:t>a) 4 °C &lt; T &lt; (80 – 4 w) °</w:t>
            </w:r>
            <w:proofErr w:type="gramStart"/>
            <w:r w:rsidRPr="00DA6489">
              <w:t>C;</w:t>
            </w:r>
            <w:proofErr w:type="gramEnd"/>
          </w:p>
          <w:p w14:paraId="1E5C319E" w14:textId="77777777" w:rsidR="005C0576" w:rsidRPr="00DA6489" w:rsidRDefault="00520523">
            <w:pPr>
              <w:pStyle w:val="Policedetableau"/>
              <w:widowControl w:val="0"/>
            </w:pPr>
            <w:r w:rsidRPr="00DA6489">
              <w:t>b) 2 % en poids &lt; w &lt; (20 – T/4) % en poids,</w:t>
            </w:r>
          </w:p>
          <w:p w14:paraId="51E84267" w14:textId="77777777" w:rsidR="005C0576" w:rsidRPr="00DA6489" w:rsidRDefault="00520523">
            <w:pPr>
              <w:pStyle w:val="Policedetableau"/>
              <w:widowControl w:val="0"/>
            </w:pPr>
            <w:proofErr w:type="gramStart"/>
            <w:r w:rsidRPr="00DA6489">
              <w:t>où</w:t>
            </w:r>
            <w:proofErr w:type="gramEnd"/>
            <w:r w:rsidRPr="00DA6489">
              <w:t xml:space="preserve"> T est la température de l’acide de décapage exprimée en °C et w la concentration de </w:t>
            </w:r>
            <w:proofErr w:type="spellStart"/>
            <w:r w:rsidRPr="00DA6489">
              <w:t>HCl</w:t>
            </w:r>
            <w:proofErr w:type="spellEnd"/>
            <w:r w:rsidRPr="00DA6489">
              <w:t xml:space="preserve"> exprimée en % en poids.</w:t>
            </w:r>
          </w:p>
          <w:p w14:paraId="5648589C" w14:textId="0B91ABB0" w:rsidR="005C0576" w:rsidRPr="00DA6489" w:rsidRDefault="00520523">
            <w:pPr>
              <w:pStyle w:val="Policedetableau"/>
              <w:widowControl w:val="0"/>
            </w:pPr>
            <w:r w:rsidRPr="00DA6489">
              <w:t xml:space="preserve">La température du bain est mesurée au moins une fois par jour. La concentration en </w:t>
            </w:r>
            <w:proofErr w:type="spellStart"/>
            <w:r w:rsidRPr="00DA6489">
              <w:t>HCl</w:t>
            </w:r>
            <w:proofErr w:type="spellEnd"/>
            <w:r w:rsidRPr="00DA6489">
              <w:t xml:space="preserve"> dans le bain est mesurée à chaque fois que de l’acide frais est réapprovisionné et dans tous les cas au moins une fois par semaine. Ces informations sont inscrites dans un registre et tenu</w:t>
            </w:r>
            <w:r w:rsidR="00D34654" w:rsidRPr="00DA6489">
              <w:t>e</w:t>
            </w:r>
            <w:r w:rsidRPr="00DA6489">
              <w:t xml:space="preserve">s à la disposition de </w:t>
            </w:r>
            <w:r w:rsidR="009400CA" w:rsidRPr="00DA6489">
              <w:t>l’Inspection des installations classées</w:t>
            </w:r>
            <w:r w:rsidRPr="00DA6489">
              <w:t>. Pour limiter l’évaporation, la circulation d’air à la surface du bain (liée, par exemple, à la ventilation) est réduite au minimum.</w:t>
            </w:r>
          </w:p>
        </w:tc>
        <w:tc>
          <w:tcPr>
            <w:tcW w:w="2077" w:type="dxa"/>
            <w:tcBorders>
              <w:top w:val="single" w:sz="4" w:space="0" w:color="000000"/>
              <w:left w:val="single" w:sz="4" w:space="0" w:color="000000"/>
              <w:bottom w:val="single" w:sz="4" w:space="0" w:color="000000"/>
              <w:right w:val="single" w:sz="4" w:space="0" w:color="000000"/>
            </w:tcBorders>
            <w:vAlign w:val="center"/>
          </w:tcPr>
          <w:p w14:paraId="307C47CB" w14:textId="77777777" w:rsidR="005C0576" w:rsidRPr="00DA6489" w:rsidRDefault="00F95481">
            <w:pPr>
              <w:pStyle w:val="Policedetableau"/>
              <w:widowControl w:val="0"/>
            </w:pPr>
            <w:r w:rsidRPr="00DA6489">
              <w:t>Applicable d’une manière générale. </w:t>
            </w:r>
          </w:p>
        </w:tc>
      </w:tr>
    </w:tbl>
    <w:p w14:paraId="2D7D65AE" w14:textId="77777777" w:rsidR="005C0576" w:rsidRPr="00DA6489" w:rsidRDefault="005C0576"/>
    <w:p w14:paraId="3EB289BF" w14:textId="77C96FA9" w:rsidR="005C0576" w:rsidRPr="00DA6489" w:rsidRDefault="00520523" w:rsidP="00FF3330">
      <w:pPr>
        <w:pStyle w:val="Titre2"/>
      </w:pPr>
      <w:r w:rsidRPr="00DA6489">
        <w:t>2.11</w:t>
      </w:r>
      <w:r w:rsidR="00391B2E" w:rsidRPr="00DA6489">
        <w:t>.</w:t>
      </w:r>
      <w:r w:rsidRPr="00DA6489">
        <w:t xml:space="preserve"> Émissions dans l’eau</w:t>
      </w:r>
    </w:p>
    <w:p w14:paraId="625B2D71" w14:textId="77777777" w:rsidR="005C0576" w:rsidRPr="00DA6489" w:rsidRDefault="00520523" w:rsidP="00FF3330">
      <w:pPr>
        <w:pStyle w:val="Titre30"/>
        <w:ind w:firstLine="708"/>
      </w:pPr>
      <w:r w:rsidRPr="00DA6489">
        <w:t>2.11.1</w:t>
      </w:r>
      <w:r w:rsidR="00391B2E" w:rsidRPr="00DA6489">
        <w:t>.</w:t>
      </w:r>
      <w:r w:rsidRPr="00DA6489">
        <w:tab/>
        <w:t>Contamination par des huiles et graisses</w:t>
      </w:r>
    </w:p>
    <w:p w14:paraId="5EEB25B6" w14:textId="77777777" w:rsidR="005C0576" w:rsidRPr="00DA6489" w:rsidRDefault="00520523">
      <w:r w:rsidRPr="00DA6489">
        <w:t>L’exploitant sépare la phase organique et la phase aqueuse, afin de réduire la charge en polluants organiques des eaux contaminées par des huiles ou des graisses qui font l’objet d’un traitement ultérieur</w:t>
      </w:r>
      <w:r w:rsidR="004C5741" w:rsidRPr="00DA6489">
        <w:t>.</w:t>
      </w:r>
    </w:p>
    <w:p w14:paraId="7E1292E7" w14:textId="77777777" w:rsidR="005C0576" w:rsidRPr="00DA6489" w:rsidRDefault="00520523">
      <w:r w:rsidRPr="00DA6489">
        <w:t xml:space="preserve">La phase organique est séparée de la phase aqueuse, par exemple par écrémage ou par cassage des émulsions avec des agents appropriés, par évaporation ou par filtration sur membrane. La phase organique peut être utilisée pour la récupération d’énergie ou de matière </w:t>
      </w:r>
      <w:r w:rsidR="00195907" w:rsidRPr="00DA6489">
        <w:t>(</w:t>
      </w:r>
      <w:r w:rsidRPr="00DA6489">
        <w:t>voir, par exemple, le point 2.</w:t>
      </w:r>
      <w:r w:rsidR="004C5741" w:rsidRPr="00DA6489">
        <w:t>13.1</w:t>
      </w:r>
      <w:r w:rsidR="00195907" w:rsidRPr="00DA6489">
        <w:t>)</w:t>
      </w:r>
      <w:r w:rsidRPr="00DA6489">
        <w:t>.</w:t>
      </w:r>
    </w:p>
    <w:p w14:paraId="299A9551" w14:textId="77777777" w:rsidR="005C0576" w:rsidRPr="00DA6489" w:rsidRDefault="00520523" w:rsidP="00FF3330">
      <w:pPr>
        <w:pStyle w:val="Titre30"/>
        <w:ind w:firstLine="708"/>
      </w:pPr>
      <w:r w:rsidRPr="00DA6489">
        <w:lastRenderedPageBreak/>
        <w:t>2.11.2</w:t>
      </w:r>
      <w:r w:rsidR="00391B2E" w:rsidRPr="00DA6489">
        <w:t>.</w:t>
      </w:r>
      <w:r w:rsidRPr="00DA6489">
        <w:t xml:space="preserve"> </w:t>
      </w:r>
      <w:r w:rsidRPr="00DA6489">
        <w:tab/>
        <w:t xml:space="preserve">Rejets des eaux issues des process de </w:t>
      </w:r>
      <w:r w:rsidR="00684DBA" w:rsidRPr="00DA6489">
        <w:t>galvanisation discontinue</w:t>
      </w:r>
      <w:r w:rsidRPr="00DA6489">
        <w:t xml:space="preserve"> </w:t>
      </w:r>
    </w:p>
    <w:p w14:paraId="2A5EFF65" w14:textId="77777777" w:rsidR="005C0576" w:rsidRPr="00DA6489" w:rsidRDefault="00520523">
      <w:pPr>
        <w:spacing w:before="280" w:after="0" w:line="240" w:lineRule="auto"/>
        <w:rPr>
          <w:rFonts w:eastAsia="Times New Roman"/>
          <w:color w:val="000000"/>
          <w:lang w:eastAsia="fr-FR"/>
        </w:rPr>
      </w:pPr>
      <w:r w:rsidRPr="00DA6489">
        <w:rPr>
          <w:rFonts w:eastAsia="Times New Roman"/>
          <w:color w:val="000000"/>
          <w:lang w:eastAsia="fr-FR"/>
        </w:rPr>
        <w:t>L’exploitant ne reje</w:t>
      </w:r>
      <w:r w:rsidR="00F67052" w:rsidRPr="00DA6489">
        <w:rPr>
          <w:rFonts w:eastAsia="Times New Roman"/>
          <w:color w:val="000000"/>
          <w:lang w:eastAsia="fr-FR"/>
        </w:rPr>
        <w:t>t</w:t>
      </w:r>
      <w:r w:rsidRPr="00DA6489">
        <w:rPr>
          <w:rFonts w:eastAsia="Times New Roman"/>
          <w:color w:val="000000"/>
          <w:lang w:eastAsia="fr-FR"/>
        </w:rPr>
        <w:t>te pas d’eaux usées provenant du process de galvanisation discontinue.</w:t>
      </w:r>
    </w:p>
    <w:p w14:paraId="23B3A881" w14:textId="3C46FD6E" w:rsidR="009400CA" w:rsidRPr="00DA6489" w:rsidRDefault="009400CA">
      <w:pPr>
        <w:spacing w:before="280" w:after="0" w:line="240" w:lineRule="auto"/>
        <w:rPr>
          <w:rFonts w:eastAsia="Times New Roman"/>
          <w:color w:val="000000"/>
          <w:lang w:eastAsia="fr-FR"/>
        </w:rPr>
      </w:pPr>
      <w:r w:rsidRPr="00DA6489">
        <w:t xml:space="preserve">Les résidus liquides (comme les acides de décapage, solutions de dégraissage ou de fluxage usées) sont collectés, puis traités de manière appropriée en vue de leur recyclage, valorisation et/ou élimination, conformément aux dispositions des points 2.13.4 et 2.8.9. </w:t>
      </w:r>
    </w:p>
    <w:p w14:paraId="43451950" w14:textId="77777777" w:rsidR="005C0576" w:rsidRPr="00DA6489" w:rsidRDefault="00520523">
      <w:pPr>
        <w:spacing w:before="280" w:after="0" w:line="240" w:lineRule="auto"/>
        <w:rPr>
          <w:rFonts w:eastAsia="Times New Roman"/>
          <w:color w:val="000000"/>
          <w:lang w:eastAsia="fr-FR"/>
        </w:rPr>
      </w:pPr>
      <w:r w:rsidRPr="00DA6489">
        <w:rPr>
          <w:rFonts w:eastAsia="Times New Roman"/>
          <w:color w:val="000000"/>
          <w:lang w:eastAsia="fr-FR"/>
        </w:rPr>
        <w:t>L’exploitant met tout en œuvre pour éviter la contamination des eaux de ruissellement. Pour les autres rejets, les dispositions prévues par la réglementation en vigueur s’appliquent.</w:t>
      </w:r>
    </w:p>
    <w:p w14:paraId="4CE8DF63" w14:textId="719F9DF4" w:rsidR="005C0576" w:rsidRPr="00DA6489" w:rsidRDefault="00520523" w:rsidP="00FF3330">
      <w:pPr>
        <w:pStyle w:val="Titre2"/>
      </w:pPr>
      <w:r w:rsidRPr="00DA6489">
        <w:t>2.12</w:t>
      </w:r>
      <w:r w:rsidR="00391B2E" w:rsidRPr="00DA6489">
        <w:t>.</w:t>
      </w:r>
      <w:r w:rsidRPr="00DA6489">
        <w:t xml:space="preserve"> Bruits et vibrations</w:t>
      </w:r>
    </w:p>
    <w:p w14:paraId="1CCEC431" w14:textId="77777777" w:rsidR="005C0576" w:rsidRPr="00DA6489" w:rsidRDefault="00520523" w:rsidP="00FF3330">
      <w:pPr>
        <w:pStyle w:val="Titre30"/>
        <w:ind w:firstLine="708"/>
      </w:pPr>
      <w:r w:rsidRPr="00DA6489">
        <w:t>2.12.1</w:t>
      </w:r>
      <w:r w:rsidR="00391B2E" w:rsidRPr="00DA6489">
        <w:t>.</w:t>
      </w:r>
      <w:r w:rsidRPr="00DA6489">
        <w:t xml:space="preserve"> Plan de gestion du bruit et des vibrations</w:t>
      </w:r>
    </w:p>
    <w:p w14:paraId="43493C81" w14:textId="77777777" w:rsidR="005C0576" w:rsidRPr="00DA6489" w:rsidRDefault="00520523">
      <w:r w:rsidRPr="00DA6489">
        <w:t>L’exploitant établit, met en œuvre et réexamine régulièrement, dans le cadre du SME (voir le point 2.1</w:t>
      </w:r>
      <w:r w:rsidR="00195907" w:rsidRPr="00DA6489">
        <w:t>.</w:t>
      </w:r>
      <w:r w:rsidRPr="00DA6489">
        <w:t>) et dans les cas où un problème de bruit ou de vibrations affectant des zones sensibles est probable ou a été constaté, un plan de gestion du bruit et des vibrations comprenant l’ensemble des éléments suivants :</w:t>
      </w:r>
    </w:p>
    <w:p w14:paraId="6BA2FD3F" w14:textId="77777777" w:rsidR="005C0576" w:rsidRPr="00DA6489" w:rsidRDefault="00520523">
      <w:pPr>
        <w:pStyle w:val="Paragraphedeliste"/>
        <w:numPr>
          <w:ilvl w:val="0"/>
          <w:numId w:val="3"/>
        </w:numPr>
      </w:pPr>
      <w:proofErr w:type="gramStart"/>
      <w:r w:rsidRPr="00DA6489">
        <w:t>un</w:t>
      </w:r>
      <w:proofErr w:type="gramEnd"/>
      <w:r w:rsidRPr="00DA6489">
        <w:t xml:space="preserve"> protocole décrivant les mesures appropriées à prendre et les échéances ;</w:t>
      </w:r>
    </w:p>
    <w:p w14:paraId="66DA58AA" w14:textId="77777777" w:rsidR="005C0576" w:rsidRPr="00DA6489" w:rsidRDefault="00520523">
      <w:pPr>
        <w:pStyle w:val="Paragraphedeliste"/>
        <w:numPr>
          <w:ilvl w:val="0"/>
          <w:numId w:val="3"/>
        </w:numPr>
      </w:pPr>
      <w:proofErr w:type="gramStart"/>
      <w:r w:rsidRPr="00DA6489">
        <w:t>un</w:t>
      </w:r>
      <w:proofErr w:type="gramEnd"/>
      <w:r w:rsidRPr="00DA6489">
        <w:t xml:space="preserve"> protocole de surveillance du bruit et des vibrations ;</w:t>
      </w:r>
    </w:p>
    <w:p w14:paraId="6188587C" w14:textId="77777777" w:rsidR="005C0576" w:rsidRPr="00DA6489" w:rsidRDefault="00520523">
      <w:pPr>
        <w:pStyle w:val="Paragraphedeliste"/>
        <w:numPr>
          <w:ilvl w:val="0"/>
          <w:numId w:val="3"/>
        </w:numPr>
      </w:pPr>
      <w:proofErr w:type="gramStart"/>
      <w:r w:rsidRPr="00DA6489">
        <w:t>un</w:t>
      </w:r>
      <w:proofErr w:type="gramEnd"/>
      <w:r w:rsidRPr="00DA6489">
        <w:t xml:space="preserve"> protocole des mesures à prendre pour remédier aux problèmes de bruit et de vibrations signalés (dans le cadre de plaintes, par exemple) ;</w:t>
      </w:r>
    </w:p>
    <w:p w14:paraId="46B76802" w14:textId="77777777" w:rsidR="005C0576" w:rsidRPr="00DA6489" w:rsidRDefault="00520523">
      <w:pPr>
        <w:pStyle w:val="Paragraphedeliste"/>
        <w:numPr>
          <w:ilvl w:val="0"/>
          <w:numId w:val="3"/>
        </w:numPr>
      </w:pPr>
      <w:proofErr w:type="gramStart"/>
      <w:r w:rsidRPr="00DA6489">
        <w:t>un</w:t>
      </w:r>
      <w:proofErr w:type="gramEnd"/>
      <w:r w:rsidRPr="00DA6489">
        <w:t xml:space="preserve"> programme de réduction du bruit et des vibrations visant à déterminer la ou les sources, à mesurer/évaluer l’exposition au bruit et aux vibrations, à caractériser les contributions des sources et à mettre en œuvre des mesures de prévention et/ou de réduction.</w:t>
      </w:r>
    </w:p>
    <w:p w14:paraId="051E0233" w14:textId="77777777" w:rsidR="002A77F6" w:rsidRPr="00DA6489" w:rsidRDefault="00520523">
      <w:r w:rsidRPr="00DA6489">
        <w:t>Dans les cas où un problème de bruit ou de vibrations affectant des zones sensibles est probable ou a été constaté</w:t>
      </w:r>
      <w:r w:rsidR="00A938ED" w:rsidRPr="00DA6489">
        <w:t>,</w:t>
      </w:r>
      <w:r w:rsidRPr="00DA6489">
        <w:t xml:space="preserve"> </w:t>
      </w:r>
      <w:r w:rsidR="00A938ED" w:rsidRPr="00DA6489">
        <w:t>l</w:t>
      </w:r>
      <w:r w:rsidRPr="00DA6489">
        <w:t>’exploitant met en œuvre et réexamine annuellement son plan de gestion du bruit et des vibration</w:t>
      </w:r>
      <w:r w:rsidR="00A938ED" w:rsidRPr="00DA6489">
        <w:t>s.</w:t>
      </w:r>
    </w:p>
    <w:p w14:paraId="6B472076" w14:textId="77777777" w:rsidR="002A77F6" w:rsidRPr="00DA6489" w:rsidRDefault="002A77F6">
      <w:r w:rsidRPr="00DA6489">
        <w:t>Les vibrations émises respectent les règles techniques annexées à la circulaire n° 86-23 du 23 juillet 1986 relative aux vibrations mécaniques émises dans l'environnement par les installations classées. Les mesures sont faites selon la méthodologie définie par cette circulaire.</w:t>
      </w:r>
    </w:p>
    <w:p w14:paraId="22B54914" w14:textId="77777777" w:rsidR="005C0576" w:rsidRPr="00DA6489" w:rsidRDefault="00520523">
      <w:r w:rsidRPr="00DA6489">
        <w:t>Il tient à la disposition de l’inspection des installations classées son plan de gestion du bruit et des vibrations ainsi que toutes analyses et surveillance du bruit et des vibrations.</w:t>
      </w:r>
    </w:p>
    <w:p w14:paraId="1FC141A2" w14:textId="77777777" w:rsidR="005C0576" w:rsidRPr="00DA6489" w:rsidRDefault="00520523" w:rsidP="00FF3330">
      <w:pPr>
        <w:pStyle w:val="Titre30"/>
        <w:ind w:firstLine="708"/>
      </w:pPr>
      <w:r w:rsidRPr="00DA6489">
        <w:t>2.12.2</w:t>
      </w:r>
      <w:r w:rsidR="00391B2E" w:rsidRPr="00DA6489">
        <w:t>.</w:t>
      </w:r>
      <w:r w:rsidRPr="00DA6489">
        <w:t xml:space="preserve"> Techniques d’évitement ou de réduction du bruit et des vibrations. </w:t>
      </w:r>
    </w:p>
    <w:p w14:paraId="53FFB4A0" w14:textId="77777777" w:rsidR="005C0576" w:rsidRPr="00DA6489" w:rsidRDefault="00520523">
      <w:r w:rsidRPr="00DA6489">
        <w:t>L’exploitant applique une ou plusieurs des techniques indiquées ci-dessous afin d’éviter ou, si cela n’est pas possible, de réduire le bruit et les vibrations.</w:t>
      </w:r>
    </w:p>
    <w:p w14:paraId="13C130A0" w14:textId="77777777" w:rsidR="005C0576" w:rsidRPr="00DA6489" w:rsidRDefault="005C0576"/>
    <w:tbl>
      <w:tblPr>
        <w:tblW w:w="8495" w:type="dxa"/>
        <w:jc w:val="center"/>
        <w:tblLayout w:type="fixed"/>
        <w:tblCellMar>
          <w:top w:w="11" w:type="dxa"/>
        </w:tblCellMar>
        <w:tblLook w:val="01E0" w:firstRow="1" w:lastRow="1" w:firstColumn="1" w:lastColumn="1" w:noHBand="0" w:noVBand="0"/>
      </w:tblPr>
      <w:tblGrid>
        <w:gridCol w:w="327"/>
        <w:gridCol w:w="1901"/>
        <w:gridCol w:w="2988"/>
        <w:gridCol w:w="3279"/>
      </w:tblGrid>
      <w:tr w:rsidR="005C0576" w:rsidRPr="00DA6489" w14:paraId="1767CE10" w14:textId="77777777">
        <w:trPr>
          <w:cantSplit/>
          <w:trHeight w:val="340"/>
          <w:tblHeader/>
          <w:jc w:val="center"/>
        </w:trPr>
        <w:tc>
          <w:tcPr>
            <w:tcW w:w="2227" w:type="dxa"/>
            <w:gridSpan w:val="2"/>
            <w:tcBorders>
              <w:top w:val="single" w:sz="4" w:space="0" w:color="000000"/>
              <w:left w:val="single" w:sz="4" w:space="0" w:color="000000"/>
              <w:bottom w:val="single" w:sz="4" w:space="0" w:color="000000"/>
              <w:right w:val="single" w:sz="4" w:space="0" w:color="000000"/>
            </w:tcBorders>
            <w:vAlign w:val="center"/>
          </w:tcPr>
          <w:p w14:paraId="75731D13" w14:textId="77777777" w:rsidR="005C0576" w:rsidRPr="00DA6489" w:rsidRDefault="00520523">
            <w:pPr>
              <w:pStyle w:val="Policedetableau"/>
              <w:widowControl w:val="0"/>
              <w:rPr>
                <w:b/>
              </w:rPr>
            </w:pPr>
            <w:r w:rsidRPr="00DA6489">
              <w:rPr>
                <w:b/>
              </w:rPr>
              <w:t>Technique</w:t>
            </w:r>
          </w:p>
        </w:tc>
        <w:tc>
          <w:tcPr>
            <w:tcW w:w="2988" w:type="dxa"/>
            <w:tcBorders>
              <w:top w:val="single" w:sz="4" w:space="0" w:color="000000"/>
              <w:left w:val="single" w:sz="4" w:space="0" w:color="000000"/>
              <w:bottom w:val="single" w:sz="4" w:space="0" w:color="000000"/>
              <w:right w:val="single" w:sz="4" w:space="0" w:color="000000"/>
            </w:tcBorders>
            <w:vAlign w:val="center"/>
          </w:tcPr>
          <w:p w14:paraId="5C2F4F85" w14:textId="77777777" w:rsidR="005C0576" w:rsidRPr="00DA6489" w:rsidRDefault="00520523">
            <w:pPr>
              <w:pStyle w:val="Policedetableau"/>
              <w:widowControl w:val="0"/>
              <w:rPr>
                <w:b/>
              </w:rPr>
            </w:pPr>
            <w:r w:rsidRPr="00DA6489">
              <w:rPr>
                <w:b/>
              </w:rPr>
              <w:t>Description</w:t>
            </w:r>
          </w:p>
        </w:tc>
        <w:tc>
          <w:tcPr>
            <w:tcW w:w="3279" w:type="dxa"/>
            <w:tcBorders>
              <w:top w:val="single" w:sz="4" w:space="0" w:color="000000"/>
              <w:left w:val="single" w:sz="4" w:space="0" w:color="000000"/>
              <w:bottom w:val="single" w:sz="4" w:space="0" w:color="000000"/>
              <w:right w:val="single" w:sz="4" w:space="0" w:color="000000"/>
            </w:tcBorders>
            <w:vAlign w:val="center"/>
          </w:tcPr>
          <w:p w14:paraId="1E0A97A1" w14:textId="77777777" w:rsidR="005C0576" w:rsidRPr="00DA6489" w:rsidRDefault="00520523">
            <w:pPr>
              <w:pStyle w:val="Policedetableau"/>
              <w:widowControl w:val="0"/>
              <w:rPr>
                <w:b/>
              </w:rPr>
            </w:pPr>
            <w:r w:rsidRPr="00DA6489">
              <w:rPr>
                <w:b/>
              </w:rPr>
              <w:t>Applicabilité</w:t>
            </w:r>
          </w:p>
        </w:tc>
      </w:tr>
      <w:tr w:rsidR="005C0576" w:rsidRPr="00DA6489" w14:paraId="2D7EC9FF" w14:textId="77777777">
        <w:trPr>
          <w:cantSplit/>
          <w:jc w:val="center"/>
        </w:trPr>
        <w:tc>
          <w:tcPr>
            <w:tcW w:w="326" w:type="dxa"/>
            <w:tcBorders>
              <w:top w:val="single" w:sz="4" w:space="0" w:color="000000"/>
              <w:left w:val="single" w:sz="4" w:space="0" w:color="000000"/>
              <w:bottom w:val="single" w:sz="4" w:space="0" w:color="000000"/>
              <w:right w:val="single" w:sz="4" w:space="0" w:color="000000"/>
            </w:tcBorders>
            <w:vAlign w:val="center"/>
          </w:tcPr>
          <w:p w14:paraId="0458F5BC" w14:textId="77777777" w:rsidR="005C0576" w:rsidRPr="00DA6489" w:rsidRDefault="00520523">
            <w:pPr>
              <w:pStyle w:val="Policedetableau"/>
              <w:widowControl w:val="0"/>
            </w:pPr>
            <w:proofErr w:type="gramStart"/>
            <w:r w:rsidRPr="00DA6489">
              <w:t>a</w:t>
            </w:r>
            <w:proofErr w:type="gramEnd"/>
          </w:p>
        </w:tc>
        <w:tc>
          <w:tcPr>
            <w:tcW w:w="1901" w:type="dxa"/>
            <w:tcBorders>
              <w:top w:val="single" w:sz="4" w:space="0" w:color="000000"/>
              <w:left w:val="single" w:sz="4" w:space="0" w:color="000000"/>
              <w:bottom w:val="single" w:sz="4" w:space="0" w:color="000000"/>
              <w:right w:val="single" w:sz="4" w:space="0" w:color="000000"/>
            </w:tcBorders>
            <w:vAlign w:val="center"/>
          </w:tcPr>
          <w:p w14:paraId="63D7F06E" w14:textId="77777777" w:rsidR="005C0576" w:rsidRPr="00DA6489" w:rsidRDefault="00520523">
            <w:pPr>
              <w:pStyle w:val="Policedetableau"/>
              <w:widowControl w:val="0"/>
            </w:pPr>
            <w:r w:rsidRPr="00DA6489">
              <w:t>Implantation appropriée des équipements et des bâtiments</w:t>
            </w:r>
          </w:p>
        </w:tc>
        <w:tc>
          <w:tcPr>
            <w:tcW w:w="2988" w:type="dxa"/>
            <w:tcBorders>
              <w:top w:val="single" w:sz="4" w:space="0" w:color="000000"/>
              <w:left w:val="single" w:sz="4" w:space="0" w:color="000000"/>
              <w:bottom w:val="single" w:sz="4" w:space="0" w:color="000000"/>
              <w:right w:val="single" w:sz="4" w:space="0" w:color="000000"/>
            </w:tcBorders>
            <w:tcMar>
              <w:top w:w="0" w:type="dxa"/>
              <w:left w:w="85" w:type="dxa"/>
              <w:right w:w="85" w:type="dxa"/>
            </w:tcMar>
            <w:vAlign w:val="center"/>
          </w:tcPr>
          <w:p w14:paraId="6E2FA292" w14:textId="77777777" w:rsidR="005C0576" w:rsidRPr="00DA6489" w:rsidRDefault="00520523">
            <w:pPr>
              <w:pStyle w:val="Policedetableau"/>
              <w:widowControl w:val="0"/>
            </w:pPr>
            <w:r w:rsidRPr="00DA6489">
              <w:t>Il est possible de réduire les niveaux de bruit en augmentant la distance entre l’émetteur et le récepteur, en utilisant des bâtiments comme écrans antibruit et en déplaçant les entrées ou sorties des bâtiments.</w:t>
            </w:r>
          </w:p>
        </w:tc>
        <w:tc>
          <w:tcPr>
            <w:tcW w:w="3279" w:type="dxa"/>
            <w:tcBorders>
              <w:top w:val="single" w:sz="4" w:space="0" w:color="000000"/>
              <w:left w:val="single" w:sz="4" w:space="0" w:color="000000"/>
              <w:bottom w:val="single" w:sz="4" w:space="0" w:color="000000"/>
              <w:right w:val="single" w:sz="4" w:space="0" w:color="000000"/>
            </w:tcBorders>
            <w:vAlign w:val="center"/>
          </w:tcPr>
          <w:p w14:paraId="347CA97C" w14:textId="77777777" w:rsidR="005C0576" w:rsidRPr="00DA6489" w:rsidRDefault="00520523">
            <w:pPr>
              <w:pStyle w:val="Policedetableau"/>
              <w:widowControl w:val="0"/>
            </w:pPr>
            <w:r w:rsidRPr="00DA6489">
              <w:t>Dans le cas des unités existantes, le déplacement des équipements et des entrées/sorties des bâtiments peut ne pas être applicable en raison du manque d’espace ou de coûts excessifs.</w:t>
            </w:r>
          </w:p>
        </w:tc>
      </w:tr>
      <w:tr w:rsidR="005C0576" w:rsidRPr="00DA6489" w14:paraId="11267422" w14:textId="77777777">
        <w:trPr>
          <w:cantSplit/>
          <w:jc w:val="center"/>
        </w:trPr>
        <w:tc>
          <w:tcPr>
            <w:tcW w:w="326" w:type="dxa"/>
            <w:tcBorders>
              <w:top w:val="single" w:sz="4" w:space="0" w:color="000000"/>
              <w:left w:val="single" w:sz="4" w:space="0" w:color="000000"/>
              <w:bottom w:val="single" w:sz="4" w:space="0" w:color="000000"/>
              <w:right w:val="single" w:sz="4" w:space="0" w:color="000000"/>
            </w:tcBorders>
            <w:vAlign w:val="center"/>
          </w:tcPr>
          <w:p w14:paraId="74180E34" w14:textId="77777777" w:rsidR="005C0576" w:rsidRPr="00DA6489" w:rsidRDefault="00520523">
            <w:pPr>
              <w:pStyle w:val="Policedetableau"/>
              <w:widowControl w:val="0"/>
            </w:pPr>
            <w:proofErr w:type="gramStart"/>
            <w:r w:rsidRPr="00DA6489">
              <w:lastRenderedPageBreak/>
              <w:t>b</w:t>
            </w:r>
            <w:proofErr w:type="gramEnd"/>
          </w:p>
        </w:tc>
        <w:tc>
          <w:tcPr>
            <w:tcW w:w="1901" w:type="dxa"/>
            <w:tcBorders>
              <w:top w:val="single" w:sz="4" w:space="0" w:color="000000"/>
              <w:left w:val="single" w:sz="4" w:space="0" w:color="000000"/>
              <w:bottom w:val="single" w:sz="4" w:space="0" w:color="000000"/>
              <w:right w:val="single" w:sz="4" w:space="0" w:color="000000"/>
            </w:tcBorders>
            <w:vAlign w:val="center"/>
          </w:tcPr>
          <w:p w14:paraId="59E5E789" w14:textId="77777777" w:rsidR="005C0576" w:rsidRPr="00DA6489" w:rsidRDefault="00520523">
            <w:pPr>
              <w:pStyle w:val="Policedetableau"/>
              <w:widowControl w:val="0"/>
            </w:pPr>
            <w:r w:rsidRPr="00DA6489">
              <w:t>Mesures opérationnelles</w:t>
            </w:r>
          </w:p>
        </w:tc>
        <w:tc>
          <w:tcPr>
            <w:tcW w:w="2988" w:type="dxa"/>
            <w:tcBorders>
              <w:top w:val="single" w:sz="4" w:space="0" w:color="000000"/>
              <w:left w:val="single" w:sz="4" w:space="0" w:color="000000"/>
              <w:bottom w:val="single" w:sz="4" w:space="0" w:color="000000"/>
              <w:right w:val="single" w:sz="4" w:space="0" w:color="000000"/>
            </w:tcBorders>
            <w:vAlign w:val="center"/>
          </w:tcPr>
          <w:p w14:paraId="63F05C57" w14:textId="77777777" w:rsidR="005C0576" w:rsidRPr="00DA6489" w:rsidRDefault="00520523">
            <w:pPr>
              <w:pStyle w:val="Policedetableau"/>
              <w:widowControl w:val="0"/>
            </w:pPr>
            <w:r w:rsidRPr="00DA6489">
              <w:t>Il s’agit notamment des techniques suivantes :</w:t>
            </w:r>
          </w:p>
          <w:p w14:paraId="17137330" w14:textId="0A753630" w:rsidR="005C0576" w:rsidRPr="00DA6489" w:rsidRDefault="00195907">
            <w:pPr>
              <w:pStyle w:val="Policedetableau"/>
              <w:widowControl w:val="0"/>
            </w:pPr>
            <w:r w:rsidRPr="00DA6489">
              <w:t xml:space="preserve">- </w:t>
            </w:r>
            <w:r w:rsidR="009400CA" w:rsidRPr="00DA6489">
              <w:t>i</w:t>
            </w:r>
            <w:r w:rsidR="00520523" w:rsidRPr="00DA6489">
              <w:t>nspection et maintenance des équipements</w:t>
            </w:r>
            <w:r w:rsidR="009400CA" w:rsidRPr="00DA6489">
              <w:t xml:space="preserve"> </w:t>
            </w:r>
            <w:r w:rsidR="00520523" w:rsidRPr="00DA6489">
              <w:t>;</w:t>
            </w:r>
          </w:p>
          <w:p w14:paraId="6036BC65" w14:textId="6D91A367" w:rsidR="005C0576" w:rsidRPr="00DA6489" w:rsidRDefault="00195907">
            <w:pPr>
              <w:pStyle w:val="Policedetableau"/>
              <w:widowControl w:val="0"/>
            </w:pPr>
            <w:r w:rsidRPr="00DA6489">
              <w:t xml:space="preserve">- </w:t>
            </w:r>
            <w:r w:rsidR="009400CA" w:rsidRPr="00DA6489">
              <w:t xml:space="preserve">fermeture </w:t>
            </w:r>
            <w:r w:rsidR="00520523" w:rsidRPr="00DA6489">
              <w:t>des portes et des fenêtres des zones confinées, si possible</w:t>
            </w:r>
            <w:r w:rsidR="009400CA" w:rsidRPr="00DA6489">
              <w:t xml:space="preserve"> </w:t>
            </w:r>
            <w:r w:rsidR="00520523" w:rsidRPr="00DA6489">
              <w:t>;</w:t>
            </w:r>
          </w:p>
          <w:p w14:paraId="2EE6653B" w14:textId="54304FB3" w:rsidR="005C0576" w:rsidRPr="00DA6489" w:rsidRDefault="00195907">
            <w:pPr>
              <w:pStyle w:val="Policedetableau"/>
              <w:widowControl w:val="0"/>
            </w:pPr>
            <w:r w:rsidRPr="00DA6489">
              <w:t xml:space="preserve">- </w:t>
            </w:r>
            <w:r w:rsidR="009400CA" w:rsidRPr="00DA6489">
              <w:t xml:space="preserve">utilisation </w:t>
            </w:r>
            <w:r w:rsidR="00520523" w:rsidRPr="00DA6489">
              <w:t>des équipements par du personnel expérimenté</w:t>
            </w:r>
            <w:r w:rsidR="009400CA" w:rsidRPr="00DA6489">
              <w:t xml:space="preserve"> </w:t>
            </w:r>
            <w:r w:rsidR="00520523" w:rsidRPr="00DA6489">
              <w:t>;</w:t>
            </w:r>
          </w:p>
          <w:p w14:paraId="57C6498C" w14:textId="3B6FB3C1" w:rsidR="005C0576" w:rsidRPr="00DA6489" w:rsidRDefault="00903F91">
            <w:pPr>
              <w:pStyle w:val="Policedetableau"/>
              <w:widowControl w:val="0"/>
            </w:pPr>
            <w:r w:rsidRPr="00DA6489">
              <w:t xml:space="preserve">- </w:t>
            </w:r>
            <w:r w:rsidR="00520523" w:rsidRPr="00DA6489">
              <w:t>renoncement aux activités bruyantes pendant la nuit, si possible</w:t>
            </w:r>
            <w:r w:rsidR="00F71FCD" w:rsidRPr="00DA6489">
              <w:t xml:space="preserve"> </w:t>
            </w:r>
            <w:r w:rsidR="00520523" w:rsidRPr="00DA6489">
              <w:t>;</w:t>
            </w:r>
          </w:p>
          <w:p w14:paraId="6D0053C7" w14:textId="5C6E766B" w:rsidR="005C0576" w:rsidRPr="00DA6489" w:rsidRDefault="00546417">
            <w:pPr>
              <w:pStyle w:val="Policedetableau"/>
              <w:widowControl w:val="0"/>
            </w:pPr>
            <w:r w:rsidRPr="00DA6489">
              <w:t xml:space="preserve">- </w:t>
            </w:r>
            <w:r w:rsidR="009400CA" w:rsidRPr="00DA6489">
              <w:t xml:space="preserve">mise </w:t>
            </w:r>
            <w:r w:rsidRPr="00DA6489">
              <w:t>e</w:t>
            </w:r>
            <w:r w:rsidR="00C060D3" w:rsidRPr="00DA6489">
              <w:t>n</w:t>
            </w:r>
            <w:r w:rsidRPr="00DA6489">
              <w:t xml:space="preserve"> place de</w:t>
            </w:r>
            <w:r w:rsidR="00C060D3" w:rsidRPr="00DA6489">
              <w:t xml:space="preserve"> </w:t>
            </w:r>
            <w:r w:rsidR="00520523" w:rsidRPr="00DA6489">
              <w:t>mesures pour limiter le bruit, par exemple lors des opérations de production et de maintenance, de transport et de manutention de la matière entrante et des matériaux.</w:t>
            </w:r>
          </w:p>
        </w:tc>
        <w:tc>
          <w:tcPr>
            <w:tcW w:w="3279" w:type="dxa"/>
            <w:vMerge w:val="restart"/>
            <w:tcBorders>
              <w:top w:val="single" w:sz="4" w:space="0" w:color="000000"/>
              <w:left w:val="single" w:sz="4" w:space="0" w:color="000000"/>
              <w:bottom w:val="single" w:sz="4" w:space="0" w:color="000000"/>
              <w:right w:val="single" w:sz="4" w:space="0" w:color="000000"/>
            </w:tcBorders>
            <w:vAlign w:val="center"/>
          </w:tcPr>
          <w:p w14:paraId="409AE3EB" w14:textId="77777777" w:rsidR="005C0576" w:rsidRPr="00DA6489" w:rsidRDefault="00F95481">
            <w:pPr>
              <w:pStyle w:val="Policedetableau"/>
              <w:widowControl w:val="0"/>
            </w:pPr>
            <w:r w:rsidRPr="00DA6489">
              <w:t>Applicable d’une manière générale. </w:t>
            </w:r>
          </w:p>
        </w:tc>
      </w:tr>
      <w:tr w:rsidR="005C0576" w:rsidRPr="00DA6489" w14:paraId="09B5AC13" w14:textId="77777777">
        <w:trPr>
          <w:cantSplit/>
          <w:jc w:val="center"/>
        </w:trPr>
        <w:tc>
          <w:tcPr>
            <w:tcW w:w="326" w:type="dxa"/>
            <w:tcBorders>
              <w:top w:val="single" w:sz="4" w:space="0" w:color="000000"/>
              <w:left w:val="single" w:sz="4" w:space="0" w:color="000000"/>
              <w:bottom w:val="single" w:sz="4" w:space="0" w:color="000000"/>
              <w:right w:val="single" w:sz="4" w:space="0" w:color="000000"/>
            </w:tcBorders>
            <w:vAlign w:val="center"/>
          </w:tcPr>
          <w:p w14:paraId="0B41F3F4" w14:textId="77777777" w:rsidR="005C0576" w:rsidRPr="00DA6489" w:rsidRDefault="00520523">
            <w:pPr>
              <w:pStyle w:val="Policedetableau"/>
              <w:widowControl w:val="0"/>
            </w:pPr>
            <w:proofErr w:type="gramStart"/>
            <w:r w:rsidRPr="00DA6489">
              <w:t>c</w:t>
            </w:r>
            <w:proofErr w:type="gramEnd"/>
          </w:p>
        </w:tc>
        <w:tc>
          <w:tcPr>
            <w:tcW w:w="1901" w:type="dxa"/>
            <w:tcBorders>
              <w:top w:val="single" w:sz="4" w:space="0" w:color="000000"/>
              <w:left w:val="single" w:sz="4" w:space="0" w:color="000000"/>
              <w:bottom w:val="single" w:sz="4" w:space="0" w:color="000000"/>
              <w:right w:val="single" w:sz="4" w:space="0" w:color="000000"/>
            </w:tcBorders>
            <w:vAlign w:val="center"/>
          </w:tcPr>
          <w:p w14:paraId="7C388292" w14:textId="77777777" w:rsidR="005C0576" w:rsidRPr="00DA6489" w:rsidRDefault="00520523">
            <w:pPr>
              <w:pStyle w:val="Policedetableau"/>
              <w:widowControl w:val="0"/>
            </w:pPr>
            <w:r w:rsidRPr="00DA6489">
              <w:t>Équipements peu bruyants</w:t>
            </w:r>
          </w:p>
        </w:tc>
        <w:tc>
          <w:tcPr>
            <w:tcW w:w="2988" w:type="dxa"/>
            <w:tcBorders>
              <w:top w:val="single" w:sz="4" w:space="0" w:color="000000"/>
              <w:left w:val="single" w:sz="4" w:space="0" w:color="000000"/>
              <w:bottom w:val="single" w:sz="4" w:space="0" w:color="000000"/>
              <w:right w:val="single" w:sz="4" w:space="0" w:color="000000"/>
            </w:tcBorders>
            <w:vAlign w:val="center"/>
          </w:tcPr>
          <w:p w14:paraId="1EF61E51" w14:textId="77777777" w:rsidR="005C0576" w:rsidRPr="00DA6489" w:rsidRDefault="00520523">
            <w:pPr>
              <w:pStyle w:val="Policedetableau"/>
              <w:widowControl w:val="0"/>
            </w:pPr>
            <w:r w:rsidRPr="00DA6489">
              <w:t>Il s’agit notamment de techniques telles que les moteurs à transmission directe, les compresseurs, les pompes et les torchères peu bruyants.</w:t>
            </w:r>
          </w:p>
        </w:tc>
        <w:tc>
          <w:tcPr>
            <w:tcW w:w="3279" w:type="dxa"/>
            <w:vMerge/>
            <w:tcBorders>
              <w:top w:val="single" w:sz="4" w:space="0" w:color="000000"/>
              <w:left w:val="single" w:sz="4" w:space="0" w:color="000000"/>
              <w:bottom w:val="single" w:sz="4" w:space="0" w:color="000000"/>
              <w:right w:val="single" w:sz="4" w:space="0" w:color="000000"/>
            </w:tcBorders>
            <w:vAlign w:val="center"/>
          </w:tcPr>
          <w:p w14:paraId="62F5C5E4" w14:textId="77777777" w:rsidR="005C0576" w:rsidRPr="00DA6489" w:rsidRDefault="005C0576">
            <w:pPr>
              <w:pStyle w:val="Policedetableau"/>
              <w:widowControl w:val="0"/>
            </w:pPr>
          </w:p>
        </w:tc>
      </w:tr>
      <w:tr w:rsidR="005C0576" w:rsidRPr="00DA6489" w14:paraId="63431385" w14:textId="77777777">
        <w:trPr>
          <w:cantSplit/>
          <w:jc w:val="center"/>
        </w:trPr>
        <w:tc>
          <w:tcPr>
            <w:tcW w:w="326" w:type="dxa"/>
            <w:tcBorders>
              <w:top w:val="single" w:sz="4" w:space="0" w:color="000000"/>
              <w:left w:val="single" w:sz="4" w:space="0" w:color="000000"/>
              <w:bottom w:val="single" w:sz="4" w:space="0" w:color="000000"/>
              <w:right w:val="single" w:sz="4" w:space="0" w:color="000000"/>
            </w:tcBorders>
            <w:vAlign w:val="center"/>
          </w:tcPr>
          <w:p w14:paraId="19970C21" w14:textId="77777777" w:rsidR="005C0576" w:rsidRPr="00DA6489" w:rsidRDefault="00520523">
            <w:pPr>
              <w:pStyle w:val="Policedetableau"/>
              <w:widowControl w:val="0"/>
            </w:pPr>
            <w:proofErr w:type="gramStart"/>
            <w:r w:rsidRPr="00DA6489">
              <w:t>d</w:t>
            </w:r>
            <w:proofErr w:type="gramEnd"/>
          </w:p>
        </w:tc>
        <w:tc>
          <w:tcPr>
            <w:tcW w:w="1901" w:type="dxa"/>
            <w:tcBorders>
              <w:top w:val="single" w:sz="4" w:space="0" w:color="000000"/>
              <w:left w:val="single" w:sz="4" w:space="0" w:color="000000"/>
              <w:bottom w:val="single" w:sz="4" w:space="0" w:color="000000"/>
              <w:right w:val="single" w:sz="4" w:space="0" w:color="000000"/>
            </w:tcBorders>
            <w:vAlign w:val="center"/>
          </w:tcPr>
          <w:p w14:paraId="52B8FC71" w14:textId="77777777" w:rsidR="005C0576" w:rsidRPr="00DA6489" w:rsidRDefault="00520523">
            <w:pPr>
              <w:pStyle w:val="Policedetableau"/>
              <w:widowControl w:val="0"/>
            </w:pPr>
            <w:r w:rsidRPr="00DA6489">
              <w:t>Équipements de protection contre le bruit et les vibrations</w:t>
            </w:r>
          </w:p>
        </w:tc>
        <w:tc>
          <w:tcPr>
            <w:tcW w:w="2988" w:type="dxa"/>
            <w:tcBorders>
              <w:top w:val="single" w:sz="4" w:space="0" w:color="000000"/>
              <w:left w:val="single" w:sz="4" w:space="0" w:color="000000"/>
              <w:bottom w:val="single" w:sz="4" w:space="0" w:color="000000"/>
              <w:right w:val="single" w:sz="4" w:space="0" w:color="000000"/>
            </w:tcBorders>
            <w:vAlign w:val="center"/>
          </w:tcPr>
          <w:p w14:paraId="1DB96C92" w14:textId="77777777" w:rsidR="005C0576" w:rsidRPr="00DA6489" w:rsidRDefault="00520523">
            <w:pPr>
              <w:pStyle w:val="Policedetableau"/>
              <w:widowControl w:val="0"/>
            </w:pPr>
            <w:r w:rsidRPr="00DA6489">
              <w:t>Il s’agit notamment des techniques suivantes :</w:t>
            </w:r>
          </w:p>
          <w:p w14:paraId="6D86D7A1" w14:textId="04E01F03" w:rsidR="005C0576" w:rsidRPr="00DA6489" w:rsidRDefault="00F67052">
            <w:pPr>
              <w:pStyle w:val="Policedetableau"/>
              <w:widowControl w:val="0"/>
            </w:pPr>
            <w:r w:rsidRPr="00DA6489">
              <w:t xml:space="preserve">- </w:t>
            </w:r>
            <w:r w:rsidR="009400CA" w:rsidRPr="00DA6489">
              <w:t xml:space="preserve">réduction </w:t>
            </w:r>
            <w:r w:rsidR="00520523" w:rsidRPr="00DA6489">
              <w:t>de bruit</w:t>
            </w:r>
            <w:r w:rsidR="00546417" w:rsidRPr="00DA6489">
              <w:t xml:space="preserve"> </w:t>
            </w:r>
            <w:r w:rsidR="00520523" w:rsidRPr="00DA6489">
              <w:t>;</w:t>
            </w:r>
          </w:p>
          <w:p w14:paraId="690B3D56" w14:textId="4E3AB36B" w:rsidR="005C0576" w:rsidRPr="00DA6489" w:rsidRDefault="00F67052">
            <w:pPr>
              <w:pStyle w:val="Policedetableau"/>
              <w:widowControl w:val="0"/>
            </w:pPr>
            <w:r w:rsidRPr="00DA6489">
              <w:t xml:space="preserve">- </w:t>
            </w:r>
            <w:r w:rsidR="009400CA" w:rsidRPr="00DA6489">
              <w:t xml:space="preserve">isolation </w:t>
            </w:r>
            <w:r w:rsidR="00520523" w:rsidRPr="00DA6489">
              <w:t>acoustique et anti-vibration des équipements</w:t>
            </w:r>
            <w:r w:rsidR="00546417" w:rsidRPr="00DA6489">
              <w:t xml:space="preserve"> </w:t>
            </w:r>
            <w:r w:rsidR="00520523" w:rsidRPr="00DA6489">
              <w:t>;</w:t>
            </w:r>
          </w:p>
          <w:p w14:paraId="6F3D0433" w14:textId="0BC09031" w:rsidR="005C0576" w:rsidRPr="00DA6489" w:rsidRDefault="00F67052">
            <w:pPr>
              <w:pStyle w:val="Policedetableau"/>
              <w:widowControl w:val="0"/>
            </w:pPr>
            <w:r w:rsidRPr="00DA6489">
              <w:t xml:space="preserve">- </w:t>
            </w:r>
            <w:r w:rsidR="009400CA" w:rsidRPr="00DA6489">
              <w:t xml:space="preserve">confinement </w:t>
            </w:r>
            <w:r w:rsidR="00520523" w:rsidRPr="00DA6489">
              <w:t>des équipements bruyants (par exemple, machines de découpe et de meulage, tréfileuses, jets d’air)</w:t>
            </w:r>
            <w:r w:rsidR="00546417" w:rsidRPr="00DA6489">
              <w:t xml:space="preserve"> </w:t>
            </w:r>
            <w:r w:rsidR="00520523" w:rsidRPr="00DA6489">
              <w:t>;</w:t>
            </w:r>
          </w:p>
          <w:p w14:paraId="12D71151" w14:textId="75685F2B" w:rsidR="005C0576" w:rsidRPr="00DA6489" w:rsidRDefault="00F67052">
            <w:pPr>
              <w:pStyle w:val="Policedetableau"/>
              <w:widowControl w:val="0"/>
            </w:pPr>
            <w:r w:rsidRPr="00DA6489">
              <w:t xml:space="preserve">- </w:t>
            </w:r>
            <w:r w:rsidR="009400CA" w:rsidRPr="00DA6489">
              <w:t xml:space="preserve">usage </w:t>
            </w:r>
            <w:r w:rsidR="00520523" w:rsidRPr="00DA6489">
              <w:t>des matériaux de construction présentant des propriétés d’isolation acoustique élevées (par exemple, pour les murs, les toits, les fenêtres, les portes).</w:t>
            </w:r>
          </w:p>
        </w:tc>
        <w:tc>
          <w:tcPr>
            <w:tcW w:w="3279" w:type="dxa"/>
            <w:tcBorders>
              <w:top w:val="single" w:sz="4" w:space="0" w:color="000000"/>
              <w:left w:val="single" w:sz="4" w:space="0" w:color="000000"/>
              <w:bottom w:val="single" w:sz="4" w:space="0" w:color="000000"/>
              <w:right w:val="single" w:sz="4" w:space="0" w:color="000000"/>
            </w:tcBorders>
            <w:vAlign w:val="center"/>
          </w:tcPr>
          <w:p w14:paraId="5FBFFC68" w14:textId="77777777" w:rsidR="005C0576" w:rsidRPr="00DA6489" w:rsidRDefault="00520523">
            <w:pPr>
              <w:pStyle w:val="Policedetableau"/>
              <w:widowControl w:val="0"/>
            </w:pPr>
            <w:r w:rsidRPr="00DA6489">
              <w:t>L’applicabilité aux unités existantes peut être limitée par le manque d’espace.</w:t>
            </w:r>
          </w:p>
        </w:tc>
      </w:tr>
      <w:tr w:rsidR="005C0576" w:rsidRPr="00DA6489" w14:paraId="0FA9EA3B" w14:textId="77777777">
        <w:trPr>
          <w:cantSplit/>
          <w:jc w:val="center"/>
        </w:trPr>
        <w:tc>
          <w:tcPr>
            <w:tcW w:w="326" w:type="dxa"/>
            <w:tcBorders>
              <w:top w:val="single" w:sz="4" w:space="0" w:color="000000"/>
              <w:left w:val="single" w:sz="4" w:space="0" w:color="000000"/>
              <w:bottom w:val="single" w:sz="4" w:space="0" w:color="000000"/>
              <w:right w:val="single" w:sz="4" w:space="0" w:color="000000"/>
            </w:tcBorders>
            <w:vAlign w:val="center"/>
          </w:tcPr>
          <w:p w14:paraId="1F50CB2E" w14:textId="77777777" w:rsidR="005C0576" w:rsidRPr="00DA6489" w:rsidRDefault="00520523">
            <w:pPr>
              <w:pStyle w:val="Policedetableau"/>
              <w:widowControl w:val="0"/>
            </w:pPr>
            <w:proofErr w:type="gramStart"/>
            <w:r w:rsidRPr="00DA6489">
              <w:t>e</w:t>
            </w:r>
            <w:proofErr w:type="gramEnd"/>
          </w:p>
        </w:tc>
        <w:tc>
          <w:tcPr>
            <w:tcW w:w="1901" w:type="dxa"/>
            <w:tcBorders>
              <w:top w:val="single" w:sz="4" w:space="0" w:color="000000"/>
              <w:left w:val="single" w:sz="4" w:space="0" w:color="000000"/>
              <w:bottom w:val="single" w:sz="4" w:space="0" w:color="000000"/>
              <w:right w:val="single" w:sz="4" w:space="0" w:color="000000"/>
            </w:tcBorders>
            <w:vAlign w:val="center"/>
          </w:tcPr>
          <w:p w14:paraId="798F72D5" w14:textId="77777777" w:rsidR="005C0576" w:rsidRPr="00DA6489" w:rsidRDefault="00520523">
            <w:pPr>
              <w:pStyle w:val="Policedetableau"/>
              <w:widowControl w:val="0"/>
            </w:pPr>
            <w:r w:rsidRPr="00DA6489">
              <w:t>Réduction du bruit</w:t>
            </w:r>
          </w:p>
        </w:tc>
        <w:tc>
          <w:tcPr>
            <w:tcW w:w="2988" w:type="dxa"/>
            <w:tcBorders>
              <w:top w:val="single" w:sz="4" w:space="0" w:color="000000"/>
              <w:left w:val="single" w:sz="4" w:space="0" w:color="000000"/>
              <w:bottom w:val="single" w:sz="4" w:space="0" w:color="000000"/>
              <w:right w:val="single" w:sz="4" w:space="0" w:color="000000"/>
            </w:tcBorders>
            <w:vAlign w:val="center"/>
          </w:tcPr>
          <w:p w14:paraId="0F354E64" w14:textId="77777777" w:rsidR="005C0576" w:rsidRPr="00DA6489" w:rsidRDefault="00520523">
            <w:pPr>
              <w:pStyle w:val="Policedetableau"/>
              <w:widowControl w:val="0"/>
            </w:pPr>
            <w:r w:rsidRPr="00DA6489">
              <w:t>Insertion d’obstacles entre les émetteurs et les récepteurs (par exemple, murs antibruit, remblais et bâtiments).</w:t>
            </w:r>
          </w:p>
        </w:tc>
        <w:tc>
          <w:tcPr>
            <w:tcW w:w="3279" w:type="dxa"/>
            <w:tcBorders>
              <w:top w:val="single" w:sz="4" w:space="0" w:color="000000"/>
              <w:left w:val="single" w:sz="4" w:space="0" w:color="000000"/>
              <w:bottom w:val="single" w:sz="4" w:space="0" w:color="000000"/>
              <w:right w:val="single" w:sz="4" w:space="0" w:color="000000"/>
            </w:tcBorders>
            <w:vAlign w:val="center"/>
          </w:tcPr>
          <w:p w14:paraId="0B0D134B" w14:textId="77777777" w:rsidR="005C0576" w:rsidRPr="00DA6489" w:rsidRDefault="00520523">
            <w:pPr>
              <w:pStyle w:val="Policedetableau"/>
              <w:widowControl w:val="0"/>
            </w:pPr>
            <w:r w:rsidRPr="00DA6489">
              <w:t>Uniquement applicable aux unités existantes, car la conception des nouvelles unités devrait rendre cette technique inutile. Dans le cas des unités existantes, l’insertion d’obstacles peut ne pas être applicable en raison du manque d’espace.</w:t>
            </w:r>
          </w:p>
        </w:tc>
      </w:tr>
    </w:tbl>
    <w:p w14:paraId="048BA5F0" w14:textId="1741DE9F" w:rsidR="005C0576" w:rsidRPr="00DA6489" w:rsidRDefault="00520523" w:rsidP="00FF3330">
      <w:pPr>
        <w:pStyle w:val="Titre2"/>
      </w:pPr>
      <w:r w:rsidRPr="00DA6489">
        <w:lastRenderedPageBreak/>
        <w:t>2.13</w:t>
      </w:r>
      <w:r w:rsidR="00391B2E" w:rsidRPr="00DA6489">
        <w:t>.</w:t>
      </w:r>
      <w:r w:rsidRPr="00DA6489">
        <w:t xml:space="preserve"> Gestion des déchets</w:t>
      </w:r>
    </w:p>
    <w:p w14:paraId="7C69AD1E" w14:textId="77777777" w:rsidR="005C0576" w:rsidRPr="00DA6489" w:rsidRDefault="00520523" w:rsidP="00FF3330">
      <w:pPr>
        <w:pStyle w:val="Titre30"/>
        <w:ind w:firstLine="708"/>
      </w:pPr>
      <w:r w:rsidRPr="00DA6489">
        <w:t>2.13.1</w:t>
      </w:r>
      <w:r w:rsidR="00391B2E" w:rsidRPr="00DA6489">
        <w:t>.</w:t>
      </w:r>
      <w:r w:rsidRPr="00DA6489">
        <w:t xml:space="preserve"> Métaux, oxydes métalliques, boues huileuses et boues d’hydroxydes</w:t>
      </w:r>
    </w:p>
    <w:p w14:paraId="7D235C4B" w14:textId="77777777" w:rsidR="005C0576" w:rsidRPr="00DA6489" w:rsidRDefault="00520523">
      <w:pPr>
        <w:pStyle w:val="Policedetableau"/>
      </w:pPr>
      <w:r w:rsidRPr="00DA6489">
        <w:t xml:space="preserve">L’exploitant </w:t>
      </w:r>
      <w:r w:rsidR="00B97B9B" w:rsidRPr="00DA6489">
        <w:t xml:space="preserve">limite la quantité de déchets </w:t>
      </w:r>
      <w:r w:rsidRPr="00DA6489">
        <w:t>de métaux, d’oxydes métalliques, de boues huileuses et de boues d’hydroxydes en vue de leur élimination</w:t>
      </w:r>
      <w:r w:rsidR="00B92E2D" w:rsidRPr="00DA6489">
        <w:t>. Il met en</w:t>
      </w:r>
      <w:r w:rsidRPr="00DA6489">
        <w:t xml:space="preserve"> </w:t>
      </w:r>
      <w:r w:rsidR="00B97B9B" w:rsidRPr="00DA6489">
        <w:t>œuvre</w:t>
      </w:r>
      <w:r w:rsidRPr="00DA6489">
        <w:t xml:space="preserve"> un plan de gestion des résidus qui s’inscrit dans le cadre du SME (voir le point 2.1</w:t>
      </w:r>
      <w:r w:rsidR="00546417" w:rsidRPr="00DA6489">
        <w:t>.</w:t>
      </w:r>
      <w:r w:rsidRPr="00DA6489">
        <w:t>) et consiste en un ensemble de mesures visant à :</w:t>
      </w:r>
    </w:p>
    <w:p w14:paraId="5D36EA23" w14:textId="77777777" w:rsidR="00F71FCD" w:rsidRPr="00DA6489" w:rsidRDefault="00F71FCD">
      <w:pPr>
        <w:pStyle w:val="Policedetableau"/>
      </w:pPr>
    </w:p>
    <w:p w14:paraId="5098A7F3" w14:textId="1EC12366" w:rsidR="005C0576" w:rsidRPr="00DA6489" w:rsidRDefault="00286B97">
      <w:pPr>
        <w:pStyle w:val="Policedetableau"/>
      </w:pPr>
      <w:r w:rsidRPr="00DA6489">
        <w:t>1</w:t>
      </w:r>
      <w:r w:rsidR="00F71FCD" w:rsidRPr="00DA6489">
        <w:t>)</w:t>
      </w:r>
      <w:r w:rsidR="00520523" w:rsidRPr="00DA6489">
        <w:t> </w:t>
      </w:r>
      <w:r w:rsidR="00F53675" w:rsidRPr="00DA6489">
        <w:t xml:space="preserve"> </w:t>
      </w:r>
      <w:r w:rsidR="00903F91" w:rsidRPr="00DA6489">
        <w:t xml:space="preserve">minimiser </w:t>
      </w:r>
      <w:r w:rsidR="00520523" w:rsidRPr="00DA6489">
        <w:t>la production de résidus</w:t>
      </w:r>
      <w:r w:rsidR="00546417" w:rsidRPr="00DA6489">
        <w:t> ;</w:t>
      </w:r>
    </w:p>
    <w:p w14:paraId="0B6FF51D" w14:textId="7277BBFF" w:rsidR="005C0576" w:rsidRPr="00DA6489" w:rsidRDefault="00520523">
      <w:pPr>
        <w:pStyle w:val="Policedetableau"/>
      </w:pPr>
      <w:r w:rsidRPr="00DA6489">
        <w:t>2</w:t>
      </w:r>
      <w:r w:rsidR="00F71FCD" w:rsidRPr="00DA6489">
        <w:t>)</w:t>
      </w:r>
      <w:r w:rsidRPr="00DA6489">
        <w:t> </w:t>
      </w:r>
      <w:r w:rsidR="00F53675" w:rsidRPr="00DA6489">
        <w:t xml:space="preserve"> </w:t>
      </w:r>
      <w:r w:rsidR="00903F91" w:rsidRPr="00DA6489">
        <w:t xml:space="preserve">optimiser </w:t>
      </w:r>
      <w:r w:rsidRPr="00DA6489">
        <w:t>le réemploi, le recyclage et/ou la valorisation des résidus</w:t>
      </w:r>
      <w:r w:rsidR="00546417" w:rsidRPr="00DA6489">
        <w:t> ;</w:t>
      </w:r>
      <w:r w:rsidRPr="00DA6489">
        <w:t xml:space="preserve"> </w:t>
      </w:r>
    </w:p>
    <w:p w14:paraId="611B1939" w14:textId="1F20098E" w:rsidR="005C0576" w:rsidRPr="00DA6489" w:rsidRDefault="00520523">
      <w:pPr>
        <w:pStyle w:val="Policedetableau"/>
      </w:pPr>
      <w:r w:rsidRPr="00DA6489">
        <w:t>3</w:t>
      </w:r>
      <w:r w:rsidR="00F71FCD" w:rsidRPr="00DA6489">
        <w:t>)</w:t>
      </w:r>
      <w:r w:rsidRPr="00DA6489">
        <w:t> </w:t>
      </w:r>
      <w:r w:rsidR="00F53675" w:rsidRPr="00DA6489">
        <w:t xml:space="preserve"> </w:t>
      </w:r>
      <w:r w:rsidR="00903F91" w:rsidRPr="00DA6489">
        <w:t xml:space="preserve">assurer </w:t>
      </w:r>
      <w:r w:rsidRPr="00DA6489">
        <w:t>l’élimination appropriée des déchets.</w:t>
      </w:r>
    </w:p>
    <w:p w14:paraId="67A388AE" w14:textId="77777777" w:rsidR="005C0576" w:rsidRPr="00DA6489" w:rsidRDefault="005C0576">
      <w:pPr>
        <w:pStyle w:val="Policedetableau"/>
      </w:pPr>
    </w:p>
    <w:p w14:paraId="07BF6769" w14:textId="77777777" w:rsidR="005C0576" w:rsidRPr="00DA6489" w:rsidRDefault="00520523">
      <w:r w:rsidRPr="00DA6489">
        <w:t>Le plan de gestion des résidus peut être intégré dans le plan global de gestion des résidus d’une installation de plus grande taille. Il est tenu à disposition des inspecteurs des installations classées.</w:t>
      </w:r>
    </w:p>
    <w:p w14:paraId="54EEE5B5" w14:textId="77777777" w:rsidR="005C0576" w:rsidRPr="00DA6489" w:rsidRDefault="00F67052">
      <w:r w:rsidRPr="00DA6489">
        <w:t>Le niveau de détail et le degré de formalisation du plan de gestion des résidus sont généralement fonction de la nature, de la taille et de la complexité de l’installation.</w:t>
      </w:r>
    </w:p>
    <w:p w14:paraId="6BEF444A" w14:textId="77777777" w:rsidR="005C0576" w:rsidRPr="00DA6489" w:rsidRDefault="00520523" w:rsidP="00FF3330">
      <w:pPr>
        <w:pStyle w:val="Titre30"/>
        <w:ind w:firstLine="708"/>
      </w:pPr>
      <w:r w:rsidRPr="00DA6489">
        <w:t>2.13.2</w:t>
      </w:r>
      <w:r w:rsidR="00391B2E" w:rsidRPr="00DA6489">
        <w:t>.</w:t>
      </w:r>
      <w:r w:rsidRPr="00DA6489">
        <w:t xml:space="preserve"> Déchets contenant du zinc provenant du trempage à chaud</w:t>
      </w:r>
    </w:p>
    <w:p w14:paraId="551BCE88" w14:textId="77777777" w:rsidR="005C0576" w:rsidRPr="00DA6489" w:rsidRDefault="00B97B9B">
      <w:r w:rsidRPr="00DA6489">
        <w:t>L’exploitant limite la</w:t>
      </w:r>
      <w:r w:rsidR="00247C03" w:rsidRPr="00DA6489">
        <w:t xml:space="preserve"> quantité de</w:t>
      </w:r>
      <w:r w:rsidR="00520523" w:rsidRPr="00DA6489">
        <w:t xml:space="preserve"> résidus contenant du zinc provenant du trempage à chaud </w:t>
      </w:r>
      <w:r w:rsidRPr="00DA6489">
        <w:t>en vue</w:t>
      </w:r>
      <w:r w:rsidR="00520523" w:rsidRPr="00DA6489">
        <w:t xml:space="preserve"> de leur élimination, en appliquant toutes les techniques indiquées ci-dessous.</w:t>
      </w:r>
    </w:p>
    <w:p w14:paraId="26CF16CB" w14:textId="77777777" w:rsidR="005C0576" w:rsidRPr="00DA6489" w:rsidRDefault="005C0576"/>
    <w:tbl>
      <w:tblPr>
        <w:tblW w:w="8494" w:type="dxa"/>
        <w:tblLayout w:type="fixed"/>
        <w:tblLook w:val="01E0" w:firstRow="1" w:lastRow="1" w:firstColumn="1" w:lastColumn="1" w:noHBand="0" w:noVBand="0"/>
      </w:tblPr>
      <w:tblGrid>
        <w:gridCol w:w="378"/>
        <w:gridCol w:w="2312"/>
        <w:gridCol w:w="3233"/>
        <w:gridCol w:w="2571"/>
      </w:tblGrid>
      <w:tr w:rsidR="005C0576" w:rsidRPr="00DA6489" w14:paraId="3932DD4F" w14:textId="77777777">
        <w:tc>
          <w:tcPr>
            <w:tcW w:w="2689" w:type="dxa"/>
            <w:gridSpan w:val="2"/>
            <w:tcBorders>
              <w:top w:val="single" w:sz="4" w:space="0" w:color="000000"/>
              <w:left w:val="single" w:sz="4" w:space="0" w:color="000000"/>
              <w:bottom w:val="single" w:sz="4" w:space="0" w:color="000000"/>
              <w:right w:val="single" w:sz="4" w:space="0" w:color="000000"/>
            </w:tcBorders>
            <w:shd w:val="clear" w:color="auto" w:fill="auto"/>
          </w:tcPr>
          <w:p w14:paraId="71AA25FC" w14:textId="77777777" w:rsidR="005C0576" w:rsidRPr="00DA6489" w:rsidRDefault="00520523">
            <w:pPr>
              <w:pStyle w:val="Policedetableau"/>
              <w:widowControl w:val="0"/>
              <w:rPr>
                <w:b/>
              </w:rPr>
            </w:pPr>
            <w:r w:rsidRPr="00DA6489">
              <w:rPr>
                <w:b/>
              </w:rPr>
              <w:t>Technique</w:t>
            </w:r>
          </w:p>
        </w:tc>
        <w:tc>
          <w:tcPr>
            <w:tcW w:w="3233" w:type="dxa"/>
            <w:tcBorders>
              <w:top w:val="single" w:sz="4" w:space="0" w:color="000000"/>
              <w:left w:val="single" w:sz="4" w:space="0" w:color="000000"/>
              <w:bottom w:val="single" w:sz="4" w:space="0" w:color="000000"/>
              <w:right w:val="single" w:sz="4" w:space="0" w:color="000000"/>
            </w:tcBorders>
            <w:shd w:val="clear" w:color="auto" w:fill="auto"/>
          </w:tcPr>
          <w:p w14:paraId="27803640" w14:textId="77777777" w:rsidR="005C0576" w:rsidRPr="00DA6489" w:rsidRDefault="00520523">
            <w:pPr>
              <w:pStyle w:val="Policedetableau"/>
              <w:widowControl w:val="0"/>
              <w:rPr>
                <w:b/>
              </w:rPr>
            </w:pPr>
            <w:r w:rsidRPr="00DA6489">
              <w:rPr>
                <w:b/>
              </w:rPr>
              <w:t>Description</w:t>
            </w:r>
          </w:p>
        </w:tc>
        <w:tc>
          <w:tcPr>
            <w:tcW w:w="2571" w:type="dxa"/>
            <w:tcBorders>
              <w:top w:val="single" w:sz="4" w:space="0" w:color="000000"/>
              <w:left w:val="single" w:sz="4" w:space="0" w:color="000000"/>
              <w:bottom w:val="single" w:sz="4" w:space="0" w:color="000000"/>
              <w:right w:val="single" w:sz="4" w:space="0" w:color="000000"/>
            </w:tcBorders>
          </w:tcPr>
          <w:p w14:paraId="7CADF8E8" w14:textId="77777777" w:rsidR="005C0576" w:rsidRPr="00DA6489" w:rsidRDefault="00520523">
            <w:pPr>
              <w:pStyle w:val="Policedetableau"/>
              <w:widowControl w:val="0"/>
              <w:rPr>
                <w:b/>
              </w:rPr>
            </w:pPr>
            <w:r w:rsidRPr="00DA6489">
              <w:rPr>
                <w:b/>
              </w:rPr>
              <w:t>Applicabilité</w:t>
            </w:r>
          </w:p>
        </w:tc>
      </w:tr>
      <w:tr w:rsidR="005C0576" w:rsidRPr="00DA6489" w14:paraId="40EB222A" w14:textId="77777777">
        <w:trPr>
          <w:trHeight w:val="1212"/>
        </w:trPr>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0F172" w14:textId="77777777" w:rsidR="005C0576" w:rsidRPr="00DA6489" w:rsidRDefault="00520523">
            <w:pPr>
              <w:pStyle w:val="Policedetableau"/>
              <w:widowControl w:val="0"/>
            </w:pPr>
            <w:proofErr w:type="gramStart"/>
            <w:r w:rsidRPr="00DA6489">
              <w:t>a</w:t>
            </w:r>
            <w:proofErr w:type="gramEnd"/>
          </w:p>
        </w:tc>
        <w:tc>
          <w:tcPr>
            <w:tcW w:w="2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B82C5" w14:textId="77777777" w:rsidR="005C0576" w:rsidRPr="00DA6489" w:rsidRDefault="00520523">
            <w:pPr>
              <w:pStyle w:val="Policedetableau"/>
              <w:widowControl w:val="0"/>
            </w:pPr>
            <w:r w:rsidRPr="00DA6489">
              <w:t xml:space="preserve">Recyclage des poussières des filtres en tissu </w:t>
            </w:r>
          </w:p>
        </w:tc>
        <w:tc>
          <w:tcPr>
            <w:tcW w:w="3233" w:type="dxa"/>
            <w:tcBorders>
              <w:top w:val="single" w:sz="4" w:space="0" w:color="000000"/>
              <w:left w:val="single" w:sz="4" w:space="0" w:color="000000"/>
              <w:bottom w:val="single" w:sz="4" w:space="0" w:color="000000"/>
              <w:right w:val="single" w:sz="4" w:space="0" w:color="000000"/>
            </w:tcBorders>
            <w:shd w:val="clear" w:color="auto" w:fill="auto"/>
          </w:tcPr>
          <w:p w14:paraId="3B74B02F" w14:textId="77777777" w:rsidR="005C0576" w:rsidRPr="00DA6489" w:rsidRDefault="00520523">
            <w:pPr>
              <w:pStyle w:val="Policedetableau"/>
              <w:widowControl w:val="0"/>
            </w:pPr>
            <w:r w:rsidRPr="00DA6489">
              <w:t>Les poussières des filtres en tissu contenant du chlorure d’ammonium et du chlorure de zinc sont collectées et réutilisées, par exemple pour produire des agents de fluxage. Cette opération peut se faire sur site ou hors site.</w:t>
            </w:r>
          </w:p>
        </w:tc>
        <w:tc>
          <w:tcPr>
            <w:tcW w:w="2571" w:type="dxa"/>
            <w:tcBorders>
              <w:top w:val="single" w:sz="4" w:space="0" w:color="000000"/>
              <w:left w:val="single" w:sz="4" w:space="0" w:color="000000"/>
              <w:bottom w:val="single" w:sz="4" w:space="0" w:color="000000"/>
              <w:right w:val="single" w:sz="4" w:space="0" w:color="000000"/>
            </w:tcBorders>
            <w:vAlign w:val="center"/>
          </w:tcPr>
          <w:p w14:paraId="0697D537" w14:textId="77777777" w:rsidR="005C0576" w:rsidRPr="00DA6489" w:rsidRDefault="00520523">
            <w:pPr>
              <w:pStyle w:val="Policedetableau"/>
              <w:widowControl w:val="0"/>
            </w:pPr>
            <w:r w:rsidRPr="00DA6489">
              <w:t>Uniquement applicable lors du trempage à chaud après fluxage.</w:t>
            </w:r>
          </w:p>
          <w:p w14:paraId="09DB662A" w14:textId="77777777" w:rsidR="005C0576" w:rsidRPr="00DA6489" w:rsidRDefault="00520523">
            <w:pPr>
              <w:pStyle w:val="Policedetableau"/>
              <w:widowControl w:val="0"/>
            </w:pPr>
            <w:r w:rsidRPr="00DA6489">
              <w:t>L’applicabilité peut être limitée, en fonction de l’existence d’un marché.</w:t>
            </w:r>
          </w:p>
        </w:tc>
      </w:tr>
      <w:tr w:rsidR="005C0576" w:rsidRPr="00DA6489" w14:paraId="5A578E4B" w14:textId="77777777">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A74FC" w14:textId="77777777" w:rsidR="005C0576" w:rsidRPr="00DA6489" w:rsidRDefault="00520523">
            <w:pPr>
              <w:pStyle w:val="Policedetableau"/>
              <w:widowControl w:val="0"/>
            </w:pPr>
            <w:proofErr w:type="gramStart"/>
            <w:r w:rsidRPr="00DA6489">
              <w:t>b</w:t>
            </w:r>
            <w:proofErr w:type="gramEnd"/>
          </w:p>
        </w:tc>
        <w:tc>
          <w:tcPr>
            <w:tcW w:w="2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6A537" w14:textId="77777777" w:rsidR="005C0576" w:rsidRPr="00DA6489" w:rsidRDefault="00520523">
            <w:pPr>
              <w:pStyle w:val="Policedetableau"/>
              <w:widowControl w:val="0"/>
            </w:pPr>
            <w:r w:rsidRPr="00DA6489">
              <w:t>Recyclage des cendres et de l’écume de zinc</w:t>
            </w:r>
          </w:p>
        </w:tc>
        <w:tc>
          <w:tcPr>
            <w:tcW w:w="3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CF544" w14:textId="77777777" w:rsidR="005C0576" w:rsidRPr="00DA6489" w:rsidRDefault="00520523">
            <w:pPr>
              <w:pStyle w:val="Policedetableau"/>
              <w:widowControl w:val="0"/>
            </w:pPr>
            <w:r w:rsidRPr="00DA6489">
              <w:t>Le zinc métallique est récupéré à partir des cendres et de l’écume de zinc par fusion dans des fours de récupération. Le résidu contenant du zinc est utilisé, par exemple pour la production d’oxyde de zinc. Cette opération peut se faire sur site ou hors site.</w:t>
            </w:r>
          </w:p>
        </w:tc>
        <w:tc>
          <w:tcPr>
            <w:tcW w:w="2571" w:type="dxa"/>
            <w:tcBorders>
              <w:top w:val="single" w:sz="4" w:space="0" w:color="000000"/>
              <w:left w:val="single" w:sz="4" w:space="0" w:color="000000"/>
              <w:bottom w:val="single" w:sz="4" w:space="0" w:color="000000"/>
              <w:right w:val="single" w:sz="4" w:space="0" w:color="000000"/>
            </w:tcBorders>
            <w:vAlign w:val="center"/>
          </w:tcPr>
          <w:p w14:paraId="2F89F3B7" w14:textId="77777777" w:rsidR="005C0576" w:rsidRPr="00DA6489" w:rsidRDefault="00F95481">
            <w:pPr>
              <w:pStyle w:val="Policedetableau"/>
              <w:widowControl w:val="0"/>
            </w:pPr>
            <w:r w:rsidRPr="00DA6489">
              <w:t>Applicable d’une manière générale. </w:t>
            </w:r>
          </w:p>
        </w:tc>
      </w:tr>
      <w:tr w:rsidR="005C0576" w:rsidRPr="00DA6489" w14:paraId="35AC3BA2" w14:textId="77777777">
        <w:tc>
          <w:tcPr>
            <w:tcW w:w="37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AB2C7" w14:textId="77777777" w:rsidR="005C0576" w:rsidRPr="00DA6489" w:rsidRDefault="00520523">
            <w:pPr>
              <w:pStyle w:val="Policedetableau"/>
              <w:widowControl w:val="0"/>
            </w:pPr>
            <w:proofErr w:type="gramStart"/>
            <w:r w:rsidRPr="00DA6489">
              <w:t>c</w:t>
            </w:r>
            <w:proofErr w:type="gramEnd"/>
          </w:p>
        </w:tc>
        <w:tc>
          <w:tcPr>
            <w:tcW w:w="23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96CD7" w14:textId="77777777" w:rsidR="005C0576" w:rsidRPr="00DA6489" w:rsidRDefault="00520523">
            <w:pPr>
              <w:pStyle w:val="Policedetableau"/>
              <w:widowControl w:val="0"/>
            </w:pPr>
            <w:r w:rsidRPr="00DA6489">
              <w:t>Recyclage des mattes de fond</w:t>
            </w:r>
          </w:p>
        </w:tc>
        <w:tc>
          <w:tcPr>
            <w:tcW w:w="3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120FC" w14:textId="77777777" w:rsidR="005C0576" w:rsidRPr="00DA6489" w:rsidRDefault="00520523">
            <w:pPr>
              <w:pStyle w:val="Policedetableau"/>
              <w:widowControl w:val="0"/>
            </w:pPr>
            <w:r w:rsidRPr="00DA6489">
              <w:t>Les mattes de fond sont utilisées, par exemple dans l’industrie des métaux non ferreux pour produire du zinc. Cette opération peut se faire sur site ou hors site.</w:t>
            </w:r>
          </w:p>
        </w:tc>
        <w:tc>
          <w:tcPr>
            <w:tcW w:w="2571" w:type="dxa"/>
            <w:tcBorders>
              <w:top w:val="single" w:sz="4" w:space="0" w:color="000000"/>
              <w:left w:val="single" w:sz="4" w:space="0" w:color="000000"/>
              <w:bottom w:val="single" w:sz="4" w:space="0" w:color="000000"/>
              <w:right w:val="single" w:sz="4" w:space="0" w:color="000000"/>
            </w:tcBorders>
            <w:vAlign w:val="center"/>
          </w:tcPr>
          <w:p w14:paraId="751B5C2E" w14:textId="77777777" w:rsidR="005C0576" w:rsidRPr="00DA6489" w:rsidRDefault="00F95481">
            <w:pPr>
              <w:pStyle w:val="Policedetableau"/>
              <w:widowControl w:val="0"/>
            </w:pPr>
            <w:r w:rsidRPr="00DA6489">
              <w:t>Applicable d’une manière générale. </w:t>
            </w:r>
          </w:p>
        </w:tc>
      </w:tr>
    </w:tbl>
    <w:p w14:paraId="4C583D86" w14:textId="77777777" w:rsidR="005C0576" w:rsidRPr="00DA6489" w:rsidRDefault="005C0576"/>
    <w:p w14:paraId="703D1079" w14:textId="77777777" w:rsidR="005C0576" w:rsidRPr="00DA6489" w:rsidRDefault="00520523">
      <w:r w:rsidRPr="00DA6489">
        <w:t>L’exploitant stocke séparément les résidus contenant du zinc provenant du trempage à chaud (cendres de zinc, écume, mattes de fond, éclaboussures de zinc et poussières des filtres en tissu), des autres résidus, afin d’améliorer la recyclabilité et le potentiel de récupération des résidus et de prévenir ou de réduire le risque environnemental associé à leur stockage :</w:t>
      </w:r>
    </w:p>
    <w:p w14:paraId="71ADE724" w14:textId="77777777" w:rsidR="005C0576" w:rsidRPr="00DA6489" w:rsidRDefault="00520523">
      <w:pPr>
        <w:pStyle w:val="Paragraphedeliste"/>
        <w:numPr>
          <w:ilvl w:val="0"/>
          <w:numId w:val="3"/>
        </w:numPr>
      </w:pPr>
      <w:proofErr w:type="gramStart"/>
      <w:r w:rsidRPr="00DA6489">
        <w:lastRenderedPageBreak/>
        <w:t>sur</w:t>
      </w:r>
      <w:proofErr w:type="gramEnd"/>
      <w:r w:rsidRPr="00DA6489">
        <w:t xml:space="preserve"> des surfaces imperméables, dans des zones fermées et des conteneurs/sacs fermés, pour les poussières des filtres en tissu ;</w:t>
      </w:r>
    </w:p>
    <w:p w14:paraId="37895394" w14:textId="77777777" w:rsidR="005C0576" w:rsidRPr="00DA6489" w:rsidRDefault="00520523">
      <w:pPr>
        <w:pStyle w:val="Paragraphedeliste"/>
        <w:numPr>
          <w:ilvl w:val="0"/>
          <w:numId w:val="3"/>
        </w:numPr>
      </w:pPr>
      <w:proofErr w:type="gramStart"/>
      <w:r w:rsidRPr="00DA6489">
        <w:t>sur</w:t>
      </w:r>
      <w:proofErr w:type="gramEnd"/>
      <w:r w:rsidRPr="00DA6489">
        <w:t xml:space="preserve"> des surfaces imperméables et dans des zones couvertes et protégées des eaux de ruissellement, pour tous les autres types de résidus indiqués ci-dessus.</w:t>
      </w:r>
    </w:p>
    <w:p w14:paraId="2A582637" w14:textId="69C8A5E8" w:rsidR="005C0576" w:rsidRPr="00DA6489" w:rsidRDefault="00520523" w:rsidP="00FF3330">
      <w:pPr>
        <w:pStyle w:val="Titre30"/>
        <w:ind w:firstLine="708"/>
      </w:pPr>
      <w:r w:rsidRPr="00DA6489">
        <w:t>2.13.3</w:t>
      </w:r>
      <w:r w:rsidR="00391B2E" w:rsidRPr="00DA6489">
        <w:t>.</w:t>
      </w:r>
      <w:r w:rsidRPr="00DA6489">
        <w:tab/>
        <w:t>Production d’acides usés à forte concentration en zinc et en fer</w:t>
      </w:r>
    </w:p>
    <w:p w14:paraId="12BED078" w14:textId="43429110" w:rsidR="005C0576" w:rsidRPr="00DA6489" w:rsidRDefault="00520523">
      <w:r w:rsidRPr="00DA6489">
        <w:t xml:space="preserve">L’exploitant effectue le décapage </w:t>
      </w:r>
      <w:r w:rsidR="00834045" w:rsidRPr="00DA6489">
        <w:t>et le dézingage dans des cuves séparées</w:t>
      </w:r>
      <w:r w:rsidRPr="00DA6489">
        <w:t>, afin d’éviter la production d’acides usés à forte concentration en zinc et en fer ou, lorsque cela n’est pas possible, de réduire leur quantité à éliminer.</w:t>
      </w:r>
    </w:p>
    <w:p w14:paraId="4AAD25EB" w14:textId="77777777" w:rsidR="005C0576" w:rsidRPr="00DA6489" w:rsidRDefault="00520523">
      <w:r w:rsidRPr="00DA6489">
        <w:t xml:space="preserve">L’applicabilité aux unités existantes peut être limitée par le manque d’espace dans le cas où des cuves supplémentaires pour le dézingage sont nécessaires. </w:t>
      </w:r>
    </w:p>
    <w:p w14:paraId="6F947EE9" w14:textId="77777777" w:rsidR="005C0576" w:rsidRPr="00DA6489" w:rsidRDefault="00520523" w:rsidP="00FF3330">
      <w:pPr>
        <w:pStyle w:val="Titre30"/>
        <w:ind w:firstLine="708"/>
      </w:pPr>
      <w:r w:rsidRPr="00DA6489">
        <w:t>2.13.4</w:t>
      </w:r>
      <w:r w:rsidR="00391B2E" w:rsidRPr="00DA6489">
        <w:t>.</w:t>
      </w:r>
      <w:r w:rsidRPr="00DA6489">
        <w:t xml:space="preserve"> Réduction de la quantité de solutions de dézingage usées à forte concentration en zinc</w:t>
      </w:r>
    </w:p>
    <w:p w14:paraId="2ED5A8FB" w14:textId="77777777" w:rsidR="005C0576" w:rsidRPr="00DA6489" w:rsidRDefault="00520523">
      <w:r w:rsidRPr="00DA6489">
        <w:t>L’exploitant récupère et valorise les solutions de dézingage usées et/ou le ZnCl</w:t>
      </w:r>
      <w:r w:rsidRPr="00DA6489">
        <w:rPr>
          <w:vertAlign w:val="subscript"/>
        </w:rPr>
        <w:t>2</w:t>
      </w:r>
      <w:r w:rsidRPr="00DA6489">
        <w:t xml:space="preserve"> et le NH</w:t>
      </w:r>
      <w:r w:rsidRPr="00DA6489">
        <w:rPr>
          <w:vertAlign w:val="subscript"/>
        </w:rPr>
        <w:t>4</w:t>
      </w:r>
      <w:r w:rsidRPr="00DA6489">
        <w:t>Cl qu’elles contiennent, afin de réduire la quantité de solutions de dézingage usées à forte concentration en zinc à éliminer. Les techniques de valorisation des solutions de dézingage usées à forte concentration en zinc sur site ou hors site sont notamment les suivantes :</w:t>
      </w:r>
    </w:p>
    <w:p w14:paraId="55C0743B" w14:textId="77777777" w:rsidR="005C0576" w:rsidRPr="00DA6489" w:rsidRDefault="00520523">
      <w:pPr>
        <w:pStyle w:val="Paragraphedeliste"/>
        <w:numPr>
          <w:ilvl w:val="0"/>
          <w:numId w:val="3"/>
        </w:numPr>
      </w:pPr>
      <w:proofErr w:type="gramStart"/>
      <w:r w:rsidRPr="00DA6489">
        <w:t>l’élimination</w:t>
      </w:r>
      <w:proofErr w:type="gramEnd"/>
      <w:r w:rsidRPr="00DA6489">
        <w:t xml:space="preserve"> du zinc par échange d’ions : l’acide traité peut être réutilisé pour le décapage, tandis que la solution contenant du ZnCl</w:t>
      </w:r>
      <w:r w:rsidRPr="00DA6489">
        <w:rPr>
          <w:vertAlign w:val="subscript"/>
        </w:rPr>
        <w:t>2</w:t>
      </w:r>
      <w:r w:rsidRPr="00DA6489">
        <w:t xml:space="preserve"> et du NH</w:t>
      </w:r>
      <w:r w:rsidRPr="00DA6489">
        <w:rPr>
          <w:vertAlign w:val="subscript"/>
        </w:rPr>
        <w:t>4</w:t>
      </w:r>
      <w:r w:rsidRPr="00DA6489">
        <w:t xml:space="preserve">Cl résultant du </w:t>
      </w:r>
      <w:proofErr w:type="spellStart"/>
      <w:r w:rsidRPr="00DA6489">
        <w:t>strippage</w:t>
      </w:r>
      <w:proofErr w:type="spellEnd"/>
      <w:r w:rsidRPr="00DA6489">
        <w:t xml:space="preserve"> de la résine échangeuse d’ions peut être réutilisée pour le fluxage ;</w:t>
      </w:r>
    </w:p>
    <w:p w14:paraId="5337ED79" w14:textId="74836F7E" w:rsidR="002E35C6" w:rsidRPr="00DA6489" w:rsidRDefault="00520523">
      <w:pPr>
        <w:pStyle w:val="Paragraphedeliste"/>
        <w:numPr>
          <w:ilvl w:val="0"/>
          <w:numId w:val="3"/>
        </w:numPr>
      </w:pPr>
      <w:proofErr w:type="gramStart"/>
      <w:r w:rsidRPr="00DA6489">
        <w:t>l’élimination</w:t>
      </w:r>
      <w:proofErr w:type="gramEnd"/>
      <w:r w:rsidRPr="00DA6489">
        <w:t xml:space="preserve"> du zinc par extraction de solvant : l’acide traité peut être réutilisé pour le décapage, tandis que le concentré contenant du zinc résultant du </w:t>
      </w:r>
      <w:proofErr w:type="spellStart"/>
      <w:r w:rsidRPr="00DA6489">
        <w:t>strippage</w:t>
      </w:r>
      <w:proofErr w:type="spellEnd"/>
      <w:r w:rsidRPr="00DA6489">
        <w:t xml:space="preserve"> et de l’évaporation peut être réutilisé à d’autres fins.</w:t>
      </w:r>
    </w:p>
    <w:p w14:paraId="7159228A" w14:textId="77777777" w:rsidR="002E35C6" w:rsidRPr="00DA6489" w:rsidRDefault="002E35C6">
      <w:pPr>
        <w:spacing w:after="0" w:line="240" w:lineRule="auto"/>
        <w:jc w:val="left"/>
        <w:rPr>
          <w:rFonts w:cs="Mangal"/>
          <w:szCs w:val="18"/>
        </w:rPr>
      </w:pPr>
      <w:r w:rsidRPr="00DA6489">
        <w:br w:type="page"/>
      </w:r>
    </w:p>
    <w:p w14:paraId="239E2655" w14:textId="1BA47CFB" w:rsidR="005C0576" w:rsidRPr="00DA6489" w:rsidRDefault="002E35C6">
      <w:pPr>
        <w:pStyle w:val="Titre20"/>
        <w:rPr>
          <w:caps/>
        </w:rPr>
      </w:pPr>
      <w:r w:rsidRPr="00DA6489">
        <w:rPr>
          <w:caps/>
        </w:rPr>
        <w:lastRenderedPageBreak/>
        <w:t>Annexe II : RECAPITULATIF</w:t>
      </w:r>
      <w:r w:rsidR="00520523" w:rsidRPr="00DA6489">
        <w:rPr>
          <w:caps/>
        </w:rPr>
        <w:t xml:space="preserve"> des documents tenus à disposition des inspecteurs des installations classées</w:t>
      </w:r>
    </w:p>
    <w:p w14:paraId="05314986" w14:textId="57311FE9" w:rsidR="005C0576" w:rsidRPr="00DA6489" w:rsidRDefault="00520523">
      <w:r w:rsidRPr="00DA6489">
        <w:t>L</w:t>
      </w:r>
      <w:r w:rsidR="00C07765" w:rsidRPr="00DA6489">
        <w:t>a</w:t>
      </w:r>
      <w:r w:rsidRPr="00DA6489">
        <w:t xml:space="preserve"> présent</w:t>
      </w:r>
      <w:r w:rsidR="00C07765" w:rsidRPr="00DA6489">
        <w:t>e</w:t>
      </w:r>
      <w:r w:rsidRPr="00DA6489">
        <w:t xml:space="preserve"> </w:t>
      </w:r>
      <w:r w:rsidR="002E35C6" w:rsidRPr="00DA6489">
        <w:t xml:space="preserve">annexe </w:t>
      </w:r>
      <w:r w:rsidRPr="00DA6489">
        <w:t>récapitule les documents que l’exploitant tient à disposition de l’inspection des installations classées.</w:t>
      </w:r>
    </w:p>
    <w:tbl>
      <w:tblPr>
        <w:tblStyle w:val="Grilledutableau"/>
        <w:tblW w:w="8495" w:type="dxa"/>
        <w:tblLayout w:type="fixed"/>
        <w:tblLook w:val="04A0" w:firstRow="1" w:lastRow="0" w:firstColumn="1" w:lastColumn="0" w:noHBand="0" w:noVBand="1"/>
      </w:tblPr>
      <w:tblGrid>
        <w:gridCol w:w="1271"/>
        <w:gridCol w:w="4401"/>
        <w:gridCol w:w="2823"/>
      </w:tblGrid>
      <w:tr w:rsidR="005C0576" w:rsidRPr="00DA6489" w14:paraId="0A1C2DFA" w14:textId="77777777" w:rsidTr="00DA6489">
        <w:tc>
          <w:tcPr>
            <w:tcW w:w="1271" w:type="dxa"/>
          </w:tcPr>
          <w:p w14:paraId="4EDE4776" w14:textId="51576812" w:rsidR="005C0576" w:rsidRPr="00DA6489" w:rsidRDefault="00520523">
            <w:pPr>
              <w:widowControl w:val="0"/>
              <w:suppressAutoHyphens w:val="0"/>
              <w:rPr>
                <w:rFonts w:eastAsia="Calibri"/>
              </w:rPr>
            </w:pPr>
            <w:r w:rsidRPr="00DA6489">
              <w:rPr>
                <w:rFonts w:eastAsia="Calibri"/>
              </w:rPr>
              <w:t>Article</w:t>
            </w:r>
            <w:r w:rsidR="00F71FCD" w:rsidRPr="00DA6489">
              <w:rPr>
                <w:rFonts w:eastAsia="Calibri"/>
              </w:rPr>
              <w:t xml:space="preserve"> du présent arrêté</w:t>
            </w:r>
          </w:p>
        </w:tc>
        <w:tc>
          <w:tcPr>
            <w:tcW w:w="4401" w:type="dxa"/>
          </w:tcPr>
          <w:p w14:paraId="40685308" w14:textId="77777777" w:rsidR="005C0576" w:rsidRPr="00DA6489" w:rsidRDefault="00520523">
            <w:pPr>
              <w:widowControl w:val="0"/>
              <w:suppressAutoHyphens w:val="0"/>
              <w:rPr>
                <w:rFonts w:eastAsia="Calibri"/>
              </w:rPr>
            </w:pPr>
            <w:r w:rsidRPr="00DA6489">
              <w:rPr>
                <w:rFonts w:eastAsia="Calibri"/>
              </w:rPr>
              <w:t>Documents</w:t>
            </w:r>
          </w:p>
        </w:tc>
        <w:tc>
          <w:tcPr>
            <w:tcW w:w="2823" w:type="dxa"/>
          </w:tcPr>
          <w:p w14:paraId="7D463996" w14:textId="77777777" w:rsidR="005C0576" w:rsidRPr="00DA6489" w:rsidRDefault="00546417">
            <w:pPr>
              <w:widowControl w:val="0"/>
              <w:suppressAutoHyphens w:val="0"/>
              <w:rPr>
                <w:rFonts w:eastAsia="Calibri"/>
              </w:rPr>
            </w:pPr>
            <w:r w:rsidRPr="00DA6489">
              <w:rPr>
                <w:rFonts w:eastAsia="Calibri"/>
              </w:rPr>
              <w:t>Fréquence de m</w:t>
            </w:r>
            <w:r w:rsidR="00520523" w:rsidRPr="00DA6489">
              <w:rPr>
                <w:rFonts w:eastAsia="Calibri"/>
              </w:rPr>
              <w:t>ise à jour</w:t>
            </w:r>
          </w:p>
        </w:tc>
      </w:tr>
      <w:tr w:rsidR="005C0576" w:rsidRPr="00DA6489" w14:paraId="1F5A4346" w14:textId="77777777" w:rsidTr="00DA6489">
        <w:tc>
          <w:tcPr>
            <w:tcW w:w="1271" w:type="dxa"/>
          </w:tcPr>
          <w:p w14:paraId="761C744F" w14:textId="77777777" w:rsidR="005C0576" w:rsidRPr="00DA6489" w:rsidRDefault="00520523">
            <w:pPr>
              <w:widowControl w:val="0"/>
              <w:suppressAutoHyphens w:val="0"/>
              <w:rPr>
                <w:rFonts w:eastAsia="Calibri"/>
              </w:rPr>
            </w:pPr>
            <w:r w:rsidRPr="00DA6489">
              <w:rPr>
                <w:rFonts w:eastAsia="Calibri"/>
              </w:rPr>
              <w:t>2.2.1</w:t>
            </w:r>
          </w:p>
        </w:tc>
        <w:tc>
          <w:tcPr>
            <w:tcW w:w="4401" w:type="dxa"/>
          </w:tcPr>
          <w:p w14:paraId="3CA6E626" w14:textId="77777777" w:rsidR="005C0576" w:rsidRPr="00DA6489" w:rsidRDefault="00520523">
            <w:pPr>
              <w:widowControl w:val="0"/>
              <w:suppressAutoHyphens w:val="0"/>
              <w:rPr>
                <w:rFonts w:eastAsia="Calibri"/>
              </w:rPr>
            </w:pPr>
            <w:r w:rsidRPr="00DA6489">
              <w:rPr>
                <w:rFonts w:eastAsia="Calibri"/>
              </w:rPr>
              <w:t xml:space="preserve">Inventaire </w:t>
            </w:r>
            <w:r w:rsidR="00C060D3" w:rsidRPr="00DA6489">
              <w:rPr>
                <w:rFonts w:eastAsia="Calibri"/>
              </w:rPr>
              <w:t xml:space="preserve">de </w:t>
            </w:r>
            <w:r w:rsidRPr="00DA6489">
              <w:rPr>
                <w:rFonts w:eastAsia="Calibri"/>
              </w:rPr>
              <w:t>produits chimiques</w:t>
            </w:r>
          </w:p>
        </w:tc>
        <w:tc>
          <w:tcPr>
            <w:tcW w:w="2823" w:type="dxa"/>
          </w:tcPr>
          <w:p w14:paraId="69D80590" w14:textId="77777777" w:rsidR="005C0576" w:rsidRPr="00DA6489" w:rsidRDefault="00520523">
            <w:pPr>
              <w:widowControl w:val="0"/>
              <w:suppressAutoHyphens w:val="0"/>
              <w:rPr>
                <w:rFonts w:eastAsia="Calibri"/>
              </w:rPr>
            </w:pPr>
            <w:r w:rsidRPr="00DA6489">
              <w:rPr>
                <w:rFonts w:eastAsia="Calibri"/>
              </w:rPr>
              <w:t>Annuellement</w:t>
            </w:r>
          </w:p>
        </w:tc>
      </w:tr>
      <w:tr w:rsidR="005C0576" w:rsidRPr="00DA6489" w14:paraId="1558D3D6" w14:textId="77777777" w:rsidTr="00DA6489">
        <w:tc>
          <w:tcPr>
            <w:tcW w:w="1271" w:type="dxa"/>
          </w:tcPr>
          <w:p w14:paraId="64D3A5BA" w14:textId="77777777" w:rsidR="005C0576" w:rsidRPr="00DA6489" w:rsidRDefault="00520523">
            <w:pPr>
              <w:widowControl w:val="0"/>
              <w:suppressAutoHyphens w:val="0"/>
              <w:rPr>
                <w:rFonts w:eastAsia="Calibri"/>
              </w:rPr>
            </w:pPr>
            <w:r w:rsidRPr="00DA6489">
              <w:rPr>
                <w:rFonts w:eastAsia="Calibri"/>
              </w:rPr>
              <w:t>2.2.2</w:t>
            </w:r>
          </w:p>
        </w:tc>
        <w:tc>
          <w:tcPr>
            <w:tcW w:w="4401" w:type="dxa"/>
          </w:tcPr>
          <w:p w14:paraId="2689AD7C" w14:textId="77777777" w:rsidR="005C0576" w:rsidRPr="00DA6489" w:rsidRDefault="00520523">
            <w:pPr>
              <w:widowControl w:val="0"/>
              <w:suppressAutoHyphens w:val="0"/>
              <w:rPr>
                <w:rFonts w:eastAsia="Calibri"/>
              </w:rPr>
            </w:pPr>
            <w:r w:rsidRPr="00DA6489">
              <w:rPr>
                <w:rFonts w:eastAsia="Calibri"/>
              </w:rPr>
              <w:t>Système de gestion des produits chimiques</w:t>
            </w:r>
          </w:p>
        </w:tc>
        <w:tc>
          <w:tcPr>
            <w:tcW w:w="2823" w:type="dxa"/>
          </w:tcPr>
          <w:p w14:paraId="0AD12A85" w14:textId="77777777" w:rsidR="005C0576" w:rsidRPr="00DA6489" w:rsidRDefault="00520523">
            <w:pPr>
              <w:widowControl w:val="0"/>
              <w:suppressAutoHyphens w:val="0"/>
              <w:rPr>
                <w:rFonts w:eastAsia="Calibri"/>
              </w:rPr>
            </w:pPr>
            <w:r w:rsidRPr="00DA6489">
              <w:rPr>
                <w:rFonts w:eastAsia="Calibri"/>
              </w:rPr>
              <w:t>Annuellement</w:t>
            </w:r>
          </w:p>
        </w:tc>
      </w:tr>
      <w:tr w:rsidR="005C0576" w:rsidRPr="00DA6489" w14:paraId="3499C2D5" w14:textId="77777777" w:rsidTr="00DA6489">
        <w:tc>
          <w:tcPr>
            <w:tcW w:w="1271" w:type="dxa"/>
          </w:tcPr>
          <w:p w14:paraId="0BC36FF8" w14:textId="77777777" w:rsidR="005C0576" w:rsidRPr="00DA6489" w:rsidRDefault="00520523">
            <w:pPr>
              <w:widowControl w:val="0"/>
              <w:suppressAutoHyphens w:val="0"/>
              <w:rPr>
                <w:rFonts w:eastAsia="Calibri"/>
              </w:rPr>
            </w:pPr>
            <w:r w:rsidRPr="00DA6489">
              <w:rPr>
                <w:rFonts w:eastAsia="Calibri"/>
              </w:rPr>
              <w:t>2.3</w:t>
            </w:r>
          </w:p>
        </w:tc>
        <w:tc>
          <w:tcPr>
            <w:tcW w:w="4401" w:type="dxa"/>
          </w:tcPr>
          <w:p w14:paraId="63AB2B8C" w14:textId="77777777" w:rsidR="005C0576" w:rsidRPr="00DA6489" w:rsidRDefault="00520523">
            <w:pPr>
              <w:widowControl w:val="0"/>
              <w:suppressAutoHyphens w:val="0"/>
              <w:rPr>
                <w:rFonts w:eastAsia="Calibri"/>
              </w:rPr>
            </w:pPr>
            <w:r w:rsidRPr="00DA6489">
              <w:rPr>
                <w:rFonts w:eastAsia="Calibri"/>
              </w:rPr>
              <w:t>Registre et tous documents nécessaires à la traçabilité des moyens techniques mis en œuvre permettant d’éviter ou de réduire les émissions dans le sol et les eaux souterraines</w:t>
            </w:r>
          </w:p>
        </w:tc>
        <w:tc>
          <w:tcPr>
            <w:tcW w:w="2823" w:type="dxa"/>
          </w:tcPr>
          <w:p w14:paraId="38B28B60" w14:textId="77777777" w:rsidR="005C0576" w:rsidRPr="00DA6489" w:rsidRDefault="005C0576">
            <w:pPr>
              <w:widowControl w:val="0"/>
              <w:suppressAutoHyphens w:val="0"/>
              <w:rPr>
                <w:rFonts w:eastAsia="Calibri"/>
              </w:rPr>
            </w:pPr>
          </w:p>
        </w:tc>
      </w:tr>
      <w:tr w:rsidR="005C0576" w:rsidRPr="00DA6489" w14:paraId="5C6D1C27" w14:textId="77777777" w:rsidTr="00DA6489">
        <w:tc>
          <w:tcPr>
            <w:tcW w:w="1271" w:type="dxa"/>
          </w:tcPr>
          <w:p w14:paraId="09D440DF" w14:textId="77777777" w:rsidR="005C0576" w:rsidRPr="00DA6489" w:rsidRDefault="00520523">
            <w:pPr>
              <w:widowControl w:val="0"/>
              <w:suppressAutoHyphens w:val="0"/>
              <w:rPr>
                <w:rFonts w:eastAsia="Calibri"/>
              </w:rPr>
            </w:pPr>
            <w:r w:rsidRPr="00DA6489">
              <w:rPr>
                <w:rFonts w:eastAsia="Calibri"/>
              </w:rPr>
              <w:t>2.4</w:t>
            </w:r>
          </w:p>
        </w:tc>
        <w:tc>
          <w:tcPr>
            <w:tcW w:w="4401" w:type="dxa"/>
          </w:tcPr>
          <w:p w14:paraId="2EC9562C" w14:textId="77777777" w:rsidR="005C0576" w:rsidRPr="00DA6489" w:rsidRDefault="00520523">
            <w:pPr>
              <w:widowControl w:val="0"/>
              <w:suppressAutoHyphens w:val="0"/>
              <w:rPr>
                <w:rFonts w:eastAsia="Calibri"/>
              </w:rPr>
            </w:pPr>
            <w:r w:rsidRPr="00DA6489">
              <w:rPr>
                <w:rFonts w:eastAsia="Calibri"/>
              </w:rPr>
              <w:t>Registre OTNOC</w:t>
            </w:r>
          </w:p>
        </w:tc>
        <w:tc>
          <w:tcPr>
            <w:tcW w:w="2823" w:type="dxa"/>
          </w:tcPr>
          <w:p w14:paraId="7CFBA16F" w14:textId="77777777" w:rsidR="005C0576" w:rsidRPr="00DA6489" w:rsidRDefault="005C0576">
            <w:pPr>
              <w:widowControl w:val="0"/>
              <w:suppressAutoHyphens w:val="0"/>
              <w:rPr>
                <w:rFonts w:eastAsia="Calibri"/>
              </w:rPr>
            </w:pPr>
          </w:p>
        </w:tc>
      </w:tr>
      <w:tr w:rsidR="005C0576" w:rsidRPr="00DA6489" w14:paraId="35CD21B7" w14:textId="77777777" w:rsidTr="00DA6489">
        <w:tc>
          <w:tcPr>
            <w:tcW w:w="1271" w:type="dxa"/>
          </w:tcPr>
          <w:p w14:paraId="60DDF5AF" w14:textId="77777777" w:rsidR="005C0576" w:rsidRPr="00DA6489" w:rsidRDefault="00520523">
            <w:pPr>
              <w:widowControl w:val="0"/>
              <w:suppressAutoHyphens w:val="0"/>
              <w:rPr>
                <w:rFonts w:eastAsia="Calibri"/>
              </w:rPr>
            </w:pPr>
            <w:r w:rsidRPr="00DA6489">
              <w:rPr>
                <w:rFonts w:eastAsia="Calibri"/>
              </w:rPr>
              <w:t>2.5.1</w:t>
            </w:r>
          </w:p>
        </w:tc>
        <w:tc>
          <w:tcPr>
            <w:tcW w:w="4401" w:type="dxa"/>
          </w:tcPr>
          <w:p w14:paraId="3E271B88" w14:textId="77777777" w:rsidR="005C0576" w:rsidRPr="00DA6489" w:rsidRDefault="00520523">
            <w:pPr>
              <w:widowControl w:val="0"/>
              <w:suppressAutoHyphens w:val="0"/>
              <w:rPr>
                <w:rFonts w:eastAsia="Calibri"/>
              </w:rPr>
            </w:pPr>
            <w:r w:rsidRPr="00DA6489">
              <w:rPr>
                <w:rFonts w:eastAsia="Calibri"/>
              </w:rPr>
              <w:t>Registre de surveillance des flux de matières et d’énergie</w:t>
            </w:r>
          </w:p>
        </w:tc>
        <w:tc>
          <w:tcPr>
            <w:tcW w:w="2823" w:type="dxa"/>
          </w:tcPr>
          <w:p w14:paraId="7D580BE4" w14:textId="77777777" w:rsidR="005C0576" w:rsidRPr="00DA6489" w:rsidRDefault="005C0576">
            <w:pPr>
              <w:widowControl w:val="0"/>
              <w:suppressAutoHyphens w:val="0"/>
              <w:rPr>
                <w:rFonts w:eastAsia="Calibri"/>
              </w:rPr>
            </w:pPr>
          </w:p>
        </w:tc>
      </w:tr>
      <w:tr w:rsidR="005C0576" w:rsidRPr="00DA6489" w14:paraId="3DFF7545" w14:textId="77777777" w:rsidTr="00DA6489">
        <w:tc>
          <w:tcPr>
            <w:tcW w:w="1271" w:type="dxa"/>
          </w:tcPr>
          <w:p w14:paraId="199334F0" w14:textId="29FDAD77" w:rsidR="005C0576" w:rsidRPr="00DA6489" w:rsidRDefault="004101F8">
            <w:pPr>
              <w:widowControl w:val="0"/>
              <w:suppressAutoHyphens w:val="0"/>
              <w:rPr>
                <w:rFonts w:eastAsia="Calibri"/>
              </w:rPr>
            </w:pPr>
            <w:r w:rsidRPr="00DA6489">
              <w:rPr>
                <w:rFonts w:eastAsia="Calibri"/>
              </w:rPr>
              <w:t>2.5.1</w:t>
            </w:r>
          </w:p>
        </w:tc>
        <w:tc>
          <w:tcPr>
            <w:tcW w:w="4401" w:type="dxa"/>
          </w:tcPr>
          <w:p w14:paraId="3F628B4B" w14:textId="77777777" w:rsidR="005C0576" w:rsidRPr="00DA6489" w:rsidRDefault="00520523">
            <w:pPr>
              <w:widowControl w:val="0"/>
              <w:suppressAutoHyphens w:val="0"/>
              <w:rPr>
                <w:rFonts w:eastAsia="Calibri"/>
              </w:rPr>
            </w:pPr>
            <w:r w:rsidRPr="00DA6489">
              <w:rPr>
                <w:rFonts w:eastAsia="Calibri"/>
              </w:rPr>
              <w:t>Registre de surveillance des rejets atmosphérique</w:t>
            </w:r>
            <w:r w:rsidR="00D34654" w:rsidRPr="00DA6489">
              <w:rPr>
                <w:rFonts w:eastAsia="Calibri"/>
              </w:rPr>
              <w:t>s</w:t>
            </w:r>
          </w:p>
        </w:tc>
        <w:tc>
          <w:tcPr>
            <w:tcW w:w="2823" w:type="dxa"/>
          </w:tcPr>
          <w:p w14:paraId="42868740" w14:textId="77777777" w:rsidR="005C0576" w:rsidRPr="00DA6489" w:rsidRDefault="005C0576">
            <w:pPr>
              <w:widowControl w:val="0"/>
              <w:suppressAutoHyphens w:val="0"/>
              <w:rPr>
                <w:rFonts w:eastAsia="Calibri"/>
              </w:rPr>
            </w:pPr>
          </w:p>
        </w:tc>
      </w:tr>
      <w:tr w:rsidR="005C0576" w:rsidRPr="00DA6489" w14:paraId="64094FF8" w14:textId="77777777" w:rsidTr="00DA6489">
        <w:tc>
          <w:tcPr>
            <w:tcW w:w="1271" w:type="dxa"/>
          </w:tcPr>
          <w:p w14:paraId="0C42BBCD" w14:textId="5F06EABB" w:rsidR="005C0576" w:rsidRPr="00DA6489" w:rsidRDefault="004101F8">
            <w:pPr>
              <w:widowControl w:val="0"/>
              <w:suppressAutoHyphens w:val="0"/>
              <w:rPr>
                <w:rFonts w:eastAsia="Calibri"/>
              </w:rPr>
            </w:pPr>
            <w:r w:rsidRPr="00DA6489">
              <w:rPr>
                <w:rFonts w:eastAsia="Calibri"/>
              </w:rPr>
              <w:t>2.5.1</w:t>
            </w:r>
          </w:p>
        </w:tc>
        <w:tc>
          <w:tcPr>
            <w:tcW w:w="4401" w:type="dxa"/>
          </w:tcPr>
          <w:p w14:paraId="772B51E1" w14:textId="77777777" w:rsidR="005C0576" w:rsidRPr="00DA6489" w:rsidRDefault="00520523">
            <w:pPr>
              <w:widowControl w:val="0"/>
              <w:suppressAutoHyphens w:val="0"/>
              <w:rPr>
                <w:rFonts w:eastAsia="Calibri"/>
              </w:rPr>
            </w:pPr>
            <w:r w:rsidRPr="00DA6489">
              <w:rPr>
                <w:rFonts w:eastAsia="Calibri"/>
              </w:rPr>
              <w:t>Bilan commenté des flux de matières et des émissions atmosphériques</w:t>
            </w:r>
          </w:p>
        </w:tc>
        <w:tc>
          <w:tcPr>
            <w:tcW w:w="2823" w:type="dxa"/>
          </w:tcPr>
          <w:p w14:paraId="53F11D99" w14:textId="77777777" w:rsidR="005C0576" w:rsidRPr="00DA6489" w:rsidRDefault="00520523">
            <w:pPr>
              <w:widowControl w:val="0"/>
              <w:suppressAutoHyphens w:val="0"/>
              <w:rPr>
                <w:rFonts w:eastAsia="Calibri"/>
              </w:rPr>
            </w:pPr>
            <w:r w:rsidRPr="00DA6489">
              <w:rPr>
                <w:rFonts w:eastAsia="Calibri"/>
              </w:rPr>
              <w:t>Annuellement</w:t>
            </w:r>
          </w:p>
        </w:tc>
      </w:tr>
      <w:tr w:rsidR="005C0576" w:rsidRPr="00DA6489" w14:paraId="47055EA8" w14:textId="77777777" w:rsidTr="00DA6489">
        <w:tc>
          <w:tcPr>
            <w:tcW w:w="1271" w:type="dxa"/>
          </w:tcPr>
          <w:p w14:paraId="544DD1AE" w14:textId="77777777" w:rsidR="005C0576" w:rsidRPr="00DA6489" w:rsidRDefault="00520523">
            <w:pPr>
              <w:widowControl w:val="0"/>
              <w:suppressAutoHyphens w:val="0"/>
              <w:rPr>
                <w:rFonts w:eastAsia="Calibri"/>
              </w:rPr>
            </w:pPr>
            <w:r w:rsidRPr="00DA6489">
              <w:rPr>
                <w:rFonts w:eastAsia="Calibri"/>
              </w:rPr>
              <w:t>2.7.1</w:t>
            </w:r>
          </w:p>
        </w:tc>
        <w:tc>
          <w:tcPr>
            <w:tcW w:w="4401" w:type="dxa"/>
          </w:tcPr>
          <w:p w14:paraId="4871F254" w14:textId="77777777" w:rsidR="005C0576" w:rsidRPr="00DA6489" w:rsidRDefault="00520523">
            <w:pPr>
              <w:widowControl w:val="0"/>
              <w:suppressAutoHyphens w:val="0"/>
              <w:rPr>
                <w:rFonts w:eastAsia="Calibri"/>
              </w:rPr>
            </w:pPr>
            <w:r w:rsidRPr="00DA6489">
              <w:rPr>
                <w:rFonts w:eastAsia="Calibri"/>
              </w:rPr>
              <w:t>Plan d’efficacité énergétique et audits énergétiques ainsi que bilan énergétique</w:t>
            </w:r>
          </w:p>
        </w:tc>
        <w:tc>
          <w:tcPr>
            <w:tcW w:w="2823" w:type="dxa"/>
          </w:tcPr>
          <w:p w14:paraId="566A4C7E" w14:textId="77777777" w:rsidR="005C0576" w:rsidRPr="00DA6489" w:rsidRDefault="00520523">
            <w:pPr>
              <w:widowControl w:val="0"/>
              <w:suppressAutoHyphens w:val="0"/>
              <w:rPr>
                <w:rFonts w:eastAsia="Calibri"/>
              </w:rPr>
            </w:pPr>
            <w:r w:rsidRPr="00DA6489">
              <w:rPr>
                <w:rFonts w:eastAsia="Calibri"/>
              </w:rPr>
              <w:t>Annuellement</w:t>
            </w:r>
          </w:p>
        </w:tc>
      </w:tr>
      <w:tr w:rsidR="005C0576" w:rsidRPr="00DA6489" w14:paraId="2B2015B6" w14:textId="77777777" w:rsidTr="00DA6489">
        <w:tc>
          <w:tcPr>
            <w:tcW w:w="1271" w:type="dxa"/>
          </w:tcPr>
          <w:p w14:paraId="340D278D" w14:textId="77777777" w:rsidR="005C0576" w:rsidRPr="00DA6489" w:rsidRDefault="00520523">
            <w:pPr>
              <w:widowControl w:val="0"/>
              <w:suppressAutoHyphens w:val="0"/>
              <w:rPr>
                <w:rFonts w:eastAsia="Calibri"/>
              </w:rPr>
            </w:pPr>
            <w:r w:rsidRPr="00DA6489">
              <w:rPr>
                <w:rFonts w:eastAsia="Calibri"/>
              </w:rPr>
              <w:t>2.7.2</w:t>
            </w:r>
          </w:p>
        </w:tc>
        <w:tc>
          <w:tcPr>
            <w:tcW w:w="4401" w:type="dxa"/>
          </w:tcPr>
          <w:p w14:paraId="77B321DD" w14:textId="77777777" w:rsidR="005C0576" w:rsidRPr="00DA6489" w:rsidRDefault="00520523">
            <w:pPr>
              <w:widowControl w:val="0"/>
              <w:suppressAutoHyphens w:val="0"/>
              <w:rPr>
                <w:rFonts w:eastAsia="Calibri"/>
              </w:rPr>
            </w:pPr>
            <w:r w:rsidRPr="00DA6489">
              <w:rPr>
                <w:rFonts w:eastAsia="Calibri"/>
              </w:rPr>
              <w:t>Registre indiquant les niveaux de consommation d’énergie spécifique du chauffage</w:t>
            </w:r>
          </w:p>
        </w:tc>
        <w:tc>
          <w:tcPr>
            <w:tcW w:w="2823" w:type="dxa"/>
          </w:tcPr>
          <w:p w14:paraId="2E270CBA" w14:textId="77777777" w:rsidR="005C0576" w:rsidRPr="00DA6489" w:rsidRDefault="005C0576">
            <w:pPr>
              <w:widowControl w:val="0"/>
              <w:suppressAutoHyphens w:val="0"/>
              <w:rPr>
                <w:rFonts w:eastAsia="Calibri"/>
              </w:rPr>
            </w:pPr>
          </w:p>
        </w:tc>
      </w:tr>
      <w:tr w:rsidR="005C0576" w:rsidRPr="00DA6489" w14:paraId="124665E6" w14:textId="77777777" w:rsidTr="00DA6489">
        <w:tc>
          <w:tcPr>
            <w:tcW w:w="1271" w:type="dxa"/>
          </w:tcPr>
          <w:p w14:paraId="08EDAE4E" w14:textId="77777777" w:rsidR="005C0576" w:rsidRPr="00DA6489" w:rsidRDefault="00520523">
            <w:pPr>
              <w:widowControl w:val="0"/>
              <w:suppressAutoHyphens w:val="0"/>
              <w:rPr>
                <w:rFonts w:eastAsia="Calibri"/>
              </w:rPr>
            </w:pPr>
            <w:r w:rsidRPr="00DA6489">
              <w:rPr>
                <w:rFonts w:eastAsia="Calibri"/>
              </w:rPr>
              <w:t>2.8.1</w:t>
            </w:r>
          </w:p>
        </w:tc>
        <w:tc>
          <w:tcPr>
            <w:tcW w:w="4401" w:type="dxa"/>
          </w:tcPr>
          <w:p w14:paraId="214488E1" w14:textId="77777777" w:rsidR="005C0576" w:rsidRPr="00DA6489" w:rsidRDefault="00520523">
            <w:pPr>
              <w:widowControl w:val="0"/>
              <w:suppressAutoHyphens w:val="0"/>
              <w:rPr>
                <w:rFonts w:eastAsia="Calibri"/>
              </w:rPr>
            </w:pPr>
            <w:r w:rsidRPr="00DA6489">
              <w:rPr>
                <w:rFonts w:eastAsia="Calibri"/>
              </w:rPr>
              <w:t>Registre indiquant toutes les techniques utilisées sur le site ainsi que toutes analyses, surveillance et optimisation des paramètres pour une utilisation rationnelle des matières lors des différents process</w:t>
            </w:r>
          </w:p>
        </w:tc>
        <w:tc>
          <w:tcPr>
            <w:tcW w:w="2823" w:type="dxa"/>
          </w:tcPr>
          <w:p w14:paraId="5D43EF76" w14:textId="77777777" w:rsidR="005C0576" w:rsidRPr="00DA6489" w:rsidRDefault="005C0576">
            <w:pPr>
              <w:widowControl w:val="0"/>
              <w:suppressAutoHyphens w:val="0"/>
              <w:rPr>
                <w:rFonts w:eastAsia="Calibri"/>
              </w:rPr>
            </w:pPr>
          </w:p>
        </w:tc>
      </w:tr>
      <w:tr w:rsidR="005C0576" w:rsidRPr="00DA6489" w14:paraId="293D6AA7" w14:textId="77777777" w:rsidTr="00DA6489">
        <w:tc>
          <w:tcPr>
            <w:tcW w:w="1271" w:type="dxa"/>
          </w:tcPr>
          <w:p w14:paraId="31BFEED7" w14:textId="77777777" w:rsidR="005C0576" w:rsidRPr="00DA6489" w:rsidRDefault="00520523">
            <w:pPr>
              <w:widowControl w:val="0"/>
              <w:suppressAutoHyphens w:val="0"/>
              <w:rPr>
                <w:rFonts w:eastAsia="Calibri"/>
              </w:rPr>
            </w:pPr>
            <w:r w:rsidRPr="00DA6489">
              <w:rPr>
                <w:rFonts w:eastAsia="Calibri"/>
              </w:rPr>
              <w:t>2.9</w:t>
            </w:r>
          </w:p>
        </w:tc>
        <w:tc>
          <w:tcPr>
            <w:tcW w:w="4401" w:type="dxa"/>
          </w:tcPr>
          <w:p w14:paraId="2B3A701E" w14:textId="77777777" w:rsidR="005C0576" w:rsidRPr="00DA6489" w:rsidRDefault="00520523">
            <w:pPr>
              <w:widowControl w:val="0"/>
              <w:suppressAutoHyphens w:val="0"/>
              <w:rPr>
                <w:rFonts w:eastAsia="Calibri"/>
              </w:rPr>
            </w:pPr>
            <w:r w:rsidRPr="00DA6489">
              <w:rPr>
                <w:rFonts w:eastAsia="Calibri"/>
              </w:rPr>
              <w:t>Registre indiquant les techniques utilisées pour optimiser la consommation d’eau, améliorer la recyclabilité de l’eau et réduire le volume d’eaux usées produites</w:t>
            </w:r>
          </w:p>
        </w:tc>
        <w:tc>
          <w:tcPr>
            <w:tcW w:w="2823" w:type="dxa"/>
          </w:tcPr>
          <w:p w14:paraId="7BEC09B5" w14:textId="77777777" w:rsidR="005C0576" w:rsidRPr="00DA6489" w:rsidRDefault="005C0576">
            <w:pPr>
              <w:widowControl w:val="0"/>
              <w:suppressAutoHyphens w:val="0"/>
              <w:rPr>
                <w:rFonts w:eastAsia="Calibri"/>
              </w:rPr>
            </w:pPr>
          </w:p>
        </w:tc>
      </w:tr>
      <w:tr w:rsidR="005C0576" w:rsidRPr="00DA6489" w14:paraId="0B3E8DF8" w14:textId="77777777" w:rsidTr="00DA6489">
        <w:tc>
          <w:tcPr>
            <w:tcW w:w="1271" w:type="dxa"/>
          </w:tcPr>
          <w:p w14:paraId="343152EC" w14:textId="77777777" w:rsidR="005C0576" w:rsidRPr="00DA6489" w:rsidRDefault="00520523">
            <w:pPr>
              <w:widowControl w:val="0"/>
              <w:suppressAutoHyphens w:val="0"/>
              <w:rPr>
                <w:rFonts w:eastAsia="Calibri"/>
              </w:rPr>
            </w:pPr>
            <w:r w:rsidRPr="00DA6489">
              <w:rPr>
                <w:rFonts w:eastAsia="Calibri"/>
              </w:rPr>
              <w:t>2.10.1</w:t>
            </w:r>
          </w:p>
        </w:tc>
        <w:tc>
          <w:tcPr>
            <w:tcW w:w="4401" w:type="dxa"/>
          </w:tcPr>
          <w:p w14:paraId="634701CC" w14:textId="77777777" w:rsidR="005C0576" w:rsidRPr="00DA6489" w:rsidRDefault="00520523">
            <w:pPr>
              <w:widowControl w:val="0"/>
              <w:suppressAutoHyphens w:val="0"/>
              <w:rPr>
                <w:rFonts w:eastAsia="Calibri"/>
              </w:rPr>
            </w:pPr>
            <w:r w:rsidRPr="00DA6489">
              <w:rPr>
                <w:rFonts w:eastAsia="Calibri"/>
              </w:rPr>
              <w:t>Registre indiquant toutes les techniques utilisées sur le site ainsi que toutes analyses, surveillance et optimisation des paramètres pour les émissions atmosphériques lors des différents process</w:t>
            </w:r>
          </w:p>
        </w:tc>
        <w:tc>
          <w:tcPr>
            <w:tcW w:w="2823" w:type="dxa"/>
          </w:tcPr>
          <w:p w14:paraId="361CD5B0" w14:textId="77777777" w:rsidR="005C0576" w:rsidRPr="00DA6489" w:rsidRDefault="005C0576">
            <w:pPr>
              <w:widowControl w:val="0"/>
              <w:suppressAutoHyphens w:val="0"/>
              <w:rPr>
                <w:rFonts w:eastAsia="Calibri"/>
              </w:rPr>
            </w:pPr>
          </w:p>
        </w:tc>
      </w:tr>
      <w:tr w:rsidR="005C0576" w:rsidRPr="00DA6489" w14:paraId="75AC9FCE" w14:textId="77777777" w:rsidTr="00DA6489">
        <w:tc>
          <w:tcPr>
            <w:tcW w:w="1271" w:type="dxa"/>
          </w:tcPr>
          <w:p w14:paraId="79D90C14" w14:textId="77777777" w:rsidR="005C0576" w:rsidRPr="00DA6489" w:rsidRDefault="00520523">
            <w:pPr>
              <w:widowControl w:val="0"/>
              <w:suppressAutoHyphens w:val="0"/>
              <w:rPr>
                <w:rFonts w:eastAsia="Calibri"/>
              </w:rPr>
            </w:pPr>
            <w:r w:rsidRPr="00DA6489">
              <w:rPr>
                <w:rFonts w:eastAsia="Calibri"/>
              </w:rPr>
              <w:t>2.11.1</w:t>
            </w:r>
          </w:p>
        </w:tc>
        <w:tc>
          <w:tcPr>
            <w:tcW w:w="4401" w:type="dxa"/>
          </w:tcPr>
          <w:p w14:paraId="16B142D2" w14:textId="77777777" w:rsidR="005C0576" w:rsidRPr="00DA6489" w:rsidRDefault="00520523">
            <w:pPr>
              <w:widowControl w:val="0"/>
              <w:suppressAutoHyphens w:val="0"/>
              <w:rPr>
                <w:rFonts w:eastAsia="Calibri"/>
              </w:rPr>
            </w:pPr>
            <w:r w:rsidRPr="00DA6489">
              <w:rPr>
                <w:rFonts w:eastAsia="Calibri"/>
              </w:rPr>
              <w:t>Plan de gestion du bruit et des vibrations</w:t>
            </w:r>
          </w:p>
        </w:tc>
        <w:tc>
          <w:tcPr>
            <w:tcW w:w="2823" w:type="dxa"/>
          </w:tcPr>
          <w:p w14:paraId="295D26F7" w14:textId="77777777" w:rsidR="005C0576" w:rsidRPr="00DA6489" w:rsidRDefault="00520523">
            <w:pPr>
              <w:widowControl w:val="0"/>
              <w:suppressAutoHyphens w:val="0"/>
              <w:rPr>
                <w:rFonts w:eastAsia="Calibri"/>
              </w:rPr>
            </w:pPr>
            <w:r w:rsidRPr="00DA6489">
              <w:rPr>
                <w:rFonts w:eastAsia="Calibri"/>
              </w:rPr>
              <w:t>Annuellement</w:t>
            </w:r>
          </w:p>
        </w:tc>
      </w:tr>
      <w:tr w:rsidR="005C0576" w14:paraId="743953CB" w14:textId="77777777" w:rsidTr="00DA6489">
        <w:tc>
          <w:tcPr>
            <w:tcW w:w="1271" w:type="dxa"/>
          </w:tcPr>
          <w:p w14:paraId="7A7B8603" w14:textId="77777777" w:rsidR="005C0576" w:rsidRPr="00DA6489" w:rsidRDefault="00520523">
            <w:pPr>
              <w:widowControl w:val="0"/>
              <w:suppressAutoHyphens w:val="0"/>
              <w:rPr>
                <w:rFonts w:eastAsia="Calibri"/>
              </w:rPr>
            </w:pPr>
            <w:r w:rsidRPr="00DA6489">
              <w:rPr>
                <w:rFonts w:eastAsia="Calibri"/>
              </w:rPr>
              <w:t>2.12.1</w:t>
            </w:r>
          </w:p>
        </w:tc>
        <w:tc>
          <w:tcPr>
            <w:tcW w:w="4401" w:type="dxa"/>
          </w:tcPr>
          <w:p w14:paraId="6FD11BBF" w14:textId="77777777" w:rsidR="005C0576" w:rsidRDefault="00520523">
            <w:pPr>
              <w:widowControl w:val="0"/>
              <w:suppressAutoHyphens w:val="0"/>
              <w:rPr>
                <w:rFonts w:eastAsia="Calibri"/>
              </w:rPr>
            </w:pPr>
            <w:r w:rsidRPr="00DA6489">
              <w:rPr>
                <w:rFonts w:eastAsia="Calibri"/>
              </w:rPr>
              <w:t>Plan de gestion des résidus</w:t>
            </w:r>
          </w:p>
        </w:tc>
        <w:tc>
          <w:tcPr>
            <w:tcW w:w="2823" w:type="dxa"/>
          </w:tcPr>
          <w:p w14:paraId="44225590" w14:textId="77777777" w:rsidR="005C0576" w:rsidRDefault="005C0576">
            <w:pPr>
              <w:widowControl w:val="0"/>
              <w:suppressAutoHyphens w:val="0"/>
              <w:rPr>
                <w:rFonts w:eastAsia="Calibri"/>
              </w:rPr>
            </w:pPr>
          </w:p>
        </w:tc>
      </w:tr>
    </w:tbl>
    <w:p w14:paraId="6C6A22B7" w14:textId="77777777" w:rsidR="005C0576" w:rsidRDefault="005C0576" w:rsidP="00636254">
      <w:pPr>
        <w:spacing w:after="0" w:line="240" w:lineRule="auto"/>
        <w:jc w:val="left"/>
      </w:pPr>
    </w:p>
    <w:sectPr w:rsidR="005C0576">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2268" w:header="709" w:footer="709"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57705" w14:textId="77777777" w:rsidR="00E71590" w:rsidRDefault="00E71590">
      <w:pPr>
        <w:spacing w:after="0" w:line="240" w:lineRule="auto"/>
      </w:pPr>
      <w:r>
        <w:separator/>
      </w:r>
    </w:p>
  </w:endnote>
  <w:endnote w:type="continuationSeparator" w:id="0">
    <w:p w14:paraId="79F8B6F3" w14:textId="77777777" w:rsidR="00E71590" w:rsidRDefault="00E71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Liberation Serif;Times New Roma">
    <w:altName w:val="Times New Roman"/>
    <w:panose1 w:val="00000000000000000000"/>
    <w:charset w:val="00"/>
    <w:family w:val="roman"/>
    <w:notTrueType/>
    <w:pitch w:val="default"/>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594930"/>
      <w:docPartObj>
        <w:docPartGallery w:val="Page Numbers (Bottom of Page)"/>
        <w:docPartUnique/>
      </w:docPartObj>
    </w:sdtPr>
    <w:sdtEndPr/>
    <w:sdtContent>
      <w:p w14:paraId="579F1209" w14:textId="41B09A12" w:rsidR="000639DB" w:rsidRDefault="000639DB">
        <w:pPr>
          <w:jc w:val="center"/>
        </w:pPr>
        <w:r>
          <w:fldChar w:fldCharType="begin"/>
        </w:r>
        <w:r>
          <w:instrText xml:space="preserve"> PAGE </w:instrText>
        </w:r>
        <w:r>
          <w:fldChar w:fldCharType="separate"/>
        </w:r>
        <w:r w:rsidR="004906A5">
          <w:rPr>
            <w:noProof/>
          </w:rPr>
          <w:t>13</w:t>
        </w:r>
        <w:r>
          <w:fldChar w:fldCharType="end"/>
        </w:r>
      </w:p>
    </w:sdtContent>
  </w:sdt>
  <w:p w14:paraId="0C83D3E4" w14:textId="77777777" w:rsidR="000639DB" w:rsidRDefault="000639D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3594" w14:textId="77777777" w:rsidR="000639DB" w:rsidRDefault="000639D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1190735"/>
      <w:docPartObj>
        <w:docPartGallery w:val="Page Numbers (Bottom of Page)"/>
        <w:docPartUnique/>
      </w:docPartObj>
    </w:sdtPr>
    <w:sdtEndPr/>
    <w:sdtContent>
      <w:p w14:paraId="64C72130" w14:textId="47CFE9F7" w:rsidR="000639DB" w:rsidRDefault="000639DB">
        <w:pPr>
          <w:jc w:val="center"/>
        </w:pPr>
        <w:r>
          <w:fldChar w:fldCharType="begin"/>
        </w:r>
        <w:r>
          <w:instrText xml:space="preserve"> PAGE </w:instrText>
        </w:r>
        <w:r>
          <w:fldChar w:fldCharType="separate"/>
        </w:r>
        <w:r w:rsidR="004906A5">
          <w:rPr>
            <w:noProof/>
          </w:rPr>
          <w:t>40</w:t>
        </w:r>
        <w:r>
          <w:fldChar w:fldCharType="end"/>
        </w:r>
      </w:p>
    </w:sdtContent>
  </w:sdt>
  <w:p w14:paraId="46510CD9" w14:textId="77777777" w:rsidR="000639DB" w:rsidRDefault="000639D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322742"/>
      <w:docPartObj>
        <w:docPartGallery w:val="Page Numbers (Bottom of Page)"/>
        <w:docPartUnique/>
      </w:docPartObj>
    </w:sdtPr>
    <w:sdtEndPr/>
    <w:sdtContent>
      <w:p w14:paraId="0B83F32D" w14:textId="77777777" w:rsidR="000639DB" w:rsidRDefault="000639DB">
        <w:pPr>
          <w:jc w:val="center"/>
        </w:pPr>
        <w:r>
          <w:fldChar w:fldCharType="begin"/>
        </w:r>
        <w:r>
          <w:instrText xml:space="preserve"> PAGE </w:instrText>
        </w:r>
        <w:r>
          <w:fldChar w:fldCharType="separate"/>
        </w:r>
        <w:r>
          <w:t>40</w:t>
        </w:r>
        <w:r>
          <w:fldChar w:fldCharType="end"/>
        </w:r>
      </w:p>
    </w:sdtContent>
  </w:sdt>
  <w:p w14:paraId="6014B407" w14:textId="77777777" w:rsidR="000639DB" w:rsidRDefault="000639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74BDF" w14:textId="77777777" w:rsidR="00E71590" w:rsidRDefault="00E71590">
      <w:pPr>
        <w:spacing w:after="0" w:line="240" w:lineRule="auto"/>
      </w:pPr>
      <w:r>
        <w:separator/>
      </w:r>
    </w:p>
  </w:footnote>
  <w:footnote w:type="continuationSeparator" w:id="0">
    <w:p w14:paraId="6212A205" w14:textId="77777777" w:rsidR="00E71590" w:rsidRDefault="00E715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74482" w14:textId="77777777" w:rsidR="000639DB" w:rsidRDefault="000639DB">
    <w:r>
      <w:t>Chapitre 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35F60" w14:textId="77777777" w:rsidR="000639DB" w:rsidRDefault="000639DB">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372A0" w14:textId="77777777" w:rsidR="000639DB" w:rsidRDefault="000639DB">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B6BC" w14:textId="77777777" w:rsidR="000639DB" w:rsidRDefault="000639DB">
    <w:r>
      <w:t>Chapitre 18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76EF0" w14:textId="77777777" w:rsidR="000639DB" w:rsidRDefault="000639DB">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B2F4" w14:textId="77777777" w:rsidR="000639DB" w:rsidRDefault="000639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5D2"/>
    <w:multiLevelType w:val="multilevel"/>
    <w:tmpl w:val="FC5CF528"/>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 w15:restartNumberingAfterBreak="0">
    <w:nsid w:val="0AB276A4"/>
    <w:multiLevelType w:val="multilevel"/>
    <w:tmpl w:val="FC5CF528"/>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FCE7553"/>
    <w:multiLevelType w:val="hybridMultilevel"/>
    <w:tmpl w:val="6B7C1142"/>
    <w:lvl w:ilvl="0" w:tplc="6C4C36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00EF7"/>
    <w:multiLevelType w:val="hybridMultilevel"/>
    <w:tmpl w:val="406A6E02"/>
    <w:lvl w:ilvl="0" w:tplc="0F4C4642">
      <w:start w:val="1"/>
      <w:numFmt w:val="bullet"/>
      <w:lvlText w:val="-"/>
      <w:lvlJc w:val="left"/>
      <w:pPr>
        <w:ind w:left="720" w:hanging="360"/>
      </w:pPr>
      <w:rPr>
        <w:rFonts w:ascii="Liberation Sans" w:hAnsi="Liberatio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040E83"/>
    <w:multiLevelType w:val="hybridMultilevel"/>
    <w:tmpl w:val="8E1E95C0"/>
    <w:lvl w:ilvl="0" w:tplc="57223EF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4686914"/>
    <w:multiLevelType w:val="hybridMultilevel"/>
    <w:tmpl w:val="0806185A"/>
    <w:lvl w:ilvl="0" w:tplc="763C3E08">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4C3053C"/>
    <w:multiLevelType w:val="multilevel"/>
    <w:tmpl w:val="01EE48C2"/>
    <w:lvl w:ilvl="0">
      <w:start w:val="2"/>
      <w:numFmt w:val="decimal"/>
      <w:lvlText w:val="%1"/>
      <w:lvlJc w:val="left"/>
      <w:pPr>
        <w:tabs>
          <w:tab w:val="num" w:pos="0"/>
        </w:tabs>
        <w:ind w:left="480" w:hanging="480"/>
      </w:pPr>
    </w:lvl>
    <w:lvl w:ilvl="1">
      <w:start w:val="2"/>
      <w:numFmt w:val="decimal"/>
      <w:lvlText w:val="%1.%2"/>
      <w:lvlJc w:val="left"/>
      <w:pPr>
        <w:tabs>
          <w:tab w:val="num" w:pos="0"/>
        </w:tabs>
        <w:ind w:left="911" w:hanging="480"/>
      </w:pPr>
    </w:lvl>
    <w:lvl w:ilvl="2">
      <w:start w:val="2"/>
      <w:numFmt w:val="decimal"/>
      <w:lvlText w:val="%1.%2.%3"/>
      <w:lvlJc w:val="left"/>
      <w:pPr>
        <w:tabs>
          <w:tab w:val="num" w:pos="0"/>
        </w:tabs>
        <w:ind w:left="1582" w:hanging="720"/>
      </w:pPr>
    </w:lvl>
    <w:lvl w:ilvl="3">
      <w:start w:val="1"/>
      <w:numFmt w:val="decimal"/>
      <w:lvlText w:val="%1.%2.%3.%4"/>
      <w:lvlJc w:val="left"/>
      <w:pPr>
        <w:tabs>
          <w:tab w:val="num" w:pos="0"/>
        </w:tabs>
        <w:ind w:left="2013" w:hanging="720"/>
      </w:pPr>
    </w:lvl>
    <w:lvl w:ilvl="4">
      <w:start w:val="1"/>
      <w:numFmt w:val="decimal"/>
      <w:lvlText w:val="%1.%2.%3.%4.%5"/>
      <w:lvlJc w:val="left"/>
      <w:pPr>
        <w:tabs>
          <w:tab w:val="num" w:pos="0"/>
        </w:tabs>
        <w:ind w:left="2804" w:hanging="1080"/>
      </w:pPr>
    </w:lvl>
    <w:lvl w:ilvl="5">
      <w:start w:val="1"/>
      <w:numFmt w:val="decimal"/>
      <w:lvlText w:val="%1.%2.%3.%4.%5.%6"/>
      <w:lvlJc w:val="left"/>
      <w:pPr>
        <w:tabs>
          <w:tab w:val="num" w:pos="0"/>
        </w:tabs>
        <w:ind w:left="3235"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457" w:hanging="1440"/>
      </w:pPr>
    </w:lvl>
    <w:lvl w:ilvl="8">
      <w:start w:val="1"/>
      <w:numFmt w:val="decimal"/>
      <w:lvlText w:val="%1.%2.%3.%4.%5.%6.%7.%8.%9"/>
      <w:lvlJc w:val="left"/>
      <w:pPr>
        <w:tabs>
          <w:tab w:val="num" w:pos="0"/>
        </w:tabs>
        <w:ind w:left="5248" w:hanging="1800"/>
      </w:pPr>
    </w:lvl>
  </w:abstractNum>
  <w:abstractNum w:abstractNumId="7" w15:restartNumberingAfterBreak="0">
    <w:nsid w:val="267B7A0E"/>
    <w:multiLevelType w:val="hybridMultilevel"/>
    <w:tmpl w:val="BBF4394C"/>
    <w:lvl w:ilvl="0" w:tplc="4100137C">
      <w:start w:val="2"/>
      <w:numFmt w:val="bullet"/>
      <w:lvlText w:val="-"/>
      <w:lvlJc w:val="left"/>
      <w:pPr>
        <w:ind w:left="720" w:hanging="360"/>
      </w:pPr>
      <w:rPr>
        <w:rFonts w:ascii="Times New Roman" w:eastAsia="N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677A8"/>
    <w:multiLevelType w:val="multilevel"/>
    <w:tmpl w:val="68248494"/>
    <w:lvl w:ilvl="0">
      <w:start w:val="6"/>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7D56114"/>
    <w:multiLevelType w:val="multilevel"/>
    <w:tmpl w:val="9F2AAC22"/>
    <w:lvl w:ilvl="0">
      <w:start w:val="1"/>
      <w:numFmt w:val="decimal"/>
      <w:pStyle w:val="Titre1"/>
      <w:lvlText w:val=" %1 "/>
      <w:lvlJc w:val="right"/>
      <w:pPr>
        <w:tabs>
          <w:tab w:val="num" w:pos="754"/>
        </w:tabs>
        <w:ind w:left="754" w:hanging="174"/>
      </w:pPr>
    </w:lvl>
    <w:lvl w:ilvl="1">
      <w:start w:val="1"/>
      <w:numFmt w:val="none"/>
      <w:suff w:val="nothing"/>
      <w:lvlText w:val=""/>
      <w:lvlJc w:val="left"/>
      <w:pPr>
        <w:tabs>
          <w:tab w:val="num" w:pos="0"/>
        </w:tabs>
        <w:ind w:left="0" w:firstLine="0"/>
      </w:pPr>
    </w:lvl>
    <w:lvl w:ilvl="2">
      <w:start w:val="1"/>
      <w:numFmt w:val="decimal"/>
      <w:suff w:val="nothing"/>
      <w:lvlText w:val="%1.%3."/>
      <w:lvlJc w:val="left"/>
      <w:pPr>
        <w:tabs>
          <w:tab w:val="num" w:pos="0"/>
        </w:tabs>
        <w:ind w:left="0" w:firstLine="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suff w:val="nothing"/>
      <w:lvlText w:val=""/>
      <w:lvlJc w:val="lef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pStyle w:val="Titre6"/>
      <w:suff w:val="nothing"/>
      <w:lvlText w:val=""/>
      <w:lvlJc w:val="left"/>
      <w:pPr>
        <w:tabs>
          <w:tab w:val="num" w:pos="0"/>
        </w:tabs>
        <w:ind w:left="0" w:firstLine="0"/>
      </w:pPr>
    </w:lvl>
    <w:lvl w:ilvl="6">
      <w:start w:val="1"/>
      <w:numFmt w:val="none"/>
      <w:pStyle w:val="Titre7"/>
      <w:suff w:val="nothing"/>
      <w:lvlText w:val=""/>
      <w:lvlJc w:val="left"/>
      <w:pPr>
        <w:tabs>
          <w:tab w:val="num" w:pos="0"/>
        </w:tabs>
        <w:ind w:left="0" w:firstLine="0"/>
      </w:pPr>
    </w:lvl>
    <w:lvl w:ilvl="7">
      <w:start w:val="1"/>
      <w:numFmt w:val="none"/>
      <w:pStyle w:val="Titre8"/>
      <w:suff w:val="nothing"/>
      <w:lvlText w:val=""/>
      <w:lvlJc w:val="left"/>
      <w:pPr>
        <w:tabs>
          <w:tab w:val="num" w:pos="0"/>
        </w:tabs>
        <w:ind w:left="0" w:firstLine="0"/>
      </w:pPr>
    </w:lvl>
    <w:lvl w:ilvl="8">
      <w:start w:val="1"/>
      <w:numFmt w:val="none"/>
      <w:pStyle w:val="Titre9"/>
      <w:suff w:val="nothing"/>
      <w:lvlText w:val=""/>
      <w:lvlJc w:val="left"/>
      <w:pPr>
        <w:tabs>
          <w:tab w:val="num" w:pos="0"/>
        </w:tabs>
        <w:ind w:left="0" w:firstLine="0"/>
      </w:pPr>
    </w:lvl>
  </w:abstractNum>
  <w:abstractNum w:abstractNumId="10" w15:restartNumberingAfterBreak="0">
    <w:nsid w:val="29375408"/>
    <w:multiLevelType w:val="hybridMultilevel"/>
    <w:tmpl w:val="F49A6082"/>
    <w:lvl w:ilvl="0" w:tplc="CEE22CAC">
      <w:start w:val="1"/>
      <w:numFmt w:val="decimal"/>
      <w:pStyle w:val="Titre3"/>
      <w:lvlText w:val="%1."/>
      <w:lvlJc w:val="left"/>
      <w:pPr>
        <w:ind w:left="2268" w:hanging="360"/>
      </w:pPr>
    </w:lvl>
    <w:lvl w:ilvl="1" w:tplc="040C0019" w:tentative="1">
      <w:start w:val="1"/>
      <w:numFmt w:val="lowerLetter"/>
      <w:lvlText w:val="%2."/>
      <w:lvlJc w:val="left"/>
      <w:pPr>
        <w:ind w:left="2988" w:hanging="360"/>
      </w:pPr>
    </w:lvl>
    <w:lvl w:ilvl="2" w:tplc="040C001B" w:tentative="1">
      <w:start w:val="1"/>
      <w:numFmt w:val="lowerRoman"/>
      <w:lvlText w:val="%3."/>
      <w:lvlJc w:val="right"/>
      <w:pPr>
        <w:ind w:left="3708" w:hanging="180"/>
      </w:pPr>
    </w:lvl>
    <w:lvl w:ilvl="3" w:tplc="040C000F" w:tentative="1">
      <w:start w:val="1"/>
      <w:numFmt w:val="decimal"/>
      <w:lvlText w:val="%4."/>
      <w:lvlJc w:val="left"/>
      <w:pPr>
        <w:ind w:left="4428" w:hanging="360"/>
      </w:pPr>
    </w:lvl>
    <w:lvl w:ilvl="4" w:tplc="040C0019" w:tentative="1">
      <w:start w:val="1"/>
      <w:numFmt w:val="lowerLetter"/>
      <w:lvlText w:val="%5."/>
      <w:lvlJc w:val="left"/>
      <w:pPr>
        <w:ind w:left="5148" w:hanging="360"/>
      </w:pPr>
    </w:lvl>
    <w:lvl w:ilvl="5" w:tplc="040C001B" w:tentative="1">
      <w:start w:val="1"/>
      <w:numFmt w:val="lowerRoman"/>
      <w:lvlText w:val="%6."/>
      <w:lvlJc w:val="right"/>
      <w:pPr>
        <w:ind w:left="5868" w:hanging="180"/>
      </w:pPr>
    </w:lvl>
    <w:lvl w:ilvl="6" w:tplc="040C000F" w:tentative="1">
      <w:start w:val="1"/>
      <w:numFmt w:val="decimal"/>
      <w:lvlText w:val="%7."/>
      <w:lvlJc w:val="left"/>
      <w:pPr>
        <w:ind w:left="6588" w:hanging="360"/>
      </w:pPr>
    </w:lvl>
    <w:lvl w:ilvl="7" w:tplc="040C0019" w:tentative="1">
      <w:start w:val="1"/>
      <w:numFmt w:val="lowerLetter"/>
      <w:lvlText w:val="%8."/>
      <w:lvlJc w:val="left"/>
      <w:pPr>
        <w:ind w:left="7308" w:hanging="360"/>
      </w:pPr>
    </w:lvl>
    <w:lvl w:ilvl="8" w:tplc="040C001B" w:tentative="1">
      <w:start w:val="1"/>
      <w:numFmt w:val="lowerRoman"/>
      <w:lvlText w:val="%9."/>
      <w:lvlJc w:val="right"/>
      <w:pPr>
        <w:ind w:left="8028" w:hanging="180"/>
      </w:pPr>
    </w:lvl>
  </w:abstractNum>
  <w:abstractNum w:abstractNumId="11" w15:restartNumberingAfterBreak="0">
    <w:nsid w:val="2E69272A"/>
    <w:multiLevelType w:val="multilevel"/>
    <w:tmpl w:val="576C2750"/>
    <w:lvl w:ilvl="0">
      <w:start w:val="1"/>
      <w:numFmt w:val="decimal"/>
      <w:lvlText w:val="%1"/>
      <w:lvlJc w:val="left"/>
      <w:pPr>
        <w:ind w:left="360" w:hanging="360"/>
      </w:pPr>
      <w:rPr>
        <w:rFonts w:hint="default"/>
      </w:rPr>
    </w:lvl>
    <w:lvl w:ilvl="1">
      <w:start w:val="3"/>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2" w15:restartNumberingAfterBreak="0">
    <w:nsid w:val="396B7DEE"/>
    <w:multiLevelType w:val="multilevel"/>
    <w:tmpl w:val="B744551E"/>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3BB12E4E"/>
    <w:multiLevelType w:val="hybridMultilevel"/>
    <w:tmpl w:val="242A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124EFA"/>
    <w:multiLevelType w:val="multilevel"/>
    <w:tmpl w:val="17A43D08"/>
    <w:lvl w:ilvl="0">
      <w:start w:val="1"/>
      <w:numFmt w:val="low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59D5DB8"/>
    <w:multiLevelType w:val="hybridMultilevel"/>
    <w:tmpl w:val="8C900F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6F0237F"/>
    <w:multiLevelType w:val="hybridMultilevel"/>
    <w:tmpl w:val="72687B7A"/>
    <w:lvl w:ilvl="0" w:tplc="01C425D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6CF0054"/>
    <w:multiLevelType w:val="multilevel"/>
    <w:tmpl w:val="8D2EABC2"/>
    <w:lvl w:ilvl="0">
      <w:start w:val="2"/>
      <w:numFmt w:val="decimal"/>
      <w:lvlText w:val="%1"/>
      <w:lvlJc w:val="left"/>
      <w:pPr>
        <w:tabs>
          <w:tab w:val="num" w:pos="0"/>
        </w:tabs>
        <w:ind w:left="360" w:hanging="360"/>
      </w:pPr>
    </w:lvl>
    <w:lvl w:ilvl="1">
      <w:start w:val="8"/>
      <w:numFmt w:val="decimal"/>
      <w:lvlText w:val="%1.%2"/>
      <w:lvlJc w:val="left"/>
      <w:pPr>
        <w:tabs>
          <w:tab w:val="num" w:pos="0"/>
        </w:tabs>
        <w:ind w:left="1070" w:hanging="360"/>
      </w:pPr>
    </w:lvl>
    <w:lvl w:ilvl="2">
      <w:start w:val="1"/>
      <w:numFmt w:val="decimal"/>
      <w:lvlText w:val="%1.%2.%3"/>
      <w:lvlJc w:val="left"/>
      <w:pPr>
        <w:tabs>
          <w:tab w:val="num" w:pos="0"/>
        </w:tabs>
        <w:ind w:left="2140" w:hanging="720"/>
      </w:pPr>
    </w:lvl>
    <w:lvl w:ilvl="3">
      <w:start w:val="1"/>
      <w:numFmt w:val="decimal"/>
      <w:lvlText w:val="%1.%2.%3.%4"/>
      <w:lvlJc w:val="left"/>
      <w:pPr>
        <w:tabs>
          <w:tab w:val="num" w:pos="0"/>
        </w:tabs>
        <w:ind w:left="3555"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abstractNum w:abstractNumId="18" w15:restartNumberingAfterBreak="0">
    <w:nsid w:val="5DC921E8"/>
    <w:multiLevelType w:val="multilevel"/>
    <w:tmpl w:val="E4309B90"/>
    <w:lvl w:ilvl="0">
      <w:start w:val="1"/>
      <w:numFmt w:val="bullet"/>
      <w:lvlText w:val=""/>
      <w:lvlJc w:val="left"/>
      <w:pPr>
        <w:tabs>
          <w:tab w:val="num" w:pos="0"/>
        </w:tabs>
        <w:ind w:left="3240" w:hanging="360"/>
      </w:pPr>
      <w:rPr>
        <w:rFonts w:ascii="Symbol" w:hAnsi="Symbol" w:cs="Symbol" w:hint="default"/>
        <w:color w:val="auto"/>
      </w:rPr>
    </w:lvl>
    <w:lvl w:ilvl="1">
      <w:start w:val="1"/>
      <w:numFmt w:val="bullet"/>
      <w:lvlText w:val="o"/>
      <w:lvlJc w:val="left"/>
      <w:pPr>
        <w:tabs>
          <w:tab w:val="num" w:pos="0"/>
        </w:tabs>
        <w:ind w:left="3960" w:hanging="360"/>
      </w:pPr>
      <w:rPr>
        <w:rFonts w:ascii="Courier New" w:hAnsi="Courier New" w:cs="Courier New" w:hint="default"/>
      </w:rPr>
    </w:lvl>
    <w:lvl w:ilvl="2">
      <w:start w:val="1"/>
      <w:numFmt w:val="bullet"/>
      <w:lvlText w:val=""/>
      <w:lvlJc w:val="left"/>
      <w:pPr>
        <w:tabs>
          <w:tab w:val="num" w:pos="0"/>
        </w:tabs>
        <w:ind w:left="4680" w:hanging="360"/>
      </w:pPr>
      <w:rPr>
        <w:rFonts w:ascii="Wingdings" w:hAnsi="Wingdings" w:cs="Wingdings" w:hint="default"/>
      </w:rPr>
    </w:lvl>
    <w:lvl w:ilvl="3">
      <w:start w:val="1"/>
      <w:numFmt w:val="bullet"/>
      <w:lvlText w:val=""/>
      <w:lvlJc w:val="left"/>
      <w:pPr>
        <w:tabs>
          <w:tab w:val="num" w:pos="0"/>
        </w:tabs>
        <w:ind w:left="5400" w:hanging="360"/>
      </w:pPr>
      <w:rPr>
        <w:rFonts w:ascii="Symbol" w:hAnsi="Symbol" w:cs="Symbol" w:hint="default"/>
      </w:rPr>
    </w:lvl>
    <w:lvl w:ilvl="4">
      <w:start w:val="1"/>
      <w:numFmt w:val="bullet"/>
      <w:lvlText w:val="o"/>
      <w:lvlJc w:val="left"/>
      <w:pPr>
        <w:tabs>
          <w:tab w:val="num" w:pos="0"/>
        </w:tabs>
        <w:ind w:left="6120" w:hanging="360"/>
      </w:pPr>
      <w:rPr>
        <w:rFonts w:ascii="Courier New" w:hAnsi="Courier New" w:cs="Courier New" w:hint="default"/>
      </w:rPr>
    </w:lvl>
    <w:lvl w:ilvl="5">
      <w:start w:val="1"/>
      <w:numFmt w:val="bullet"/>
      <w:lvlText w:val=""/>
      <w:lvlJc w:val="left"/>
      <w:pPr>
        <w:tabs>
          <w:tab w:val="num" w:pos="0"/>
        </w:tabs>
        <w:ind w:left="6840" w:hanging="360"/>
      </w:pPr>
      <w:rPr>
        <w:rFonts w:ascii="Wingdings" w:hAnsi="Wingdings" w:cs="Wingdings" w:hint="default"/>
      </w:rPr>
    </w:lvl>
    <w:lvl w:ilvl="6">
      <w:start w:val="1"/>
      <w:numFmt w:val="bullet"/>
      <w:lvlText w:val=""/>
      <w:lvlJc w:val="left"/>
      <w:pPr>
        <w:tabs>
          <w:tab w:val="num" w:pos="0"/>
        </w:tabs>
        <w:ind w:left="7560" w:hanging="360"/>
      </w:pPr>
      <w:rPr>
        <w:rFonts w:ascii="Symbol" w:hAnsi="Symbol" w:cs="Symbol" w:hint="default"/>
      </w:rPr>
    </w:lvl>
    <w:lvl w:ilvl="7">
      <w:start w:val="1"/>
      <w:numFmt w:val="bullet"/>
      <w:lvlText w:val="o"/>
      <w:lvlJc w:val="left"/>
      <w:pPr>
        <w:tabs>
          <w:tab w:val="num" w:pos="0"/>
        </w:tabs>
        <w:ind w:left="8280" w:hanging="360"/>
      </w:pPr>
      <w:rPr>
        <w:rFonts w:ascii="Courier New" w:hAnsi="Courier New" w:cs="Courier New" w:hint="default"/>
      </w:rPr>
    </w:lvl>
    <w:lvl w:ilvl="8">
      <w:start w:val="1"/>
      <w:numFmt w:val="bullet"/>
      <w:lvlText w:val=""/>
      <w:lvlJc w:val="left"/>
      <w:pPr>
        <w:tabs>
          <w:tab w:val="num" w:pos="0"/>
        </w:tabs>
        <w:ind w:left="9000" w:hanging="360"/>
      </w:pPr>
      <w:rPr>
        <w:rFonts w:ascii="Wingdings" w:hAnsi="Wingdings" w:cs="Wingdings" w:hint="default"/>
      </w:rPr>
    </w:lvl>
  </w:abstractNum>
  <w:abstractNum w:abstractNumId="19" w15:restartNumberingAfterBreak="0">
    <w:nsid w:val="61CE6919"/>
    <w:multiLevelType w:val="multilevel"/>
    <w:tmpl w:val="7370EEB0"/>
    <w:lvl w:ilvl="0">
      <w:start w:val="1"/>
      <w:numFmt w:val="decimal"/>
      <w:pStyle w:val="Titre10"/>
      <w:lvlText w:val=" %1 "/>
      <w:lvlJc w:val="left"/>
      <w:pPr>
        <w:tabs>
          <w:tab w:val="num" w:pos="397"/>
        </w:tabs>
        <w:ind w:left="754" w:hanging="397"/>
      </w:pPr>
    </w:lvl>
    <w:lvl w:ilvl="1">
      <w:start w:val="1"/>
      <w:numFmt w:val="decimal"/>
      <w:lvlText w:val=" %1.%2 "/>
      <w:lvlJc w:val="left"/>
      <w:pPr>
        <w:tabs>
          <w:tab w:val="num" w:pos="1600"/>
        </w:tabs>
        <w:ind w:left="1957" w:hanging="397"/>
      </w:pPr>
      <w:rPr>
        <w:rFonts w:ascii="Times New Roman" w:hAnsi="Times New Roman" w:cs="Times New Roman"/>
        <w:b w:val="0"/>
        <w:bCs w:val="0"/>
        <w:i w:val="0"/>
        <w:iCs w:val="0"/>
        <w:caps w:val="0"/>
        <w:smallCaps w:val="0"/>
        <w:strike w:val="0"/>
        <w:dstrike w:val="0"/>
        <w:outline w:val="0"/>
        <w:shadow w:val="0"/>
        <w:emboss w:val="0"/>
        <w:imprint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 %1.%2.%3 "/>
      <w:lvlJc w:val="left"/>
      <w:pPr>
        <w:tabs>
          <w:tab w:val="num" w:pos="4860"/>
        </w:tabs>
        <w:ind w:left="5217" w:hanging="397"/>
      </w:pPr>
    </w:lvl>
    <w:lvl w:ilvl="3">
      <w:start w:val="1"/>
      <w:numFmt w:val="decimal"/>
      <w:lvlText w:val=" %1.%2.%3.%4 "/>
      <w:lvlJc w:val="left"/>
      <w:pPr>
        <w:tabs>
          <w:tab w:val="num" w:pos="2308"/>
        </w:tabs>
        <w:ind w:left="2665" w:hanging="397"/>
      </w:pPr>
    </w:lvl>
    <w:lvl w:ilvl="4">
      <w:start w:val="1"/>
      <w:numFmt w:val="decimal"/>
      <w:lvlText w:val=" %1.%2.%3.%4.%5 "/>
      <w:lvlJc w:val="left"/>
      <w:pPr>
        <w:tabs>
          <w:tab w:val="num" w:pos="1985"/>
        </w:tabs>
        <w:ind w:left="2342" w:hanging="397"/>
      </w:pPr>
    </w:lvl>
    <w:lvl w:ilvl="5">
      <w:start w:val="1"/>
      <w:numFmt w:val="decimal"/>
      <w:lvlText w:val=" %1.%2.%3.%4.%5.%6 "/>
      <w:lvlJc w:val="left"/>
      <w:pPr>
        <w:tabs>
          <w:tab w:val="num" w:pos="2381"/>
        </w:tabs>
        <w:ind w:left="2738" w:hanging="397"/>
      </w:pPr>
    </w:lvl>
    <w:lvl w:ilvl="6">
      <w:start w:val="1"/>
      <w:numFmt w:val="decimal"/>
      <w:lvlText w:val=" %1.%2.%3.%4.%5.%6.%7 "/>
      <w:lvlJc w:val="left"/>
      <w:pPr>
        <w:tabs>
          <w:tab w:val="num" w:pos="2778"/>
        </w:tabs>
        <w:ind w:left="3135" w:hanging="397"/>
      </w:pPr>
    </w:lvl>
    <w:lvl w:ilvl="7">
      <w:start w:val="1"/>
      <w:numFmt w:val="decimal"/>
      <w:lvlText w:val=" %1.%2.%3.%4.%5.%6.%7.%8 "/>
      <w:lvlJc w:val="left"/>
      <w:pPr>
        <w:tabs>
          <w:tab w:val="num" w:pos="3175"/>
        </w:tabs>
        <w:ind w:left="3532" w:hanging="397"/>
      </w:pPr>
    </w:lvl>
    <w:lvl w:ilvl="8">
      <w:start w:val="1"/>
      <w:numFmt w:val="decimal"/>
      <w:lvlText w:val=" %1.%2.%3.%4.%5.%6.%7.%8.%9 "/>
      <w:lvlJc w:val="left"/>
      <w:pPr>
        <w:tabs>
          <w:tab w:val="num" w:pos="3572"/>
        </w:tabs>
        <w:ind w:left="3929" w:hanging="397"/>
      </w:pPr>
    </w:lvl>
  </w:abstractNum>
  <w:abstractNum w:abstractNumId="20" w15:restartNumberingAfterBreak="0">
    <w:nsid w:val="61EB383F"/>
    <w:multiLevelType w:val="multilevel"/>
    <w:tmpl w:val="1DFA8662"/>
    <w:lvl w:ilvl="0">
      <w:start w:val="2"/>
      <w:numFmt w:val="decimal"/>
      <w:lvlText w:val="%1"/>
      <w:lvlJc w:val="left"/>
      <w:pPr>
        <w:tabs>
          <w:tab w:val="num" w:pos="0"/>
        </w:tabs>
        <w:ind w:left="480" w:hanging="480"/>
      </w:pPr>
    </w:lvl>
    <w:lvl w:ilvl="1">
      <w:start w:val="8"/>
      <w:numFmt w:val="decimal"/>
      <w:lvlText w:val="%1.%2"/>
      <w:lvlJc w:val="left"/>
      <w:pPr>
        <w:tabs>
          <w:tab w:val="num" w:pos="0"/>
        </w:tabs>
        <w:ind w:left="1191" w:hanging="480"/>
      </w:pPr>
    </w:lvl>
    <w:lvl w:ilvl="2">
      <w:start w:val="5"/>
      <w:numFmt w:val="decimal"/>
      <w:lvlText w:val="%1.%2.%3"/>
      <w:lvlJc w:val="left"/>
      <w:pPr>
        <w:tabs>
          <w:tab w:val="num" w:pos="0"/>
        </w:tabs>
        <w:ind w:left="2421" w:hanging="720"/>
      </w:pPr>
    </w:lvl>
    <w:lvl w:ilvl="3">
      <w:start w:val="1"/>
      <w:numFmt w:val="decimal"/>
      <w:lvlText w:val="%1.%2.%3.%4"/>
      <w:lvlJc w:val="left"/>
      <w:pPr>
        <w:tabs>
          <w:tab w:val="num" w:pos="0"/>
        </w:tabs>
        <w:ind w:left="2853" w:hanging="720"/>
      </w:pPr>
    </w:lvl>
    <w:lvl w:ilvl="4">
      <w:start w:val="1"/>
      <w:numFmt w:val="decimal"/>
      <w:lvlText w:val="%1.%2.%3.%4.%5"/>
      <w:lvlJc w:val="left"/>
      <w:pPr>
        <w:tabs>
          <w:tab w:val="num" w:pos="0"/>
        </w:tabs>
        <w:ind w:left="3924" w:hanging="1080"/>
      </w:pPr>
    </w:lvl>
    <w:lvl w:ilvl="5">
      <w:start w:val="1"/>
      <w:numFmt w:val="decimal"/>
      <w:lvlText w:val="%1.%2.%3.%4.%5.%6"/>
      <w:lvlJc w:val="left"/>
      <w:pPr>
        <w:tabs>
          <w:tab w:val="num" w:pos="0"/>
        </w:tabs>
        <w:ind w:left="4635" w:hanging="1080"/>
      </w:pPr>
    </w:lvl>
    <w:lvl w:ilvl="6">
      <w:start w:val="1"/>
      <w:numFmt w:val="decimal"/>
      <w:lvlText w:val="%1.%2.%3.%4.%5.%6.%7"/>
      <w:lvlJc w:val="left"/>
      <w:pPr>
        <w:tabs>
          <w:tab w:val="num" w:pos="0"/>
        </w:tabs>
        <w:ind w:left="5706" w:hanging="1440"/>
      </w:pPr>
    </w:lvl>
    <w:lvl w:ilvl="7">
      <w:start w:val="1"/>
      <w:numFmt w:val="decimal"/>
      <w:lvlText w:val="%1.%2.%3.%4.%5.%6.%7.%8"/>
      <w:lvlJc w:val="left"/>
      <w:pPr>
        <w:tabs>
          <w:tab w:val="num" w:pos="0"/>
        </w:tabs>
        <w:ind w:left="6417" w:hanging="1440"/>
      </w:pPr>
    </w:lvl>
    <w:lvl w:ilvl="8">
      <w:start w:val="1"/>
      <w:numFmt w:val="decimal"/>
      <w:lvlText w:val="%1.%2.%3.%4.%5.%6.%7.%8.%9"/>
      <w:lvlJc w:val="left"/>
      <w:pPr>
        <w:tabs>
          <w:tab w:val="num" w:pos="0"/>
        </w:tabs>
        <w:ind w:left="7488" w:hanging="1800"/>
      </w:pPr>
    </w:lvl>
  </w:abstractNum>
  <w:abstractNum w:abstractNumId="21" w15:restartNumberingAfterBreak="0">
    <w:nsid w:val="64CB0B2F"/>
    <w:multiLevelType w:val="multilevel"/>
    <w:tmpl w:val="88AEDBD8"/>
    <w:lvl w:ilvl="0">
      <w:start w:val="1"/>
      <w:numFmt w:val="low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7810569"/>
    <w:multiLevelType w:val="hybridMultilevel"/>
    <w:tmpl w:val="7E50205E"/>
    <w:lvl w:ilvl="0" w:tplc="9C4C7B6C">
      <w:start w:val="1"/>
      <w:numFmt w:val="upperRoman"/>
      <w:lvlText w:val="%1."/>
      <w:lvlJc w:val="left"/>
      <w:pPr>
        <w:ind w:left="720" w:hanging="72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15:restartNumberingAfterBreak="0">
    <w:nsid w:val="69CD3085"/>
    <w:multiLevelType w:val="multilevel"/>
    <w:tmpl w:val="1A00D51A"/>
    <w:lvl w:ilvl="0">
      <w:start w:val="1"/>
      <w:numFmt w:val="decimal"/>
      <w:lvlText w:val="%1"/>
      <w:lvlJc w:val="left"/>
      <w:pPr>
        <w:tabs>
          <w:tab w:val="num" w:pos="0"/>
        </w:tabs>
        <w:ind w:left="480" w:hanging="480"/>
      </w:pPr>
    </w:lvl>
    <w:lvl w:ilvl="1">
      <w:start w:val="3"/>
      <w:numFmt w:val="decimal"/>
      <w:lvlText w:val="%1.%2"/>
      <w:lvlJc w:val="left"/>
      <w:pPr>
        <w:tabs>
          <w:tab w:val="num" w:pos="0"/>
        </w:tabs>
        <w:ind w:left="911" w:hanging="480"/>
      </w:pPr>
    </w:lvl>
    <w:lvl w:ilvl="2">
      <w:start w:val="2"/>
      <w:numFmt w:val="decimal"/>
      <w:lvlText w:val="%1.%2.%3"/>
      <w:lvlJc w:val="left"/>
      <w:pPr>
        <w:tabs>
          <w:tab w:val="num" w:pos="0"/>
        </w:tabs>
        <w:ind w:left="1582" w:hanging="720"/>
      </w:pPr>
    </w:lvl>
    <w:lvl w:ilvl="3">
      <w:start w:val="1"/>
      <w:numFmt w:val="decimal"/>
      <w:lvlText w:val="%1.%2.%3.%4"/>
      <w:lvlJc w:val="left"/>
      <w:pPr>
        <w:tabs>
          <w:tab w:val="num" w:pos="0"/>
        </w:tabs>
        <w:ind w:left="2013" w:hanging="720"/>
      </w:pPr>
    </w:lvl>
    <w:lvl w:ilvl="4">
      <w:start w:val="1"/>
      <w:numFmt w:val="decimal"/>
      <w:lvlText w:val="%1.%2.%3.%4.%5"/>
      <w:lvlJc w:val="left"/>
      <w:pPr>
        <w:tabs>
          <w:tab w:val="num" w:pos="0"/>
        </w:tabs>
        <w:ind w:left="2804" w:hanging="1080"/>
      </w:pPr>
    </w:lvl>
    <w:lvl w:ilvl="5">
      <w:start w:val="1"/>
      <w:numFmt w:val="decimal"/>
      <w:lvlText w:val="%1.%2.%3.%4.%5.%6"/>
      <w:lvlJc w:val="left"/>
      <w:pPr>
        <w:tabs>
          <w:tab w:val="num" w:pos="0"/>
        </w:tabs>
        <w:ind w:left="3235"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457" w:hanging="1440"/>
      </w:pPr>
    </w:lvl>
    <w:lvl w:ilvl="8">
      <w:start w:val="1"/>
      <w:numFmt w:val="decimal"/>
      <w:lvlText w:val="%1.%2.%3.%4.%5.%6.%7.%8.%9"/>
      <w:lvlJc w:val="left"/>
      <w:pPr>
        <w:tabs>
          <w:tab w:val="num" w:pos="0"/>
        </w:tabs>
        <w:ind w:left="5248" w:hanging="1800"/>
      </w:pPr>
    </w:lvl>
  </w:abstractNum>
  <w:abstractNum w:abstractNumId="24" w15:restartNumberingAfterBreak="0">
    <w:nsid w:val="6F920469"/>
    <w:multiLevelType w:val="multilevel"/>
    <w:tmpl w:val="A038F844"/>
    <w:lvl w:ilvl="0">
      <w:start w:val="1"/>
      <w:numFmt w:val="decimal"/>
      <w:lvlText w:val=" %1 "/>
      <w:lvlJc w:val="left"/>
      <w:pPr>
        <w:tabs>
          <w:tab w:val="num" w:pos="397"/>
        </w:tabs>
        <w:ind w:left="754" w:hanging="397"/>
      </w:pPr>
    </w:lvl>
    <w:lvl w:ilvl="1">
      <w:start w:val="1"/>
      <w:numFmt w:val="decimal"/>
      <w:lvlText w:val=" %1.%2 "/>
      <w:lvlJc w:val="left"/>
      <w:pPr>
        <w:tabs>
          <w:tab w:val="num" w:pos="1600"/>
        </w:tabs>
        <w:ind w:left="1957" w:hanging="397"/>
      </w:pPr>
      <w:rPr>
        <w:rFonts w:ascii="Times New Roman" w:hAnsi="Times New Roman" w:cs="Times New Roman"/>
        <w:b w:val="0"/>
        <w:bCs w:val="0"/>
        <w:i w:val="0"/>
        <w:iCs w:val="0"/>
        <w:caps w:val="0"/>
        <w:smallCaps w:val="0"/>
        <w:strike w:val="0"/>
        <w:dstrike w:val="0"/>
        <w:outline w:val="0"/>
        <w:shadow w:val="0"/>
        <w:emboss w:val="0"/>
        <w:imprint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 %1.%2.%3 "/>
      <w:lvlJc w:val="left"/>
      <w:pPr>
        <w:tabs>
          <w:tab w:val="num" w:pos="4860"/>
        </w:tabs>
        <w:ind w:left="5217" w:hanging="397"/>
      </w:pPr>
    </w:lvl>
    <w:lvl w:ilvl="3">
      <w:start w:val="1"/>
      <w:numFmt w:val="decimal"/>
      <w:lvlText w:val=" %1.%2.%3.%4 "/>
      <w:lvlJc w:val="left"/>
      <w:pPr>
        <w:tabs>
          <w:tab w:val="num" w:pos="2308"/>
        </w:tabs>
        <w:ind w:left="2665" w:hanging="397"/>
      </w:pPr>
    </w:lvl>
    <w:lvl w:ilvl="4">
      <w:start w:val="1"/>
      <w:numFmt w:val="decimal"/>
      <w:lvlText w:val=" %1.%2.%3.%4.%5 "/>
      <w:lvlJc w:val="left"/>
      <w:pPr>
        <w:tabs>
          <w:tab w:val="num" w:pos="1985"/>
        </w:tabs>
        <w:ind w:left="2342" w:hanging="397"/>
      </w:pPr>
    </w:lvl>
    <w:lvl w:ilvl="5">
      <w:start w:val="1"/>
      <w:numFmt w:val="decimal"/>
      <w:lvlText w:val=" %1.%2.%3.%4.%5.%6 "/>
      <w:lvlJc w:val="left"/>
      <w:pPr>
        <w:tabs>
          <w:tab w:val="num" w:pos="2381"/>
        </w:tabs>
        <w:ind w:left="2738" w:hanging="397"/>
      </w:pPr>
    </w:lvl>
    <w:lvl w:ilvl="6">
      <w:start w:val="1"/>
      <w:numFmt w:val="decimal"/>
      <w:lvlText w:val=" %1.%2.%3.%4.%5.%6.%7 "/>
      <w:lvlJc w:val="left"/>
      <w:pPr>
        <w:tabs>
          <w:tab w:val="num" w:pos="2778"/>
        </w:tabs>
        <w:ind w:left="3135" w:hanging="397"/>
      </w:pPr>
    </w:lvl>
    <w:lvl w:ilvl="7">
      <w:start w:val="1"/>
      <w:numFmt w:val="decimal"/>
      <w:lvlText w:val=" %1.%2.%3.%4.%5.%6.%7.%8 "/>
      <w:lvlJc w:val="left"/>
      <w:pPr>
        <w:tabs>
          <w:tab w:val="num" w:pos="3175"/>
        </w:tabs>
        <w:ind w:left="3532" w:hanging="397"/>
      </w:pPr>
    </w:lvl>
    <w:lvl w:ilvl="8">
      <w:start w:val="1"/>
      <w:numFmt w:val="decimal"/>
      <w:lvlText w:val=" %1.%2.%3.%4.%5.%6.%7.%8.%9 "/>
      <w:lvlJc w:val="left"/>
      <w:pPr>
        <w:tabs>
          <w:tab w:val="num" w:pos="3572"/>
        </w:tabs>
        <w:ind w:left="3929" w:hanging="397"/>
      </w:pPr>
    </w:lvl>
  </w:abstractNum>
  <w:abstractNum w:abstractNumId="25" w15:restartNumberingAfterBreak="0">
    <w:nsid w:val="72F02C95"/>
    <w:multiLevelType w:val="multilevel"/>
    <w:tmpl w:val="1EC6F374"/>
    <w:lvl w:ilvl="0">
      <w:start w:val="2"/>
      <w:numFmt w:val="decimal"/>
      <w:lvlText w:val="%1"/>
      <w:lvlJc w:val="left"/>
      <w:pPr>
        <w:tabs>
          <w:tab w:val="num" w:pos="0"/>
        </w:tabs>
        <w:ind w:left="360" w:hanging="360"/>
      </w:pPr>
    </w:lvl>
    <w:lvl w:ilvl="1">
      <w:start w:val="2"/>
      <w:numFmt w:val="decimal"/>
      <w:lvlText w:val="%1.%2"/>
      <w:lvlJc w:val="left"/>
      <w:pPr>
        <w:tabs>
          <w:tab w:val="num" w:pos="0"/>
        </w:tabs>
        <w:ind w:left="1070" w:hanging="360"/>
      </w:pPr>
    </w:lvl>
    <w:lvl w:ilvl="2">
      <w:start w:val="1"/>
      <w:numFmt w:val="decimal"/>
      <w:lvlText w:val="%1.%2.%3"/>
      <w:lvlJc w:val="left"/>
      <w:pPr>
        <w:tabs>
          <w:tab w:val="num" w:pos="0"/>
        </w:tabs>
        <w:ind w:left="2140" w:hanging="720"/>
      </w:pPr>
    </w:lvl>
    <w:lvl w:ilvl="3">
      <w:start w:val="1"/>
      <w:numFmt w:val="decimal"/>
      <w:lvlText w:val="%1.%2.%3.%4"/>
      <w:lvlJc w:val="left"/>
      <w:pPr>
        <w:tabs>
          <w:tab w:val="num" w:pos="0"/>
        </w:tabs>
        <w:ind w:left="2850" w:hanging="720"/>
      </w:pPr>
    </w:lvl>
    <w:lvl w:ilvl="4">
      <w:start w:val="1"/>
      <w:numFmt w:val="decimal"/>
      <w:lvlText w:val="%1.%2.%3.%4.%5"/>
      <w:lvlJc w:val="left"/>
      <w:pPr>
        <w:tabs>
          <w:tab w:val="num" w:pos="0"/>
        </w:tabs>
        <w:ind w:left="3920" w:hanging="1080"/>
      </w:pPr>
    </w:lvl>
    <w:lvl w:ilvl="5">
      <w:start w:val="1"/>
      <w:numFmt w:val="decimal"/>
      <w:lvlText w:val="%1.%2.%3.%4.%5.%6"/>
      <w:lvlJc w:val="left"/>
      <w:pPr>
        <w:tabs>
          <w:tab w:val="num" w:pos="0"/>
        </w:tabs>
        <w:ind w:left="4630" w:hanging="1080"/>
      </w:pPr>
    </w:lvl>
    <w:lvl w:ilvl="6">
      <w:start w:val="1"/>
      <w:numFmt w:val="decimal"/>
      <w:lvlText w:val="%1.%2.%3.%4.%5.%6.%7"/>
      <w:lvlJc w:val="left"/>
      <w:pPr>
        <w:tabs>
          <w:tab w:val="num" w:pos="0"/>
        </w:tabs>
        <w:ind w:left="5700" w:hanging="1440"/>
      </w:pPr>
    </w:lvl>
    <w:lvl w:ilvl="7">
      <w:start w:val="1"/>
      <w:numFmt w:val="decimal"/>
      <w:lvlText w:val="%1.%2.%3.%4.%5.%6.%7.%8"/>
      <w:lvlJc w:val="left"/>
      <w:pPr>
        <w:tabs>
          <w:tab w:val="num" w:pos="0"/>
        </w:tabs>
        <w:ind w:left="6410" w:hanging="1440"/>
      </w:pPr>
    </w:lvl>
    <w:lvl w:ilvl="8">
      <w:start w:val="1"/>
      <w:numFmt w:val="decimal"/>
      <w:lvlText w:val="%1.%2.%3.%4.%5.%6.%7.%8.%9"/>
      <w:lvlJc w:val="left"/>
      <w:pPr>
        <w:tabs>
          <w:tab w:val="num" w:pos="0"/>
        </w:tabs>
        <w:ind w:left="7480" w:hanging="1800"/>
      </w:pPr>
    </w:lvl>
  </w:abstractNum>
  <w:abstractNum w:abstractNumId="26" w15:restartNumberingAfterBreak="0">
    <w:nsid w:val="7F75789C"/>
    <w:multiLevelType w:val="multilevel"/>
    <w:tmpl w:val="7362F97A"/>
    <w:lvl w:ilvl="0">
      <w:start w:val="1"/>
      <w:numFmt w:val="decimal"/>
      <w:lvlText w:val=" %1 "/>
      <w:lvlJc w:val="left"/>
      <w:pPr>
        <w:tabs>
          <w:tab w:val="num" w:pos="397"/>
        </w:tabs>
        <w:ind w:left="754" w:hanging="397"/>
      </w:pPr>
    </w:lvl>
    <w:lvl w:ilvl="1">
      <w:start w:val="1"/>
      <w:numFmt w:val="decimal"/>
      <w:lvlText w:val=" %1.%2 "/>
      <w:lvlJc w:val="left"/>
      <w:pPr>
        <w:tabs>
          <w:tab w:val="num" w:pos="1600"/>
        </w:tabs>
        <w:ind w:left="1957" w:hanging="397"/>
      </w:pPr>
      <w:rPr>
        <w:rFonts w:ascii="Times New Roman" w:hAnsi="Times New Roman" w:cs="Times New Roman"/>
        <w:b w:val="0"/>
        <w:bCs w:val="0"/>
        <w:i w:val="0"/>
        <w:iCs w:val="0"/>
        <w:caps w:val="0"/>
        <w:smallCaps w:val="0"/>
        <w:strike w:val="0"/>
        <w:dstrike w:val="0"/>
        <w:outline w:val="0"/>
        <w:shadow w:val="0"/>
        <w:emboss w:val="0"/>
        <w:imprint w:val="0"/>
        <w:vanish w:val="0"/>
        <w:color w:val="000000"/>
        <w:spacing w:val="0"/>
        <w:w w:val="100"/>
        <w:kern w:val="0"/>
        <w:position w:val="0"/>
        <w:sz w:val="0"/>
        <w:szCs w:val="0"/>
        <w:u w:val="none" w:color="000000"/>
        <w:effect w:val="none"/>
        <w:shd w:val="clear" w:color="auto" w:fill="000000"/>
        <w:vertAlign w:val="baseline"/>
        <w:em w:val="none"/>
        <w:lang w:val="x-none" w:eastAsia="x-none" w:bidi="x-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 %1.%2.%3 "/>
      <w:lvlJc w:val="left"/>
      <w:pPr>
        <w:tabs>
          <w:tab w:val="num" w:pos="4860"/>
        </w:tabs>
        <w:ind w:left="5217" w:hanging="397"/>
      </w:pPr>
    </w:lvl>
    <w:lvl w:ilvl="3">
      <w:start w:val="1"/>
      <w:numFmt w:val="decimal"/>
      <w:lvlText w:val=" %1.%2.%3.%4 "/>
      <w:lvlJc w:val="left"/>
      <w:pPr>
        <w:tabs>
          <w:tab w:val="num" w:pos="2308"/>
        </w:tabs>
        <w:ind w:left="2665" w:hanging="397"/>
      </w:pPr>
    </w:lvl>
    <w:lvl w:ilvl="4">
      <w:start w:val="1"/>
      <w:numFmt w:val="decimal"/>
      <w:lvlText w:val=" %1.%2.%3.%4.%5 "/>
      <w:lvlJc w:val="left"/>
      <w:pPr>
        <w:tabs>
          <w:tab w:val="num" w:pos="1985"/>
        </w:tabs>
        <w:ind w:left="2342" w:hanging="397"/>
      </w:pPr>
    </w:lvl>
    <w:lvl w:ilvl="5">
      <w:start w:val="1"/>
      <w:numFmt w:val="decimal"/>
      <w:lvlText w:val=" %1.%2.%3.%4.%5.%6 "/>
      <w:lvlJc w:val="left"/>
      <w:pPr>
        <w:tabs>
          <w:tab w:val="num" w:pos="2381"/>
        </w:tabs>
        <w:ind w:left="2738" w:hanging="397"/>
      </w:pPr>
    </w:lvl>
    <w:lvl w:ilvl="6">
      <w:start w:val="1"/>
      <w:numFmt w:val="decimal"/>
      <w:lvlText w:val=" %1.%2.%3.%4.%5.%6.%7 "/>
      <w:lvlJc w:val="left"/>
      <w:pPr>
        <w:tabs>
          <w:tab w:val="num" w:pos="2778"/>
        </w:tabs>
        <w:ind w:left="3135" w:hanging="397"/>
      </w:pPr>
    </w:lvl>
    <w:lvl w:ilvl="7">
      <w:start w:val="1"/>
      <w:numFmt w:val="decimal"/>
      <w:lvlText w:val=" %1.%2.%3.%4.%5.%6.%7.%8 "/>
      <w:lvlJc w:val="left"/>
      <w:pPr>
        <w:tabs>
          <w:tab w:val="num" w:pos="3175"/>
        </w:tabs>
        <w:ind w:left="3532" w:hanging="397"/>
      </w:pPr>
    </w:lvl>
    <w:lvl w:ilvl="8">
      <w:start w:val="1"/>
      <w:numFmt w:val="decimal"/>
      <w:lvlText w:val=" %1.%2.%3.%4.%5.%6.%7.%8.%9 "/>
      <w:lvlJc w:val="left"/>
      <w:pPr>
        <w:tabs>
          <w:tab w:val="num" w:pos="3572"/>
        </w:tabs>
        <w:ind w:left="3929" w:hanging="397"/>
      </w:pPr>
    </w:lvl>
  </w:abstractNum>
  <w:num w:numId="1">
    <w:abstractNumId w:val="9"/>
  </w:num>
  <w:num w:numId="2">
    <w:abstractNumId w:val="18"/>
  </w:num>
  <w:num w:numId="3">
    <w:abstractNumId w:val="8"/>
  </w:num>
  <w:num w:numId="4">
    <w:abstractNumId w:val="19"/>
  </w:num>
  <w:num w:numId="5">
    <w:abstractNumId w:val="12"/>
  </w:num>
  <w:num w:numId="6">
    <w:abstractNumId w:val="21"/>
  </w:num>
  <w:num w:numId="7">
    <w:abstractNumId w:val="14"/>
  </w:num>
  <w:num w:numId="8">
    <w:abstractNumId w:val="23"/>
  </w:num>
  <w:num w:numId="9">
    <w:abstractNumId w:val="25"/>
  </w:num>
  <w:num w:numId="10">
    <w:abstractNumId w:val="6"/>
  </w:num>
  <w:num w:numId="11">
    <w:abstractNumId w:val="17"/>
  </w:num>
  <w:num w:numId="12">
    <w:abstractNumId w:val="20"/>
  </w:num>
  <w:num w:numId="13">
    <w:abstractNumId w:val="24"/>
  </w:num>
  <w:num w:numId="14">
    <w:abstractNumId w:val="26"/>
  </w:num>
  <w:num w:numId="15">
    <w:abstractNumId w:val="24"/>
    <w:lvlOverride w:ilvl="0"/>
    <w:lvlOverride w:ilvl="1">
      <w:startOverride w:val="1"/>
    </w:lvlOverride>
  </w:num>
  <w:num w:numId="16">
    <w:abstractNumId w:val="24"/>
    <w:lvlOverride w:ilvl="0">
      <w:startOverride w:val="3"/>
    </w:lvlOverride>
  </w:num>
  <w:num w:numId="17">
    <w:abstractNumId w:val="0"/>
  </w:num>
  <w:num w:numId="18">
    <w:abstractNumId w:val="13"/>
  </w:num>
  <w:num w:numId="19">
    <w:abstractNumId w:val="2"/>
  </w:num>
  <w:num w:numId="20">
    <w:abstractNumId w:val="3"/>
  </w:num>
  <w:num w:numId="21">
    <w:abstractNumId w:val="22"/>
  </w:num>
  <w:num w:numId="22">
    <w:abstractNumId w:val="4"/>
  </w:num>
  <w:num w:numId="23">
    <w:abstractNumId w:val="16"/>
  </w:num>
  <w:num w:numId="24">
    <w:abstractNumId w:val="15"/>
  </w:num>
  <w:num w:numId="25">
    <w:abstractNumId w:val="7"/>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1"/>
  </w:num>
  <w:num w:numId="29">
    <w:abstractNumId w:val="5"/>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576"/>
    <w:rsid w:val="0000543F"/>
    <w:rsid w:val="00052A84"/>
    <w:rsid w:val="00054C53"/>
    <w:rsid w:val="000639DB"/>
    <w:rsid w:val="00074C2A"/>
    <w:rsid w:val="000947E4"/>
    <w:rsid w:val="00095DE7"/>
    <w:rsid w:val="00097A79"/>
    <w:rsid w:val="000A2A8A"/>
    <w:rsid w:val="000A56C8"/>
    <w:rsid w:val="000A5AB5"/>
    <w:rsid w:val="000B6924"/>
    <w:rsid w:val="000C1CBB"/>
    <w:rsid w:val="000C4674"/>
    <w:rsid w:val="000D0A6D"/>
    <w:rsid w:val="000E38AC"/>
    <w:rsid w:val="000F4FF7"/>
    <w:rsid w:val="00116D63"/>
    <w:rsid w:val="00117C9D"/>
    <w:rsid w:val="00121F46"/>
    <w:rsid w:val="001466C1"/>
    <w:rsid w:val="00154CE4"/>
    <w:rsid w:val="001561E9"/>
    <w:rsid w:val="00156A3C"/>
    <w:rsid w:val="00161F3F"/>
    <w:rsid w:val="001717E2"/>
    <w:rsid w:val="00175051"/>
    <w:rsid w:val="00175127"/>
    <w:rsid w:val="00182FB7"/>
    <w:rsid w:val="0019178D"/>
    <w:rsid w:val="00195907"/>
    <w:rsid w:val="001A10F5"/>
    <w:rsid w:val="001A53D4"/>
    <w:rsid w:val="001B7D9F"/>
    <w:rsid w:val="001D02B7"/>
    <w:rsid w:val="001D0B9B"/>
    <w:rsid w:val="001D14C2"/>
    <w:rsid w:val="001E3DBB"/>
    <w:rsid w:val="001E7C13"/>
    <w:rsid w:val="001F15B7"/>
    <w:rsid w:val="001F2645"/>
    <w:rsid w:val="00227EFC"/>
    <w:rsid w:val="0024241B"/>
    <w:rsid w:val="00247C03"/>
    <w:rsid w:val="00257308"/>
    <w:rsid w:val="002608B9"/>
    <w:rsid w:val="002627A2"/>
    <w:rsid w:val="002705F6"/>
    <w:rsid w:val="002827F5"/>
    <w:rsid w:val="002845AB"/>
    <w:rsid w:val="00286B97"/>
    <w:rsid w:val="00295B0B"/>
    <w:rsid w:val="002A77F6"/>
    <w:rsid w:val="002B0F11"/>
    <w:rsid w:val="002B2959"/>
    <w:rsid w:val="002B7AD0"/>
    <w:rsid w:val="002E35C6"/>
    <w:rsid w:val="002F112E"/>
    <w:rsid w:val="002F3859"/>
    <w:rsid w:val="002F5E86"/>
    <w:rsid w:val="003043F4"/>
    <w:rsid w:val="00306814"/>
    <w:rsid w:val="00311864"/>
    <w:rsid w:val="00324A0E"/>
    <w:rsid w:val="003266EA"/>
    <w:rsid w:val="003330F2"/>
    <w:rsid w:val="00333D00"/>
    <w:rsid w:val="00344C60"/>
    <w:rsid w:val="00347C78"/>
    <w:rsid w:val="00353539"/>
    <w:rsid w:val="00357805"/>
    <w:rsid w:val="00362640"/>
    <w:rsid w:val="00367A52"/>
    <w:rsid w:val="00391B2E"/>
    <w:rsid w:val="00396272"/>
    <w:rsid w:val="003C29A0"/>
    <w:rsid w:val="003D281A"/>
    <w:rsid w:val="003D455A"/>
    <w:rsid w:val="003E03BB"/>
    <w:rsid w:val="003E0C23"/>
    <w:rsid w:val="003E3579"/>
    <w:rsid w:val="00405005"/>
    <w:rsid w:val="004101F8"/>
    <w:rsid w:val="00422ECB"/>
    <w:rsid w:val="004261F5"/>
    <w:rsid w:val="0042798C"/>
    <w:rsid w:val="004324A3"/>
    <w:rsid w:val="00433A16"/>
    <w:rsid w:val="00443E50"/>
    <w:rsid w:val="004507E1"/>
    <w:rsid w:val="00465A72"/>
    <w:rsid w:val="00480A74"/>
    <w:rsid w:val="00484151"/>
    <w:rsid w:val="00484A26"/>
    <w:rsid w:val="00485F3C"/>
    <w:rsid w:val="00487EC1"/>
    <w:rsid w:val="004906A5"/>
    <w:rsid w:val="0049307A"/>
    <w:rsid w:val="00497E71"/>
    <w:rsid w:val="004A2741"/>
    <w:rsid w:val="004C4CF6"/>
    <w:rsid w:val="004C5741"/>
    <w:rsid w:val="004D46A6"/>
    <w:rsid w:val="004E323C"/>
    <w:rsid w:val="00500422"/>
    <w:rsid w:val="00513E14"/>
    <w:rsid w:val="00514A2F"/>
    <w:rsid w:val="00520523"/>
    <w:rsid w:val="00530E99"/>
    <w:rsid w:val="00532953"/>
    <w:rsid w:val="00535048"/>
    <w:rsid w:val="00535371"/>
    <w:rsid w:val="00546417"/>
    <w:rsid w:val="00550B55"/>
    <w:rsid w:val="00561B5D"/>
    <w:rsid w:val="00561BAA"/>
    <w:rsid w:val="005648BD"/>
    <w:rsid w:val="00564D69"/>
    <w:rsid w:val="00575D51"/>
    <w:rsid w:val="00586A66"/>
    <w:rsid w:val="0059488B"/>
    <w:rsid w:val="005A483D"/>
    <w:rsid w:val="005A5E18"/>
    <w:rsid w:val="005B0B7E"/>
    <w:rsid w:val="005B4EEF"/>
    <w:rsid w:val="005C0576"/>
    <w:rsid w:val="005D6705"/>
    <w:rsid w:val="005E2E6F"/>
    <w:rsid w:val="005E3FD0"/>
    <w:rsid w:val="005F03BA"/>
    <w:rsid w:val="005F3E9A"/>
    <w:rsid w:val="005F605E"/>
    <w:rsid w:val="00604572"/>
    <w:rsid w:val="0060595E"/>
    <w:rsid w:val="00611082"/>
    <w:rsid w:val="00620CA4"/>
    <w:rsid w:val="00622DC4"/>
    <w:rsid w:val="00626445"/>
    <w:rsid w:val="00631A2F"/>
    <w:rsid w:val="006349AB"/>
    <w:rsid w:val="00636254"/>
    <w:rsid w:val="006369F8"/>
    <w:rsid w:val="006405FA"/>
    <w:rsid w:val="00652248"/>
    <w:rsid w:val="00670921"/>
    <w:rsid w:val="006721EA"/>
    <w:rsid w:val="0068302F"/>
    <w:rsid w:val="00683113"/>
    <w:rsid w:val="00684BCD"/>
    <w:rsid w:val="00684DBA"/>
    <w:rsid w:val="006A048C"/>
    <w:rsid w:val="006A5D96"/>
    <w:rsid w:val="006C608A"/>
    <w:rsid w:val="006E762F"/>
    <w:rsid w:val="006F07AA"/>
    <w:rsid w:val="00702296"/>
    <w:rsid w:val="00713B98"/>
    <w:rsid w:val="00717AED"/>
    <w:rsid w:val="0072125E"/>
    <w:rsid w:val="00722F7C"/>
    <w:rsid w:val="00734E34"/>
    <w:rsid w:val="00734E68"/>
    <w:rsid w:val="00742B8C"/>
    <w:rsid w:val="0074735E"/>
    <w:rsid w:val="007632B6"/>
    <w:rsid w:val="00766B8F"/>
    <w:rsid w:val="007733F6"/>
    <w:rsid w:val="007738EE"/>
    <w:rsid w:val="00776805"/>
    <w:rsid w:val="007965E4"/>
    <w:rsid w:val="007A14CF"/>
    <w:rsid w:val="007A30CA"/>
    <w:rsid w:val="007B0D48"/>
    <w:rsid w:val="007B5C1C"/>
    <w:rsid w:val="007B6537"/>
    <w:rsid w:val="007C08E5"/>
    <w:rsid w:val="007C64BB"/>
    <w:rsid w:val="007D5963"/>
    <w:rsid w:val="007D7757"/>
    <w:rsid w:val="007D795A"/>
    <w:rsid w:val="007E146C"/>
    <w:rsid w:val="007E36CE"/>
    <w:rsid w:val="007E59DF"/>
    <w:rsid w:val="007F0BC9"/>
    <w:rsid w:val="00800EED"/>
    <w:rsid w:val="008079B8"/>
    <w:rsid w:val="00807BF3"/>
    <w:rsid w:val="00812209"/>
    <w:rsid w:val="00813109"/>
    <w:rsid w:val="00816770"/>
    <w:rsid w:val="0082390B"/>
    <w:rsid w:val="0082562D"/>
    <w:rsid w:val="008301ED"/>
    <w:rsid w:val="00833B53"/>
    <w:rsid w:val="00833FD1"/>
    <w:rsid w:val="00834045"/>
    <w:rsid w:val="00877D04"/>
    <w:rsid w:val="008814F2"/>
    <w:rsid w:val="008815B0"/>
    <w:rsid w:val="00882816"/>
    <w:rsid w:val="0089140B"/>
    <w:rsid w:val="008A0EED"/>
    <w:rsid w:val="008A3F03"/>
    <w:rsid w:val="008A74D3"/>
    <w:rsid w:val="008C0291"/>
    <w:rsid w:val="008C6217"/>
    <w:rsid w:val="008D0E26"/>
    <w:rsid w:val="008E2139"/>
    <w:rsid w:val="008F15EB"/>
    <w:rsid w:val="008F2553"/>
    <w:rsid w:val="00903F91"/>
    <w:rsid w:val="00910F31"/>
    <w:rsid w:val="009118CD"/>
    <w:rsid w:val="00915B42"/>
    <w:rsid w:val="0092516A"/>
    <w:rsid w:val="00926CF6"/>
    <w:rsid w:val="009375A0"/>
    <w:rsid w:val="009400CA"/>
    <w:rsid w:val="0098083F"/>
    <w:rsid w:val="00981376"/>
    <w:rsid w:val="009A2E33"/>
    <w:rsid w:val="009C263F"/>
    <w:rsid w:val="009C62FB"/>
    <w:rsid w:val="009D73F6"/>
    <w:rsid w:val="009E0967"/>
    <w:rsid w:val="009F3F04"/>
    <w:rsid w:val="00A01135"/>
    <w:rsid w:val="00A149D9"/>
    <w:rsid w:val="00A37BBB"/>
    <w:rsid w:val="00A55B8B"/>
    <w:rsid w:val="00A6097F"/>
    <w:rsid w:val="00A648F9"/>
    <w:rsid w:val="00A702EF"/>
    <w:rsid w:val="00A749E4"/>
    <w:rsid w:val="00A83BAA"/>
    <w:rsid w:val="00A85B77"/>
    <w:rsid w:val="00A9011A"/>
    <w:rsid w:val="00A90794"/>
    <w:rsid w:val="00A938ED"/>
    <w:rsid w:val="00A95591"/>
    <w:rsid w:val="00A97472"/>
    <w:rsid w:val="00AB1798"/>
    <w:rsid w:val="00AC087F"/>
    <w:rsid w:val="00AC1C82"/>
    <w:rsid w:val="00AC659E"/>
    <w:rsid w:val="00AD29EF"/>
    <w:rsid w:val="00AE250D"/>
    <w:rsid w:val="00AE45F9"/>
    <w:rsid w:val="00AE54CC"/>
    <w:rsid w:val="00AF17D2"/>
    <w:rsid w:val="00AF70F8"/>
    <w:rsid w:val="00B149A9"/>
    <w:rsid w:val="00B16E62"/>
    <w:rsid w:val="00B33CF9"/>
    <w:rsid w:val="00B34D3C"/>
    <w:rsid w:val="00B37662"/>
    <w:rsid w:val="00B45C79"/>
    <w:rsid w:val="00B719F9"/>
    <w:rsid w:val="00B76D97"/>
    <w:rsid w:val="00B76F75"/>
    <w:rsid w:val="00B863F3"/>
    <w:rsid w:val="00B92028"/>
    <w:rsid w:val="00B92E2D"/>
    <w:rsid w:val="00B960FF"/>
    <w:rsid w:val="00B97B9B"/>
    <w:rsid w:val="00BA02BA"/>
    <w:rsid w:val="00BB644A"/>
    <w:rsid w:val="00BD4B18"/>
    <w:rsid w:val="00BE3BE7"/>
    <w:rsid w:val="00BF7CC4"/>
    <w:rsid w:val="00C0350E"/>
    <w:rsid w:val="00C060D3"/>
    <w:rsid w:val="00C07765"/>
    <w:rsid w:val="00C26686"/>
    <w:rsid w:val="00C440D0"/>
    <w:rsid w:val="00C460DD"/>
    <w:rsid w:val="00C620BB"/>
    <w:rsid w:val="00C77961"/>
    <w:rsid w:val="00C91475"/>
    <w:rsid w:val="00C92F5E"/>
    <w:rsid w:val="00C935A2"/>
    <w:rsid w:val="00CA4DCA"/>
    <w:rsid w:val="00CB6505"/>
    <w:rsid w:val="00CC1A79"/>
    <w:rsid w:val="00CC33A1"/>
    <w:rsid w:val="00CD450D"/>
    <w:rsid w:val="00CD4554"/>
    <w:rsid w:val="00CD6B54"/>
    <w:rsid w:val="00CE27C4"/>
    <w:rsid w:val="00CE315E"/>
    <w:rsid w:val="00CE5328"/>
    <w:rsid w:val="00D0187C"/>
    <w:rsid w:val="00D05726"/>
    <w:rsid w:val="00D12E38"/>
    <w:rsid w:val="00D16964"/>
    <w:rsid w:val="00D34654"/>
    <w:rsid w:val="00D41E11"/>
    <w:rsid w:val="00D42633"/>
    <w:rsid w:val="00D42767"/>
    <w:rsid w:val="00D42D22"/>
    <w:rsid w:val="00D543D0"/>
    <w:rsid w:val="00D57200"/>
    <w:rsid w:val="00D74BC5"/>
    <w:rsid w:val="00D82094"/>
    <w:rsid w:val="00D85331"/>
    <w:rsid w:val="00D86B69"/>
    <w:rsid w:val="00D94B1B"/>
    <w:rsid w:val="00D94E79"/>
    <w:rsid w:val="00D96D0F"/>
    <w:rsid w:val="00DA1663"/>
    <w:rsid w:val="00DA6489"/>
    <w:rsid w:val="00DA66EE"/>
    <w:rsid w:val="00DB3E63"/>
    <w:rsid w:val="00DB415D"/>
    <w:rsid w:val="00DB796C"/>
    <w:rsid w:val="00DC44EE"/>
    <w:rsid w:val="00DC755A"/>
    <w:rsid w:val="00DD7164"/>
    <w:rsid w:val="00DE228D"/>
    <w:rsid w:val="00DF4DFE"/>
    <w:rsid w:val="00DF6AD1"/>
    <w:rsid w:val="00E01E4A"/>
    <w:rsid w:val="00E04506"/>
    <w:rsid w:val="00E1178C"/>
    <w:rsid w:val="00E222A6"/>
    <w:rsid w:val="00E228B4"/>
    <w:rsid w:val="00E234B5"/>
    <w:rsid w:val="00E240A4"/>
    <w:rsid w:val="00E32572"/>
    <w:rsid w:val="00E418E8"/>
    <w:rsid w:val="00E42C92"/>
    <w:rsid w:val="00E626C1"/>
    <w:rsid w:val="00E71590"/>
    <w:rsid w:val="00E7407D"/>
    <w:rsid w:val="00E84B8D"/>
    <w:rsid w:val="00E977B9"/>
    <w:rsid w:val="00E97E0D"/>
    <w:rsid w:val="00EA2B44"/>
    <w:rsid w:val="00EA2FFC"/>
    <w:rsid w:val="00EB684D"/>
    <w:rsid w:val="00ED43EC"/>
    <w:rsid w:val="00ED64CC"/>
    <w:rsid w:val="00ED7471"/>
    <w:rsid w:val="00EE3178"/>
    <w:rsid w:val="00EE491B"/>
    <w:rsid w:val="00F037BA"/>
    <w:rsid w:val="00F16C6C"/>
    <w:rsid w:val="00F31C20"/>
    <w:rsid w:val="00F36C3A"/>
    <w:rsid w:val="00F46BDE"/>
    <w:rsid w:val="00F53675"/>
    <w:rsid w:val="00F56DE0"/>
    <w:rsid w:val="00F5776E"/>
    <w:rsid w:val="00F67052"/>
    <w:rsid w:val="00F71FCD"/>
    <w:rsid w:val="00F723E6"/>
    <w:rsid w:val="00F75F3F"/>
    <w:rsid w:val="00F867FF"/>
    <w:rsid w:val="00F876CA"/>
    <w:rsid w:val="00F95481"/>
    <w:rsid w:val="00F971D1"/>
    <w:rsid w:val="00FB3C25"/>
    <w:rsid w:val="00FC3A66"/>
    <w:rsid w:val="00FD40F4"/>
    <w:rsid w:val="00FD78ED"/>
    <w:rsid w:val="00FE2656"/>
    <w:rsid w:val="00FE4E05"/>
    <w:rsid w:val="00FE5182"/>
    <w:rsid w:val="00FE7FF2"/>
    <w:rsid w:val="00FF333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64059"/>
  <w15:docId w15:val="{76CF0ACD-D6A9-4C47-901E-4E930460B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lang w:val="fr-FR" w:eastAsia="zh-CN" w:bidi="hi-IN"/>
      </w:rPr>
    </w:rPrDefault>
    <w:pPrDefault>
      <w:pPr>
        <w:suppressAutoHyphens/>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5D51"/>
    <w:pPr>
      <w:spacing w:after="160" w:line="252" w:lineRule="auto"/>
      <w:jc w:val="both"/>
    </w:pPr>
    <w:rPr>
      <w:rFonts w:ascii="Times New Roman" w:hAnsi="Times New Roman"/>
      <w:sz w:val="22"/>
    </w:rPr>
  </w:style>
  <w:style w:type="paragraph" w:styleId="Titre1">
    <w:name w:val="heading 1"/>
    <w:basedOn w:val="Normal"/>
    <w:next w:val="Normal"/>
    <w:link w:val="Titre1Car"/>
    <w:qFormat/>
    <w:pPr>
      <w:keepNext/>
      <w:numPr>
        <w:numId w:val="1"/>
      </w:numPr>
      <w:pBdr>
        <w:top w:val="single" w:sz="2" w:space="1" w:color="000000"/>
        <w:bottom w:val="single" w:sz="2" w:space="1" w:color="000000"/>
      </w:pBdr>
      <w:spacing w:before="240" w:after="60"/>
      <w:outlineLvl w:val="0"/>
    </w:pPr>
    <w:rPr>
      <w:rFonts w:ascii="Calibri Light" w:eastAsia="Times New Roman" w:hAnsi="Calibri Light"/>
      <w:b/>
      <w:bCs/>
      <w:sz w:val="32"/>
      <w:szCs w:val="32"/>
    </w:rPr>
  </w:style>
  <w:style w:type="paragraph" w:styleId="Titre2">
    <w:name w:val="heading 2"/>
    <w:basedOn w:val="Normal"/>
    <w:next w:val="Normal"/>
    <w:link w:val="Titre2Car"/>
    <w:qFormat/>
    <w:pPr>
      <w:keepNext/>
      <w:spacing w:before="170" w:after="57"/>
      <w:outlineLvl w:val="1"/>
    </w:pPr>
    <w:rPr>
      <w:rFonts w:eastAsia="Times New Roman"/>
      <w:b/>
      <w:bCs/>
      <w:iCs/>
      <w:sz w:val="24"/>
      <w:szCs w:val="28"/>
    </w:rPr>
  </w:style>
  <w:style w:type="paragraph" w:styleId="Titre30">
    <w:name w:val="heading 3"/>
    <w:basedOn w:val="Normal"/>
    <w:next w:val="Normal"/>
    <w:link w:val="Titre3Car"/>
    <w:qFormat/>
    <w:rsid w:val="00FF3330"/>
    <w:pPr>
      <w:keepNext/>
      <w:keepLines/>
      <w:widowControl w:val="0"/>
      <w:spacing w:before="240" w:after="240"/>
      <w:outlineLvl w:val="2"/>
    </w:pPr>
    <w:rPr>
      <w:rFonts w:eastAsia="Times New Roman"/>
      <w:b/>
      <w:color w:val="000000"/>
      <w:szCs w:val="24"/>
    </w:rPr>
  </w:style>
  <w:style w:type="paragraph" w:styleId="Titre4">
    <w:name w:val="heading 4"/>
    <w:basedOn w:val="Normal"/>
    <w:next w:val="Normal"/>
    <w:qFormat/>
    <w:rsid w:val="00FF3330"/>
    <w:pPr>
      <w:keepNext/>
      <w:keepLines/>
      <w:widowControl w:val="0"/>
      <w:spacing w:before="240" w:after="40" w:line="240" w:lineRule="auto"/>
      <w:ind w:left="850"/>
      <w:outlineLvl w:val="3"/>
    </w:pPr>
    <w:rPr>
      <w:rFonts w:ascii="Liberation Serif;Times New Roma" w:eastAsia="Liberation Serif;Times New Roma" w:hAnsi="Liberation Serif;Times New Roma" w:cs="Liberation Serif;Times New Roma"/>
      <w:szCs w:val="24"/>
      <w:lang w:val="en-US"/>
    </w:rPr>
  </w:style>
  <w:style w:type="paragraph" w:styleId="Titre5">
    <w:name w:val="heading 5"/>
    <w:basedOn w:val="Normal"/>
    <w:next w:val="Normal"/>
    <w:link w:val="Titre5Car"/>
    <w:qFormat/>
    <w:rsid w:val="004F3EE9"/>
    <w:pPr>
      <w:keepNext/>
      <w:numPr>
        <w:ilvl w:val="4"/>
        <w:numId w:val="1"/>
      </w:numPr>
      <w:spacing w:before="120" w:after="60"/>
      <w:outlineLvl w:val="4"/>
    </w:pPr>
    <w:rPr>
      <w:rFonts w:ascii="Liberation Sans;Arial" w:eastAsia="Microsoft YaHei" w:hAnsi="Liberation Sans;Arial"/>
      <w:b/>
      <w:bCs/>
      <w:sz w:val="24"/>
      <w:szCs w:val="24"/>
    </w:rPr>
  </w:style>
  <w:style w:type="paragraph" w:styleId="Titre6">
    <w:name w:val="heading 6"/>
    <w:basedOn w:val="Normal"/>
    <w:next w:val="Normal"/>
    <w:link w:val="Titre6Car"/>
    <w:qFormat/>
    <w:rsid w:val="004F3EE9"/>
    <w:pPr>
      <w:keepNext/>
      <w:numPr>
        <w:ilvl w:val="5"/>
        <w:numId w:val="1"/>
      </w:numPr>
      <w:spacing w:before="60" w:after="60"/>
      <w:outlineLvl w:val="5"/>
    </w:pPr>
    <w:rPr>
      <w:rFonts w:ascii="Liberation Sans;Arial" w:eastAsia="Microsoft YaHei" w:hAnsi="Liberation Sans;Arial"/>
      <w:b/>
      <w:bCs/>
      <w:i/>
      <w:iCs/>
      <w:sz w:val="24"/>
      <w:szCs w:val="24"/>
    </w:rPr>
  </w:style>
  <w:style w:type="paragraph" w:styleId="Titre7">
    <w:name w:val="heading 7"/>
    <w:basedOn w:val="Normal"/>
    <w:next w:val="Normal"/>
    <w:link w:val="Titre7Car"/>
    <w:qFormat/>
    <w:rsid w:val="004F3EE9"/>
    <w:pPr>
      <w:keepNext/>
      <w:numPr>
        <w:ilvl w:val="6"/>
        <w:numId w:val="1"/>
      </w:numPr>
      <w:spacing w:before="60" w:after="60"/>
      <w:outlineLvl w:val="6"/>
    </w:pPr>
    <w:rPr>
      <w:rFonts w:ascii="Liberation Sans;Arial" w:eastAsia="Microsoft YaHei" w:hAnsi="Liberation Sans;Arial"/>
      <w:b/>
      <w:bCs/>
      <w:szCs w:val="22"/>
    </w:rPr>
  </w:style>
  <w:style w:type="paragraph" w:styleId="Titre8">
    <w:name w:val="heading 8"/>
    <w:basedOn w:val="Normal"/>
    <w:next w:val="Normal"/>
    <w:link w:val="Titre8Car"/>
    <w:qFormat/>
    <w:rsid w:val="004F3EE9"/>
    <w:pPr>
      <w:keepNext/>
      <w:numPr>
        <w:ilvl w:val="7"/>
        <w:numId w:val="1"/>
      </w:numPr>
      <w:spacing w:before="60" w:after="60"/>
      <w:outlineLvl w:val="7"/>
    </w:pPr>
    <w:rPr>
      <w:rFonts w:ascii="Liberation Sans;Arial" w:eastAsia="Microsoft YaHei" w:hAnsi="Liberation Sans;Arial"/>
      <w:b/>
      <w:bCs/>
      <w:i/>
      <w:iCs/>
      <w:szCs w:val="22"/>
    </w:rPr>
  </w:style>
  <w:style w:type="paragraph" w:styleId="Titre9">
    <w:name w:val="heading 9"/>
    <w:basedOn w:val="Normal"/>
    <w:next w:val="Normal"/>
    <w:link w:val="Titre9Car"/>
    <w:qFormat/>
    <w:rsid w:val="004F3EE9"/>
    <w:pPr>
      <w:keepNext/>
      <w:numPr>
        <w:ilvl w:val="8"/>
        <w:numId w:val="1"/>
      </w:numPr>
      <w:spacing w:before="60" w:after="60"/>
      <w:outlineLvl w:val="8"/>
    </w:pPr>
    <w:rPr>
      <w:rFonts w:ascii="Liberation Sans;Arial" w:eastAsia="Microsoft YaHei" w:hAnsi="Liberation Sans;Arial"/>
      <w:b/>
      <w:b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semiHidden/>
    <w:qFormat/>
    <w:rsid w:val="004F3EE9"/>
    <w:rPr>
      <w:rFonts w:ascii="Segoe UI" w:hAnsi="Segoe UI" w:cs="Mangal"/>
      <w:sz w:val="18"/>
      <w:szCs w:val="16"/>
    </w:rPr>
  </w:style>
  <w:style w:type="character" w:customStyle="1" w:styleId="ArticleCar">
    <w:name w:val="Article Car"/>
    <w:basedOn w:val="Policepardfaut"/>
    <w:link w:val="Article"/>
    <w:qFormat/>
    <w:rsid w:val="004B0441"/>
    <w:rPr>
      <w:rFonts w:ascii="Times New Roman" w:hAnsi="Times New Roman"/>
      <w:b/>
    </w:rPr>
  </w:style>
  <w:style w:type="character" w:customStyle="1" w:styleId="AnnexeCar">
    <w:name w:val="Annexe Car"/>
    <w:basedOn w:val="Policepardfaut"/>
    <w:link w:val="Formuledepolitesse1"/>
    <w:qFormat/>
    <w:rsid w:val="006C61D4"/>
    <w:rPr>
      <w:rFonts w:ascii="Times New Roman" w:hAnsi="Times New Roman"/>
      <w:b/>
      <w:sz w:val="28"/>
    </w:rPr>
  </w:style>
  <w:style w:type="character" w:customStyle="1" w:styleId="Titre2Car0">
    <w:name w:val="Titre2 Car"/>
    <w:basedOn w:val="Policepardfaut"/>
    <w:link w:val="Titre20"/>
    <w:qFormat/>
    <w:rsid w:val="00944C4A"/>
    <w:rPr>
      <w:rFonts w:ascii="Times New Roman" w:hAnsi="Times New Roman"/>
      <w:b/>
      <w:sz w:val="24"/>
    </w:rPr>
  </w:style>
  <w:style w:type="character" w:customStyle="1" w:styleId="PolicedetableauCar">
    <w:name w:val="Police de tableau Car"/>
    <w:basedOn w:val="Policepardfaut"/>
    <w:link w:val="Policedetableau"/>
    <w:qFormat/>
    <w:rsid w:val="00FE56E8"/>
    <w:rPr>
      <w:rFonts w:ascii="Times New Roman" w:hAnsi="Times New Roman"/>
      <w:sz w:val="22"/>
    </w:rPr>
  </w:style>
  <w:style w:type="character" w:customStyle="1" w:styleId="FootnoteCar">
    <w:name w:val="Footnote Car"/>
    <w:basedOn w:val="Policepardfaut"/>
    <w:link w:val="Footnote"/>
    <w:qFormat/>
    <w:rsid w:val="00307681"/>
    <w:rPr>
      <w:rFonts w:ascii="Times New Roman" w:hAnsi="Times New Roman"/>
      <w:sz w:val="18"/>
    </w:rPr>
  </w:style>
  <w:style w:type="character" w:styleId="Marquedecommentaire">
    <w:name w:val="annotation reference"/>
    <w:basedOn w:val="Policepardfaut"/>
    <w:semiHidden/>
    <w:unhideWhenUsed/>
    <w:qFormat/>
    <w:rsid w:val="003F25F6"/>
    <w:rPr>
      <w:sz w:val="16"/>
      <w:szCs w:val="16"/>
    </w:rPr>
  </w:style>
  <w:style w:type="character" w:customStyle="1" w:styleId="Titre3Car0">
    <w:name w:val="Titre3 Car"/>
    <w:basedOn w:val="Titre2Car0"/>
    <w:link w:val="Titre3"/>
    <w:qFormat/>
    <w:rsid w:val="00CC44DB"/>
    <w:rPr>
      <w:rFonts w:ascii="Times New Roman" w:hAnsi="Times New Roman"/>
      <w:b/>
      <w:sz w:val="24"/>
    </w:rPr>
  </w:style>
  <w:style w:type="character" w:customStyle="1" w:styleId="CommentaireCar">
    <w:name w:val="Commentaire Car"/>
    <w:basedOn w:val="Policepardfaut"/>
    <w:link w:val="Commentaire"/>
    <w:qFormat/>
    <w:rsid w:val="003F25F6"/>
    <w:rPr>
      <w:rFonts w:ascii="Times New Roman" w:hAnsi="Times New Roman" w:cs="Mangal"/>
      <w:szCs w:val="18"/>
    </w:rPr>
  </w:style>
  <w:style w:type="character" w:customStyle="1" w:styleId="ObjetducommentaireCar">
    <w:name w:val="Objet du commentaire Car"/>
    <w:basedOn w:val="CommentaireCar"/>
    <w:link w:val="Objetducommentaire"/>
    <w:semiHidden/>
    <w:qFormat/>
    <w:rsid w:val="003F25F6"/>
    <w:rPr>
      <w:rFonts w:ascii="Times New Roman" w:hAnsi="Times New Roman" w:cs="Mangal"/>
      <w:b/>
      <w:bCs/>
      <w:szCs w:val="18"/>
    </w:rPr>
  </w:style>
  <w:style w:type="character" w:customStyle="1" w:styleId="Titre4Car">
    <w:name w:val="Titre4 Car"/>
    <w:basedOn w:val="Titre3Car0"/>
    <w:link w:val="Titre40"/>
    <w:qFormat/>
    <w:rsid w:val="00946D9A"/>
    <w:rPr>
      <w:rFonts w:ascii="Times New Roman" w:hAnsi="Times New Roman"/>
      <w:b w:val="0"/>
      <w:i/>
      <w:sz w:val="24"/>
      <w:u w:val="single"/>
    </w:rPr>
  </w:style>
  <w:style w:type="character" w:customStyle="1" w:styleId="Titre1Car0">
    <w:name w:val="Titre1 Car"/>
    <w:basedOn w:val="Policepardfaut"/>
    <w:link w:val="Titre10"/>
    <w:qFormat/>
    <w:rsid w:val="00195928"/>
    <w:rPr>
      <w:rFonts w:ascii="Times New Roman" w:hAnsi="Times New Roman"/>
      <w:b/>
      <w:sz w:val="32"/>
    </w:rPr>
  </w:style>
  <w:style w:type="character" w:customStyle="1" w:styleId="Titre5Car">
    <w:name w:val="Titre 5 Car"/>
    <w:basedOn w:val="Policepardfaut"/>
    <w:link w:val="Titre5"/>
    <w:qFormat/>
    <w:rsid w:val="00041442"/>
    <w:rPr>
      <w:rFonts w:ascii="Liberation Sans;Arial" w:eastAsia="Microsoft YaHei" w:hAnsi="Liberation Sans;Arial"/>
      <w:b/>
      <w:bCs/>
      <w:sz w:val="24"/>
      <w:szCs w:val="24"/>
    </w:rPr>
  </w:style>
  <w:style w:type="character" w:customStyle="1" w:styleId="Titre6Car">
    <w:name w:val="Titre 6 Car"/>
    <w:basedOn w:val="Policepardfaut"/>
    <w:link w:val="Titre6"/>
    <w:qFormat/>
    <w:rsid w:val="00041442"/>
    <w:rPr>
      <w:rFonts w:ascii="Liberation Sans;Arial" w:eastAsia="Microsoft YaHei" w:hAnsi="Liberation Sans;Arial"/>
      <w:b/>
      <w:bCs/>
      <w:i/>
      <w:iCs/>
      <w:sz w:val="24"/>
      <w:szCs w:val="24"/>
    </w:rPr>
  </w:style>
  <w:style w:type="character" w:customStyle="1" w:styleId="Titre7Car">
    <w:name w:val="Titre 7 Car"/>
    <w:basedOn w:val="Policepardfaut"/>
    <w:link w:val="Titre7"/>
    <w:qFormat/>
    <w:rsid w:val="00041442"/>
    <w:rPr>
      <w:rFonts w:ascii="Liberation Sans;Arial" w:eastAsia="Microsoft YaHei" w:hAnsi="Liberation Sans;Arial"/>
      <w:b/>
      <w:bCs/>
      <w:sz w:val="22"/>
      <w:szCs w:val="22"/>
    </w:rPr>
  </w:style>
  <w:style w:type="character" w:customStyle="1" w:styleId="Titre8Car">
    <w:name w:val="Titre 8 Car"/>
    <w:basedOn w:val="Policepardfaut"/>
    <w:link w:val="Titre8"/>
    <w:qFormat/>
    <w:rsid w:val="00041442"/>
    <w:rPr>
      <w:rFonts w:ascii="Liberation Sans;Arial" w:eastAsia="Microsoft YaHei" w:hAnsi="Liberation Sans;Arial"/>
      <w:b/>
      <w:bCs/>
      <w:i/>
      <w:iCs/>
      <w:sz w:val="22"/>
      <w:szCs w:val="22"/>
    </w:rPr>
  </w:style>
  <w:style w:type="character" w:customStyle="1" w:styleId="Titre9Car">
    <w:name w:val="Titre 9 Car"/>
    <w:basedOn w:val="Policepardfaut"/>
    <w:link w:val="Titre9"/>
    <w:qFormat/>
    <w:rsid w:val="00041442"/>
    <w:rPr>
      <w:rFonts w:ascii="Liberation Sans;Arial" w:eastAsia="Microsoft YaHei" w:hAnsi="Liberation Sans;Arial"/>
      <w:b/>
      <w:bCs/>
      <w:sz w:val="21"/>
      <w:szCs w:val="21"/>
    </w:rPr>
  </w:style>
  <w:style w:type="character" w:customStyle="1" w:styleId="Titre2Car">
    <w:name w:val="Titre 2 Car"/>
    <w:basedOn w:val="Policepardfaut"/>
    <w:link w:val="Titre2"/>
    <w:qFormat/>
    <w:rsid w:val="00131F3C"/>
    <w:rPr>
      <w:rFonts w:ascii="Times New Roman" w:eastAsia="Times New Roman" w:hAnsi="Times New Roman" w:cs="Times New Roman"/>
      <w:b/>
      <w:bCs/>
      <w:iCs/>
      <w:color w:val="00000A"/>
      <w:kern w:val="2"/>
      <w:sz w:val="24"/>
      <w:szCs w:val="28"/>
      <w:lang w:bidi="ar-SA"/>
    </w:rPr>
  </w:style>
  <w:style w:type="character" w:customStyle="1" w:styleId="Titre1Car">
    <w:name w:val="Titre 1 Car"/>
    <w:basedOn w:val="Policepardfaut"/>
    <w:link w:val="Titre1"/>
    <w:qFormat/>
    <w:rsid w:val="00A416AB"/>
    <w:rPr>
      <w:rFonts w:ascii="Calibri Light" w:eastAsia="Times New Roman" w:hAnsi="Calibri Light"/>
      <w:b/>
      <w:bCs/>
      <w:sz w:val="32"/>
      <w:szCs w:val="32"/>
    </w:rPr>
  </w:style>
  <w:style w:type="character" w:customStyle="1" w:styleId="PieddepageCar">
    <w:name w:val="Pied de page Car"/>
    <w:basedOn w:val="Policepardfaut"/>
    <w:link w:val="Pieddepage"/>
    <w:uiPriority w:val="99"/>
    <w:qFormat/>
    <w:rsid w:val="00290B48"/>
    <w:rPr>
      <w:rFonts w:ascii="Times New Roman" w:hAnsi="Times New Roman" w:cs="Mangal"/>
      <w:sz w:val="22"/>
    </w:rPr>
  </w:style>
  <w:style w:type="character" w:customStyle="1" w:styleId="En-tteCar">
    <w:name w:val="En-tête Car"/>
    <w:basedOn w:val="Policepardfaut"/>
    <w:link w:val="En-tte"/>
    <w:qFormat/>
    <w:rsid w:val="00290B48"/>
    <w:rPr>
      <w:rFonts w:ascii="Times New Roman" w:hAnsi="Times New Roman" w:cs="Mangal"/>
      <w:sz w:val="22"/>
    </w:rPr>
  </w:style>
  <w:style w:type="character" w:styleId="lev">
    <w:name w:val="Strong"/>
    <w:basedOn w:val="Policepardfaut"/>
    <w:uiPriority w:val="22"/>
    <w:qFormat/>
    <w:rsid w:val="00D43EEF"/>
    <w:rPr>
      <w:b/>
      <w:bCs/>
    </w:rPr>
  </w:style>
  <w:style w:type="character" w:customStyle="1" w:styleId="LienInternet">
    <w:name w:val="Lien Internet"/>
    <w:basedOn w:val="Policepardfaut"/>
    <w:uiPriority w:val="99"/>
    <w:semiHidden/>
    <w:unhideWhenUsed/>
    <w:rsid w:val="00D43EEF"/>
    <w:rPr>
      <w:color w:val="0000FF"/>
      <w:u w:val="single"/>
    </w:rPr>
  </w:style>
  <w:style w:type="character" w:customStyle="1" w:styleId="Numrotationdelignes">
    <w:name w:val="Numérotation de lignes"/>
  </w:style>
  <w:style w:type="paragraph" w:styleId="Titre">
    <w:name w:val="Title"/>
    <w:basedOn w:val="Normal"/>
    <w:next w:val="Corpsdetexte"/>
    <w:qFormat/>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76" w:lineRule="auto"/>
    </w:p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Textedebulles">
    <w:name w:val="Balloon Text"/>
    <w:basedOn w:val="Normal"/>
    <w:link w:val="TextedebullesCar"/>
    <w:semiHidden/>
    <w:unhideWhenUsed/>
    <w:qFormat/>
    <w:rsid w:val="004F3EE9"/>
    <w:pPr>
      <w:spacing w:after="0" w:line="240" w:lineRule="auto"/>
    </w:pPr>
    <w:rPr>
      <w:rFonts w:ascii="Segoe UI" w:hAnsi="Segoe UI" w:cs="Mangal"/>
      <w:sz w:val="18"/>
      <w:szCs w:val="16"/>
    </w:rPr>
  </w:style>
  <w:style w:type="paragraph" w:styleId="Rvision">
    <w:name w:val="Revision"/>
    <w:uiPriority w:val="99"/>
    <w:semiHidden/>
    <w:qFormat/>
    <w:rsid w:val="004B0441"/>
    <w:pPr>
      <w:suppressAutoHyphens w:val="0"/>
    </w:pPr>
    <w:rPr>
      <w:rFonts w:ascii="Times New Roman" w:hAnsi="Times New Roman" w:cs="Mangal"/>
      <w:szCs w:val="18"/>
    </w:rPr>
  </w:style>
  <w:style w:type="paragraph" w:customStyle="1" w:styleId="Article">
    <w:name w:val="Article"/>
    <w:basedOn w:val="Normal"/>
    <w:link w:val="ArticleCar"/>
    <w:qFormat/>
    <w:rsid w:val="004B0441"/>
    <w:pPr>
      <w:jc w:val="center"/>
    </w:pPr>
    <w:rPr>
      <w:b/>
    </w:rPr>
  </w:style>
  <w:style w:type="paragraph" w:styleId="Paragraphedeliste">
    <w:name w:val="List Paragraph"/>
    <w:basedOn w:val="Normal"/>
    <w:qFormat/>
    <w:rsid w:val="004B0441"/>
    <w:pPr>
      <w:ind w:left="720"/>
      <w:contextualSpacing/>
    </w:pPr>
    <w:rPr>
      <w:rFonts w:cs="Mangal"/>
      <w:szCs w:val="18"/>
    </w:rPr>
  </w:style>
  <w:style w:type="paragraph" w:customStyle="1" w:styleId="Formuledepolitesse1">
    <w:name w:val="Formule de politesse1"/>
    <w:basedOn w:val="Normal"/>
    <w:link w:val="AnnexeCar"/>
    <w:qFormat/>
    <w:rsid w:val="006C61D4"/>
    <w:pPr>
      <w:jc w:val="center"/>
    </w:pPr>
    <w:rPr>
      <w:b/>
      <w:sz w:val="28"/>
    </w:rPr>
  </w:style>
  <w:style w:type="paragraph" w:customStyle="1" w:styleId="Titre20">
    <w:name w:val="Titre2"/>
    <w:basedOn w:val="Normal"/>
    <w:link w:val="Titre2Car0"/>
    <w:qFormat/>
    <w:rsid w:val="00944C4A"/>
    <w:pPr>
      <w:spacing w:before="360"/>
    </w:pPr>
    <w:rPr>
      <w:b/>
      <w:sz w:val="24"/>
    </w:rPr>
  </w:style>
  <w:style w:type="paragraph" w:customStyle="1" w:styleId="Policedetableau">
    <w:name w:val="Police de tableau"/>
    <w:basedOn w:val="Normal"/>
    <w:link w:val="PolicedetableauCar"/>
    <w:qFormat/>
    <w:rsid w:val="00FE56E8"/>
    <w:pPr>
      <w:spacing w:after="0"/>
    </w:pPr>
  </w:style>
  <w:style w:type="paragraph" w:customStyle="1" w:styleId="Footnote">
    <w:name w:val="Footnote"/>
    <w:basedOn w:val="Normal"/>
    <w:link w:val="FootnoteCar"/>
    <w:qFormat/>
    <w:rsid w:val="00307681"/>
    <w:pPr>
      <w:spacing w:after="0"/>
    </w:pPr>
    <w:rPr>
      <w:sz w:val="18"/>
    </w:rPr>
  </w:style>
  <w:style w:type="paragraph" w:customStyle="1" w:styleId="Titre3">
    <w:name w:val="Titre3"/>
    <w:basedOn w:val="Titre20"/>
    <w:link w:val="Titre3Car0"/>
    <w:qFormat/>
    <w:rsid w:val="00CC44DB"/>
    <w:pPr>
      <w:numPr>
        <w:numId w:val="30"/>
      </w:numPr>
      <w:tabs>
        <w:tab w:val="left" w:pos="1191"/>
      </w:tabs>
    </w:pPr>
  </w:style>
  <w:style w:type="paragraph" w:styleId="Commentaire">
    <w:name w:val="annotation text"/>
    <w:basedOn w:val="Normal"/>
    <w:link w:val="CommentaireCar"/>
    <w:unhideWhenUsed/>
    <w:qFormat/>
    <w:rsid w:val="003F25F6"/>
    <w:pPr>
      <w:spacing w:line="240" w:lineRule="auto"/>
    </w:pPr>
    <w:rPr>
      <w:rFonts w:cs="Mangal"/>
      <w:sz w:val="20"/>
      <w:szCs w:val="18"/>
    </w:rPr>
  </w:style>
  <w:style w:type="paragraph" w:styleId="Objetducommentaire">
    <w:name w:val="annotation subject"/>
    <w:basedOn w:val="Commentaire"/>
    <w:next w:val="Commentaire"/>
    <w:link w:val="ObjetducommentaireCar"/>
    <w:semiHidden/>
    <w:unhideWhenUsed/>
    <w:qFormat/>
    <w:rsid w:val="003F25F6"/>
    <w:rPr>
      <w:b/>
      <w:bCs/>
    </w:rPr>
  </w:style>
  <w:style w:type="paragraph" w:customStyle="1" w:styleId="Titre40">
    <w:name w:val="Titre4"/>
    <w:basedOn w:val="Titre3"/>
    <w:link w:val="Titre4Car"/>
    <w:qFormat/>
    <w:rsid w:val="00946D9A"/>
    <w:pPr>
      <w:tabs>
        <w:tab w:val="left" w:pos="1588"/>
      </w:tabs>
      <w:ind w:left="1945"/>
    </w:pPr>
    <w:rPr>
      <w:b w:val="0"/>
      <w:i/>
      <w:u w:val="single"/>
    </w:rPr>
  </w:style>
  <w:style w:type="paragraph" w:customStyle="1" w:styleId="Titre10">
    <w:name w:val="Titre1"/>
    <w:basedOn w:val="Normal"/>
    <w:link w:val="Titre1Car0"/>
    <w:qFormat/>
    <w:rsid w:val="00195928"/>
    <w:pPr>
      <w:numPr>
        <w:numId w:val="4"/>
      </w:numPr>
      <w:pBdr>
        <w:top w:val="single" w:sz="4" w:space="1" w:color="000000"/>
        <w:bottom w:val="single" w:sz="4" w:space="1" w:color="000000"/>
      </w:pBdr>
      <w:spacing w:before="360"/>
      <w:outlineLvl w:val="0"/>
    </w:pPr>
    <w:rPr>
      <w:b/>
      <w:sz w:val="32"/>
    </w:rPr>
  </w:style>
  <w:style w:type="paragraph" w:customStyle="1" w:styleId="En-tteetpieddepage">
    <w:name w:val="En-tête et pied de page"/>
    <w:basedOn w:val="Normal"/>
    <w:qFormat/>
  </w:style>
  <w:style w:type="paragraph" w:styleId="Pieddepage">
    <w:name w:val="footer"/>
    <w:basedOn w:val="Normal"/>
    <w:link w:val="PieddepageCar"/>
    <w:uiPriority w:val="99"/>
    <w:unhideWhenUsed/>
    <w:rsid w:val="00290B48"/>
    <w:pPr>
      <w:tabs>
        <w:tab w:val="center" w:pos="4536"/>
        <w:tab w:val="right" w:pos="9072"/>
      </w:tabs>
      <w:spacing w:after="0" w:line="240" w:lineRule="auto"/>
    </w:pPr>
    <w:rPr>
      <w:rFonts w:cs="Mangal"/>
    </w:rPr>
  </w:style>
  <w:style w:type="paragraph" w:styleId="En-tte">
    <w:name w:val="header"/>
    <w:basedOn w:val="Normal"/>
    <w:link w:val="En-tteCar"/>
    <w:unhideWhenUsed/>
    <w:rsid w:val="00290B48"/>
    <w:pPr>
      <w:tabs>
        <w:tab w:val="center" w:pos="4536"/>
        <w:tab w:val="right" w:pos="9072"/>
      </w:tabs>
      <w:spacing w:after="0" w:line="240" w:lineRule="auto"/>
    </w:pPr>
    <w:rPr>
      <w:rFonts w:cs="Mangal"/>
    </w:rPr>
  </w:style>
  <w:style w:type="paragraph" w:styleId="NormalWeb">
    <w:name w:val="Normal (Web)"/>
    <w:basedOn w:val="Normal"/>
    <w:uiPriority w:val="99"/>
    <w:unhideWhenUsed/>
    <w:qFormat/>
    <w:rsid w:val="00D43EEF"/>
    <w:pPr>
      <w:suppressAutoHyphens w:val="0"/>
      <w:spacing w:beforeAutospacing="1" w:afterAutospacing="1" w:line="240" w:lineRule="auto"/>
      <w:jc w:val="left"/>
    </w:pPr>
    <w:rPr>
      <w:rFonts w:eastAsia="Times New Roman" w:cs="Times New Roman"/>
      <w:sz w:val="24"/>
      <w:szCs w:val="24"/>
      <w:lang w:eastAsia="fr-FR" w:bidi="ar-SA"/>
    </w:rPr>
  </w:style>
  <w:style w:type="table" w:styleId="Grilledutableau">
    <w:name w:val="Table Grid"/>
    <w:basedOn w:val="TableauNormal"/>
    <w:uiPriority w:val="39"/>
    <w:rsid w:val="00606568"/>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licepardfaut1">
    <w:name w:val="Police par défaut1"/>
    <w:rsid w:val="008D0E26"/>
  </w:style>
  <w:style w:type="character" w:styleId="Lienhypertexte">
    <w:name w:val="Hyperlink"/>
    <w:basedOn w:val="Policepardfaut"/>
    <w:uiPriority w:val="99"/>
    <w:semiHidden/>
    <w:unhideWhenUsed/>
    <w:rsid w:val="00F36C3A"/>
    <w:rPr>
      <w:color w:val="0000FF"/>
      <w:u w:val="single"/>
    </w:rPr>
  </w:style>
  <w:style w:type="character" w:customStyle="1" w:styleId="lang-en">
    <w:name w:val="lang-en"/>
    <w:basedOn w:val="Policepardfaut"/>
    <w:rsid w:val="00722F7C"/>
  </w:style>
  <w:style w:type="character" w:customStyle="1" w:styleId="hgkelc">
    <w:name w:val="hgkelc"/>
    <w:basedOn w:val="Policepardfaut"/>
    <w:rsid w:val="00480A74"/>
  </w:style>
  <w:style w:type="paragraph" w:customStyle="1" w:styleId="Citations">
    <w:name w:val="Citations"/>
    <w:basedOn w:val="Normal"/>
    <w:rsid w:val="000C4674"/>
    <w:pPr>
      <w:spacing w:after="0" w:line="240" w:lineRule="auto"/>
      <w:jc w:val="left"/>
    </w:pPr>
    <w:rPr>
      <w:rFonts w:eastAsia="Times New Roman" w:cs="Times New Roman"/>
      <w:sz w:val="24"/>
      <w:szCs w:val="24"/>
      <w:lang w:bidi="ar-SA"/>
    </w:rPr>
  </w:style>
  <w:style w:type="character" w:styleId="Accentuation">
    <w:name w:val="Emphasis"/>
    <w:basedOn w:val="Policepardfaut"/>
    <w:uiPriority w:val="20"/>
    <w:qFormat/>
    <w:rsid w:val="000C4674"/>
    <w:rPr>
      <w:i/>
      <w:iCs/>
    </w:rPr>
  </w:style>
  <w:style w:type="character" w:customStyle="1" w:styleId="Titre3Car">
    <w:name w:val="Titre 3 Car"/>
    <w:basedOn w:val="Policepardfaut"/>
    <w:link w:val="Titre30"/>
    <w:rsid w:val="00FF3330"/>
    <w:rPr>
      <w:rFonts w:ascii="Times New Roman" w:eastAsia="Times New Roman" w:hAnsi="Times New Roman"/>
      <w:b/>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18956">
      <w:bodyDiv w:val="1"/>
      <w:marLeft w:val="0"/>
      <w:marRight w:val="0"/>
      <w:marTop w:val="0"/>
      <w:marBottom w:val="0"/>
      <w:divBdr>
        <w:top w:val="none" w:sz="0" w:space="0" w:color="auto"/>
        <w:left w:val="none" w:sz="0" w:space="0" w:color="auto"/>
        <w:bottom w:val="none" w:sz="0" w:space="0" w:color="auto"/>
        <w:right w:val="none" w:sz="0" w:space="0" w:color="auto"/>
      </w:divBdr>
    </w:div>
    <w:div w:id="549193171">
      <w:bodyDiv w:val="1"/>
      <w:marLeft w:val="0"/>
      <w:marRight w:val="0"/>
      <w:marTop w:val="0"/>
      <w:marBottom w:val="0"/>
      <w:divBdr>
        <w:top w:val="none" w:sz="0" w:space="0" w:color="auto"/>
        <w:left w:val="none" w:sz="0" w:space="0" w:color="auto"/>
        <w:bottom w:val="none" w:sz="0" w:space="0" w:color="auto"/>
        <w:right w:val="none" w:sz="0" w:space="0" w:color="auto"/>
      </w:divBdr>
    </w:div>
    <w:div w:id="617641697">
      <w:bodyDiv w:val="1"/>
      <w:marLeft w:val="0"/>
      <w:marRight w:val="0"/>
      <w:marTop w:val="0"/>
      <w:marBottom w:val="0"/>
      <w:divBdr>
        <w:top w:val="none" w:sz="0" w:space="0" w:color="auto"/>
        <w:left w:val="none" w:sz="0" w:space="0" w:color="auto"/>
        <w:bottom w:val="none" w:sz="0" w:space="0" w:color="auto"/>
        <w:right w:val="none" w:sz="0" w:space="0" w:color="auto"/>
      </w:divBdr>
    </w:div>
    <w:div w:id="710619433">
      <w:bodyDiv w:val="1"/>
      <w:marLeft w:val="0"/>
      <w:marRight w:val="0"/>
      <w:marTop w:val="0"/>
      <w:marBottom w:val="0"/>
      <w:divBdr>
        <w:top w:val="none" w:sz="0" w:space="0" w:color="auto"/>
        <w:left w:val="none" w:sz="0" w:space="0" w:color="auto"/>
        <w:bottom w:val="none" w:sz="0" w:space="0" w:color="auto"/>
        <w:right w:val="none" w:sz="0" w:space="0" w:color="auto"/>
      </w:divBdr>
    </w:div>
    <w:div w:id="884366213">
      <w:bodyDiv w:val="1"/>
      <w:marLeft w:val="0"/>
      <w:marRight w:val="0"/>
      <w:marTop w:val="0"/>
      <w:marBottom w:val="0"/>
      <w:divBdr>
        <w:top w:val="none" w:sz="0" w:space="0" w:color="auto"/>
        <w:left w:val="none" w:sz="0" w:space="0" w:color="auto"/>
        <w:bottom w:val="none" w:sz="0" w:space="0" w:color="auto"/>
        <w:right w:val="none" w:sz="0" w:space="0" w:color="auto"/>
      </w:divBdr>
    </w:div>
    <w:div w:id="887258866">
      <w:bodyDiv w:val="1"/>
      <w:marLeft w:val="0"/>
      <w:marRight w:val="0"/>
      <w:marTop w:val="0"/>
      <w:marBottom w:val="0"/>
      <w:divBdr>
        <w:top w:val="none" w:sz="0" w:space="0" w:color="auto"/>
        <w:left w:val="none" w:sz="0" w:space="0" w:color="auto"/>
        <w:bottom w:val="none" w:sz="0" w:space="0" w:color="auto"/>
        <w:right w:val="none" w:sz="0" w:space="0" w:color="auto"/>
      </w:divBdr>
    </w:div>
    <w:div w:id="954287034">
      <w:bodyDiv w:val="1"/>
      <w:marLeft w:val="0"/>
      <w:marRight w:val="0"/>
      <w:marTop w:val="0"/>
      <w:marBottom w:val="0"/>
      <w:divBdr>
        <w:top w:val="none" w:sz="0" w:space="0" w:color="auto"/>
        <w:left w:val="none" w:sz="0" w:space="0" w:color="auto"/>
        <w:bottom w:val="none" w:sz="0" w:space="0" w:color="auto"/>
        <w:right w:val="none" w:sz="0" w:space="0" w:color="auto"/>
      </w:divBdr>
    </w:div>
    <w:div w:id="1128469899">
      <w:bodyDiv w:val="1"/>
      <w:marLeft w:val="0"/>
      <w:marRight w:val="0"/>
      <w:marTop w:val="0"/>
      <w:marBottom w:val="0"/>
      <w:divBdr>
        <w:top w:val="none" w:sz="0" w:space="0" w:color="auto"/>
        <w:left w:val="none" w:sz="0" w:space="0" w:color="auto"/>
        <w:bottom w:val="none" w:sz="0" w:space="0" w:color="auto"/>
        <w:right w:val="none" w:sz="0" w:space="0" w:color="auto"/>
      </w:divBdr>
    </w:div>
    <w:div w:id="1446382297">
      <w:bodyDiv w:val="1"/>
      <w:marLeft w:val="0"/>
      <w:marRight w:val="0"/>
      <w:marTop w:val="0"/>
      <w:marBottom w:val="0"/>
      <w:divBdr>
        <w:top w:val="none" w:sz="0" w:space="0" w:color="auto"/>
        <w:left w:val="none" w:sz="0" w:space="0" w:color="auto"/>
        <w:bottom w:val="none" w:sz="0" w:space="0" w:color="auto"/>
        <w:right w:val="none" w:sz="0" w:space="0" w:color="auto"/>
      </w:divBdr>
    </w:div>
    <w:div w:id="1655718545">
      <w:bodyDiv w:val="1"/>
      <w:marLeft w:val="0"/>
      <w:marRight w:val="0"/>
      <w:marTop w:val="0"/>
      <w:marBottom w:val="0"/>
      <w:divBdr>
        <w:top w:val="none" w:sz="0" w:space="0" w:color="auto"/>
        <w:left w:val="none" w:sz="0" w:space="0" w:color="auto"/>
        <w:bottom w:val="none" w:sz="0" w:space="0" w:color="auto"/>
        <w:right w:val="none" w:sz="0" w:space="0" w:color="auto"/>
      </w:divBdr>
    </w:div>
    <w:div w:id="1979022559">
      <w:bodyDiv w:val="1"/>
      <w:marLeft w:val="0"/>
      <w:marRight w:val="0"/>
      <w:marTop w:val="0"/>
      <w:marBottom w:val="0"/>
      <w:divBdr>
        <w:top w:val="none" w:sz="0" w:space="0" w:color="auto"/>
        <w:left w:val="none" w:sz="0" w:space="0" w:color="auto"/>
        <w:bottom w:val="none" w:sz="0" w:space="0" w:color="auto"/>
        <w:right w:val="none" w:sz="0" w:space="0" w:color="auto"/>
      </w:divBdr>
    </w:div>
    <w:div w:id="2091003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4220&amp;idArticle=LEGIARTI000033929079&amp;dateTexte=&amp;categorieLien=cid" TargetMode="Externa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https://aida.ineris.fr/reglementation/arrete-020298-relatif-prelevements-a-consommation-deau-ainsi-quaux-emissions-toute"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www.legifrance.gouv.fr/affichCodeArticle.do?cidTexte=LEGITEXT000006074220&amp;idArticle=LEGIARTI000033929079&amp;dateTexte=&amp;categorieLien=cid"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ED55A-845C-4ADA-A829-094E5BE9B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39</Pages>
  <Words>15519</Words>
  <Characters>85355</Characters>
  <Application>Microsoft Office Word</Application>
  <DocSecurity>0</DocSecurity>
  <Lines>711</Lines>
  <Paragraphs>201</Paragraphs>
  <ScaleCrop>false</ScaleCrop>
  <HeadingPairs>
    <vt:vector size="2" baseType="variant">
      <vt:variant>
        <vt:lpstr>Titre</vt:lpstr>
      </vt:variant>
      <vt:variant>
        <vt:i4>1</vt:i4>
      </vt:variant>
    </vt:vector>
  </HeadingPairs>
  <TitlesOfParts>
    <vt:vector size="1" baseType="lpstr">
      <vt:lpstr>Journal officiel de la République française - N° 44 du 21 février 2020</vt:lpstr>
    </vt:vector>
  </TitlesOfParts>
  <Company>Administration centrale AUTH</Company>
  <LinksUpToDate>false</LinksUpToDate>
  <CharactersWithSpaces>100673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officiel de la République française - N° 44 du 21 février 2020</dc:title>
  <dc:subject>Lois et décrets</dc:subject>
  <dc:creator>Mélanie VALLADEAU</dc:creator>
  <cp:keywords>ISSN ISSN ISSN 0373-0425</cp:keywords>
  <dc:description/>
  <cp:lastModifiedBy>BRUNETTI Ellena</cp:lastModifiedBy>
  <cp:revision>14</cp:revision>
  <cp:lastPrinted>2026-07-06T07:51:00Z</cp:lastPrinted>
  <dcterms:created xsi:type="dcterms:W3CDTF">2026-08-07T07:37:00Z</dcterms:created>
  <dcterms:modified xsi:type="dcterms:W3CDTF">2026-08-07T14:41:00Z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