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6"/>
        <w:gridCol w:w="968"/>
        <w:gridCol w:w="1488"/>
      </w:tblGrid>
      <w:tr w:rsidR="00426F1C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426F1C" w:rsidRDefault="00E2385F">
            <w:pPr>
              <w:pStyle w:val="SNREPUBLIQUE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RÉPUBLIQUE FRANÇAISE</w:t>
            </w:r>
          </w:p>
        </w:tc>
      </w:tr>
      <w:tr w:rsidR="00426F1C">
        <w:trPr>
          <w:cantSplit/>
          <w:trHeight w:hRule="exact" w:val="113"/>
        </w:trPr>
        <w:tc>
          <w:tcPr>
            <w:tcW w:w="1526" w:type="dxa"/>
            <w:shd w:val="clear" w:color="auto" w:fill="auto"/>
          </w:tcPr>
          <w:p w:rsidR="00426F1C" w:rsidRDefault="00426F1C">
            <w:pPr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:rsidR="00426F1C" w:rsidRDefault="00426F1C">
            <w:pPr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1488" w:type="dxa"/>
            <w:shd w:val="clear" w:color="auto" w:fill="auto"/>
          </w:tcPr>
          <w:p w:rsidR="00426F1C" w:rsidRDefault="00426F1C">
            <w:pPr>
              <w:snapToGrid w:val="0"/>
              <w:rPr>
                <w:rFonts w:cs="Tahoma"/>
                <w:color w:val="000000"/>
              </w:rPr>
            </w:pPr>
          </w:p>
        </w:tc>
      </w:tr>
      <w:tr w:rsidR="00426F1C">
        <w:trPr>
          <w:cantSplit/>
        </w:trPr>
        <w:tc>
          <w:tcPr>
            <w:tcW w:w="3982" w:type="dxa"/>
            <w:gridSpan w:val="3"/>
            <w:shd w:val="clear" w:color="auto" w:fill="auto"/>
          </w:tcPr>
          <w:p w:rsidR="00426F1C" w:rsidRDefault="00E2385F">
            <w:pPr>
              <w:pStyle w:val="SNTimbre"/>
              <w:rPr>
                <w:color w:val="000000"/>
              </w:rPr>
            </w:pPr>
            <w:r>
              <w:rPr>
                <w:color w:val="000000"/>
              </w:rPr>
              <w:t>Ministère de la transition écologique et de la cohésion des territoires</w:t>
            </w:r>
          </w:p>
        </w:tc>
      </w:tr>
    </w:tbl>
    <w:p w:rsidR="00426F1C" w:rsidRDefault="00426F1C">
      <w:pPr>
        <w:spacing w:beforeAutospacing="1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r-FR"/>
        </w:rPr>
      </w:pPr>
    </w:p>
    <w:p w:rsidR="00426F1C" w:rsidRDefault="00E2385F">
      <w:pPr>
        <w:spacing w:before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fr-FR"/>
        </w:rPr>
        <w:t>Arrêté du     fixant la grille de valeur forfaitaire permettant la comptabilisation des dons acquis en application de l’article 58 de la loi n° 2020-105 du 10 février 2020 relative à la lutte contre le gaspillage et à l'économie circulaire.</w:t>
      </w:r>
    </w:p>
    <w:p w:rsidR="00426F1C" w:rsidRDefault="00E2385F">
      <w:pPr>
        <w:spacing w:beforeAutospacing="1"/>
        <w:jc w:val="center"/>
        <w:rPr>
          <w:rFonts w:ascii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NOR : </w:t>
      </w:r>
    </w:p>
    <w:p w:rsidR="00426F1C" w:rsidRDefault="00426F1C">
      <w:pPr>
        <w:spacing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26F1C" w:rsidRDefault="00E2385F">
      <w:pPr>
        <w:spacing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Publics concernés :</w:t>
      </w:r>
      <w:r>
        <w:rPr>
          <w:rFonts w:ascii="Times New Roman" w:hAnsi="Times New Roman" w:cs="Times New Roman"/>
          <w:i/>
          <w:sz w:val="24"/>
          <w:szCs w:val="24"/>
        </w:rPr>
        <w:t xml:space="preserve"> Etat, collectivités territoriales et groupements de collectivités territoriales</w:t>
      </w:r>
    </w:p>
    <w:p w:rsidR="00426F1C" w:rsidRDefault="00E238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Objet : </w:t>
      </w:r>
      <w:r>
        <w:rPr>
          <w:rFonts w:ascii="Times New Roman" w:hAnsi="Times New Roman" w:cs="Times New Roman"/>
          <w:i/>
          <w:sz w:val="24"/>
          <w:szCs w:val="24"/>
        </w:rPr>
        <w:t>grille de valeur forfaitaire relative à l’acquisition de dons</w:t>
      </w:r>
    </w:p>
    <w:p w:rsidR="00426F1C" w:rsidRDefault="00426F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fr-FR"/>
        </w:rPr>
      </w:pPr>
    </w:p>
    <w:p w:rsidR="00426F1C" w:rsidRDefault="00E238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Entrée en vigueur :</w:t>
      </w:r>
      <w:r>
        <w:rPr>
          <w:rFonts w:ascii="Times New Roman" w:hAnsi="Times New Roman" w:cs="Times New Roman"/>
          <w:i/>
          <w:sz w:val="24"/>
          <w:szCs w:val="24"/>
        </w:rPr>
        <w:t xml:space="preserve"> le texte entre en vigueur le 1er janvier 2024.</w:t>
      </w:r>
    </w:p>
    <w:p w:rsidR="00426F1C" w:rsidRDefault="00E2385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>Notice :</w:t>
      </w:r>
      <w:r>
        <w:rPr>
          <w:rFonts w:ascii="Times New Roman" w:hAnsi="Times New Roman" w:cs="Times New Roman"/>
          <w:i/>
          <w:sz w:val="24"/>
          <w:szCs w:val="24"/>
        </w:rPr>
        <w:t xml:space="preserve"> le présent arrêté fixe la grille de valeur forfaitaire permettant la comptabilisation des acquisitions de dons réalisées en application de l’article 58 de la loi n° 2020-105 du 10 février 2020 relative à la lutte contre le gaspillage et à l'économie circulaire, telle que prévue par l’article 2 du décret </w:t>
      </w:r>
      <w:r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>, pris en application de cet article.</w:t>
      </w:r>
    </w:p>
    <w:p w:rsidR="00426F1C" w:rsidRDefault="00426F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1C" w:rsidRDefault="00E2385F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Références :</w:t>
      </w:r>
      <w:r>
        <w:rPr>
          <w:rFonts w:ascii="Times New Roman" w:hAnsi="Times New Roman" w:cs="Times New Roman"/>
          <w:i/>
          <w:sz w:val="24"/>
          <w:szCs w:val="24"/>
        </w:rPr>
        <w:t xml:space="preserve"> le présent arrêté pourra être consulté sur le site Légifrance (</w:t>
      </w:r>
      <w:hyperlink r:id="rId7">
        <w:r>
          <w:rPr>
            <w:rStyle w:val="LienInternet"/>
            <w:rFonts w:ascii="Times New Roman" w:hAnsi="Times New Roman" w:cs="Times New Roman"/>
            <w:i/>
            <w:sz w:val="24"/>
            <w:szCs w:val="24"/>
          </w:rPr>
          <w:t>https://www.legifrance.gouv.fr</w:t>
        </w:r>
      </w:hyperlink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426F1C" w:rsidRDefault="00426F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6F1C" w:rsidRDefault="00426F1C">
      <w:pPr>
        <w:pStyle w:val="SNRapport"/>
        <w:suppressAutoHyphens w:val="0"/>
        <w:spacing w:before="120"/>
        <w:jc w:val="both"/>
        <w:rPr>
          <w:lang w:eastAsia="fr-FR"/>
        </w:rPr>
      </w:pPr>
    </w:p>
    <w:p w:rsidR="00426F1C" w:rsidRDefault="00E2385F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 xml:space="preserve">Sur le rapport du ministre de la transition écologique et de la cohésion des territoires, </w:t>
      </w:r>
    </w:p>
    <w:p w:rsidR="00426F1C" w:rsidRDefault="00E2385F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Vu la loi n° 2020-105 du 10 février 2020 relative à la lutte contre le gaspillage et à l'économie circulaire, notamment son article 58 ;</w:t>
      </w:r>
    </w:p>
    <w:p w:rsidR="00557A2C" w:rsidRDefault="00E2385F" w:rsidP="00557A2C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 xml:space="preserve">Vu le décret </w:t>
      </w:r>
      <w:r>
        <w:rPr>
          <w:highlight w:val="yellow"/>
          <w:lang w:eastAsia="fr-FR"/>
        </w:rPr>
        <w:t>X</w:t>
      </w:r>
      <w:r w:rsidR="00557A2C">
        <w:rPr>
          <w:lang w:eastAsia="fr-FR"/>
        </w:rPr>
        <w:t xml:space="preserve"> ; </w:t>
      </w:r>
    </w:p>
    <w:p w:rsidR="0076160E" w:rsidRPr="0076160E" w:rsidRDefault="0076160E" w:rsidP="0076160E">
      <w:pPr>
        <w:widowControl w:val="0"/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16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les observations formulées lors de la </w:t>
      </w:r>
      <w:r w:rsidRPr="0076160E">
        <w:rPr>
          <w:rFonts w:ascii="Times New Roman" w:eastAsia="Times New Roman" w:hAnsi="Times New Roman" w:cs="Times New Roman"/>
          <w:sz w:val="24"/>
          <w:szCs w:val="24"/>
          <w:lang w:eastAsia="fr-FR"/>
        </w:rPr>
        <w:t>consultation</w:t>
      </w:r>
      <w:r w:rsidRPr="007616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public réalisée du X au X, en application de l'article L. 123-1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9-1 du code de l'environnement,</w:t>
      </w:r>
      <w:bookmarkStart w:id="0" w:name="_GoBack"/>
      <w:bookmarkEnd w:id="0"/>
    </w:p>
    <w:p w:rsidR="00426F1C" w:rsidRDefault="00426F1C">
      <w:pPr>
        <w:pStyle w:val="SNRapport"/>
        <w:suppressAutoHyphens w:val="0"/>
        <w:spacing w:before="120"/>
        <w:jc w:val="both"/>
        <w:rPr>
          <w:lang w:eastAsia="fr-FR"/>
        </w:rPr>
      </w:pPr>
    </w:p>
    <w:p w:rsidR="00426F1C" w:rsidRDefault="00426F1C">
      <w:pPr>
        <w:pStyle w:val="SNtitre"/>
        <w:spacing w:after="0"/>
        <w:jc w:val="both"/>
        <w:rPr>
          <w:b w:val="0"/>
          <w:i/>
        </w:rPr>
      </w:pPr>
    </w:p>
    <w:p w:rsidR="00426F1C" w:rsidRDefault="00E2385F">
      <w:pPr>
        <w:pStyle w:val="SNtitre"/>
        <w:spacing w:afterAutospacing="1"/>
        <w:rPr>
          <w:b w:val="0"/>
        </w:rPr>
      </w:pPr>
      <w:r>
        <w:rPr>
          <w:b w:val="0"/>
        </w:rPr>
        <w:t>Arrêtent :</w:t>
      </w:r>
    </w:p>
    <w:p w:rsidR="00426F1C" w:rsidRDefault="00426F1C">
      <w:pPr>
        <w:pStyle w:val="SNtitre"/>
        <w:spacing w:afterAutospacing="1"/>
        <w:jc w:val="left"/>
        <w:rPr>
          <w:b w:val="0"/>
        </w:rPr>
      </w:pPr>
    </w:p>
    <w:p w:rsidR="00426F1C" w:rsidRDefault="0076160E">
      <w:pPr>
        <w:pStyle w:val="NormalWeb"/>
        <w:spacing w:beforeAutospacing="0" w:after="0" w:afterAutospacing="0"/>
        <w:jc w:val="center"/>
      </w:pPr>
      <w:hyperlink r:id="rId8">
        <w:r w:rsidR="00E2385F">
          <w:rPr>
            <w:rStyle w:val="ListLabel11"/>
          </w:rPr>
          <w:t>Article 1</w:t>
        </w:r>
      </w:hyperlink>
      <w:r w:rsidR="00E2385F">
        <w:rPr>
          <w:rFonts w:eastAsiaTheme="minorHAnsi"/>
          <w:b/>
          <w:vertAlign w:val="superscript"/>
          <w:lang w:eastAsia="en-US"/>
        </w:rPr>
        <w:t>er</w:t>
      </w:r>
    </w:p>
    <w:p w:rsidR="00426F1C" w:rsidRDefault="00E2385F">
      <w:pPr>
        <w:spacing w:before="120" w:after="1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comptabilisation monétaire des dons est réalisée sur la base de la grille de valeur forfaitaire suivante :</w:t>
      </w:r>
    </w:p>
    <w:p w:rsidR="00426F1C" w:rsidRDefault="00426F1C">
      <w:pPr>
        <w:pStyle w:val="NormalWeb"/>
        <w:spacing w:beforeAutospacing="0" w:after="0" w:afterAutospacing="0"/>
        <w:jc w:val="both"/>
        <w:rPr>
          <w:rFonts w:eastAsia="Lucida Sans Unicode"/>
          <w:lang w:eastAsia="zh-CN"/>
        </w:rPr>
      </w:pPr>
    </w:p>
    <w:p w:rsidR="00426F1C" w:rsidRDefault="00426F1C">
      <w:pPr>
        <w:spacing w:before="159"/>
        <w:rPr>
          <w:rFonts w:ascii="Times New Roman" w:hAnsi="Times New Roman" w:cs="Times New Roman"/>
          <w:lang w:eastAsia="fr-FR"/>
        </w:rPr>
      </w:pPr>
    </w:p>
    <w:tbl>
      <w:tblPr>
        <w:tblW w:w="4850" w:type="pct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2406"/>
      </w:tblGrid>
      <w:tr w:rsidR="00426F1C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fr-FR"/>
              </w:rPr>
              <w:t>Type de bien (occasion en état d’usage)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jc w:val="center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fr-FR"/>
              </w:rPr>
              <w:t>Valeur monétaire unitaire en €</w:t>
            </w:r>
          </w:p>
        </w:tc>
      </w:tr>
      <w:tr w:rsidR="00426F1C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Bâtiments modulaires ou préfabriqués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426F1C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</w:p>
        </w:tc>
      </w:tr>
      <w:tr w:rsidR="00426F1C">
        <w:trPr>
          <w:trHeight w:val="596"/>
        </w:trPr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Bâtiments modulaires ou préfabriqués intégrés dans un ensemble &gt; ou = à 100 modules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150</w:t>
            </w:r>
          </w:p>
        </w:tc>
      </w:tr>
      <w:tr w:rsidR="00426F1C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Bâtiments modulaires ou préfabriqués intégrés dans un ensemble  &gt; ou = à 50 modules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200</w:t>
            </w:r>
          </w:p>
        </w:tc>
      </w:tr>
      <w:tr w:rsidR="00426F1C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Bâtiments modulaires ou préfabriqués intégrés dans un ensemble &gt; ou = à 10 modules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250</w:t>
            </w:r>
          </w:p>
        </w:tc>
      </w:tr>
      <w:tr w:rsidR="00426F1C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fr-FR"/>
              </w:rPr>
              <w:t>Bâtiments modulaires ou préfabriqués intégrés dans un ensemble  &lt; à 10 modules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299</w:t>
            </w:r>
          </w:p>
        </w:tc>
      </w:tr>
      <w:tr w:rsidR="00426F1C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Catégorie Matériel informatique et téléphonie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426F1C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</w:p>
        </w:tc>
      </w:tr>
      <w:tr w:rsidR="00426F1C"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Téléphone fixe (&lt; 5 ans)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Téléphone mobile (&lt; 5 ans)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Téléphone fixe (&gt; 5 ans)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Téléphone mobile (&gt; 5 ans)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Terminal informatique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Ordinateur fixe (sans écran)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60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Ecran d’ordinateur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30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Ordinateur portable (&gt; 5 ans)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Ordinateur portable (&lt; 5 ans)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Tablette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</w:t>
            </w:r>
          </w:p>
        </w:tc>
      </w:tr>
      <w:tr w:rsidR="00426F1C"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Catégorie Matériel de reprographie et d’impression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426F1C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Photocopieur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Copieur multifonction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Scanneur individuel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60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Imprimante individuelle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lastRenderedPageBreak/>
              <w:t>Imprimante collective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100</w:t>
            </w:r>
          </w:p>
        </w:tc>
      </w:tr>
      <w:tr w:rsidR="00426F1C"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Catégorie Mobilier intérieur et de bureau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426F1C">
            <w:pPr>
              <w:spacing w:beforeAutospacing="1" w:after="142" w:line="276" w:lineRule="auto"/>
              <w:rPr>
                <w:rFonts w:ascii="Times New Roman" w:hAnsi="Times New Roman" w:cs="Times New Roman"/>
                <w:color w:val="000000"/>
                <w:lang w:eastAsia="fr-FR"/>
              </w:rPr>
            </w:pP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Table de cantine scolaire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 par place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Table de cantine restaurant administratif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 par place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 xml:space="preserve">Armoire haute simple ou vestiaire 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60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Armoire haute largeur &gt; 120 cm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80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Armoire métallique haute simple à clapets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70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 xml:space="preserve">Armoire basse simple 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Armoire basse largeur &gt; 120 cm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60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Armoire métallique basse simple à clapets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50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 xml:space="preserve">Bureau droit 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50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Bureau droit avec caisson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60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Bureau avec retour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Bureau avec retour et avec caisson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60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Caisson avec tiroirs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Bibliothèque haute ou basse (&lt;120 cm)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80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Bibliothèque haute ou basse (&gt;120 cm)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Bibliothèque haute ou basse avec porte vitrée (&lt;120 cm)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Bibliothèque haute ou basse avec porte vitrée (&gt;120 cm)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180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Lampadaire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40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Lampe de bureau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Coffre-fort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Armoire forte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Vitrine d’exposition basse ou haute &lt; 80 cm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100</w:t>
            </w:r>
          </w:p>
        </w:tc>
      </w:tr>
      <w:tr w:rsidR="00426F1C">
        <w:tc>
          <w:tcPr>
            <w:tcW w:w="63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Vitrine d’exposition basse ou haute &gt; 80 cm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426F1C" w:rsidRDefault="00E2385F">
            <w:pPr>
              <w:spacing w:beforeAutospacing="1" w:after="142" w:line="276" w:lineRule="auto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lang w:eastAsia="fr-FR"/>
              </w:rPr>
              <w:t>200</w:t>
            </w:r>
          </w:p>
        </w:tc>
      </w:tr>
    </w:tbl>
    <w:p w:rsidR="00426F1C" w:rsidRDefault="00426F1C">
      <w:pPr>
        <w:pStyle w:val="NormalWeb"/>
        <w:spacing w:before="280" w:after="280"/>
        <w:jc w:val="both"/>
      </w:pPr>
    </w:p>
    <w:p w:rsidR="00426F1C" w:rsidRDefault="0076160E">
      <w:pPr>
        <w:pStyle w:val="name-article"/>
        <w:spacing w:before="280" w:after="280"/>
        <w:jc w:val="center"/>
      </w:pPr>
      <w:hyperlink r:id="rId9">
        <w:r w:rsidR="00E2385F">
          <w:rPr>
            <w:rStyle w:val="ListLabel11"/>
          </w:rPr>
          <w:t>Article 2</w:t>
        </w:r>
      </w:hyperlink>
    </w:p>
    <w:p w:rsidR="00426F1C" w:rsidRDefault="00E2385F">
      <w:pPr>
        <w:pStyle w:val="name-article"/>
        <w:spacing w:before="280" w:after="280"/>
      </w:pPr>
      <w:r>
        <w:rPr>
          <w:rFonts w:eastAsiaTheme="minorHAnsi"/>
          <w:lang w:eastAsia="en-US"/>
        </w:rPr>
        <w:lastRenderedPageBreak/>
        <w:t xml:space="preserve"> </w:t>
      </w:r>
      <w:r>
        <w:t>Les dispositions du présent arrêté entrent en vigueur le 1</w:t>
      </w:r>
      <w:r>
        <w:rPr>
          <w:vertAlign w:val="superscript"/>
        </w:rPr>
        <w:t>er</w:t>
      </w:r>
      <w:r>
        <w:t xml:space="preserve"> janvier 2024.</w:t>
      </w:r>
    </w:p>
    <w:p w:rsidR="00426F1C" w:rsidRDefault="00426F1C">
      <w:pPr>
        <w:pStyle w:val="NormalWeb"/>
        <w:spacing w:before="280" w:after="280"/>
        <w:jc w:val="both"/>
      </w:pPr>
    </w:p>
    <w:p w:rsidR="00426F1C" w:rsidRDefault="0076160E">
      <w:pPr>
        <w:pStyle w:val="name-article"/>
        <w:spacing w:before="280" w:after="280"/>
        <w:jc w:val="center"/>
      </w:pPr>
      <w:hyperlink r:id="rId10">
        <w:r w:rsidR="00E2385F">
          <w:rPr>
            <w:rStyle w:val="ListLabel11"/>
          </w:rPr>
          <w:t>Article 3</w:t>
        </w:r>
      </w:hyperlink>
    </w:p>
    <w:p w:rsidR="00426F1C" w:rsidRDefault="00E2385F">
      <w:pPr>
        <w:pStyle w:val="name-article"/>
        <w:spacing w:before="280" w:after="280"/>
      </w:pPr>
      <w:r>
        <w:t>Le présent arrêté sera publié au Journal officiel de la République française.</w:t>
      </w:r>
    </w:p>
    <w:p w:rsidR="00426F1C" w:rsidRDefault="00426F1C">
      <w:pPr>
        <w:pStyle w:val="name-article"/>
        <w:spacing w:before="280" w:after="280"/>
        <w:rPr>
          <w:rFonts w:eastAsiaTheme="minorHAnsi"/>
          <w:lang w:eastAsia="en-US"/>
        </w:rPr>
      </w:pPr>
    </w:p>
    <w:p w:rsidR="00426F1C" w:rsidRDefault="00E238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le </w:t>
      </w:r>
    </w:p>
    <w:p w:rsidR="00426F1C" w:rsidRDefault="00E2385F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426F1C" w:rsidRDefault="00E238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  <w:t>Le ministre de la transition écologique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 de la cohésion des territoires,</w:t>
      </w:r>
      <w:r>
        <w:rPr>
          <w:rFonts w:ascii="Times New Roman" w:hAnsi="Times New Roman" w:cs="Times New Roman"/>
          <w:sz w:val="24"/>
          <w:szCs w:val="24"/>
        </w:rPr>
        <w:br/>
        <w:t>Pour le ministre et par délégation :</w:t>
      </w:r>
      <w:r>
        <w:rPr>
          <w:rFonts w:ascii="Times New Roman" w:hAnsi="Times New Roman" w:cs="Times New Roman"/>
          <w:sz w:val="24"/>
          <w:szCs w:val="24"/>
        </w:rPr>
        <w:br/>
        <w:t>Le commissaire général au développement durable,</w:t>
      </w:r>
    </w:p>
    <w:p w:rsidR="00426F1C" w:rsidRDefault="00426F1C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26F1C" w:rsidRDefault="00E2385F">
      <w:pPr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T. LESUEUR</w:t>
      </w:r>
    </w:p>
    <w:p w:rsidR="00426F1C" w:rsidRDefault="00426F1C">
      <w:pPr>
        <w:pStyle w:val="Titre1"/>
        <w:spacing w:before="280" w:after="280"/>
        <w:rPr>
          <w:rFonts w:eastAsiaTheme="minorHAnsi"/>
          <w:sz w:val="24"/>
          <w:szCs w:val="24"/>
          <w:lang w:eastAsia="en-US"/>
        </w:rPr>
      </w:pPr>
    </w:p>
    <w:p w:rsidR="00426F1C" w:rsidRDefault="00426F1C">
      <w:pPr>
        <w:rPr>
          <w:sz w:val="24"/>
          <w:szCs w:val="24"/>
        </w:rPr>
      </w:pPr>
    </w:p>
    <w:p w:rsidR="00426F1C" w:rsidRDefault="00426F1C">
      <w:pPr>
        <w:rPr>
          <w:sz w:val="24"/>
          <w:szCs w:val="24"/>
        </w:rPr>
      </w:pPr>
    </w:p>
    <w:p w:rsidR="00426F1C" w:rsidRDefault="00E2385F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Le ministre de l'économie, des finances et de la souveraineté industrielle et numérique,</w:t>
      </w:r>
      <w:r>
        <w:rPr>
          <w:rFonts w:ascii="Times New Roman" w:hAnsi="Times New Roman" w:cs="Times New Roman"/>
          <w:sz w:val="24"/>
          <w:szCs w:val="24"/>
        </w:rPr>
        <w:br/>
        <w:t>Pour le ministre et par délégation :</w:t>
      </w:r>
      <w:r>
        <w:rPr>
          <w:rFonts w:ascii="Times New Roman" w:hAnsi="Times New Roman" w:cs="Times New Roman"/>
          <w:sz w:val="24"/>
          <w:szCs w:val="24"/>
        </w:rPr>
        <w:br/>
        <w:t>Le directeur national d'interventions domaniales,</w:t>
      </w:r>
    </w:p>
    <w:p w:rsidR="00426F1C" w:rsidRDefault="00E2385F">
      <w:pPr>
        <w:pStyle w:val="Titre1"/>
        <w:spacing w:before="280" w:after="280"/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br/>
        <w:t xml:space="preserve">A. CAUMEIL </w:t>
      </w:r>
    </w:p>
    <w:p w:rsidR="00426F1C" w:rsidRDefault="00426F1C"/>
    <w:sectPr w:rsidR="00426F1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A1" w:rsidRDefault="006730A1">
      <w:pPr>
        <w:spacing w:after="0" w:line="240" w:lineRule="auto"/>
      </w:pPr>
      <w:r>
        <w:separator/>
      </w:r>
    </w:p>
  </w:endnote>
  <w:endnote w:type="continuationSeparator" w:id="0">
    <w:p w:rsidR="006730A1" w:rsidRDefault="0067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1C" w:rsidRDefault="00426F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A1" w:rsidRDefault="006730A1">
      <w:pPr>
        <w:spacing w:after="0" w:line="240" w:lineRule="auto"/>
      </w:pPr>
      <w:r>
        <w:separator/>
      </w:r>
    </w:p>
  </w:footnote>
  <w:footnote w:type="continuationSeparator" w:id="0">
    <w:p w:rsidR="006730A1" w:rsidRDefault="0067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F1C" w:rsidRDefault="0076160E">
    <w:pPr>
      <w:pStyle w:val="En-tte"/>
    </w:pPr>
    <w:r>
      <w:pict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  <w:r>
      <w:pict>
        <v:shape id="PowerPlusWaterMarkObject25832970" o:spid="_x0000_s2049" type="#shapetype_136" style="position:absolute;margin-left:0;margin-top:0;width:426.3pt;height:142.05pt;rotation:315;z-index:251658240;mso-position-horizontal:center;mso-position-vertical:center;mso-position-vertical-relative:margin" o:spt="100" adj="10800,,0" path="m@9,l@10,em@11,21600l@12,21600e" fillcolor="silver" stroked="f" strokecolor="#3465a4">
          <v:fill opacity=".5" color2="#3f3f3f" o:detectmouseclick="t" type="solid"/>
          <v:stroke joinstyle="round" endcap="flat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textpathok="t" o:connecttype="segments" textboxrect="3163,3163,18437,18437"/>
          <v:textpath on="t" style="font-family:&quot;Calibri&quot;;font-size:1pt" fitshape="t" trim="t" string="PROJET"/>
          <v:handles>
            <v:h position="@0,center"/>
          </v:handles>
          <w10:wrap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1C"/>
    <w:rsid w:val="00426F1C"/>
    <w:rsid w:val="004947A3"/>
    <w:rsid w:val="00557A2C"/>
    <w:rsid w:val="006730A1"/>
    <w:rsid w:val="00683D9D"/>
    <w:rsid w:val="0076160E"/>
    <w:rsid w:val="00797AD5"/>
    <w:rsid w:val="00E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D64DAD"/>
  <w15:docId w15:val="{04476A16-AC22-48D4-ACEF-38F9965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765C7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765C73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LienInternet">
    <w:name w:val="Lien Internet"/>
    <w:basedOn w:val="Policepardfaut"/>
    <w:uiPriority w:val="99"/>
    <w:unhideWhenUsed/>
    <w:rsid w:val="005A0A25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46150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461505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461505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61505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94421E"/>
  </w:style>
  <w:style w:type="character" w:customStyle="1" w:styleId="PieddepageCar">
    <w:name w:val="Pied de page Car"/>
    <w:basedOn w:val="Policepardfaut"/>
    <w:link w:val="Pieddepage"/>
    <w:uiPriority w:val="99"/>
    <w:qFormat/>
    <w:rsid w:val="0094421E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sz w:val="24"/>
      <w:szCs w:val="24"/>
    </w:rPr>
  </w:style>
  <w:style w:type="character" w:customStyle="1" w:styleId="ListLabel11">
    <w:name w:val="ListLabel 11"/>
    <w:qFormat/>
    <w:rPr>
      <w:rFonts w:eastAsiaTheme="minorHAnsi"/>
      <w:b/>
      <w:lang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A0A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me-article">
    <w:name w:val="name-article"/>
    <w:basedOn w:val="Normal"/>
    <w:qFormat/>
    <w:rsid w:val="005A0A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titre">
    <w:name w:val="SNtitre"/>
    <w:basedOn w:val="Normal"/>
    <w:qFormat/>
    <w:rsid w:val="005F6DA8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46150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NTimbre">
    <w:name w:val="SNTimbre"/>
    <w:basedOn w:val="Normal"/>
    <w:qFormat/>
    <w:rsid w:val="00461505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46150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461505"/>
    <w:rPr>
      <w:b/>
      <w:bCs/>
    </w:rPr>
  </w:style>
  <w:style w:type="paragraph" w:styleId="Rvision">
    <w:name w:val="Revision"/>
    <w:uiPriority w:val="99"/>
    <w:semiHidden/>
    <w:qFormat/>
    <w:rsid w:val="00461505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615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NAutorit">
    <w:name w:val="SNAutorité"/>
    <w:basedOn w:val="Normal"/>
    <w:qFormat/>
    <w:rsid w:val="00461505"/>
    <w:pPr>
      <w:suppressAutoHyphens/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customStyle="1" w:styleId="SNRapport">
    <w:name w:val="SNRapport"/>
    <w:basedOn w:val="Normal"/>
    <w:qFormat/>
    <w:rsid w:val="00C57A84"/>
    <w:pPr>
      <w:suppressAutoHyphens/>
      <w:spacing w:before="24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uiPriority w:val="99"/>
    <w:unhideWhenUsed/>
    <w:rsid w:val="0094421E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442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customStyle="1" w:styleId="surlignage">
    <w:name w:val="surlignage"/>
    <w:qFormat/>
    <w:rsid w:val="0076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article_jo/JORFARTI0000457427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gifrance.gouv.fr/jorf/article_jo/JORFARTI000045742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jorf/article_jo/JORFARTI0000457427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7D54-9958-46FE-AEE0-4A5FAA30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Frédérique</dc:creator>
  <dc:description/>
  <cp:lastModifiedBy>MOIZO Juliette</cp:lastModifiedBy>
  <cp:revision>6</cp:revision>
  <dcterms:created xsi:type="dcterms:W3CDTF">2023-07-20T10:10:00Z</dcterms:created>
  <dcterms:modified xsi:type="dcterms:W3CDTF">2023-07-21T14:00:00Z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