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61505" w:rsidRPr="006B5E3D" w14:paraId="394B64AA" w14:textId="77777777" w:rsidTr="005D6722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39136D0D" w14:textId="77777777" w:rsidR="00461505" w:rsidRPr="006B5E3D" w:rsidRDefault="00461505" w:rsidP="005D6722">
            <w:pPr>
              <w:pStyle w:val="SNREPUBLIQUE"/>
              <w:rPr>
                <w:color w:val="000000"/>
                <w:highlight w:val="yellow"/>
              </w:rPr>
            </w:pPr>
            <w:r w:rsidRPr="006B5E3D">
              <w:rPr>
                <w:color w:val="000000"/>
              </w:rPr>
              <w:t>RÉPUBLIQUE FRANÇAISE</w:t>
            </w:r>
          </w:p>
        </w:tc>
      </w:tr>
      <w:tr w:rsidR="00461505" w14:paraId="673510D5" w14:textId="77777777" w:rsidTr="005D6722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1C61988A" w14:textId="77777777" w:rsidR="00461505" w:rsidRDefault="00461505" w:rsidP="005D6722">
            <w:pPr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14:paraId="6725A43F" w14:textId="77777777" w:rsidR="00461505" w:rsidRDefault="00461505" w:rsidP="005D6722">
            <w:pPr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2A1AF4FB" w14:textId="77777777" w:rsidR="00461505" w:rsidRDefault="00461505" w:rsidP="005D6722">
            <w:pPr>
              <w:snapToGrid w:val="0"/>
              <w:rPr>
                <w:rFonts w:cs="Tahoma"/>
                <w:color w:val="000000"/>
              </w:rPr>
            </w:pPr>
          </w:p>
        </w:tc>
      </w:tr>
      <w:tr w:rsidR="00461505" w14:paraId="458BF174" w14:textId="77777777" w:rsidTr="005D6722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9D39870" w14:textId="12D8A8EB" w:rsidR="00461505" w:rsidRDefault="00461505" w:rsidP="005D6722">
            <w:pPr>
              <w:pStyle w:val="SNTimbre"/>
              <w:rPr>
                <w:color w:val="000000"/>
              </w:rPr>
            </w:pPr>
            <w:r w:rsidRPr="00E52D6C">
              <w:rPr>
                <w:color w:val="000000"/>
              </w:rPr>
              <w:t>Ministère de la transition écologique</w:t>
            </w:r>
            <w:r w:rsidR="00A6420E">
              <w:rPr>
                <w:color w:val="000000"/>
              </w:rPr>
              <w:t xml:space="preserve"> et de la cohésion des territoires</w:t>
            </w:r>
          </w:p>
        </w:tc>
      </w:tr>
    </w:tbl>
    <w:p w14:paraId="24BAD738" w14:textId="77777777" w:rsidR="00461505" w:rsidRDefault="00461505" w:rsidP="005A0A25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</w:p>
    <w:p w14:paraId="2EDF3E49" w14:textId="2BB56D1A" w:rsidR="00765C73" w:rsidRPr="00461505" w:rsidRDefault="00765C73" w:rsidP="00461505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4615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Arrêté du </w:t>
      </w:r>
      <w:r w:rsidR="00C57A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  </w:t>
      </w:r>
      <w:r w:rsidR="0034543E" w:rsidRPr="004615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</w:t>
      </w:r>
      <w:r w:rsidR="00C57A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fixant la </w:t>
      </w:r>
      <w:r w:rsidR="00E524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liste des produits</w:t>
      </w:r>
      <w:r w:rsidR="0061501F" w:rsidRPr="0061501F">
        <w:t xml:space="preserve"> </w:t>
      </w:r>
      <w:r w:rsidR="0061501F" w:rsidRPr="006150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relevant de chaque catégorie de produits</w:t>
      </w:r>
      <w:r w:rsidR="006150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visée par </w:t>
      </w:r>
      <w:r w:rsidR="0061501F" w:rsidRPr="006150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l’obligation d’achat de biens issus du réemploi ou de la réutilisation ou intégrant des matières recyclées</w:t>
      </w:r>
    </w:p>
    <w:p w14:paraId="4565402D" w14:textId="77777777" w:rsidR="005A0A25" w:rsidRPr="00461505" w:rsidRDefault="005A0A25" w:rsidP="005A0A25">
      <w:pPr>
        <w:spacing w:before="100" w:beforeAutospacing="1"/>
        <w:jc w:val="center"/>
        <w:rPr>
          <w:rFonts w:ascii="Times New Roman" w:hAnsi="Times New Roman" w:cs="Times New Roman"/>
          <w:bCs/>
          <w:sz w:val="24"/>
          <w:szCs w:val="24"/>
          <w:lang w:eastAsia="fr-FR"/>
        </w:rPr>
      </w:pPr>
      <w:r w:rsidRPr="00461505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NOR : </w:t>
      </w:r>
    </w:p>
    <w:p w14:paraId="4FDA7FC7" w14:textId="77777777" w:rsidR="00C57A84" w:rsidRDefault="00C57A84" w:rsidP="00461505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EF38B9" w14:textId="6747FDA5" w:rsidR="00213D3E" w:rsidRPr="00461505" w:rsidRDefault="00765C73" w:rsidP="00461505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505">
        <w:rPr>
          <w:rFonts w:ascii="Times New Roman" w:hAnsi="Times New Roman" w:cs="Times New Roman"/>
          <w:b/>
          <w:i/>
          <w:sz w:val="24"/>
          <w:szCs w:val="24"/>
        </w:rPr>
        <w:t>Publics concernés :</w:t>
      </w:r>
      <w:r w:rsidRPr="00461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7A84" w:rsidRPr="00C57A84">
        <w:rPr>
          <w:rFonts w:ascii="Times New Roman" w:hAnsi="Times New Roman" w:cs="Times New Roman"/>
          <w:i/>
          <w:sz w:val="24"/>
          <w:szCs w:val="24"/>
        </w:rPr>
        <w:t>Etat, collectivités territoriales et groupements de collectivités territoriales</w:t>
      </w:r>
    </w:p>
    <w:p w14:paraId="1B60019A" w14:textId="6A27378A" w:rsidR="005A0A25" w:rsidRPr="00461505" w:rsidRDefault="00765C73" w:rsidP="0046150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fr-FR"/>
        </w:rPr>
      </w:pPr>
      <w:r w:rsidRPr="00461505">
        <w:rPr>
          <w:rFonts w:ascii="Times New Roman" w:hAnsi="Times New Roman" w:cs="Times New Roman"/>
          <w:b/>
          <w:i/>
          <w:sz w:val="24"/>
          <w:szCs w:val="24"/>
        </w:rPr>
        <w:t xml:space="preserve">Objet : </w:t>
      </w:r>
      <w:r w:rsidR="00E524CD">
        <w:rPr>
          <w:rFonts w:ascii="Times New Roman" w:hAnsi="Times New Roman" w:cs="Times New Roman"/>
          <w:i/>
          <w:sz w:val="24"/>
          <w:szCs w:val="24"/>
        </w:rPr>
        <w:t xml:space="preserve">liste des produits visés par l’obligation d’achat </w:t>
      </w:r>
      <w:r w:rsidR="00E524CD" w:rsidRPr="00E524CD">
        <w:rPr>
          <w:rFonts w:ascii="Times New Roman" w:hAnsi="Times New Roman" w:cs="Times New Roman"/>
          <w:i/>
          <w:sz w:val="24"/>
          <w:szCs w:val="24"/>
        </w:rPr>
        <w:t>de biens issus du réemploi ou de la réutilisation ou intégrant des matières recyclées</w:t>
      </w:r>
    </w:p>
    <w:p w14:paraId="4D2A361B" w14:textId="77777777" w:rsidR="00213D3E" w:rsidRPr="00461505" w:rsidRDefault="00213D3E" w:rsidP="004615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fr-FR"/>
        </w:rPr>
      </w:pPr>
    </w:p>
    <w:p w14:paraId="676A7662" w14:textId="37706C0E" w:rsidR="00461505" w:rsidRDefault="00765C73" w:rsidP="004615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505">
        <w:rPr>
          <w:rFonts w:ascii="Times New Roman" w:hAnsi="Times New Roman" w:cs="Times New Roman"/>
          <w:b/>
          <w:i/>
          <w:sz w:val="24"/>
          <w:szCs w:val="24"/>
        </w:rPr>
        <w:t>Entrée en vigueur :</w:t>
      </w:r>
      <w:r w:rsidRPr="00461505">
        <w:rPr>
          <w:rFonts w:ascii="Times New Roman" w:hAnsi="Times New Roman" w:cs="Times New Roman"/>
          <w:i/>
          <w:sz w:val="24"/>
          <w:szCs w:val="24"/>
        </w:rPr>
        <w:t xml:space="preserve"> le texte entre en vigueur </w:t>
      </w:r>
      <w:r w:rsidR="00461505" w:rsidRPr="00461505">
        <w:rPr>
          <w:rFonts w:ascii="Times New Roman" w:hAnsi="Times New Roman" w:cs="Times New Roman"/>
          <w:i/>
          <w:sz w:val="24"/>
          <w:szCs w:val="24"/>
        </w:rPr>
        <w:t>le 1er janvier 2024.</w:t>
      </w:r>
    </w:p>
    <w:p w14:paraId="7A4C7FDD" w14:textId="3EE5F605" w:rsidR="00461505" w:rsidRPr="00461505" w:rsidRDefault="00765C73" w:rsidP="004615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505">
        <w:rPr>
          <w:rFonts w:ascii="Times New Roman" w:hAnsi="Times New Roman" w:cs="Times New Roman"/>
          <w:i/>
          <w:sz w:val="24"/>
          <w:szCs w:val="24"/>
        </w:rPr>
        <w:br/>
      </w:r>
      <w:r w:rsidRPr="00461505">
        <w:rPr>
          <w:rFonts w:ascii="Times New Roman" w:hAnsi="Times New Roman" w:cs="Times New Roman"/>
          <w:b/>
          <w:i/>
          <w:sz w:val="24"/>
          <w:szCs w:val="24"/>
        </w:rPr>
        <w:t>Notice :</w:t>
      </w:r>
      <w:r w:rsidRPr="00461505">
        <w:rPr>
          <w:rFonts w:ascii="Times New Roman" w:hAnsi="Times New Roman" w:cs="Times New Roman"/>
          <w:i/>
          <w:sz w:val="24"/>
          <w:szCs w:val="24"/>
        </w:rPr>
        <w:t xml:space="preserve"> le présent arrêté fixe </w:t>
      </w:r>
      <w:r w:rsidR="00C57A84" w:rsidRPr="00C57A84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E524CD">
        <w:rPr>
          <w:rFonts w:ascii="Times New Roman" w:hAnsi="Times New Roman" w:cs="Times New Roman"/>
          <w:i/>
          <w:sz w:val="24"/>
          <w:szCs w:val="24"/>
        </w:rPr>
        <w:t xml:space="preserve">liste des produits </w:t>
      </w:r>
      <w:r w:rsidR="0061501F" w:rsidRPr="0061501F">
        <w:rPr>
          <w:rFonts w:ascii="Times New Roman" w:hAnsi="Times New Roman" w:cs="Times New Roman"/>
          <w:i/>
          <w:sz w:val="24"/>
          <w:szCs w:val="24"/>
        </w:rPr>
        <w:t xml:space="preserve">relevant de chaque catégorie de produits visée </w:t>
      </w:r>
      <w:r w:rsidR="00E524CD" w:rsidRPr="00E524CD">
        <w:rPr>
          <w:rFonts w:ascii="Times New Roman" w:hAnsi="Times New Roman" w:cs="Times New Roman"/>
          <w:i/>
          <w:sz w:val="24"/>
          <w:szCs w:val="24"/>
        </w:rPr>
        <w:t xml:space="preserve">par l’obligation d’achat de biens issus du réemploi ou de la réutilisation ou intégrant des matières recyclées </w:t>
      </w:r>
      <w:r w:rsidR="00C57A84" w:rsidRPr="00C57A84">
        <w:rPr>
          <w:rFonts w:ascii="Times New Roman" w:hAnsi="Times New Roman" w:cs="Times New Roman"/>
          <w:i/>
          <w:sz w:val="24"/>
          <w:szCs w:val="24"/>
        </w:rPr>
        <w:t>en application de l’article 58 de la loi n° 2020-105 du 10 février 2020 relative à la lutte contre le gaspillage et à l'économie circulaire</w:t>
      </w:r>
      <w:r w:rsidR="0061501F">
        <w:rPr>
          <w:rFonts w:ascii="Times New Roman" w:hAnsi="Times New Roman" w:cs="Times New Roman"/>
          <w:i/>
          <w:sz w:val="24"/>
          <w:szCs w:val="24"/>
        </w:rPr>
        <w:t>, tel</w:t>
      </w:r>
      <w:r w:rsidR="00C57A84">
        <w:rPr>
          <w:rFonts w:ascii="Times New Roman" w:hAnsi="Times New Roman" w:cs="Times New Roman"/>
          <w:i/>
          <w:sz w:val="24"/>
          <w:szCs w:val="24"/>
        </w:rPr>
        <w:t xml:space="preserve"> que prévue </w:t>
      </w:r>
      <w:r w:rsidR="00E524CD">
        <w:rPr>
          <w:rFonts w:ascii="Times New Roman" w:hAnsi="Times New Roman" w:cs="Times New Roman"/>
          <w:i/>
          <w:sz w:val="24"/>
          <w:szCs w:val="24"/>
        </w:rPr>
        <w:t>par l’a</w:t>
      </w:r>
      <w:r w:rsidR="0061501F">
        <w:rPr>
          <w:rFonts w:ascii="Times New Roman" w:hAnsi="Times New Roman" w:cs="Times New Roman"/>
          <w:i/>
          <w:sz w:val="24"/>
          <w:szCs w:val="24"/>
        </w:rPr>
        <w:t xml:space="preserve">rticle 2 du </w:t>
      </w:r>
      <w:r w:rsidR="00C57A84">
        <w:rPr>
          <w:rFonts w:ascii="Times New Roman" w:hAnsi="Times New Roman" w:cs="Times New Roman"/>
          <w:i/>
          <w:sz w:val="24"/>
          <w:szCs w:val="24"/>
        </w:rPr>
        <w:t xml:space="preserve">décret </w:t>
      </w:r>
      <w:r w:rsidR="00C57A84" w:rsidRPr="00E524CD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="00C57A84">
        <w:rPr>
          <w:rFonts w:ascii="Times New Roman" w:hAnsi="Times New Roman" w:cs="Times New Roman"/>
          <w:i/>
          <w:sz w:val="24"/>
          <w:szCs w:val="24"/>
        </w:rPr>
        <w:t>, pris en application de cet article</w:t>
      </w:r>
      <w:r w:rsidR="00C57A84" w:rsidRPr="00C57A84">
        <w:rPr>
          <w:rFonts w:ascii="Times New Roman" w:hAnsi="Times New Roman" w:cs="Times New Roman"/>
          <w:i/>
          <w:sz w:val="24"/>
          <w:szCs w:val="24"/>
        </w:rPr>
        <w:t>.</w:t>
      </w:r>
    </w:p>
    <w:p w14:paraId="142A09F5" w14:textId="77777777" w:rsidR="00213D3E" w:rsidRPr="00461505" w:rsidRDefault="00213D3E" w:rsidP="004615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CAAE9" w14:textId="77777777" w:rsidR="00765C73" w:rsidRPr="00461505" w:rsidRDefault="00765C73" w:rsidP="004615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505">
        <w:rPr>
          <w:rFonts w:ascii="Times New Roman" w:hAnsi="Times New Roman" w:cs="Times New Roman"/>
          <w:b/>
          <w:i/>
          <w:sz w:val="24"/>
          <w:szCs w:val="24"/>
        </w:rPr>
        <w:t>Références :</w:t>
      </w:r>
      <w:r w:rsidRPr="00461505">
        <w:rPr>
          <w:rFonts w:ascii="Times New Roman" w:hAnsi="Times New Roman" w:cs="Times New Roman"/>
          <w:i/>
          <w:sz w:val="24"/>
          <w:szCs w:val="24"/>
        </w:rPr>
        <w:t xml:space="preserve"> le présent arrêté pourra être consulté sur le site Légifrance (</w:t>
      </w:r>
      <w:hyperlink r:id="rId7" w:history="1">
        <w:r w:rsidR="005A0A25" w:rsidRPr="00461505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https://www.legifrance.gouv.fr</w:t>
        </w:r>
      </w:hyperlink>
      <w:r w:rsidRPr="00461505">
        <w:rPr>
          <w:rFonts w:ascii="Times New Roman" w:hAnsi="Times New Roman" w:cs="Times New Roman"/>
          <w:i/>
          <w:sz w:val="24"/>
          <w:szCs w:val="24"/>
        </w:rPr>
        <w:t>).</w:t>
      </w:r>
    </w:p>
    <w:p w14:paraId="65C57B3E" w14:textId="77777777" w:rsidR="00213D3E" w:rsidRPr="00461505" w:rsidRDefault="00213D3E" w:rsidP="004615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0D5E27" w14:textId="77777777" w:rsidR="00C57A84" w:rsidRDefault="00C57A84" w:rsidP="00C57A84">
      <w:pPr>
        <w:pStyle w:val="SNRapport"/>
        <w:suppressAutoHyphens w:val="0"/>
        <w:spacing w:before="120"/>
        <w:jc w:val="both"/>
        <w:rPr>
          <w:lang w:eastAsia="fr-FR"/>
        </w:rPr>
      </w:pPr>
    </w:p>
    <w:p w14:paraId="182CFF33" w14:textId="7D56E147" w:rsidR="00C57A84" w:rsidRDefault="00C57A84" w:rsidP="00C57A84">
      <w:pPr>
        <w:pStyle w:val="SNRapport"/>
        <w:suppressAutoHyphens w:val="0"/>
        <w:spacing w:before="120"/>
        <w:jc w:val="both"/>
        <w:rPr>
          <w:lang w:eastAsia="fr-FR"/>
        </w:rPr>
      </w:pPr>
      <w:r w:rsidRPr="00CB204F">
        <w:rPr>
          <w:lang w:eastAsia="fr-FR"/>
        </w:rPr>
        <w:t>Sur le rapport d</w:t>
      </w:r>
      <w:r>
        <w:rPr>
          <w:lang w:eastAsia="fr-FR"/>
        </w:rPr>
        <w:t>u</w:t>
      </w:r>
      <w:r w:rsidRPr="00CB204F">
        <w:rPr>
          <w:lang w:eastAsia="fr-FR"/>
        </w:rPr>
        <w:t xml:space="preserve"> ministre de la transition écologique</w:t>
      </w:r>
      <w:r>
        <w:rPr>
          <w:lang w:eastAsia="fr-FR"/>
        </w:rPr>
        <w:t xml:space="preserve"> et de la cohésion des territoires</w:t>
      </w:r>
      <w:r w:rsidRPr="00CB204F">
        <w:rPr>
          <w:lang w:eastAsia="fr-FR"/>
        </w:rPr>
        <w:t xml:space="preserve">, </w:t>
      </w:r>
    </w:p>
    <w:p w14:paraId="7EBE380E" w14:textId="77777777" w:rsidR="00C57A84" w:rsidRDefault="00C57A84" w:rsidP="00C57A84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Vu la loi n° 2020-105 du 10 février 2020 relative à la lutte contre le gaspillage et à l'économie circulaire, notamment son article 58 ;</w:t>
      </w:r>
    </w:p>
    <w:p w14:paraId="67387E6C" w14:textId="4239C4F9" w:rsidR="00C57A84" w:rsidRDefault="00C57A84" w:rsidP="00C57A84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 xml:space="preserve">Vu le décret </w:t>
      </w:r>
      <w:r w:rsidRPr="00C57A84">
        <w:rPr>
          <w:highlight w:val="yellow"/>
          <w:lang w:eastAsia="fr-FR"/>
        </w:rPr>
        <w:t>X</w:t>
      </w:r>
      <w:r w:rsidR="00797584">
        <w:rPr>
          <w:lang w:eastAsia="fr-FR"/>
        </w:rPr>
        <w:t xml:space="preserve"> ; </w:t>
      </w:r>
    </w:p>
    <w:p w14:paraId="53E2E3D2" w14:textId="7E1855D8" w:rsidR="00281218" w:rsidRPr="00281218" w:rsidRDefault="00281218" w:rsidP="00281218">
      <w:pPr>
        <w:widowControl w:val="0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81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les observations formulées lors de la </w:t>
      </w:r>
      <w:r w:rsidRPr="00281218">
        <w:rPr>
          <w:rFonts w:ascii="Times New Roman" w:eastAsia="Times New Roman" w:hAnsi="Times New Roman" w:cs="Times New Roman"/>
          <w:sz w:val="24"/>
          <w:szCs w:val="24"/>
          <w:lang w:eastAsia="fr-FR"/>
        </w:rPr>
        <w:t>consultation</w:t>
      </w:r>
      <w:r w:rsidRPr="002812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public réalisée du X au X, en application de l'article L. 123-1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9-1 du code de l'environnement,</w:t>
      </w:r>
      <w:bookmarkStart w:id="0" w:name="_GoBack"/>
      <w:bookmarkEnd w:id="0"/>
    </w:p>
    <w:p w14:paraId="3D46687D" w14:textId="77777777" w:rsidR="00797584" w:rsidRDefault="00797584" w:rsidP="00C57A84">
      <w:pPr>
        <w:pStyle w:val="SNRapport"/>
        <w:suppressAutoHyphens w:val="0"/>
        <w:spacing w:before="120"/>
        <w:jc w:val="both"/>
        <w:rPr>
          <w:lang w:eastAsia="fr-FR"/>
        </w:rPr>
      </w:pPr>
    </w:p>
    <w:p w14:paraId="348C6289" w14:textId="77777777" w:rsidR="00C57A84" w:rsidRDefault="00C57A84" w:rsidP="00461505">
      <w:pPr>
        <w:pStyle w:val="SNtitre"/>
        <w:spacing w:after="0"/>
        <w:jc w:val="both"/>
        <w:rPr>
          <w:b w:val="0"/>
          <w:i/>
        </w:rPr>
      </w:pPr>
    </w:p>
    <w:p w14:paraId="7AF4CC94" w14:textId="77777777" w:rsidR="00DE0EF7" w:rsidRDefault="005F6DA8" w:rsidP="00C57A84">
      <w:pPr>
        <w:pStyle w:val="SNtitre"/>
        <w:spacing w:after="100" w:afterAutospacing="1"/>
        <w:rPr>
          <w:b w:val="0"/>
        </w:rPr>
      </w:pPr>
      <w:r w:rsidRPr="00461505">
        <w:rPr>
          <w:b w:val="0"/>
        </w:rPr>
        <w:t>Arrêtent :</w:t>
      </w:r>
    </w:p>
    <w:p w14:paraId="29A55330" w14:textId="77777777" w:rsidR="003F5F54" w:rsidRPr="003F5F54" w:rsidRDefault="00797584" w:rsidP="003F5F54">
      <w:pPr>
        <w:pStyle w:val="NormalWeb"/>
        <w:spacing w:before="0" w:beforeAutospacing="0" w:after="0" w:afterAutospacing="0"/>
        <w:jc w:val="center"/>
        <w:rPr>
          <w:rFonts w:eastAsiaTheme="minorHAnsi"/>
          <w:b/>
          <w:vertAlign w:val="superscript"/>
          <w:lang w:eastAsia="en-US"/>
        </w:rPr>
      </w:pPr>
      <w:hyperlink r:id="rId8" w:history="1">
        <w:r w:rsidR="005A0A25" w:rsidRPr="00461505">
          <w:rPr>
            <w:rFonts w:eastAsiaTheme="minorHAnsi"/>
            <w:b/>
            <w:lang w:eastAsia="en-US"/>
          </w:rPr>
          <w:t>Article 1</w:t>
        </w:r>
      </w:hyperlink>
      <w:r w:rsidR="00461505" w:rsidRPr="00461505">
        <w:rPr>
          <w:rFonts w:eastAsiaTheme="minorHAnsi"/>
          <w:b/>
          <w:vertAlign w:val="superscript"/>
          <w:lang w:eastAsia="en-US"/>
        </w:rPr>
        <w:t>er</w:t>
      </w:r>
    </w:p>
    <w:p w14:paraId="430179C3" w14:textId="271DE944" w:rsidR="00E524CD" w:rsidRDefault="0061501F" w:rsidP="00C57A8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Relèvent de chaque catégorie de produit visée à l’annexe du décret </w:t>
      </w:r>
      <w:r w:rsidRPr="0061501F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les produits suivants</w:t>
      </w:r>
      <w:r w:rsidR="00C57A8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011498BF" w14:textId="65CB6F0B" w:rsidR="00E524CD" w:rsidRDefault="00E524C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tbl>
      <w:tblPr>
        <w:tblW w:w="1034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071"/>
        <w:gridCol w:w="3071"/>
        <w:gridCol w:w="3072"/>
      </w:tblGrid>
      <w:tr w:rsidR="005E055D" w:rsidRPr="00F457DD" w14:paraId="395B06D7" w14:textId="12AA0007" w:rsidTr="0019519F">
        <w:trPr>
          <w:trHeight w:val="182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D56CF" w14:textId="13A95A12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/>
                <w:bCs/>
                <w:lang w:eastAsia="fr-FR"/>
              </w:rPr>
              <w:lastRenderedPageBreak/>
              <w:t>Ligne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1F07" w14:textId="041F65DD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C</w:t>
            </w:r>
            <w:r w:rsidRPr="00422C40">
              <w:rPr>
                <w:rFonts w:ascii="Times New Roman" w:hAnsi="Times New Roman" w:cs="Times New Roman"/>
                <w:b/>
                <w:bCs/>
                <w:lang w:eastAsia="fr-FR"/>
              </w:rPr>
              <w:t>atégories de produits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343DE" w14:textId="77579B58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Produits</w:t>
            </w:r>
            <w:r w:rsidR="001C5AD1">
              <w:rPr>
                <w:rFonts w:ascii="Times New Roman" w:hAnsi="Times New Roman" w:cs="Times New Roman"/>
                <w:b/>
                <w:bCs/>
                <w:lang w:eastAsia="fr-FR"/>
              </w:rPr>
              <w:t xml:space="preserve"> entrant dans le champ de l’obligation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FC5F1" w14:textId="373D7433" w:rsidR="005E055D" w:rsidRDefault="001C5AD1" w:rsidP="00D60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 xml:space="preserve">Produits </w:t>
            </w:r>
            <w:r w:rsidR="00D60E7E">
              <w:rPr>
                <w:rFonts w:ascii="Times New Roman" w:hAnsi="Times New Roman" w:cs="Times New Roman"/>
                <w:b/>
                <w:bCs/>
                <w:lang w:eastAsia="fr-FR"/>
              </w:rPr>
              <w:t xml:space="preserve">identifiés comme </w:t>
            </w: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nouveaux</w:t>
            </w:r>
            <w:r w:rsidR="00D60E7E">
              <w:rPr>
                <w:rFonts w:ascii="Times New Roman" w:hAnsi="Times New Roman" w:cs="Times New Roman"/>
                <w:b/>
                <w:bCs/>
                <w:lang w:eastAsia="fr-FR"/>
              </w:rPr>
              <w:t xml:space="preserve"> pour l’application de l’article 7 du décret </w:t>
            </w:r>
            <w:r w:rsidR="00D60E7E" w:rsidRPr="0019519F">
              <w:rPr>
                <w:rFonts w:ascii="Times New Roman" w:hAnsi="Times New Roman" w:cs="Times New Roman"/>
                <w:b/>
                <w:bCs/>
                <w:highlight w:val="yellow"/>
                <w:lang w:eastAsia="fr-FR"/>
              </w:rPr>
              <w:t>X</w:t>
            </w:r>
          </w:p>
        </w:tc>
      </w:tr>
      <w:tr w:rsidR="005E055D" w:rsidRPr="00F457DD" w14:paraId="70A32D09" w14:textId="23E96746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241E4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422C40">
              <w:rPr>
                <w:rFonts w:ascii="Times New Roman" w:hAnsi="Times New Roman" w:cs="Times New Roman"/>
                <w:lang w:eastAsia="fr-FR"/>
              </w:rPr>
              <w:t>1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6B539" w14:textId="504B9DFD" w:rsidR="005E055D" w:rsidRPr="00B7096D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B7096D">
              <w:rPr>
                <w:rFonts w:ascii="Times New Roman" w:hAnsi="Times New Roman" w:cs="Times New Roman"/>
                <w:bCs/>
                <w:lang w:eastAsia="fr-FR"/>
              </w:rPr>
              <w:t>Produits textiles et sanitaires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,</w:t>
            </w:r>
            <w:r w:rsidRPr="004E0240">
              <w:rPr>
                <w:rFonts w:ascii="Times New Roman" w:hAnsi="Times New Roman" w:cs="Times New Roman"/>
                <w:bCs/>
                <w:lang w:eastAsia="fr-FR"/>
              </w:rPr>
              <w:t xml:space="preserve"> à l’exception des équipements de protection individuels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19E5D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Textiles d’habillement</w:t>
            </w:r>
          </w:p>
          <w:p w14:paraId="3B889417" w14:textId="5E7CADA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Chaussures</w:t>
            </w:r>
          </w:p>
          <w:p w14:paraId="39594F31" w14:textId="701ED514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Gants</w:t>
            </w:r>
          </w:p>
          <w:p w14:paraId="27427693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Blouses</w:t>
            </w:r>
          </w:p>
          <w:p w14:paraId="423CC9B7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Masques</w:t>
            </w:r>
          </w:p>
          <w:p w14:paraId="0952E69A" w14:textId="4DE10794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Linge de table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BAF29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4AEB6B5A" w14:textId="42EBA3B7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3B099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fr-FR"/>
              </w:rPr>
            </w:pPr>
            <w:r w:rsidRPr="00422C40">
              <w:rPr>
                <w:rFonts w:ascii="Times New Roman" w:hAnsi="Times New Roman" w:cs="Times New Roman"/>
                <w:b/>
                <w:lang w:eastAsia="fr-FR"/>
              </w:rPr>
              <w:t>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C104" w14:textId="21D1F72A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Matériel informatique et 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téléphonie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72D9D" w14:textId="77777777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Téléphones 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f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ixes</w:t>
            </w:r>
          </w:p>
          <w:p w14:paraId="4B0B4EA3" w14:textId="7FF8CAA6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Téléphones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 mobiles</w:t>
            </w:r>
          </w:p>
          <w:p w14:paraId="7F45ECFF" w14:textId="4FD69F64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Terminal informatique</w:t>
            </w:r>
          </w:p>
          <w:p w14:paraId="109CDD9F" w14:textId="5F86E682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Serveurs</w:t>
            </w:r>
          </w:p>
          <w:p w14:paraId="1571F053" w14:textId="0C4F0445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Ecrans</w:t>
            </w:r>
          </w:p>
          <w:p w14:paraId="6626466E" w14:textId="4FC9FD0C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Ordinateurs fixes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et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 portables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(avec ou sans écrans)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09A2E" w14:textId="77777777" w:rsidR="005E055D" w:rsidRPr="00422C40" w:rsidRDefault="005E055D" w:rsidP="005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Tablettes</w:t>
            </w:r>
          </w:p>
          <w:p w14:paraId="64F48BEE" w14:textId="13779B0C" w:rsidR="005E055D" w:rsidRPr="00422C40" w:rsidRDefault="005E055D" w:rsidP="005E0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Vidéoprojecteurs</w:t>
            </w:r>
          </w:p>
        </w:tc>
      </w:tr>
      <w:tr w:rsidR="005E055D" w:rsidRPr="00F457DD" w14:paraId="6D5C3119" w14:textId="14A90B3F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23EAD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/>
                <w:bCs/>
                <w:lang w:eastAsia="fr-FR"/>
              </w:rPr>
              <w:t>3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4AAA" w14:textId="12004F1F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Matériel de reprographie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et d’impression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A96D7" w14:textId="00A27DBD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Photocopieurs</w:t>
            </w:r>
          </w:p>
          <w:p w14:paraId="48AEE3E8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Copieurs multifonctions</w:t>
            </w:r>
          </w:p>
          <w:p w14:paraId="1C762CDE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Scanneurs</w:t>
            </w:r>
          </w:p>
          <w:p w14:paraId="03794F9E" w14:textId="18CDE698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Imprimantes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individuelles ou collectives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124F0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1617C32B" w14:textId="7692D5BD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48804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/>
                <w:bCs/>
                <w:lang w:eastAsia="fr-FR"/>
              </w:rPr>
              <w:t>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C5B6" w14:textId="49F66953" w:rsidR="005E055D" w:rsidRPr="00422C40" w:rsidRDefault="005E055D" w:rsidP="00B7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Consommables d’impression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6DD3C" w14:textId="7C0C38CF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Cartouches de toner</w:t>
            </w:r>
          </w:p>
          <w:p w14:paraId="17543444" w14:textId="09CD29AE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Cartouches d’encre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EA998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3E4239A8" w14:textId="055D28D4" w:rsidTr="0019519F">
        <w:trPr>
          <w:trHeight w:val="417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6F940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/>
                <w:bCs/>
                <w:lang w:eastAsia="fr-FR"/>
              </w:rPr>
              <w:t>5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4E1AC" w14:textId="0007A83E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Papier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CA426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Papier</w:t>
            </w:r>
          </w:p>
          <w:p w14:paraId="45D29DBF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Papeterie</w:t>
            </w:r>
          </w:p>
          <w:p w14:paraId="50960C11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Carnets</w:t>
            </w:r>
          </w:p>
          <w:p w14:paraId="2277DEF5" w14:textId="4F782F84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Cahiers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40330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13E5C5B5" w14:textId="692B2ECA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AC863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/>
                <w:bCs/>
                <w:lang w:eastAsia="fr-FR"/>
              </w:rPr>
              <w:t>6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63615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Fournitures de bureau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10411" w14:textId="3D7FD7B0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Crayons et 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tylos</w:t>
            </w:r>
          </w:p>
          <w:p w14:paraId="07A7F1E2" w14:textId="6C82517A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Agrafeuses</w:t>
            </w:r>
          </w:p>
          <w:p w14:paraId="169A580A" w14:textId="0F981BBE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Classeurs, </w:t>
            </w:r>
          </w:p>
          <w:p w14:paraId="07E835C6" w14:textId="68F7B48B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Chemises cartonnées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ED9DE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71AB4BFA" w14:textId="26E8F55D" w:rsidTr="0019519F">
        <w:trPr>
          <w:trHeight w:val="608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E70D1" w14:textId="7777777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/>
                <w:bCs/>
                <w:lang w:eastAsia="fr-FR"/>
              </w:rPr>
              <w:t>7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AE762" w14:textId="79E9DC35" w:rsidR="005E055D" w:rsidRPr="00422C40" w:rsidRDefault="005E055D" w:rsidP="00B70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422C40">
              <w:rPr>
                <w:rFonts w:ascii="Times New Roman" w:hAnsi="Times New Roman" w:cs="Times New Roman"/>
                <w:lang w:eastAsia="fr-FR"/>
              </w:rPr>
              <w:t xml:space="preserve">Engins de </w:t>
            </w:r>
            <w:r>
              <w:rPr>
                <w:rFonts w:ascii="Times New Roman" w:hAnsi="Times New Roman" w:cs="Times New Roman"/>
                <w:lang w:eastAsia="fr-FR"/>
              </w:rPr>
              <w:t>transport et pièces détachées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150B8" w14:textId="1B1FDACF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Bicyclettes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à assistance électrique ou non</w:t>
            </w:r>
          </w:p>
          <w:p w14:paraId="32A3DEDA" w14:textId="1FEA13EF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Trottinettes à assistance électrique ou non</w:t>
            </w:r>
          </w:p>
          <w:p w14:paraId="74F071B9" w14:textId="24C48531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497A8" w14:textId="6AB0E911" w:rsidR="001C5AD1" w:rsidRPr="00422C40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Pièces détachées des bi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cyclettes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(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à assistance électrique ou non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) et des t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rottinettes 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(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à assistance électrique ou non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)</w:t>
            </w:r>
          </w:p>
          <w:p w14:paraId="5219B0D9" w14:textId="7986B182" w:rsidR="005E055D" w:rsidRPr="00422C40" w:rsidRDefault="001C5AD1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Engins de déplacement individuel motorisés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et leurs pièces détachées</w:t>
            </w:r>
          </w:p>
        </w:tc>
      </w:tr>
      <w:tr w:rsidR="005E055D" w:rsidRPr="00F457DD" w14:paraId="0ADBC774" w14:textId="3EA25A49" w:rsidTr="0019519F">
        <w:trPr>
          <w:trHeight w:val="440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6329A" w14:textId="2C7F6F27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8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00DAC" w14:textId="291A4A32" w:rsidR="005E055D" w:rsidRPr="00422C40" w:rsidRDefault="005E055D" w:rsidP="00B709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lang w:eastAsia="fr-FR"/>
              </w:rPr>
              <w:t>Véhicules et pièces détachées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93D27" w14:textId="0111BAB9" w:rsidR="005E055D" w:rsidRPr="00422C40" w:rsidRDefault="005E055D" w:rsidP="00CE1B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Véhicules à 2, 3 ou 4 roues et leurs pièces détachées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E7A1C" w14:textId="77777777" w:rsidR="005E055D" w:rsidRDefault="005E055D" w:rsidP="00CE1B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51AE5C0E" w14:textId="2A4F6AFA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EAA8F" w14:textId="2A4373E9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9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209CA" w14:textId="5773D010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Mobilier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intérieur et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 de bureau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DBB4" w14:textId="2C036281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Tables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, dont tables de cantines</w:t>
            </w:r>
          </w:p>
          <w:p w14:paraId="18E6A723" w14:textId="580F5FA8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Bureaux</w:t>
            </w:r>
          </w:p>
          <w:p w14:paraId="2AF27220" w14:textId="6E9AB27E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Chaises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et assises</w:t>
            </w:r>
          </w:p>
          <w:p w14:paraId="26343C03" w14:textId="287A574E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ommodes</w:t>
            </w:r>
          </w:p>
          <w:p w14:paraId="0E2EE4C7" w14:textId="4DD2BDCF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Armoires</w:t>
            </w:r>
          </w:p>
          <w:p w14:paraId="28C89D8B" w14:textId="528ED77D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Armoire fortes</w:t>
            </w:r>
          </w:p>
          <w:p w14:paraId="2014FD3D" w14:textId="77777777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 xml:space="preserve">Caissons </w:t>
            </w:r>
          </w:p>
          <w:p w14:paraId="4C59EA13" w14:textId="25DCB560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fr-FR"/>
              </w:rPr>
              <w:t>C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offres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-forts</w:t>
            </w:r>
            <w:proofErr w:type="spellEnd"/>
          </w:p>
          <w:p w14:paraId="0A10102D" w14:textId="1708F604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Bibliothèques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hautes ou basses</w:t>
            </w:r>
          </w:p>
          <w:p w14:paraId="2443F8CD" w14:textId="6B7E622E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Casiers</w:t>
            </w:r>
          </w:p>
          <w:p w14:paraId="676E700B" w14:textId="5F352972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Lampes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et lampadaires</w:t>
            </w:r>
          </w:p>
          <w:p w14:paraId="2742FF84" w14:textId="67F570C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lastRenderedPageBreak/>
              <w:t>Vitrines et matériel d’exposition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6C7CC" w14:textId="5B3A107F" w:rsidR="001C5AD1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lastRenderedPageBreak/>
              <w:t>C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ommodes</w:t>
            </w:r>
          </w:p>
          <w:p w14:paraId="230EC468" w14:textId="77777777" w:rsidR="001C5AD1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 xml:space="preserve">Caissons </w:t>
            </w:r>
          </w:p>
          <w:p w14:paraId="08918E92" w14:textId="1EA7A044" w:rsidR="001C5AD1" w:rsidRDefault="00D60E7E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C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offre-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fort</w:t>
            </w:r>
          </w:p>
          <w:p w14:paraId="5D2BC2A4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Lampes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et lampadaires</w:t>
            </w:r>
          </w:p>
          <w:p w14:paraId="1CE375D2" w14:textId="72D7071C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Vitrines et matériel d’exposition</w:t>
            </w:r>
          </w:p>
          <w:p w14:paraId="5D97C934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  <w:p w14:paraId="43C7B463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0C5E929E" w14:textId="5F602350" w:rsidTr="0019519F">
        <w:trPr>
          <w:trHeight w:val="248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E5E7A" w14:textId="7C647DE9" w:rsidR="005E055D" w:rsidRPr="00422C40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highlight w:val="lightGray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10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3C8C" w14:textId="701329FE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C40">
              <w:rPr>
                <w:rFonts w:ascii="Times New Roman" w:hAnsi="Times New Roman" w:cs="Times New Roman"/>
              </w:rPr>
              <w:t>Mobilier urbain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F0118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Abribus</w:t>
            </w:r>
          </w:p>
          <w:p w14:paraId="1E71A12E" w14:textId="5A013235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Bancs publics</w:t>
            </w:r>
          </w:p>
          <w:p w14:paraId="47A23866" w14:textId="171FAAED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J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ardinières</w:t>
            </w:r>
          </w:p>
          <w:p w14:paraId="69520A12" w14:textId="6A27914A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Aires de jeux, </w:t>
            </w:r>
          </w:p>
          <w:p w14:paraId="7E78F010" w14:textId="79A79AA3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Jalonnement et signalisation routière à l’exclusion des signalisations lumineuses</w:t>
            </w:r>
          </w:p>
          <w:p w14:paraId="2DE447BE" w14:textId="3502F45D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Abris à vélos</w:t>
            </w:r>
          </w:p>
          <w:p w14:paraId="4D65551F" w14:textId="4A4DC37B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Tables de pique-nique</w:t>
            </w:r>
          </w:p>
          <w:p w14:paraId="540EC7DD" w14:textId="03539A36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I</w:t>
            </w:r>
            <w:r w:rsidRPr="005A7BA3">
              <w:rPr>
                <w:rFonts w:ascii="Times New Roman" w:hAnsi="Times New Roman" w:cs="Times New Roman"/>
                <w:bCs/>
                <w:lang w:eastAsia="fr-FR"/>
              </w:rPr>
              <w:t>nfrastructures de recharge pour les véhicules électriques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79CBE" w14:textId="77777777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5E055D" w:rsidRPr="00F457DD" w14:paraId="6F9213BC" w14:textId="1E84CEFC" w:rsidTr="0019519F">
        <w:trPr>
          <w:trHeight w:val="248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8BFF0" w14:textId="77777777" w:rsidR="005E055D" w:rsidRDefault="005E055D" w:rsidP="0042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82770" w14:textId="06FDB5BE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Equipements de collecte des déchets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DD7F1" w14:textId="556CD1CA" w:rsidR="005E055D" w:rsidRPr="00422C40" w:rsidRDefault="005E055D" w:rsidP="005A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91F41" w14:textId="77777777" w:rsidR="001C5AD1" w:rsidRPr="00CE1B96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CE1B96">
              <w:rPr>
                <w:rFonts w:ascii="Times New Roman" w:hAnsi="Times New Roman" w:cs="Times New Roman"/>
                <w:bCs/>
                <w:lang w:eastAsia="fr-FR"/>
              </w:rPr>
              <w:t>Poubelles</w:t>
            </w:r>
          </w:p>
          <w:p w14:paraId="3AF0D788" w14:textId="77777777" w:rsidR="001C5AD1" w:rsidRPr="00CE1B96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CE1B96">
              <w:rPr>
                <w:rFonts w:ascii="Times New Roman" w:hAnsi="Times New Roman" w:cs="Times New Roman"/>
                <w:bCs/>
                <w:lang w:eastAsia="fr-FR"/>
              </w:rPr>
              <w:t>Conteneurs</w:t>
            </w:r>
          </w:p>
          <w:p w14:paraId="68056898" w14:textId="44894ADB" w:rsidR="005E055D" w:rsidRPr="00CE1B96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CE1B96">
              <w:rPr>
                <w:rFonts w:ascii="Times New Roman" w:hAnsi="Times New Roman" w:cs="Times New Roman"/>
                <w:bCs/>
                <w:lang w:eastAsia="fr-FR"/>
              </w:rPr>
              <w:t>Bacs à déchets</w:t>
            </w:r>
          </w:p>
        </w:tc>
      </w:tr>
      <w:tr w:rsidR="005E055D" w:rsidRPr="00F457DD" w14:paraId="6D1050F9" w14:textId="328A8143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B5D04" w14:textId="66BB1D14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11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1CF9" w14:textId="26B41266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C0C04">
              <w:rPr>
                <w:rFonts w:ascii="Times New Roman" w:hAnsi="Times New Roman" w:cs="Times New Roman"/>
                <w:bCs/>
                <w:lang w:eastAsia="fr-FR"/>
              </w:rPr>
              <w:t>Bocaux et flacons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6C11B" w14:textId="77777777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Bocaux</w:t>
            </w:r>
          </w:p>
          <w:p w14:paraId="30534634" w14:textId="3B5D36C0" w:rsidR="005E055D" w:rsidRPr="00422C40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Flacons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DAC5A" w14:textId="77777777" w:rsidR="005E055D" w:rsidRDefault="005E055D" w:rsidP="0042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1C5AD1" w:rsidRPr="00F457DD" w14:paraId="0166EC90" w14:textId="0419B757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F5C77" w14:textId="4812CB2C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12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0C62" w14:textId="799B6BE2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Equipement sportif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BB154" w14:textId="695887E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F6F6A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Ballons</w:t>
            </w:r>
          </w:p>
          <w:p w14:paraId="5D221198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Balles </w:t>
            </w:r>
          </w:p>
          <w:p w14:paraId="7F09D71F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Raquettes, </w:t>
            </w:r>
          </w:p>
          <w:p w14:paraId="378EB779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Filets</w:t>
            </w:r>
          </w:p>
          <w:p w14:paraId="699B3262" w14:textId="7921767E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Tapis de sol</w:t>
            </w:r>
          </w:p>
        </w:tc>
      </w:tr>
      <w:tr w:rsidR="001C5AD1" w:rsidRPr="00F457DD" w14:paraId="61E4CD88" w14:textId="01E8D922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E056F" w14:textId="135B2CFA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13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36B36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Matériel sportif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E166E" w14:textId="5293944B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BC24D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Cages</w:t>
            </w:r>
          </w:p>
          <w:p w14:paraId="0AE9C7A3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Paniers</w:t>
            </w:r>
          </w:p>
          <w:p w14:paraId="459C6C84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Poteaux</w:t>
            </w:r>
          </w:p>
          <w:p w14:paraId="1CFBD58D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Tremplins</w:t>
            </w:r>
          </w:p>
          <w:p w14:paraId="5CDEA6AC" w14:textId="043C54A6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Modules de skate-park</w:t>
            </w:r>
          </w:p>
        </w:tc>
      </w:tr>
      <w:tr w:rsidR="001C5AD1" w:rsidRPr="00F457DD" w14:paraId="4E4F7DFA" w14:textId="64ACEC9A" w:rsidTr="0019519F">
        <w:trPr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DCF39" w14:textId="25349E9D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14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37801" w14:textId="02ACDC83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 xml:space="preserve">Matériel </w:t>
            </w:r>
            <w:r>
              <w:rPr>
                <w:rFonts w:ascii="Times New Roman" w:hAnsi="Times New Roman" w:cs="Times New Roman"/>
                <w:bCs/>
                <w:lang w:eastAsia="fr-FR"/>
              </w:rPr>
              <w:t>d’entretien des espaces verts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72FCC" w14:textId="5ABB79F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8104A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Tondeuses</w:t>
            </w:r>
          </w:p>
          <w:p w14:paraId="13E5B244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Débroussailleuses</w:t>
            </w:r>
          </w:p>
          <w:p w14:paraId="6DF483D6" w14:textId="7777777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Broyeurs de végétaux</w:t>
            </w:r>
          </w:p>
          <w:p w14:paraId="58FDB1CD" w14:textId="58729E3B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Outillages pour l’entretien des espaces verts et de la voirie</w:t>
            </w:r>
          </w:p>
        </w:tc>
      </w:tr>
      <w:tr w:rsidR="001C5AD1" w:rsidRPr="00F457DD" w14:paraId="6D2A2DA5" w14:textId="179AE7DB" w:rsidTr="0019519F">
        <w:trPr>
          <w:trHeight w:val="25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0C1D3" w14:textId="6F8DA211" w:rsidR="001C5AD1" w:rsidRPr="00422C40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15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988FA" w14:textId="77777777" w:rsidR="001C5AD1" w:rsidRPr="00422C40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 xml:space="preserve">Produits 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modulaires</w:t>
            </w:r>
          </w:p>
          <w:p w14:paraId="6438ABF8" w14:textId="6542E407" w:rsidR="001C5AD1" w:rsidRPr="00422C40" w:rsidRDefault="001C5AD1" w:rsidP="001C5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 xml:space="preserve"> ou </w:t>
            </w:r>
            <w:r w:rsidRPr="00422C40">
              <w:rPr>
                <w:rFonts w:ascii="Times New Roman" w:hAnsi="Times New Roman" w:cs="Times New Roman"/>
                <w:bCs/>
                <w:lang w:eastAsia="fr-FR"/>
              </w:rPr>
              <w:t>préfabriqués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1D30D" w14:textId="77777777" w:rsidR="001C5AD1" w:rsidRPr="00422C40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Bâtiments modulaires</w:t>
            </w:r>
          </w:p>
          <w:p w14:paraId="6A5DDED8" w14:textId="2A547171" w:rsidR="001C5AD1" w:rsidRPr="00422C40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 w:rsidRPr="00422C40">
              <w:rPr>
                <w:rFonts w:ascii="Times New Roman" w:hAnsi="Times New Roman" w:cs="Times New Roman"/>
                <w:bCs/>
                <w:lang w:eastAsia="fr-FR"/>
              </w:rPr>
              <w:t>Bâtiments préfabriqués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D82FE" w14:textId="77777777" w:rsidR="001C5AD1" w:rsidRPr="00422C40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  <w:tr w:rsidR="001C5AD1" w:rsidRPr="00F457DD" w14:paraId="5829825C" w14:textId="7D571A38" w:rsidTr="0019519F">
        <w:trPr>
          <w:trHeight w:val="25"/>
          <w:tblCellSpacing w:w="15" w:type="dxa"/>
          <w:jc w:val="center"/>
        </w:trPr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6AF01" w14:textId="450E136C" w:rsidR="001C5AD1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lang w:eastAsia="fr-FR"/>
              </w:rPr>
              <w:t>16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4978C" w14:textId="5CC2B5E8" w:rsidR="001C5AD1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Appareils ménagers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BB303" w14:textId="34AC35D4" w:rsidR="001C5AD1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Lave-vaisselles</w:t>
            </w:r>
          </w:p>
          <w:p w14:paraId="7B664158" w14:textId="77777777" w:rsidR="001C5AD1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Appareils de cuisson</w:t>
            </w:r>
          </w:p>
          <w:p w14:paraId="79C6BC0F" w14:textId="41B0BF6B" w:rsidR="001C5AD1" w:rsidRPr="00422C40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Cs/>
                <w:lang w:eastAsia="fr-FR"/>
              </w:rPr>
              <w:t>Aspirateurs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5CF48" w14:textId="77777777" w:rsidR="001C5AD1" w:rsidRDefault="001C5AD1" w:rsidP="001C5A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fr-FR"/>
              </w:rPr>
            </w:pPr>
          </w:p>
        </w:tc>
      </w:tr>
    </w:tbl>
    <w:p w14:paraId="5A24AB1D" w14:textId="70CCEFB3" w:rsidR="00E524CD" w:rsidRDefault="00E524C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5C5B14" w14:textId="77777777" w:rsidR="00DE0EF7" w:rsidRPr="00461505" w:rsidRDefault="00DE0EF7" w:rsidP="00DE0EF7">
      <w:pPr>
        <w:pStyle w:val="NormalWeb"/>
        <w:jc w:val="both"/>
      </w:pPr>
    </w:p>
    <w:p w14:paraId="2A1EC304" w14:textId="77777777" w:rsidR="000F78CE" w:rsidRPr="00461505" w:rsidRDefault="00281218" w:rsidP="00461505">
      <w:pPr>
        <w:pStyle w:val="name-article"/>
        <w:jc w:val="center"/>
        <w:rPr>
          <w:rFonts w:eastAsiaTheme="minorHAnsi"/>
          <w:b/>
          <w:lang w:eastAsia="en-US"/>
        </w:rPr>
      </w:pPr>
      <w:hyperlink r:id="rId9" w:history="1">
        <w:r w:rsidR="005A0A25" w:rsidRPr="00461505">
          <w:rPr>
            <w:rFonts w:eastAsiaTheme="minorHAnsi"/>
            <w:b/>
            <w:lang w:eastAsia="en-US"/>
          </w:rPr>
          <w:t>Article 2</w:t>
        </w:r>
      </w:hyperlink>
    </w:p>
    <w:p w14:paraId="792C457E" w14:textId="4D02DBEC" w:rsidR="005A0A25" w:rsidRPr="00461505" w:rsidRDefault="000F78CE" w:rsidP="00DE0EF7">
      <w:pPr>
        <w:pStyle w:val="name-article"/>
      </w:pPr>
      <w:r w:rsidRPr="00461505">
        <w:rPr>
          <w:rFonts w:eastAsiaTheme="minorHAnsi"/>
          <w:lang w:eastAsia="en-US"/>
        </w:rPr>
        <w:t xml:space="preserve"> </w:t>
      </w:r>
      <w:r w:rsidRPr="00461505">
        <w:t xml:space="preserve">Les dispositions du présent arrêté entrent en vigueur </w:t>
      </w:r>
      <w:r w:rsidR="00461505">
        <w:t>le 1</w:t>
      </w:r>
      <w:r w:rsidR="00461505" w:rsidRPr="00461505">
        <w:rPr>
          <w:vertAlign w:val="superscript"/>
        </w:rPr>
        <w:t>er</w:t>
      </w:r>
      <w:r w:rsidR="00461505">
        <w:t xml:space="preserve"> janvier 2024.</w:t>
      </w:r>
    </w:p>
    <w:p w14:paraId="3272F932" w14:textId="77777777" w:rsidR="000F78CE" w:rsidRPr="00461505" w:rsidRDefault="000F78CE" w:rsidP="000F78CE">
      <w:pPr>
        <w:pStyle w:val="NormalWeb"/>
        <w:jc w:val="both"/>
      </w:pPr>
    </w:p>
    <w:p w14:paraId="7FCEC7E8" w14:textId="77777777" w:rsidR="000F78CE" w:rsidRPr="00461505" w:rsidRDefault="00281218" w:rsidP="00461505">
      <w:pPr>
        <w:pStyle w:val="name-article"/>
        <w:jc w:val="center"/>
        <w:rPr>
          <w:rFonts w:eastAsiaTheme="minorHAnsi"/>
          <w:b/>
          <w:lang w:eastAsia="en-US"/>
        </w:rPr>
      </w:pPr>
      <w:hyperlink r:id="rId10" w:history="1">
        <w:r w:rsidR="000F78CE" w:rsidRPr="00461505">
          <w:rPr>
            <w:rFonts w:eastAsiaTheme="minorHAnsi"/>
            <w:b/>
            <w:lang w:eastAsia="en-US"/>
          </w:rPr>
          <w:t>Article 3</w:t>
        </w:r>
      </w:hyperlink>
    </w:p>
    <w:p w14:paraId="3AD7F9D4" w14:textId="77777777" w:rsidR="000F78CE" w:rsidRPr="00461505" w:rsidRDefault="000F78CE" w:rsidP="000F78CE">
      <w:pPr>
        <w:pStyle w:val="name-article"/>
      </w:pPr>
      <w:r w:rsidRPr="00461505">
        <w:t>Le présent arrêté sera publié au Journal officiel de la République française.</w:t>
      </w:r>
    </w:p>
    <w:p w14:paraId="0A981F3F" w14:textId="77777777" w:rsidR="000F78CE" w:rsidRPr="00461505" w:rsidRDefault="000F78CE" w:rsidP="00DE0EF7">
      <w:pPr>
        <w:pStyle w:val="name-article"/>
        <w:rPr>
          <w:rFonts w:eastAsiaTheme="minorHAnsi"/>
          <w:lang w:eastAsia="en-US"/>
        </w:rPr>
      </w:pPr>
    </w:p>
    <w:p w14:paraId="08F37694" w14:textId="01BBD351" w:rsidR="005F6DA8" w:rsidRPr="00461505" w:rsidRDefault="005F6DA8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1505">
        <w:rPr>
          <w:rFonts w:ascii="Times New Roman" w:hAnsi="Times New Roman" w:cs="Times New Roman"/>
          <w:sz w:val="24"/>
          <w:szCs w:val="24"/>
        </w:rPr>
        <w:t xml:space="preserve">Fait le </w:t>
      </w:r>
    </w:p>
    <w:p w14:paraId="7F18B233" w14:textId="77777777" w:rsidR="003F5F54" w:rsidRDefault="003F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955B2" w14:textId="65A80EBC" w:rsidR="003F5F54" w:rsidRPr="003F5F54" w:rsidRDefault="005F6DA8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150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3F5F54">
        <w:rPr>
          <w:rFonts w:ascii="Times New Roman" w:hAnsi="Times New Roman" w:cs="Times New Roman"/>
          <w:sz w:val="24"/>
          <w:szCs w:val="24"/>
        </w:rPr>
        <w:t>L</w:t>
      </w:r>
      <w:r w:rsidR="003F5F54" w:rsidRPr="003F5F54">
        <w:rPr>
          <w:rFonts w:ascii="Times New Roman" w:hAnsi="Times New Roman" w:cs="Times New Roman"/>
          <w:sz w:val="24"/>
          <w:szCs w:val="24"/>
        </w:rPr>
        <w:t>e</w:t>
      </w:r>
      <w:r w:rsidRPr="003F5F54">
        <w:rPr>
          <w:rFonts w:ascii="Times New Roman" w:hAnsi="Times New Roman" w:cs="Times New Roman"/>
          <w:sz w:val="24"/>
          <w:szCs w:val="24"/>
        </w:rPr>
        <w:t xml:space="preserve"> ministre de la transition écologique</w:t>
      </w:r>
      <w:r w:rsidR="003F5F54" w:rsidRPr="003F5F54">
        <w:rPr>
          <w:sz w:val="24"/>
          <w:szCs w:val="24"/>
        </w:rPr>
        <w:t xml:space="preserve"> </w:t>
      </w:r>
      <w:r w:rsidR="003F5F54" w:rsidRPr="003F5F54">
        <w:rPr>
          <w:rFonts w:ascii="Times New Roman" w:hAnsi="Times New Roman" w:cs="Times New Roman"/>
          <w:sz w:val="24"/>
          <w:szCs w:val="24"/>
        </w:rPr>
        <w:t>et de la cohésion des territoires</w:t>
      </w:r>
      <w:r w:rsidRPr="003F5F54">
        <w:rPr>
          <w:rFonts w:ascii="Times New Roman" w:hAnsi="Times New Roman" w:cs="Times New Roman"/>
          <w:sz w:val="24"/>
          <w:szCs w:val="24"/>
        </w:rPr>
        <w:t>,</w:t>
      </w:r>
      <w:r w:rsidRPr="003F5F54">
        <w:rPr>
          <w:rFonts w:ascii="Times New Roman" w:hAnsi="Times New Roman" w:cs="Times New Roman"/>
          <w:sz w:val="24"/>
          <w:szCs w:val="24"/>
        </w:rPr>
        <w:br/>
        <w:t>Pour l</w:t>
      </w:r>
      <w:r w:rsidR="003F5F54" w:rsidRPr="003F5F54">
        <w:rPr>
          <w:rFonts w:ascii="Times New Roman" w:hAnsi="Times New Roman" w:cs="Times New Roman"/>
          <w:sz w:val="24"/>
          <w:szCs w:val="24"/>
        </w:rPr>
        <w:t>e</w:t>
      </w:r>
      <w:r w:rsidRPr="003F5F54">
        <w:rPr>
          <w:rFonts w:ascii="Times New Roman" w:hAnsi="Times New Roman" w:cs="Times New Roman"/>
          <w:sz w:val="24"/>
          <w:szCs w:val="24"/>
        </w:rPr>
        <w:t xml:space="preserve"> ministre et par délégation :</w:t>
      </w:r>
      <w:r w:rsidRPr="003F5F54">
        <w:rPr>
          <w:rFonts w:ascii="Times New Roman" w:hAnsi="Times New Roman" w:cs="Times New Roman"/>
          <w:sz w:val="24"/>
          <w:szCs w:val="24"/>
        </w:rPr>
        <w:br/>
        <w:t>Le commissaire général au développement durable,</w:t>
      </w:r>
    </w:p>
    <w:p w14:paraId="714CE49A" w14:textId="01DD079C" w:rsidR="005F6DA8" w:rsidRDefault="005F6DA8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F5F54">
        <w:rPr>
          <w:rFonts w:ascii="Times New Roman" w:hAnsi="Times New Roman" w:cs="Times New Roman"/>
          <w:sz w:val="24"/>
          <w:szCs w:val="24"/>
        </w:rPr>
        <w:br/>
        <w:t xml:space="preserve">T. </w:t>
      </w:r>
      <w:r w:rsidR="003F5F54" w:rsidRPr="003F5F54">
        <w:rPr>
          <w:rFonts w:ascii="Times New Roman" w:hAnsi="Times New Roman" w:cs="Times New Roman"/>
          <w:sz w:val="24"/>
          <w:szCs w:val="24"/>
        </w:rPr>
        <w:t>LESUEUR</w:t>
      </w:r>
    </w:p>
    <w:p w14:paraId="1779A9A4" w14:textId="7C2BF429" w:rsidR="0061501F" w:rsidRDefault="0061501F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D42C666" w14:textId="18BCD3AF" w:rsidR="0061501F" w:rsidRDefault="0061501F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F119207" w14:textId="77777777" w:rsidR="0061501F" w:rsidRDefault="0061501F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8AD8F68" w14:textId="15635C08" w:rsidR="0061501F" w:rsidRDefault="0061501F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1FCE4AD1" w14:textId="55780432" w:rsidR="0061501F" w:rsidRDefault="0061501F" w:rsidP="006150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ministre d</w:t>
      </w:r>
      <w:r w:rsidRPr="0061501F">
        <w:rPr>
          <w:rFonts w:ascii="Times New Roman" w:hAnsi="Times New Roman" w:cs="Times New Roman"/>
          <w:sz w:val="24"/>
          <w:szCs w:val="24"/>
        </w:rPr>
        <w:t>e l’économie, des finances et de la souveraineté industrielle et numérique,</w:t>
      </w:r>
    </w:p>
    <w:p w14:paraId="719FDF40" w14:textId="049898A3" w:rsidR="0061501F" w:rsidRDefault="0061501F" w:rsidP="006150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ministre et par délégation :</w:t>
      </w:r>
    </w:p>
    <w:p w14:paraId="23A82FCA" w14:textId="45C21A7C" w:rsidR="0061501F" w:rsidRDefault="0061501F" w:rsidP="006150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directrice des affaires juridiques, </w:t>
      </w:r>
    </w:p>
    <w:p w14:paraId="427EE24F" w14:textId="77777777" w:rsidR="0061501F" w:rsidRDefault="0061501F" w:rsidP="006150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261A3F" w14:textId="0682AA74" w:rsidR="0061501F" w:rsidRDefault="0061501F" w:rsidP="006150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BEDIER</w:t>
      </w:r>
    </w:p>
    <w:p w14:paraId="6D244641" w14:textId="77777777" w:rsidR="0061501F" w:rsidRPr="003F5F54" w:rsidRDefault="0061501F" w:rsidP="005F6DA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DEADFFB" w14:textId="77777777" w:rsidR="003F5F54" w:rsidRPr="003F5F54" w:rsidRDefault="003F5F54" w:rsidP="0034543E">
      <w:pPr>
        <w:pStyle w:val="Titre1"/>
        <w:rPr>
          <w:rFonts w:eastAsiaTheme="minorHAnsi"/>
          <w:sz w:val="24"/>
          <w:szCs w:val="24"/>
          <w:lang w:eastAsia="en-US"/>
        </w:rPr>
      </w:pPr>
    </w:p>
    <w:p w14:paraId="269F79BA" w14:textId="77777777" w:rsidR="003F5F54" w:rsidRPr="003F5F54" w:rsidRDefault="003F5F54" w:rsidP="003F5F54">
      <w:pPr>
        <w:rPr>
          <w:sz w:val="24"/>
          <w:szCs w:val="24"/>
        </w:rPr>
      </w:pPr>
    </w:p>
    <w:p w14:paraId="4F0D8A5E" w14:textId="77777777" w:rsidR="003F5F54" w:rsidRPr="003F5F54" w:rsidRDefault="003F5F54" w:rsidP="003F5F54">
      <w:pPr>
        <w:rPr>
          <w:sz w:val="24"/>
          <w:szCs w:val="24"/>
        </w:rPr>
      </w:pPr>
    </w:p>
    <w:p w14:paraId="7C600CE7" w14:textId="70D2A184" w:rsidR="0034543E" w:rsidRPr="00461505" w:rsidRDefault="005F6DA8" w:rsidP="00E524CD">
      <w:pPr>
        <w:rPr>
          <w:b/>
          <w:bCs/>
          <w:sz w:val="24"/>
          <w:szCs w:val="24"/>
        </w:rPr>
      </w:pPr>
      <w:r w:rsidRPr="003F5F54">
        <w:rPr>
          <w:rFonts w:ascii="Times New Roman" w:hAnsi="Times New Roman" w:cs="Times New Roman"/>
          <w:sz w:val="24"/>
          <w:szCs w:val="24"/>
        </w:rPr>
        <w:br/>
      </w:r>
    </w:p>
    <w:p w14:paraId="0BDBFA20" w14:textId="77777777" w:rsidR="002336CA" w:rsidRPr="00461505" w:rsidRDefault="00281218">
      <w:pPr>
        <w:rPr>
          <w:rFonts w:ascii="Times New Roman" w:hAnsi="Times New Roman" w:cs="Times New Roman"/>
          <w:sz w:val="24"/>
          <w:szCs w:val="24"/>
        </w:rPr>
      </w:pPr>
    </w:p>
    <w:sectPr w:rsidR="002336CA" w:rsidRPr="004615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D938" w14:textId="77777777" w:rsidR="00C07107" w:rsidRDefault="00C07107" w:rsidP="00132A85">
      <w:pPr>
        <w:spacing w:after="0" w:line="240" w:lineRule="auto"/>
      </w:pPr>
      <w:r>
        <w:separator/>
      </w:r>
    </w:p>
  </w:endnote>
  <w:endnote w:type="continuationSeparator" w:id="0">
    <w:p w14:paraId="1AF950A0" w14:textId="77777777" w:rsidR="00C07107" w:rsidRDefault="00C07107" w:rsidP="0013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4C26" w14:textId="77777777" w:rsidR="00132A85" w:rsidRDefault="00132A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4179" w14:textId="77777777" w:rsidR="00132A85" w:rsidRDefault="00132A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94A82" w14:textId="77777777" w:rsidR="00132A85" w:rsidRDefault="00132A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D9AD5" w14:textId="77777777" w:rsidR="00C07107" w:rsidRDefault="00C07107" w:rsidP="00132A85">
      <w:pPr>
        <w:spacing w:after="0" w:line="240" w:lineRule="auto"/>
      </w:pPr>
      <w:r>
        <w:separator/>
      </w:r>
    </w:p>
  </w:footnote>
  <w:footnote w:type="continuationSeparator" w:id="0">
    <w:p w14:paraId="41971CEA" w14:textId="77777777" w:rsidR="00C07107" w:rsidRDefault="00C07107" w:rsidP="0013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59AEF" w14:textId="6D80E6EB" w:rsidR="00132A85" w:rsidRDefault="00281218">
    <w:pPr>
      <w:pStyle w:val="En-tte"/>
    </w:pPr>
    <w:r>
      <w:rPr>
        <w:noProof/>
      </w:rPr>
      <w:pict w14:anchorId="468B6A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3094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9E6A" w14:textId="261E283B" w:rsidR="00132A85" w:rsidRDefault="00281218">
    <w:pPr>
      <w:pStyle w:val="En-tte"/>
    </w:pPr>
    <w:r>
      <w:rPr>
        <w:noProof/>
      </w:rPr>
      <w:pict w14:anchorId="359B69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3095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098DE" w14:textId="5CEFBA44" w:rsidR="00132A85" w:rsidRDefault="00281218">
    <w:pPr>
      <w:pStyle w:val="En-tte"/>
    </w:pPr>
    <w:r>
      <w:rPr>
        <w:noProof/>
      </w:rPr>
      <w:pict w14:anchorId="38B6E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3093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0A6"/>
    <w:multiLevelType w:val="hybridMultilevel"/>
    <w:tmpl w:val="266098D8"/>
    <w:lvl w:ilvl="0" w:tplc="B680C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5385"/>
    <w:multiLevelType w:val="multilevel"/>
    <w:tmpl w:val="DE8C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73"/>
    <w:rsid w:val="00096F13"/>
    <w:rsid w:val="000F78CE"/>
    <w:rsid w:val="00132A85"/>
    <w:rsid w:val="0019519F"/>
    <w:rsid w:val="001C5AD1"/>
    <w:rsid w:val="001F4079"/>
    <w:rsid w:val="00213D3E"/>
    <w:rsid w:val="00281218"/>
    <w:rsid w:val="002D0C76"/>
    <w:rsid w:val="0034543E"/>
    <w:rsid w:val="00371977"/>
    <w:rsid w:val="003F5F54"/>
    <w:rsid w:val="00422C40"/>
    <w:rsid w:val="00461505"/>
    <w:rsid w:val="004C0C04"/>
    <w:rsid w:val="004E0240"/>
    <w:rsid w:val="005A0A25"/>
    <w:rsid w:val="005A7BA3"/>
    <w:rsid w:val="005E055D"/>
    <w:rsid w:val="005F6DA8"/>
    <w:rsid w:val="0061501F"/>
    <w:rsid w:val="007263AB"/>
    <w:rsid w:val="00736B5D"/>
    <w:rsid w:val="00765C73"/>
    <w:rsid w:val="00797584"/>
    <w:rsid w:val="007C7C86"/>
    <w:rsid w:val="008C4AB8"/>
    <w:rsid w:val="009650BB"/>
    <w:rsid w:val="009E418F"/>
    <w:rsid w:val="00A00DEC"/>
    <w:rsid w:val="00A6420E"/>
    <w:rsid w:val="00B7096D"/>
    <w:rsid w:val="00B77722"/>
    <w:rsid w:val="00C07107"/>
    <w:rsid w:val="00C57A84"/>
    <w:rsid w:val="00CE1B96"/>
    <w:rsid w:val="00D60E7E"/>
    <w:rsid w:val="00DE0EF7"/>
    <w:rsid w:val="00E524CD"/>
    <w:rsid w:val="00E57784"/>
    <w:rsid w:val="00F4112D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48CF10"/>
  <w15:chartTrackingRefBased/>
  <w15:docId w15:val="{6813ECA7-2B3D-44F9-9D89-92243AE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65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5C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5A0A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me-article">
    <w:name w:val="name-article"/>
    <w:basedOn w:val="Normal"/>
    <w:rsid w:val="005A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titre">
    <w:name w:val="SNtitre"/>
    <w:basedOn w:val="Normal"/>
    <w:qFormat/>
    <w:rsid w:val="005F6DA8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4615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Timbre">
    <w:name w:val="SNTimbre"/>
    <w:basedOn w:val="Normal"/>
    <w:qFormat/>
    <w:rsid w:val="00461505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615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15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15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15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150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6150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505"/>
    <w:rPr>
      <w:rFonts w:ascii="Segoe UI" w:hAnsi="Segoe UI" w:cs="Segoe UI"/>
      <w:sz w:val="18"/>
      <w:szCs w:val="18"/>
    </w:rPr>
  </w:style>
  <w:style w:type="paragraph" w:customStyle="1" w:styleId="SNAutorit">
    <w:name w:val="SNAutorité"/>
    <w:basedOn w:val="Normal"/>
    <w:qFormat/>
    <w:rsid w:val="00461505"/>
    <w:pPr>
      <w:suppressAutoHyphens/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SNRapport">
    <w:name w:val="SNRapport"/>
    <w:basedOn w:val="Normal"/>
    <w:qFormat/>
    <w:rsid w:val="00C57A84"/>
    <w:pPr>
      <w:suppressAutoHyphens/>
      <w:spacing w:before="24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13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A85"/>
  </w:style>
  <w:style w:type="paragraph" w:styleId="Pieddepage">
    <w:name w:val="footer"/>
    <w:basedOn w:val="Normal"/>
    <w:link w:val="PieddepageCar"/>
    <w:uiPriority w:val="99"/>
    <w:unhideWhenUsed/>
    <w:rsid w:val="0013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A85"/>
  </w:style>
  <w:style w:type="character" w:customStyle="1" w:styleId="surlignage">
    <w:name w:val="surlignage"/>
    <w:qFormat/>
    <w:rsid w:val="0028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article_jo/JORFARTI00004574272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egifrance.gouv.fr/jorf/article_jo/JORFARTI000045742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jorf/article_jo/JORFARTI0000457427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Frédérique</dc:creator>
  <cp:keywords/>
  <dc:description/>
  <cp:lastModifiedBy>MOIZO Juliette</cp:lastModifiedBy>
  <cp:revision>6</cp:revision>
  <dcterms:created xsi:type="dcterms:W3CDTF">2023-07-20T10:11:00Z</dcterms:created>
  <dcterms:modified xsi:type="dcterms:W3CDTF">2023-07-21T14:00:00Z</dcterms:modified>
</cp:coreProperties>
</file>