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3982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9A124C" w:rsidRPr="006B5E3D" w14:paraId="543640AE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4D872228" w14:textId="77777777" w:rsidR="009A124C" w:rsidRPr="006B5E3D" w:rsidRDefault="004A0F51">
            <w:pPr>
              <w:pStyle w:val="SNREPUBLIQUE"/>
              <w:rPr>
                <w:color w:val="000000"/>
                <w:highlight w:val="yellow"/>
              </w:rPr>
            </w:pPr>
            <w:r w:rsidRPr="006B5E3D">
              <w:rPr>
                <w:color w:val="000000"/>
              </w:rPr>
              <w:t>RÉPUBLIQUE FRANÇAISE</w:t>
            </w:r>
          </w:p>
        </w:tc>
      </w:tr>
      <w:tr w:rsidR="009A124C" w:rsidRPr="006B5E3D" w14:paraId="043856BD" w14:textId="77777777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405C3F7C" w14:textId="77777777" w:rsidR="009A124C" w:rsidRDefault="009A124C">
            <w:pPr>
              <w:snapToGrid w:val="0"/>
              <w:rPr>
                <w:rFonts w:cs="Tahoma"/>
                <w:color w:val="000000"/>
              </w:rPr>
            </w:pPr>
          </w:p>
        </w:tc>
        <w:tc>
          <w:tcPr>
            <w:tcW w:w="968" w:type="dxa"/>
            <w:shd w:val="clear" w:color="auto" w:fill="auto"/>
          </w:tcPr>
          <w:p w14:paraId="2DFC3D95" w14:textId="77777777" w:rsidR="009A124C" w:rsidRDefault="009A124C">
            <w:pPr>
              <w:snapToGrid w:val="0"/>
              <w:rPr>
                <w:rFonts w:cs="Tahoma"/>
                <w:color w:val="000000"/>
              </w:rPr>
            </w:pPr>
          </w:p>
        </w:tc>
        <w:tc>
          <w:tcPr>
            <w:tcW w:w="1487" w:type="dxa"/>
            <w:shd w:val="clear" w:color="auto" w:fill="auto"/>
          </w:tcPr>
          <w:p w14:paraId="40D3462F" w14:textId="77777777" w:rsidR="009A124C" w:rsidRDefault="009A124C">
            <w:pPr>
              <w:snapToGrid w:val="0"/>
              <w:rPr>
                <w:rFonts w:cs="Tahoma"/>
                <w:color w:val="000000"/>
              </w:rPr>
            </w:pPr>
          </w:p>
        </w:tc>
      </w:tr>
      <w:tr w:rsidR="009A124C" w:rsidRPr="006B5E3D" w14:paraId="21E18107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0644617" w14:textId="5B6AB666" w:rsidR="009042B7" w:rsidRDefault="004A0F51" w:rsidP="00C469CE">
            <w:pPr>
              <w:pStyle w:val="SNTimbre"/>
              <w:rPr>
                <w:color w:val="000000"/>
              </w:rPr>
            </w:pPr>
            <w:r w:rsidRPr="00E52D6C">
              <w:rPr>
                <w:color w:val="000000"/>
              </w:rPr>
              <w:t>Ministère de la transition écologique</w:t>
            </w:r>
            <w:r w:rsidR="002B3C48">
              <w:rPr>
                <w:color w:val="000000"/>
              </w:rPr>
              <w:t xml:space="preserve"> et de la cohésion des territoires</w:t>
            </w:r>
          </w:p>
        </w:tc>
      </w:tr>
      <w:tr w:rsidR="009A124C" w:rsidRPr="006B5E3D" w14:paraId="1E34F3FC" w14:textId="77777777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631FA483" w14:textId="77777777" w:rsidR="009A124C" w:rsidRDefault="009A124C">
            <w:pPr>
              <w:snapToGrid w:val="0"/>
              <w:rPr>
                <w:color w:val="000000"/>
              </w:rPr>
            </w:pPr>
          </w:p>
        </w:tc>
        <w:tc>
          <w:tcPr>
            <w:tcW w:w="968" w:type="dxa"/>
            <w:shd w:val="clear" w:color="auto" w:fill="auto"/>
          </w:tcPr>
          <w:p w14:paraId="4FF71BF1" w14:textId="77777777" w:rsidR="009A124C" w:rsidRDefault="009A124C">
            <w:pPr>
              <w:snapToGrid w:val="0"/>
              <w:rPr>
                <w:color w:val="000000"/>
              </w:rPr>
            </w:pPr>
          </w:p>
        </w:tc>
        <w:tc>
          <w:tcPr>
            <w:tcW w:w="1487" w:type="dxa"/>
            <w:shd w:val="clear" w:color="auto" w:fill="auto"/>
          </w:tcPr>
          <w:p w14:paraId="55F7CB09" w14:textId="77777777" w:rsidR="009A124C" w:rsidRDefault="009A124C">
            <w:pPr>
              <w:snapToGrid w:val="0"/>
              <w:rPr>
                <w:color w:val="000000"/>
              </w:rPr>
            </w:pPr>
          </w:p>
        </w:tc>
      </w:tr>
      <w:tr w:rsidR="009A124C" w:rsidRPr="006B5E3D" w14:paraId="2E320386" w14:textId="77777777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7080CA9C" w14:textId="77777777" w:rsidR="009A124C" w:rsidRDefault="009A124C">
            <w:pPr>
              <w:snapToGrid w:val="0"/>
              <w:rPr>
                <w:color w:val="000000"/>
              </w:rPr>
            </w:pPr>
          </w:p>
        </w:tc>
        <w:tc>
          <w:tcPr>
            <w:tcW w:w="968" w:type="dxa"/>
            <w:shd w:val="clear" w:color="auto" w:fill="auto"/>
          </w:tcPr>
          <w:p w14:paraId="17E9A821" w14:textId="77777777" w:rsidR="009A124C" w:rsidRDefault="009A124C">
            <w:pPr>
              <w:snapToGrid w:val="0"/>
              <w:rPr>
                <w:color w:val="000000"/>
              </w:rPr>
            </w:pPr>
          </w:p>
        </w:tc>
        <w:tc>
          <w:tcPr>
            <w:tcW w:w="1487" w:type="dxa"/>
            <w:shd w:val="clear" w:color="auto" w:fill="auto"/>
          </w:tcPr>
          <w:p w14:paraId="79E3AB5D" w14:textId="77777777" w:rsidR="009A124C" w:rsidRDefault="009A124C">
            <w:pPr>
              <w:snapToGrid w:val="0"/>
              <w:rPr>
                <w:color w:val="000000"/>
              </w:rPr>
            </w:pPr>
          </w:p>
        </w:tc>
      </w:tr>
    </w:tbl>
    <w:p w14:paraId="4FBE0585" w14:textId="77777777" w:rsidR="0061741B" w:rsidRPr="00CB204F" w:rsidRDefault="00BC0E17" w:rsidP="008E5A4C">
      <w:pPr>
        <w:pStyle w:val="SNNature"/>
      </w:pPr>
      <w:r w:rsidRPr="00CB204F">
        <w:t>Décret n°</w:t>
      </w:r>
      <w:r w:rsidR="001F19C8" w:rsidRPr="00CB204F">
        <w:t xml:space="preserve"> </w:t>
      </w:r>
      <w:r w:rsidR="008E5A4C" w:rsidRPr="00CB204F">
        <w:t xml:space="preserve">                         </w:t>
      </w:r>
      <w:r w:rsidR="001F19C8" w:rsidRPr="00CB204F">
        <w:t>du</w:t>
      </w:r>
    </w:p>
    <w:p w14:paraId="47E690FD" w14:textId="61B9C279" w:rsidR="009A124C" w:rsidRPr="00CB204F" w:rsidRDefault="00655C32" w:rsidP="000D4291">
      <w:pPr>
        <w:pStyle w:val="SNtitre"/>
      </w:pPr>
      <w:proofErr w:type="gramStart"/>
      <w:r>
        <w:t>modifiant</w:t>
      </w:r>
      <w:proofErr w:type="gramEnd"/>
      <w:r>
        <w:t xml:space="preserve"> les </w:t>
      </w:r>
      <w:r w:rsidRPr="00655C32">
        <w:t>obligation</w:t>
      </w:r>
      <w:r w:rsidR="00A64C42">
        <w:t>s</w:t>
      </w:r>
      <w:r w:rsidRPr="00655C32">
        <w:t xml:space="preserve"> d'acquisition par </w:t>
      </w:r>
      <w:r>
        <w:t>les pouvoirs adjudicateurs et entités adjudicatrices</w:t>
      </w:r>
      <w:r w:rsidRPr="00655C32">
        <w:t xml:space="preserve"> de biens issus du réemploi ou de la réutilisation ou intégrant des matières recyclées</w:t>
      </w:r>
      <w:r w:rsidR="002B3C48">
        <w:t xml:space="preserve"> et modifiant la liste des exemptions à </w:t>
      </w:r>
      <w:r w:rsidR="002B3C48" w:rsidRPr="00FB6D20">
        <w:t>l'interdiction d'acquisition par l'Etat de produits en plastique à usage unique</w:t>
      </w:r>
    </w:p>
    <w:p w14:paraId="7355134C" w14:textId="77777777" w:rsidR="00D34BD3" w:rsidRPr="00CB204F" w:rsidRDefault="00655C32">
      <w:pPr>
        <w:pStyle w:val="SNNORCentr"/>
        <w:rPr>
          <w:color w:val="000000"/>
          <w:szCs w:val="24"/>
        </w:rPr>
      </w:pPr>
      <w:r>
        <w:rPr>
          <w:color w:val="000000"/>
          <w:szCs w:val="24"/>
        </w:rPr>
        <w:t>NOR :</w:t>
      </w:r>
    </w:p>
    <w:p w14:paraId="21D23F33" w14:textId="77777777" w:rsidR="0088333A" w:rsidRPr="00CB204F" w:rsidRDefault="004A0F51" w:rsidP="0088333A">
      <w:pPr>
        <w:pStyle w:val="SNAutorit"/>
        <w:spacing w:after="0"/>
        <w:jc w:val="both"/>
        <w:rPr>
          <w:b w:val="0"/>
          <w:i/>
          <w:color w:val="000000"/>
        </w:rPr>
      </w:pPr>
      <w:r w:rsidRPr="00CB204F">
        <w:rPr>
          <w:i/>
          <w:color w:val="000000"/>
        </w:rPr>
        <w:t xml:space="preserve">Publics concernés : </w:t>
      </w:r>
      <w:r w:rsidR="00655C32" w:rsidRPr="00655C32">
        <w:rPr>
          <w:b w:val="0"/>
          <w:i/>
          <w:color w:val="000000"/>
        </w:rPr>
        <w:t>Etat, collectivités territoriales et groupements de collectivités territoriales</w:t>
      </w:r>
    </w:p>
    <w:p w14:paraId="19CF5348" w14:textId="77777777" w:rsidR="00D03547" w:rsidRPr="00CB204F" w:rsidRDefault="00D03547" w:rsidP="00D03547">
      <w:pPr>
        <w:pStyle w:val="SNAutorit"/>
        <w:spacing w:before="0" w:after="0"/>
        <w:ind w:firstLine="680"/>
        <w:jc w:val="both"/>
        <w:rPr>
          <w:rFonts w:asciiTheme="minorHAnsi" w:hAnsiTheme="minorHAnsi"/>
          <w:b w:val="0"/>
          <w:bCs/>
          <w:i/>
          <w:iCs/>
        </w:rPr>
      </w:pPr>
    </w:p>
    <w:p w14:paraId="41BABD22" w14:textId="601E969A" w:rsidR="0088333A" w:rsidRPr="00CB204F" w:rsidRDefault="0088333A" w:rsidP="0088333A">
      <w:pPr>
        <w:pStyle w:val="SNAutorit"/>
        <w:spacing w:before="0" w:after="0"/>
        <w:jc w:val="both"/>
        <w:rPr>
          <w:b w:val="0"/>
          <w:i/>
          <w:color w:val="000000"/>
        </w:rPr>
      </w:pPr>
      <w:r w:rsidRPr="00CB204F">
        <w:rPr>
          <w:i/>
          <w:color w:val="000000"/>
        </w:rPr>
        <w:t xml:space="preserve">Objet : </w:t>
      </w:r>
      <w:r w:rsidR="00346698">
        <w:rPr>
          <w:b w:val="0"/>
          <w:i/>
          <w:color w:val="000000"/>
        </w:rPr>
        <w:t>m</w:t>
      </w:r>
      <w:r w:rsidR="00614348">
        <w:rPr>
          <w:b w:val="0"/>
          <w:i/>
          <w:color w:val="000000"/>
        </w:rPr>
        <w:t>odification d</w:t>
      </w:r>
      <w:r w:rsidR="00A64C42" w:rsidRPr="00A64C42">
        <w:rPr>
          <w:b w:val="0"/>
          <w:i/>
          <w:color w:val="000000"/>
        </w:rPr>
        <w:t>es obligation</w:t>
      </w:r>
      <w:r w:rsidR="00A64C42">
        <w:rPr>
          <w:b w:val="0"/>
          <w:i/>
          <w:color w:val="000000"/>
        </w:rPr>
        <w:t>s</w:t>
      </w:r>
      <w:r w:rsidR="00A64C42" w:rsidRPr="00A64C42">
        <w:rPr>
          <w:b w:val="0"/>
          <w:i/>
          <w:color w:val="000000"/>
        </w:rPr>
        <w:t xml:space="preserve"> d'acquisition par les pouvoirs adjudicateurs et entités adjudicatrices de biens issus du réemploi ou de la réutilisation ou intégrant des matières</w:t>
      </w:r>
      <w:r w:rsidR="00A64C42">
        <w:rPr>
          <w:b w:val="0"/>
          <w:i/>
          <w:color w:val="000000"/>
        </w:rPr>
        <w:t xml:space="preserve"> recyclées</w:t>
      </w:r>
      <w:r w:rsidR="00A64C42" w:rsidRPr="00A64C42">
        <w:rPr>
          <w:i/>
          <w:color w:val="000000"/>
        </w:rPr>
        <w:t xml:space="preserve"> </w:t>
      </w:r>
      <w:r w:rsidR="00A64C42" w:rsidRPr="00A64C42">
        <w:rPr>
          <w:b w:val="0"/>
          <w:i/>
          <w:color w:val="000000"/>
        </w:rPr>
        <w:t>en application de</w:t>
      </w:r>
      <w:r w:rsidR="00A64C42">
        <w:rPr>
          <w:i/>
          <w:color w:val="000000"/>
        </w:rPr>
        <w:t xml:space="preserve"> </w:t>
      </w:r>
      <w:r w:rsidR="00655C32">
        <w:rPr>
          <w:b w:val="0"/>
          <w:i/>
          <w:color w:val="000000"/>
        </w:rPr>
        <w:t>l’article 58 de</w:t>
      </w:r>
      <w:r w:rsidRPr="00CB204F">
        <w:rPr>
          <w:b w:val="0"/>
          <w:i/>
          <w:color w:val="000000"/>
        </w:rPr>
        <w:t xml:space="preserve"> la loi n° 2020-105 du 10 février 2020 relative à la lutte contre le gaspillage et à l'économie circulaire</w:t>
      </w:r>
      <w:r w:rsidR="002B3C48">
        <w:rPr>
          <w:b w:val="0"/>
          <w:i/>
          <w:color w:val="000000"/>
        </w:rPr>
        <w:t xml:space="preserve"> et modification de l’article 2 du d</w:t>
      </w:r>
      <w:r w:rsidR="002B3C48" w:rsidRPr="002B3C48">
        <w:rPr>
          <w:b w:val="0"/>
          <w:i/>
          <w:color w:val="000000"/>
        </w:rPr>
        <w:t>écret n° 2022-2 du 4 janvier 2022 relatif aux situations permettant de déroger à l'interdiction d'acquisition par l'Etat de produits en plastique à usage unique</w:t>
      </w:r>
      <w:r w:rsidR="00B25465">
        <w:rPr>
          <w:b w:val="0"/>
          <w:i/>
          <w:color w:val="000000"/>
        </w:rPr>
        <w:t>.</w:t>
      </w:r>
      <w:r w:rsidR="0090361A">
        <w:rPr>
          <w:b w:val="0"/>
          <w:i/>
          <w:color w:val="000000"/>
        </w:rPr>
        <w:t xml:space="preserve"> </w:t>
      </w:r>
    </w:p>
    <w:p w14:paraId="33F6A23C" w14:textId="77777777" w:rsidR="0088333A" w:rsidRPr="00CB204F" w:rsidRDefault="0088333A" w:rsidP="00D03547">
      <w:pPr>
        <w:pStyle w:val="SNAutorit"/>
        <w:spacing w:before="0" w:after="0"/>
        <w:ind w:firstLine="680"/>
        <w:jc w:val="both"/>
        <w:rPr>
          <w:rFonts w:asciiTheme="minorHAnsi" w:hAnsiTheme="minorHAnsi"/>
          <w:b w:val="0"/>
          <w:bCs/>
          <w:i/>
          <w:iCs/>
        </w:rPr>
      </w:pPr>
    </w:p>
    <w:p w14:paraId="17BAAC52" w14:textId="77777777" w:rsidR="00D03547" w:rsidRPr="00CB204F" w:rsidRDefault="00D03547" w:rsidP="00D03547">
      <w:pPr>
        <w:pStyle w:val="SNAutorit"/>
        <w:spacing w:before="0" w:after="0"/>
        <w:ind w:firstLine="680"/>
        <w:rPr>
          <w:b w:val="0"/>
          <w:i/>
          <w:color w:val="000000"/>
        </w:rPr>
      </w:pPr>
      <w:r w:rsidRPr="00CB204F">
        <w:rPr>
          <w:i/>
          <w:color w:val="000000"/>
        </w:rPr>
        <w:t xml:space="preserve">Entrée en vigueur : </w:t>
      </w:r>
      <w:r w:rsidRPr="00CB204F">
        <w:rPr>
          <w:b w:val="0"/>
          <w:i/>
          <w:color w:val="000000"/>
        </w:rPr>
        <w:t xml:space="preserve">le texte entre en vigueur le </w:t>
      </w:r>
      <w:r w:rsidRPr="000F1A4E">
        <w:rPr>
          <w:b w:val="0"/>
          <w:i/>
          <w:color w:val="000000"/>
        </w:rPr>
        <w:t>1</w:t>
      </w:r>
      <w:r w:rsidRPr="000F1A4E">
        <w:rPr>
          <w:b w:val="0"/>
          <w:i/>
          <w:color w:val="000000"/>
          <w:vertAlign w:val="superscript"/>
        </w:rPr>
        <w:t>er</w:t>
      </w:r>
      <w:r w:rsidRPr="000F1A4E">
        <w:rPr>
          <w:b w:val="0"/>
          <w:i/>
          <w:color w:val="000000"/>
        </w:rPr>
        <w:t xml:space="preserve"> janvier 202</w:t>
      </w:r>
      <w:r w:rsidR="00655C32" w:rsidRPr="000F1A4E">
        <w:rPr>
          <w:b w:val="0"/>
          <w:i/>
          <w:color w:val="000000"/>
        </w:rPr>
        <w:t>4</w:t>
      </w:r>
      <w:r w:rsidR="00B25465" w:rsidRPr="000F1A4E">
        <w:rPr>
          <w:b w:val="0"/>
          <w:i/>
          <w:color w:val="000000"/>
        </w:rPr>
        <w:t>.</w:t>
      </w:r>
    </w:p>
    <w:p w14:paraId="6F717511" w14:textId="77777777" w:rsidR="00D03547" w:rsidRPr="00CB204F" w:rsidRDefault="00D03547" w:rsidP="00D03547">
      <w:pPr>
        <w:pStyle w:val="SNAutorit"/>
        <w:spacing w:before="0" w:after="0"/>
        <w:ind w:firstLine="680"/>
        <w:rPr>
          <w:b w:val="0"/>
          <w:i/>
          <w:color w:val="000000"/>
        </w:rPr>
      </w:pPr>
    </w:p>
    <w:p w14:paraId="0D6C822C" w14:textId="74251396" w:rsidR="00614348" w:rsidRDefault="00D03547" w:rsidP="00614348">
      <w:pPr>
        <w:pStyle w:val="SNAutorit"/>
        <w:spacing w:before="0" w:after="0"/>
        <w:ind w:firstLine="680"/>
        <w:jc w:val="both"/>
        <w:rPr>
          <w:b w:val="0"/>
          <w:i/>
          <w:lang w:eastAsia="fr-FR"/>
        </w:rPr>
      </w:pPr>
      <w:r w:rsidRPr="00DE4E2B">
        <w:rPr>
          <w:i/>
          <w:color w:val="000000"/>
        </w:rPr>
        <w:t>Notice :</w:t>
      </w:r>
      <w:r w:rsidRPr="00DE4E2B">
        <w:rPr>
          <w:b w:val="0"/>
        </w:rPr>
        <w:t xml:space="preserve"> </w:t>
      </w:r>
      <w:r w:rsidR="00DE4E2B">
        <w:rPr>
          <w:b w:val="0"/>
          <w:i/>
        </w:rPr>
        <w:t>p</w:t>
      </w:r>
      <w:r w:rsidR="002121AD" w:rsidRPr="00DE4E2B">
        <w:rPr>
          <w:b w:val="0"/>
          <w:i/>
        </w:rPr>
        <w:t>our</w:t>
      </w:r>
      <w:r w:rsidR="002121AD" w:rsidRPr="00DE4E2B">
        <w:rPr>
          <w:b w:val="0"/>
        </w:rPr>
        <w:t xml:space="preserve"> </w:t>
      </w:r>
      <w:r w:rsidR="00337259" w:rsidRPr="00DE4E2B">
        <w:rPr>
          <w:b w:val="0"/>
          <w:i/>
          <w:lang w:eastAsia="fr-FR"/>
        </w:rPr>
        <w:t>accroître la part des ac</w:t>
      </w:r>
      <w:r w:rsidR="002121AD" w:rsidRPr="00DE4E2B">
        <w:rPr>
          <w:b w:val="0"/>
          <w:i/>
          <w:lang w:eastAsia="fr-FR"/>
        </w:rPr>
        <w:t>quisitions de biens</w:t>
      </w:r>
      <w:r w:rsidR="00DE4E2B" w:rsidRPr="00DE4E2B">
        <w:rPr>
          <w:b w:val="0"/>
          <w:i/>
          <w:lang w:eastAsia="fr-FR"/>
        </w:rPr>
        <w:t xml:space="preserve"> </w:t>
      </w:r>
      <w:r w:rsidR="00337259" w:rsidRPr="00DE4E2B">
        <w:rPr>
          <w:b w:val="0"/>
          <w:i/>
          <w:lang w:eastAsia="fr-FR"/>
        </w:rPr>
        <w:t>issus de l'économie circulaire</w:t>
      </w:r>
      <w:r w:rsidR="002121AD" w:rsidRPr="00DE4E2B">
        <w:rPr>
          <w:b w:val="0"/>
          <w:i/>
          <w:lang w:eastAsia="fr-FR"/>
        </w:rPr>
        <w:t xml:space="preserve"> par les ac</w:t>
      </w:r>
      <w:r w:rsidR="00DE4E2B" w:rsidRPr="00DE4E2B">
        <w:rPr>
          <w:b w:val="0"/>
          <w:i/>
          <w:lang w:eastAsia="fr-FR"/>
        </w:rPr>
        <w:t>he</w:t>
      </w:r>
      <w:r w:rsidR="002121AD" w:rsidRPr="00DE4E2B">
        <w:rPr>
          <w:b w:val="0"/>
          <w:i/>
          <w:lang w:eastAsia="fr-FR"/>
        </w:rPr>
        <w:t>teurs publics</w:t>
      </w:r>
      <w:r w:rsidR="00DE4E2B" w:rsidRPr="00DE4E2B">
        <w:rPr>
          <w:b w:val="0"/>
          <w:i/>
          <w:lang w:eastAsia="fr-FR"/>
        </w:rPr>
        <w:t xml:space="preserve"> de l’Etat et des collectivités territoriales</w:t>
      </w:r>
      <w:r w:rsidR="002121AD" w:rsidRPr="00DE4E2B">
        <w:rPr>
          <w:b w:val="0"/>
          <w:i/>
          <w:lang w:eastAsia="fr-FR"/>
        </w:rPr>
        <w:t>,</w:t>
      </w:r>
      <w:r w:rsidR="00DE4E2B" w:rsidRPr="00DE4E2B">
        <w:rPr>
          <w:b w:val="0"/>
          <w:i/>
          <w:lang w:eastAsia="fr-FR"/>
        </w:rPr>
        <w:t xml:space="preserve"> l</w:t>
      </w:r>
      <w:r w:rsidR="00614348">
        <w:rPr>
          <w:b w:val="0"/>
          <w:i/>
          <w:lang w:eastAsia="fr-FR"/>
        </w:rPr>
        <w:t>e</w:t>
      </w:r>
      <w:r w:rsidR="00337259" w:rsidRPr="00DE4E2B">
        <w:rPr>
          <w:b w:val="0"/>
          <w:i/>
          <w:lang w:eastAsia="fr-FR"/>
        </w:rPr>
        <w:t xml:space="preserve"> décret</w:t>
      </w:r>
      <w:r w:rsidR="002D2453">
        <w:rPr>
          <w:b w:val="0"/>
          <w:i/>
          <w:lang w:eastAsia="fr-FR"/>
        </w:rPr>
        <w:t xml:space="preserve"> </w:t>
      </w:r>
      <w:r w:rsidR="0008167B">
        <w:rPr>
          <w:b w:val="0"/>
          <w:i/>
          <w:lang w:eastAsia="fr-FR"/>
        </w:rPr>
        <w:t>abroge le</w:t>
      </w:r>
      <w:r w:rsidR="00614348">
        <w:rPr>
          <w:b w:val="0"/>
          <w:i/>
          <w:lang w:eastAsia="fr-FR"/>
        </w:rPr>
        <w:t xml:space="preserve"> décret n°2021-254 du 9 mars 2021 </w:t>
      </w:r>
      <w:r w:rsidR="00337259" w:rsidRPr="00DE4E2B">
        <w:rPr>
          <w:b w:val="0"/>
          <w:i/>
          <w:lang w:eastAsia="fr-FR"/>
        </w:rPr>
        <w:t>et</w:t>
      </w:r>
      <w:r w:rsidR="0008167B">
        <w:rPr>
          <w:b w:val="0"/>
          <w:i/>
          <w:lang w:eastAsia="fr-FR"/>
        </w:rPr>
        <w:t xml:space="preserve"> modifie la liste des produits visés ainsi que</w:t>
      </w:r>
      <w:r w:rsidR="00337259" w:rsidRPr="00DE4E2B">
        <w:rPr>
          <w:b w:val="0"/>
          <w:i/>
          <w:lang w:eastAsia="fr-FR"/>
        </w:rPr>
        <w:t xml:space="preserve">, pour chacun d'eux, la part minimale des </w:t>
      </w:r>
      <w:r w:rsidR="002121AD" w:rsidRPr="00DE4E2B">
        <w:rPr>
          <w:b w:val="0"/>
          <w:i/>
          <w:lang w:eastAsia="fr-FR"/>
        </w:rPr>
        <w:t>acquisitions</w:t>
      </w:r>
      <w:r w:rsidR="00337259" w:rsidRPr="00DE4E2B">
        <w:rPr>
          <w:b w:val="0"/>
          <w:i/>
          <w:lang w:eastAsia="fr-FR"/>
        </w:rPr>
        <w:t xml:space="preserve"> qui doit être issue des filières du réemploi, de la réutilisation ou du recyclage</w:t>
      </w:r>
      <w:r w:rsidR="00614348">
        <w:rPr>
          <w:b w:val="0"/>
          <w:i/>
          <w:lang w:eastAsia="fr-FR"/>
        </w:rPr>
        <w:t xml:space="preserve">. Le décret fixe également </w:t>
      </w:r>
      <w:r w:rsidR="000F1A4E" w:rsidRPr="00DE4E2B">
        <w:rPr>
          <w:b w:val="0"/>
          <w:i/>
          <w:lang w:eastAsia="fr-FR"/>
        </w:rPr>
        <w:t>une progression pluriannuelle</w:t>
      </w:r>
      <w:r w:rsidR="00DE4E2B" w:rsidRPr="00DE4E2B">
        <w:rPr>
          <w:b w:val="0"/>
          <w:i/>
          <w:lang w:eastAsia="fr-FR"/>
        </w:rPr>
        <w:t xml:space="preserve"> </w:t>
      </w:r>
      <w:r w:rsidR="00614348">
        <w:rPr>
          <w:b w:val="0"/>
          <w:i/>
          <w:lang w:eastAsia="fr-FR"/>
        </w:rPr>
        <w:t xml:space="preserve">de ces pourcentages </w:t>
      </w:r>
      <w:r w:rsidR="00DE4E2B" w:rsidRPr="00DE4E2B">
        <w:rPr>
          <w:b w:val="0"/>
          <w:i/>
          <w:lang w:eastAsia="fr-FR"/>
        </w:rPr>
        <w:t>jusqu’en 2030</w:t>
      </w:r>
      <w:r w:rsidR="00337259" w:rsidRPr="00DE4E2B">
        <w:rPr>
          <w:b w:val="0"/>
          <w:i/>
          <w:lang w:eastAsia="fr-FR"/>
        </w:rPr>
        <w:t>.</w:t>
      </w:r>
      <w:r w:rsidR="00DE4E2B" w:rsidRPr="00DE4E2B">
        <w:rPr>
          <w:b w:val="0"/>
          <w:i/>
          <w:lang w:eastAsia="fr-FR"/>
        </w:rPr>
        <w:t xml:space="preserve"> Ces acquisitions peuvent êtr</w:t>
      </w:r>
      <w:r w:rsidR="00614348">
        <w:rPr>
          <w:b w:val="0"/>
          <w:i/>
          <w:lang w:eastAsia="fr-FR"/>
        </w:rPr>
        <w:t>e réalisées via</w:t>
      </w:r>
      <w:r w:rsidR="001218AC">
        <w:rPr>
          <w:b w:val="0"/>
          <w:i/>
          <w:lang w:eastAsia="fr-FR"/>
        </w:rPr>
        <w:t xml:space="preserve"> un achat public </w:t>
      </w:r>
      <w:r w:rsidR="003B42C8">
        <w:rPr>
          <w:b w:val="0"/>
          <w:i/>
          <w:lang w:eastAsia="fr-FR"/>
        </w:rPr>
        <w:t>à titre principal ou accessoire</w:t>
      </w:r>
      <w:r w:rsidR="00614348">
        <w:rPr>
          <w:b w:val="0"/>
          <w:i/>
          <w:lang w:eastAsia="fr-FR"/>
        </w:rPr>
        <w:t xml:space="preserve">. Le décret donne </w:t>
      </w:r>
      <w:r w:rsidR="002D2453">
        <w:rPr>
          <w:b w:val="0"/>
          <w:i/>
          <w:lang w:eastAsia="fr-FR"/>
        </w:rPr>
        <w:t>par ailleurs</w:t>
      </w:r>
      <w:r w:rsidR="00614348">
        <w:rPr>
          <w:b w:val="0"/>
          <w:i/>
          <w:lang w:eastAsia="fr-FR"/>
        </w:rPr>
        <w:t xml:space="preserve"> la possibilité de comptabiliser les </w:t>
      </w:r>
      <w:r w:rsidR="0031452F">
        <w:rPr>
          <w:b w:val="0"/>
          <w:i/>
          <w:lang w:eastAsia="fr-FR"/>
        </w:rPr>
        <w:t>dons</w:t>
      </w:r>
      <w:r w:rsidR="00614348">
        <w:rPr>
          <w:b w:val="0"/>
          <w:i/>
          <w:lang w:eastAsia="fr-FR"/>
        </w:rPr>
        <w:t xml:space="preserve">. </w:t>
      </w:r>
      <w:r w:rsidR="002B3C48">
        <w:rPr>
          <w:b w:val="0"/>
          <w:i/>
          <w:lang w:eastAsia="fr-FR"/>
        </w:rPr>
        <w:t xml:space="preserve">Enfin, il rajoute les sacs poubelles en plastique à usage unique aux produits pouvant faire l’objet d’une exemption </w:t>
      </w:r>
      <w:r w:rsidR="002B3C48" w:rsidRPr="00FB6D20">
        <w:rPr>
          <w:b w:val="0"/>
          <w:i/>
          <w:lang w:eastAsia="fr-FR"/>
        </w:rPr>
        <w:t>à l'interdiction d'acquisition par l'Etat de produits en plastique à usage unique</w:t>
      </w:r>
      <w:r w:rsidR="002B3C48">
        <w:rPr>
          <w:b w:val="0"/>
          <w:i/>
          <w:lang w:eastAsia="fr-FR"/>
        </w:rPr>
        <w:t>.</w:t>
      </w:r>
    </w:p>
    <w:p w14:paraId="4AC8CD89" w14:textId="2E702731" w:rsidR="00E2590D" w:rsidRPr="00CB204F" w:rsidRDefault="00E2590D" w:rsidP="002D2453">
      <w:pPr>
        <w:pStyle w:val="SNAutorit"/>
        <w:spacing w:before="0" w:after="0"/>
        <w:ind w:firstLine="0"/>
        <w:jc w:val="both"/>
        <w:rPr>
          <w:b w:val="0"/>
          <w:bCs/>
          <w:i/>
          <w:color w:val="000000"/>
        </w:rPr>
      </w:pPr>
    </w:p>
    <w:p w14:paraId="1481EE65" w14:textId="79FEB057" w:rsidR="009A124C" w:rsidRPr="00CB204F" w:rsidRDefault="004A0F51" w:rsidP="00E2590D">
      <w:pPr>
        <w:pStyle w:val="SNAutorit"/>
        <w:spacing w:before="0" w:after="0"/>
        <w:ind w:firstLine="680"/>
        <w:jc w:val="both"/>
      </w:pPr>
      <w:r w:rsidRPr="00CB204F">
        <w:rPr>
          <w:i/>
          <w:color w:val="000000"/>
        </w:rPr>
        <w:t xml:space="preserve">Références : </w:t>
      </w:r>
      <w:r w:rsidRPr="00CB204F">
        <w:rPr>
          <w:b w:val="0"/>
          <w:i/>
          <w:color w:val="000000"/>
        </w:rPr>
        <w:t>le présent décret pourra être consulté sur le site Légifrance (</w:t>
      </w:r>
      <w:hyperlink r:id="rId8">
        <w:r w:rsidRPr="00CB204F">
          <w:rPr>
            <w:rStyle w:val="LienInternet"/>
            <w:b w:val="0"/>
            <w:i/>
            <w:color w:val="000000"/>
          </w:rPr>
          <w:t>http://www.legifrance.gouv.fr</w:t>
        </w:r>
      </w:hyperlink>
      <w:r w:rsidR="00DE4E2B">
        <w:rPr>
          <w:b w:val="0"/>
          <w:i/>
          <w:color w:val="000000"/>
        </w:rPr>
        <w:t>).</w:t>
      </w:r>
    </w:p>
    <w:p w14:paraId="5BD1C937" w14:textId="77777777" w:rsidR="00A329A1" w:rsidRDefault="00A329A1">
      <w:pPr>
        <w:suppressAutoHyphens w:val="0"/>
        <w:rPr>
          <w:b/>
          <w:color w:val="000000"/>
        </w:rPr>
      </w:pPr>
      <w:r>
        <w:rPr>
          <w:color w:val="000000"/>
        </w:rPr>
        <w:br w:type="page"/>
      </w:r>
    </w:p>
    <w:p w14:paraId="57A34233" w14:textId="26EC8C5E" w:rsidR="009A124C" w:rsidRPr="00CB204F" w:rsidRDefault="0008167B" w:rsidP="008E5A4C">
      <w:pPr>
        <w:pStyle w:val="SNAutorit"/>
        <w:suppressAutoHyphens w:val="0"/>
        <w:rPr>
          <w:color w:val="000000"/>
        </w:rPr>
      </w:pPr>
      <w:r w:rsidRPr="00CB204F">
        <w:rPr>
          <w:color w:val="000000"/>
        </w:rPr>
        <w:lastRenderedPageBreak/>
        <w:t>L</w:t>
      </w:r>
      <w:r>
        <w:rPr>
          <w:color w:val="000000"/>
        </w:rPr>
        <w:t>a</w:t>
      </w:r>
      <w:r w:rsidRPr="00CB204F">
        <w:rPr>
          <w:color w:val="000000"/>
        </w:rPr>
        <w:t xml:space="preserve"> </w:t>
      </w:r>
      <w:r w:rsidR="004A0F51" w:rsidRPr="00CB204F">
        <w:rPr>
          <w:color w:val="000000"/>
        </w:rPr>
        <w:t>Premi</w:t>
      </w:r>
      <w:r>
        <w:rPr>
          <w:color w:val="000000"/>
        </w:rPr>
        <w:t>è</w:t>
      </w:r>
      <w:r w:rsidR="004A0F51" w:rsidRPr="00CB204F">
        <w:rPr>
          <w:color w:val="000000"/>
        </w:rPr>
        <w:t>r</w:t>
      </w:r>
      <w:r>
        <w:rPr>
          <w:color w:val="000000"/>
        </w:rPr>
        <w:t>e</w:t>
      </w:r>
      <w:r w:rsidR="004A0F51" w:rsidRPr="00CB204F">
        <w:rPr>
          <w:color w:val="000000"/>
        </w:rPr>
        <w:t xml:space="preserve"> </w:t>
      </w:r>
      <w:r w:rsidR="00B25465">
        <w:rPr>
          <w:color w:val="000000"/>
        </w:rPr>
        <w:t>m</w:t>
      </w:r>
      <w:r w:rsidR="004A0F51" w:rsidRPr="00CB204F">
        <w:rPr>
          <w:lang w:eastAsia="fr-FR"/>
        </w:rPr>
        <w:t>inistre</w:t>
      </w:r>
      <w:r w:rsidR="004A0F51" w:rsidRPr="00CB204F">
        <w:rPr>
          <w:color w:val="000000"/>
        </w:rPr>
        <w:t>,</w:t>
      </w:r>
    </w:p>
    <w:p w14:paraId="2D2F907F" w14:textId="77777777" w:rsidR="00655C32" w:rsidRDefault="004A0F51" w:rsidP="00655C32">
      <w:pPr>
        <w:pStyle w:val="SNRapport"/>
        <w:suppressAutoHyphens w:val="0"/>
        <w:spacing w:before="120"/>
        <w:jc w:val="both"/>
        <w:rPr>
          <w:lang w:eastAsia="fr-FR"/>
        </w:rPr>
      </w:pPr>
      <w:r w:rsidRPr="00CB204F">
        <w:rPr>
          <w:lang w:eastAsia="fr-FR"/>
        </w:rPr>
        <w:t>Sur le rapport d</w:t>
      </w:r>
      <w:r w:rsidR="00655C32">
        <w:rPr>
          <w:lang w:eastAsia="fr-FR"/>
        </w:rPr>
        <w:t>u</w:t>
      </w:r>
      <w:r w:rsidRPr="00CB204F">
        <w:rPr>
          <w:lang w:eastAsia="fr-FR"/>
        </w:rPr>
        <w:t xml:space="preserve"> </w:t>
      </w:r>
      <w:r w:rsidR="00616508" w:rsidRPr="00CB204F">
        <w:rPr>
          <w:lang w:eastAsia="fr-FR"/>
        </w:rPr>
        <w:t>m</w:t>
      </w:r>
      <w:r w:rsidRPr="00CB204F">
        <w:rPr>
          <w:lang w:eastAsia="fr-FR"/>
        </w:rPr>
        <w:t>inistre de la transition écologique</w:t>
      </w:r>
      <w:r w:rsidR="00655C32">
        <w:rPr>
          <w:lang w:eastAsia="fr-FR"/>
        </w:rPr>
        <w:t xml:space="preserve"> et de la cohésion des territoires</w:t>
      </w:r>
      <w:r w:rsidR="00715BE7" w:rsidRPr="00CB204F">
        <w:rPr>
          <w:lang w:eastAsia="fr-FR"/>
        </w:rPr>
        <w:t>,</w:t>
      </w:r>
      <w:r w:rsidRPr="00CB204F">
        <w:rPr>
          <w:lang w:eastAsia="fr-FR"/>
        </w:rPr>
        <w:t xml:space="preserve"> </w:t>
      </w:r>
    </w:p>
    <w:p w14:paraId="14C7162E" w14:textId="77777777" w:rsidR="00655C32" w:rsidRDefault="00655C32" w:rsidP="00655C32">
      <w:pPr>
        <w:pStyle w:val="SNRapport"/>
        <w:suppressAutoHyphens w:val="0"/>
        <w:spacing w:before="120"/>
        <w:jc w:val="both"/>
        <w:rPr>
          <w:lang w:eastAsia="fr-FR"/>
        </w:rPr>
      </w:pPr>
      <w:r>
        <w:rPr>
          <w:lang w:eastAsia="fr-FR"/>
        </w:rPr>
        <w:t>Vu le code de la commande publique, notamment son article L. 2196-3 ;</w:t>
      </w:r>
    </w:p>
    <w:p w14:paraId="34AAA579" w14:textId="77777777" w:rsidR="00655C32" w:rsidRDefault="00655C32" w:rsidP="00655C32">
      <w:pPr>
        <w:pStyle w:val="SNRapport"/>
        <w:suppressAutoHyphens w:val="0"/>
        <w:spacing w:before="120"/>
        <w:jc w:val="both"/>
        <w:rPr>
          <w:lang w:eastAsia="fr-FR"/>
        </w:rPr>
      </w:pPr>
      <w:r>
        <w:rPr>
          <w:lang w:eastAsia="fr-FR"/>
        </w:rPr>
        <w:t>Vu le code de l'environnement, notamment le chapitre Ier du titre IV du livre V ;</w:t>
      </w:r>
    </w:p>
    <w:p w14:paraId="119AE6BB" w14:textId="75FBF8EE" w:rsidR="00655C32" w:rsidRDefault="00655C32" w:rsidP="00655C32">
      <w:pPr>
        <w:pStyle w:val="SNRapport"/>
        <w:suppressAutoHyphens w:val="0"/>
        <w:spacing w:before="120"/>
        <w:jc w:val="both"/>
        <w:rPr>
          <w:lang w:eastAsia="fr-FR"/>
        </w:rPr>
      </w:pPr>
      <w:r>
        <w:rPr>
          <w:lang w:eastAsia="fr-FR"/>
        </w:rPr>
        <w:t>Vu la loi n° 2020-105 du 10 février 2020 relative à la lutte contre le gaspillage et à l'économie circulaire, notamment s</w:t>
      </w:r>
      <w:r w:rsidR="002B3C48">
        <w:rPr>
          <w:lang w:eastAsia="fr-FR"/>
        </w:rPr>
        <w:t>es</w:t>
      </w:r>
      <w:r>
        <w:rPr>
          <w:lang w:eastAsia="fr-FR"/>
        </w:rPr>
        <w:t xml:space="preserve"> article</w:t>
      </w:r>
      <w:r w:rsidR="002B3C48">
        <w:rPr>
          <w:lang w:eastAsia="fr-FR"/>
        </w:rPr>
        <w:t>s</w:t>
      </w:r>
      <w:r>
        <w:rPr>
          <w:lang w:eastAsia="fr-FR"/>
        </w:rPr>
        <w:t xml:space="preserve"> 58</w:t>
      </w:r>
      <w:r w:rsidR="002B3C48">
        <w:rPr>
          <w:lang w:eastAsia="fr-FR"/>
        </w:rPr>
        <w:t xml:space="preserve"> et 77</w:t>
      </w:r>
      <w:r>
        <w:rPr>
          <w:lang w:eastAsia="fr-FR"/>
        </w:rPr>
        <w:t xml:space="preserve"> ;</w:t>
      </w:r>
    </w:p>
    <w:p w14:paraId="1A774DE9" w14:textId="4DB9E423" w:rsidR="002B3C48" w:rsidRDefault="002B3C48" w:rsidP="00655C32">
      <w:pPr>
        <w:pStyle w:val="SNRapport"/>
        <w:suppressAutoHyphens w:val="0"/>
        <w:spacing w:before="120"/>
        <w:jc w:val="both"/>
        <w:rPr>
          <w:lang w:eastAsia="fr-FR"/>
        </w:rPr>
      </w:pPr>
      <w:r>
        <w:rPr>
          <w:lang w:eastAsia="fr-FR"/>
        </w:rPr>
        <w:t xml:space="preserve">Vu le décret </w:t>
      </w:r>
      <w:r w:rsidRPr="002B3C48">
        <w:rPr>
          <w:lang w:eastAsia="fr-FR"/>
        </w:rPr>
        <w:t>n° 2022-2 du 4 janvier 2022 relatif aux situations permettant de déroger à l'interdiction d'acquisition par l'Etat de produits en plastique à usage unique</w:t>
      </w:r>
      <w:r>
        <w:rPr>
          <w:lang w:eastAsia="fr-FR"/>
        </w:rPr>
        <w:t> ;</w:t>
      </w:r>
    </w:p>
    <w:p w14:paraId="67B155F7" w14:textId="23EE7CE3" w:rsidR="00F12A6E" w:rsidRDefault="00F12A6E" w:rsidP="009E6ED8">
      <w:pPr>
        <w:pStyle w:val="SNRapport"/>
        <w:suppressAutoHyphens w:val="0"/>
        <w:spacing w:before="120"/>
        <w:jc w:val="both"/>
        <w:rPr>
          <w:lang w:eastAsia="fr-FR"/>
        </w:rPr>
      </w:pPr>
      <w:r>
        <w:rPr>
          <w:lang w:eastAsia="fr-FR"/>
        </w:rPr>
        <w:t>Vu le rapport d’évaluation de la mise en œuvre du décret n°2021-254 du 9 mars 2021 relatif à l’obligation d’acquisition par la commande publique de biens issus du réemploi ou de la réutilisation ou intégrant des matières recyclées en date du X ;</w:t>
      </w:r>
      <w:r w:rsidR="009E6ED8">
        <w:rPr>
          <w:lang w:eastAsia="fr-FR"/>
        </w:rPr>
        <w:t xml:space="preserve"> </w:t>
      </w:r>
    </w:p>
    <w:p w14:paraId="27DA465A" w14:textId="29AA5EEF" w:rsidR="00E62088" w:rsidRDefault="00E62088" w:rsidP="00E62088">
      <w:pPr>
        <w:widowControl w:val="0"/>
        <w:spacing w:before="120" w:after="120"/>
        <w:ind w:firstLine="709"/>
        <w:jc w:val="both"/>
        <w:rPr>
          <w:color w:val="000000"/>
        </w:rPr>
      </w:pPr>
      <w:bookmarkStart w:id="0" w:name="_GoBack"/>
      <w:r>
        <w:t xml:space="preserve">Vu les observations formulées lors de la </w:t>
      </w:r>
      <w:r>
        <w:rPr>
          <w:rStyle w:val="surlignage"/>
        </w:rPr>
        <w:t>consultation</w:t>
      </w:r>
      <w:r>
        <w:t xml:space="preserve"> du public réalisée du </w:t>
      </w:r>
      <w:r>
        <w:t xml:space="preserve">X </w:t>
      </w:r>
      <w:r>
        <w:t>au</w:t>
      </w:r>
      <w:r>
        <w:t xml:space="preserve"> X</w:t>
      </w:r>
      <w:r>
        <w:t>, en application de l'article L. 123-19-1 du code de l'environnement ;</w:t>
      </w:r>
    </w:p>
    <w:bookmarkEnd w:id="0"/>
    <w:p w14:paraId="74D553E8" w14:textId="092A2A74" w:rsidR="00DE4E2B" w:rsidRDefault="00655C32" w:rsidP="00DE4E2B">
      <w:pPr>
        <w:pStyle w:val="SNRapport"/>
        <w:suppressAutoHyphens w:val="0"/>
        <w:spacing w:before="120"/>
        <w:jc w:val="both"/>
        <w:rPr>
          <w:lang w:eastAsia="fr-FR"/>
        </w:rPr>
      </w:pPr>
      <w:r>
        <w:rPr>
          <w:lang w:eastAsia="fr-FR"/>
        </w:rPr>
        <w:t>Vu l'avis du Conseil national d'évaluation des normes en date du</w:t>
      </w:r>
      <w:r w:rsidR="00DE4E2B">
        <w:rPr>
          <w:lang w:eastAsia="fr-FR"/>
        </w:rPr>
        <w:t xml:space="preserve"> ; </w:t>
      </w:r>
    </w:p>
    <w:p w14:paraId="31AB59F1" w14:textId="5B3EE0AF" w:rsidR="00DE4E2B" w:rsidRDefault="00DE4E2B" w:rsidP="00DE4E2B">
      <w:pPr>
        <w:pStyle w:val="SNRapport"/>
        <w:suppressAutoHyphens w:val="0"/>
        <w:spacing w:before="120"/>
        <w:jc w:val="both"/>
        <w:rPr>
          <w:lang w:eastAsia="fr-FR"/>
        </w:rPr>
      </w:pPr>
      <w:r>
        <w:rPr>
          <w:lang w:eastAsia="fr-FR"/>
        </w:rPr>
        <w:t>Le Conseil d’Etat entendu,</w:t>
      </w:r>
    </w:p>
    <w:p w14:paraId="5BB1905B" w14:textId="10ED352E" w:rsidR="009C2551" w:rsidRDefault="004A0F51" w:rsidP="000C5635">
      <w:pPr>
        <w:pStyle w:val="SNActe"/>
        <w:suppressAutoHyphens w:val="0"/>
        <w:spacing w:before="120" w:after="120"/>
        <w:rPr>
          <w:color w:val="000000"/>
        </w:rPr>
      </w:pPr>
      <w:r w:rsidRPr="00CB204F">
        <w:rPr>
          <w:lang w:eastAsia="fr-FR"/>
        </w:rPr>
        <w:t>Décrète</w:t>
      </w:r>
      <w:r w:rsidRPr="00CB204F">
        <w:rPr>
          <w:color w:val="000000"/>
        </w:rPr>
        <w:t> :</w:t>
      </w:r>
    </w:p>
    <w:p w14:paraId="771DD510" w14:textId="77777777" w:rsidR="000C5635" w:rsidRPr="00CB204F" w:rsidRDefault="000C5635" w:rsidP="000C5635">
      <w:pPr>
        <w:pStyle w:val="SNActe"/>
        <w:suppressAutoHyphens w:val="0"/>
        <w:spacing w:before="120" w:after="120"/>
        <w:rPr>
          <w:color w:val="000000"/>
        </w:rPr>
      </w:pPr>
    </w:p>
    <w:p w14:paraId="45FBD271" w14:textId="77777777" w:rsidR="00476E3D" w:rsidRPr="00CB204F" w:rsidRDefault="0031214F" w:rsidP="000C5635">
      <w:pPr>
        <w:pStyle w:val="SNArticle"/>
        <w:suppressAutoHyphens w:val="0"/>
        <w:spacing w:before="120" w:after="120"/>
        <w:rPr>
          <w:lang w:val="fr-FR"/>
        </w:rPr>
      </w:pPr>
      <w:r w:rsidRPr="00CB204F">
        <w:rPr>
          <w:bCs w:val="0"/>
          <w:lang w:val="fr-FR" w:eastAsia="fr-FR"/>
        </w:rPr>
        <w:t>Article</w:t>
      </w:r>
      <w:r w:rsidRPr="00CB204F">
        <w:t xml:space="preserve"> </w:t>
      </w:r>
      <w:r w:rsidR="00B25465">
        <w:rPr>
          <w:lang w:val="fr-FR"/>
        </w:rPr>
        <w:t>1</w:t>
      </w:r>
      <w:r w:rsidR="00B25465" w:rsidRPr="00B25465">
        <w:rPr>
          <w:vertAlign w:val="superscript"/>
          <w:lang w:val="fr-FR"/>
        </w:rPr>
        <w:t>er</w:t>
      </w:r>
      <w:r w:rsidR="00B25465">
        <w:rPr>
          <w:lang w:val="fr-FR"/>
        </w:rPr>
        <w:t xml:space="preserve"> </w:t>
      </w:r>
    </w:p>
    <w:p w14:paraId="29DAA4C1" w14:textId="77777777" w:rsidR="00655C32" w:rsidRDefault="00655C32" w:rsidP="000C5635">
      <w:pPr>
        <w:suppressAutoHyphens w:val="0"/>
        <w:spacing w:before="120" w:after="120"/>
        <w:jc w:val="both"/>
        <w:rPr>
          <w:bCs/>
          <w:color w:val="000000"/>
          <w:lang w:eastAsia="fr-FR"/>
        </w:rPr>
      </w:pPr>
      <w:r>
        <w:rPr>
          <w:bCs/>
          <w:color w:val="000000"/>
          <w:lang w:eastAsia="fr-FR"/>
        </w:rPr>
        <w:t>L</w:t>
      </w:r>
      <w:r w:rsidRPr="00655C32">
        <w:rPr>
          <w:bCs/>
          <w:color w:val="000000"/>
          <w:lang w:eastAsia="fr-FR"/>
        </w:rPr>
        <w:t>'Etat</w:t>
      </w:r>
      <w:r>
        <w:rPr>
          <w:bCs/>
          <w:color w:val="000000"/>
          <w:lang w:eastAsia="fr-FR"/>
        </w:rPr>
        <w:t>,</w:t>
      </w:r>
      <w:r w:rsidRPr="00655C32">
        <w:rPr>
          <w:bCs/>
          <w:color w:val="000000"/>
          <w:lang w:eastAsia="fr-FR"/>
        </w:rPr>
        <w:t xml:space="preserve"> les collectivités territoriales et </w:t>
      </w:r>
      <w:r>
        <w:rPr>
          <w:bCs/>
          <w:color w:val="000000"/>
          <w:lang w:eastAsia="fr-FR"/>
        </w:rPr>
        <w:t>les</w:t>
      </w:r>
      <w:r w:rsidRPr="00655C32">
        <w:rPr>
          <w:bCs/>
          <w:color w:val="000000"/>
          <w:lang w:eastAsia="fr-FR"/>
        </w:rPr>
        <w:t xml:space="preserve"> groupements </w:t>
      </w:r>
      <w:r>
        <w:rPr>
          <w:bCs/>
          <w:color w:val="000000"/>
          <w:lang w:eastAsia="fr-FR"/>
        </w:rPr>
        <w:t xml:space="preserve">de collectivités territoriales acquièrent annuellement des biens </w:t>
      </w:r>
      <w:r w:rsidRPr="00655C32">
        <w:rPr>
          <w:bCs/>
          <w:color w:val="000000"/>
          <w:lang w:eastAsia="fr-FR"/>
        </w:rPr>
        <w:t>issus du réemploi ou de la réutilisation ou intégrant des matières recyclées, au sens de l'article L. 541-1-1 du code de l'environnement</w:t>
      </w:r>
      <w:r>
        <w:rPr>
          <w:bCs/>
          <w:color w:val="000000"/>
          <w:lang w:eastAsia="fr-FR"/>
        </w:rPr>
        <w:t>.</w:t>
      </w:r>
    </w:p>
    <w:p w14:paraId="6683F4C6" w14:textId="26626C5B" w:rsidR="0090139E" w:rsidRDefault="00EA2833" w:rsidP="000C5635">
      <w:pPr>
        <w:suppressAutoHyphens w:val="0"/>
        <w:spacing w:before="120" w:after="120"/>
        <w:jc w:val="both"/>
      </w:pPr>
      <w:r>
        <w:t>Ces bien</w:t>
      </w:r>
      <w:r w:rsidR="00655C32">
        <w:t xml:space="preserve">s </w:t>
      </w:r>
      <w:r w:rsidR="0076407D">
        <w:t>peuvent être</w:t>
      </w:r>
      <w:r w:rsidR="00655C32">
        <w:t xml:space="preserve"> acquis</w:t>
      </w:r>
      <w:r w:rsidR="00852F04">
        <w:t xml:space="preserve"> </w:t>
      </w:r>
      <w:r w:rsidR="0090139E">
        <w:t>:</w:t>
      </w:r>
    </w:p>
    <w:p w14:paraId="318DF842" w14:textId="76894F95" w:rsidR="00EA2833" w:rsidRDefault="0090139E" w:rsidP="000C5635">
      <w:pPr>
        <w:suppressAutoHyphens w:val="0"/>
        <w:spacing w:before="120" w:after="120"/>
        <w:jc w:val="both"/>
      </w:pPr>
      <w:r>
        <w:t xml:space="preserve">1° </w:t>
      </w:r>
      <w:r w:rsidR="00852F04">
        <w:t>Au moyen de m</w:t>
      </w:r>
      <w:r w:rsidR="00655C32">
        <w:t xml:space="preserve">archés </w:t>
      </w:r>
      <w:r w:rsidR="00047942">
        <w:t xml:space="preserve">publics </w:t>
      </w:r>
      <w:r w:rsidR="0047443E">
        <w:t>;</w:t>
      </w:r>
    </w:p>
    <w:p w14:paraId="6EF589AE" w14:textId="02B5FDD9" w:rsidR="0090139E" w:rsidRPr="000C5635" w:rsidRDefault="00EC4CAE" w:rsidP="000C5635">
      <w:pPr>
        <w:suppressAutoHyphens w:val="0"/>
        <w:spacing w:before="120" w:after="120"/>
        <w:jc w:val="both"/>
      </w:pPr>
      <w:r>
        <w:t>2</w:t>
      </w:r>
      <w:r w:rsidR="0090139E">
        <w:t xml:space="preserve">° </w:t>
      </w:r>
      <w:r w:rsidR="00852F04">
        <w:t xml:space="preserve">Au </w:t>
      </w:r>
      <w:proofErr w:type="gramStart"/>
      <w:r w:rsidR="00852F04">
        <w:t xml:space="preserve">moyen </w:t>
      </w:r>
      <w:r w:rsidR="00504D0B">
        <w:t xml:space="preserve"> de</w:t>
      </w:r>
      <w:proofErr w:type="gramEnd"/>
      <w:r w:rsidR="00504D0B">
        <w:t xml:space="preserve"> dons</w:t>
      </w:r>
      <w:r w:rsidR="0090139E">
        <w:t xml:space="preserve"> </w:t>
      </w:r>
      <w:r w:rsidR="00504D0B">
        <w:t>proposés</w:t>
      </w:r>
      <w:r w:rsidR="0090139E">
        <w:t xml:space="preserve"> sur la plateforme des dons mobiliers </w:t>
      </w:r>
      <w:r w:rsidR="00704AD5">
        <w:t>des administrations désignés</w:t>
      </w:r>
      <w:r w:rsidR="00EA2833">
        <w:t xml:space="preserve"> par arrêté du ministre</w:t>
      </w:r>
      <w:r w:rsidR="00C80592">
        <w:t xml:space="preserve"> </w:t>
      </w:r>
      <w:r w:rsidR="0047443E">
        <w:t>chargé</w:t>
      </w:r>
      <w:r w:rsidR="00C80592">
        <w:t xml:space="preserve"> de l’économie</w:t>
      </w:r>
      <w:r w:rsidR="0047443E">
        <w:t xml:space="preserve"> et du ministre chargé de l’environnement.</w:t>
      </w:r>
    </w:p>
    <w:p w14:paraId="1E1E4216" w14:textId="77777777" w:rsidR="000C5635" w:rsidRPr="00655C32" w:rsidRDefault="000C5635" w:rsidP="000C5635">
      <w:pPr>
        <w:suppressAutoHyphens w:val="0"/>
        <w:spacing w:before="120" w:after="120"/>
        <w:jc w:val="both"/>
        <w:rPr>
          <w:bCs/>
          <w:color w:val="000000"/>
          <w:lang w:eastAsia="fr-FR"/>
        </w:rPr>
      </w:pPr>
    </w:p>
    <w:p w14:paraId="505E394A" w14:textId="5A20B8ED" w:rsidR="0090139E" w:rsidRPr="00CB204F" w:rsidRDefault="0090139E" w:rsidP="000C5635">
      <w:pPr>
        <w:pStyle w:val="SNArticle"/>
        <w:suppressAutoHyphens w:val="0"/>
        <w:spacing w:before="120" w:after="120"/>
        <w:rPr>
          <w:lang w:val="fr-FR"/>
        </w:rPr>
      </w:pPr>
      <w:r w:rsidRPr="00CB204F">
        <w:rPr>
          <w:bCs w:val="0"/>
          <w:lang w:val="fr-FR" w:eastAsia="fr-FR"/>
        </w:rPr>
        <w:t>Article</w:t>
      </w:r>
      <w:r w:rsidRPr="00CB204F">
        <w:t xml:space="preserve"> </w:t>
      </w:r>
      <w:r>
        <w:rPr>
          <w:lang w:val="fr-FR"/>
        </w:rPr>
        <w:t>2</w:t>
      </w:r>
    </w:p>
    <w:p w14:paraId="4BDF79D8" w14:textId="66CBFE10" w:rsidR="00E864E3" w:rsidRDefault="0008167B" w:rsidP="000C5635">
      <w:pPr>
        <w:suppressAutoHyphens w:val="0"/>
        <w:spacing w:before="120" w:after="120"/>
        <w:jc w:val="both"/>
      </w:pPr>
      <w:r>
        <w:t>Les proportions minimales de biens</w:t>
      </w:r>
      <w:r w:rsidRPr="00E864E3">
        <w:t xml:space="preserve"> </w:t>
      </w:r>
      <w:r w:rsidRPr="00655C32">
        <w:rPr>
          <w:bCs/>
          <w:color w:val="000000"/>
          <w:lang w:eastAsia="fr-FR"/>
        </w:rPr>
        <w:t xml:space="preserve">issus du réemploi ou de la réutilisation </w:t>
      </w:r>
      <w:r>
        <w:rPr>
          <w:bCs/>
          <w:color w:val="000000"/>
          <w:lang w:eastAsia="fr-FR"/>
        </w:rPr>
        <w:t xml:space="preserve">et les proportions minimales de biens intégrant des matières recyclées devant être acquis par </w:t>
      </w:r>
      <w:r>
        <w:t xml:space="preserve">les </w:t>
      </w:r>
      <w:r w:rsidR="00852F04">
        <w:t>personnes publiques</w:t>
      </w:r>
      <w:r>
        <w:t xml:space="preserve"> visé</w:t>
      </w:r>
      <w:r w:rsidR="00852F04">
        <w:t>e</w:t>
      </w:r>
      <w:r>
        <w:t>s à l’article 1</w:t>
      </w:r>
      <w:r w:rsidRPr="0090139E">
        <w:rPr>
          <w:vertAlign w:val="superscript"/>
        </w:rPr>
        <w:t>er</w:t>
      </w:r>
      <w:r>
        <w:t xml:space="preserve"> sont</w:t>
      </w:r>
      <w:r>
        <w:rPr>
          <w:bCs/>
          <w:color w:val="000000"/>
          <w:lang w:eastAsia="fr-FR"/>
        </w:rPr>
        <w:t xml:space="preserve"> </w:t>
      </w:r>
      <w:r>
        <w:t xml:space="preserve">détaillées en annexe du présent décret. Ces proportions sont </w:t>
      </w:r>
      <w:r w:rsidR="00E71EAC">
        <w:t>cumulati</w:t>
      </w:r>
      <w:r>
        <w:t xml:space="preserve">ves. Elles sont exprimées en montant annuel hors taxes de la dépense consacrée à l'achat de chaque </w:t>
      </w:r>
      <w:proofErr w:type="gramStart"/>
      <w:r>
        <w:t>catégorie</w:t>
      </w:r>
      <w:proofErr w:type="gramEnd"/>
      <w:r>
        <w:t xml:space="preserve"> de produits au cours d’une année civile. </w:t>
      </w:r>
      <w:r w:rsidR="00852F04">
        <w:t xml:space="preserve">La liste détaillée des produits relevant de chaque catégorie de produits visée est fixée par arrêté </w:t>
      </w:r>
      <w:r w:rsidR="0053611C">
        <w:t>du ministre chargé de l’économie et du ministre chargé de l’environnement</w:t>
      </w:r>
      <w:r w:rsidR="00852F04">
        <w:t xml:space="preserve">. </w:t>
      </w:r>
    </w:p>
    <w:p w14:paraId="643AAB20" w14:textId="1AD82DE6" w:rsidR="00E864E3" w:rsidRDefault="00E864E3" w:rsidP="000C5635">
      <w:pPr>
        <w:suppressAutoHyphens w:val="0"/>
        <w:spacing w:before="120" w:after="120"/>
        <w:jc w:val="both"/>
      </w:pPr>
      <w:r w:rsidRPr="0076407D">
        <w:t>La</w:t>
      </w:r>
      <w:r>
        <w:t xml:space="preserve"> </w:t>
      </w:r>
      <w:r w:rsidR="00852F04">
        <w:t>valorisation</w:t>
      </w:r>
      <w:r>
        <w:t xml:space="preserve"> de</w:t>
      </w:r>
      <w:r w:rsidRPr="0076407D">
        <w:t xml:space="preserve">s </w:t>
      </w:r>
      <w:r w:rsidR="0031452F">
        <w:t>dons</w:t>
      </w:r>
      <w:r w:rsidRPr="0076407D">
        <w:t xml:space="preserve"> est réalisée sur la base </w:t>
      </w:r>
      <w:r w:rsidR="00852F04">
        <w:t>d’une grille</w:t>
      </w:r>
      <w:r w:rsidRPr="0076407D">
        <w:t xml:space="preserve"> </w:t>
      </w:r>
      <w:r>
        <w:t>prévue par arrêté du ministre chargé de l’économie et du ministre chargé de l’environnement</w:t>
      </w:r>
      <w:r w:rsidRPr="0076407D">
        <w:t>.</w:t>
      </w:r>
      <w:r w:rsidR="0053611C">
        <w:t xml:space="preserve"> </w:t>
      </w:r>
      <w:r w:rsidR="0008167B">
        <w:t xml:space="preserve"> </w:t>
      </w:r>
    </w:p>
    <w:p w14:paraId="050C444A" w14:textId="77777777" w:rsidR="00B25465" w:rsidRDefault="00B25465" w:rsidP="000C5635">
      <w:pPr>
        <w:suppressAutoHyphens w:val="0"/>
        <w:spacing w:before="120" w:after="120"/>
        <w:ind w:left="360"/>
        <w:jc w:val="center"/>
        <w:rPr>
          <w:b/>
          <w:color w:val="000000"/>
          <w:lang w:eastAsia="fr-FR"/>
        </w:rPr>
      </w:pPr>
    </w:p>
    <w:p w14:paraId="42A46BB4" w14:textId="77777777" w:rsidR="00AD78BE" w:rsidRPr="00B25465" w:rsidRDefault="00AD78BE" w:rsidP="000C5635">
      <w:pPr>
        <w:suppressAutoHyphens w:val="0"/>
        <w:spacing w:before="120" w:after="120"/>
        <w:jc w:val="center"/>
        <w:rPr>
          <w:b/>
          <w:color w:val="000000"/>
          <w:lang w:eastAsia="fr-FR"/>
        </w:rPr>
      </w:pPr>
      <w:r w:rsidRPr="00B25465">
        <w:rPr>
          <w:b/>
          <w:color w:val="000000"/>
          <w:lang w:eastAsia="fr-FR"/>
        </w:rPr>
        <w:t>Article 3</w:t>
      </w:r>
    </w:p>
    <w:p w14:paraId="38C4A14C" w14:textId="3D449B89" w:rsidR="00AD78BE" w:rsidRDefault="0053611C" w:rsidP="000C5635">
      <w:pPr>
        <w:pStyle w:val="SNArticle"/>
        <w:suppressAutoHyphens w:val="0"/>
        <w:spacing w:before="120" w:after="120"/>
        <w:jc w:val="both"/>
        <w:rPr>
          <w:b w:val="0"/>
          <w:color w:val="000000"/>
          <w:lang w:val="fr-FR" w:eastAsia="fr-FR"/>
        </w:rPr>
      </w:pPr>
      <w:r>
        <w:rPr>
          <w:b w:val="0"/>
          <w:color w:val="000000"/>
          <w:lang w:val="fr-FR" w:eastAsia="fr-FR"/>
        </w:rPr>
        <w:t>Les personnes publiques visées à l’article 1</w:t>
      </w:r>
      <w:r w:rsidRPr="00E864E3">
        <w:rPr>
          <w:b w:val="0"/>
          <w:color w:val="000000"/>
          <w:vertAlign w:val="superscript"/>
          <w:lang w:val="fr-FR" w:eastAsia="fr-FR"/>
        </w:rPr>
        <w:t>er</w:t>
      </w:r>
      <w:r>
        <w:rPr>
          <w:b w:val="0"/>
          <w:color w:val="000000"/>
          <w:lang w:val="fr-FR" w:eastAsia="fr-FR"/>
        </w:rPr>
        <w:t xml:space="preserve"> déclarent</w:t>
      </w:r>
      <w:r w:rsidRPr="00994255">
        <w:rPr>
          <w:b w:val="0"/>
          <w:color w:val="000000"/>
          <w:lang w:val="fr-FR" w:eastAsia="fr-FR"/>
        </w:rPr>
        <w:t xml:space="preserve"> la part de leur</w:t>
      </w:r>
      <w:r>
        <w:rPr>
          <w:b w:val="0"/>
          <w:color w:val="000000"/>
          <w:lang w:val="fr-FR" w:eastAsia="fr-FR"/>
        </w:rPr>
        <w:t>s</w:t>
      </w:r>
      <w:r w:rsidRPr="00994255">
        <w:rPr>
          <w:b w:val="0"/>
          <w:color w:val="000000"/>
          <w:lang w:val="fr-FR" w:eastAsia="fr-FR"/>
        </w:rPr>
        <w:t xml:space="preserve"> dépense</w:t>
      </w:r>
      <w:r>
        <w:rPr>
          <w:b w:val="0"/>
          <w:color w:val="000000"/>
          <w:lang w:val="fr-FR" w:eastAsia="fr-FR"/>
        </w:rPr>
        <w:t>s</w:t>
      </w:r>
      <w:r w:rsidRPr="00994255">
        <w:rPr>
          <w:b w:val="0"/>
          <w:color w:val="000000"/>
          <w:lang w:val="fr-FR" w:eastAsia="fr-FR"/>
        </w:rPr>
        <w:t xml:space="preserve"> annuelle</w:t>
      </w:r>
      <w:r>
        <w:rPr>
          <w:b w:val="0"/>
          <w:color w:val="000000"/>
          <w:lang w:val="fr-FR" w:eastAsia="fr-FR"/>
        </w:rPr>
        <w:t>s</w:t>
      </w:r>
      <w:r w:rsidRPr="00994255">
        <w:rPr>
          <w:b w:val="0"/>
          <w:color w:val="000000"/>
          <w:lang w:val="fr-FR" w:eastAsia="fr-FR"/>
        </w:rPr>
        <w:t xml:space="preserve"> </w:t>
      </w:r>
      <w:r>
        <w:rPr>
          <w:b w:val="0"/>
          <w:color w:val="000000"/>
          <w:lang w:val="fr-FR" w:eastAsia="fr-FR"/>
        </w:rPr>
        <w:t xml:space="preserve">dans le cadre de marchés publics et la valorisation des </w:t>
      </w:r>
      <w:proofErr w:type="gramStart"/>
      <w:r w:rsidR="00047942">
        <w:rPr>
          <w:b w:val="0"/>
          <w:color w:val="000000"/>
          <w:lang w:val="fr-FR" w:eastAsia="fr-FR"/>
        </w:rPr>
        <w:t xml:space="preserve">dons  </w:t>
      </w:r>
      <w:r>
        <w:rPr>
          <w:b w:val="0"/>
          <w:color w:val="000000"/>
          <w:lang w:val="fr-FR" w:eastAsia="fr-FR"/>
        </w:rPr>
        <w:t>acquis</w:t>
      </w:r>
      <w:proofErr w:type="gramEnd"/>
      <w:r>
        <w:rPr>
          <w:b w:val="0"/>
          <w:color w:val="000000"/>
          <w:lang w:val="fr-FR" w:eastAsia="fr-FR"/>
        </w:rPr>
        <w:t xml:space="preserve"> pour l</w:t>
      </w:r>
      <w:r w:rsidRPr="00994255">
        <w:rPr>
          <w:b w:val="0"/>
          <w:color w:val="000000"/>
          <w:lang w:val="fr-FR" w:eastAsia="fr-FR"/>
        </w:rPr>
        <w:t>es catégories de produits énuméré</w:t>
      </w:r>
      <w:r>
        <w:rPr>
          <w:b w:val="0"/>
          <w:color w:val="000000"/>
          <w:lang w:val="fr-FR" w:eastAsia="fr-FR"/>
        </w:rPr>
        <w:t>e</w:t>
      </w:r>
      <w:r w:rsidRPr="00994255">
        <w:rPr>
          <w:b w:val="0"/>
          <w:color w:val="000000"/>
          <w:lang w:val="fr-FR" w:eastAsia="fr-FR"/>
        </w:rPr>
        <w:t>s en annexe</w:t>
      </w:r>
      <w:r>
        <w:rPr>
          <w:b w:val="0"/>
          <w:color w:val="000000"/>
          <w:lang w:val="fr-FR" w:eastAsia="fr-FR"/>
        </w:rPr>
        <w:t xml:space="preserve"> du présent décret</w:t>
      </w:r>
      <w:r w:rsidRPr="00994255">
        <w:rPr>
          <w:b w:val="0"/>
          <w:color w:val="000000"/>
          <w:lang w:val="fr-FR" w:eastAsia="fr-FR"/>
        </w:rPr>
        <w:t xml:space="preserve">. </w:t>
      </w:r>
      <w:r w:rsidR="00655C32" w:rsidRPr="00994255">
        <w:rPr>
          <w:b w:val="0"/>
          <w:color w:val="000000"/>
          <w:lang w:val="fr-FR" w:eastAsia="fr-FR"/>
        </w:rPr>
        <w:t>Les modalités de déclaration sont fixées par arrêté du ministre chargé de l'économie</w:t>
      </w:r>
      <w:r>
        <w:rPr>
          <w:b w:val="0"/>
          <w:color w:val="000000"/>
          <w:lang w:val="fr-FR" w:eastAsia="fr-FR"/>
        </w:rPr>
        <w:t xml:space="preserve"> </w:t>
      </w:r>
      <w:r w:rsidRPr="0053611C">
        <w:rPr>
          <w:b w:val="0"/>
          <w:color w:val="000000"/>
          <w:lang w:val="fr-FR" w:eastAsia="fr-FR"/>
        </w:rPr>
        <w:t>et du ministre chargé de l’environnement</w:t>
      </w:r>
      <w:r w:rsidR="00655C32" w:rsidRPr="00994255">
        <w:rPr>
          <w:b w:val="0"/>
          <w:color w:val="000000"/>
          <w:lang w:val="fr-FR" w:eastAsia="fr-FR"/>
        </w:rPr>
        <w:t>.</w:t>
      </w:r>
      <w:r>
        <w:rPr>
          <w:b w:val="0"/>
          <w:color w:val="000000"/>
          <w:lang w:val="fr-FR" w:eastAsia="fr-FR"/>
        </w:rPr>
        <w:t xml:space="preserve"> </w:t>
      </w:r>
    </w:p>
    <w:p w14:paraId="66B590E8" w14:textId="77777777" w:rsidR="00655C32" w:rsidRDefault="00655C32" w:rsidP="000C5635">
      <w:pPr>
        <w:pStyle w:val="SNArticle"/>
        <w:suppressAutoHyphens w:val="0"/>
        <w:spacing w:before="120" w:after="120"/>
        <w:jc w:val="left"/>
        <w:rPr>
          <w:color w:val="000000"/>
          <w:lang w:val="fr-FR" w:eastAsia="fr-FR"/>
        </w:rPr>
      </w:pPr>
    </w:p>
    <w:p w14:paraId="5E8500ED" w14:textId="77777777" w:rsidR="00476E3D" w:rsidRPr="00CB204F" w:rsidRDefault="00476E3D" w:rsidP="000C5635">
      <w:pPr>
        <w:pStyle w:val="SNArticle"/>
        <w:suppressAutoHyphens w:val="0"/>
        <w:spacing w:before="120" w:after="120"/>
        <w:rPr>
          <w:color w:val="000000"/>
          <w:lang w:val="fr-FR" w:eastAsia="fr-FR"/>
        </w:rPr>
      </w:pPr>
      <w:r w:rsidRPr="00CB204F">
        <w:rPr>
          <w:color w:val="000000"/>
          <w:lang w:val="fr-FR" w:eastAsia="fr-FR"/>
        </w:rPr>
        <w:t xml:space="preserve">Article </w:t>
      </w:r>
      <w:r w:rsidR="00AD78BE">
        <w:rPr>
          <w:color w:val="000000"/>
          <w:lang w:val="fr-FR" w:eastAsia="fr-FR"/>
        </w:rPr>
        <w:t>4</w:t>
      </w:r>
      <w:r w:rsidR="002564E3" w:rsidRPr="00CB204F">
        <w:rPr>
          <w:color w:val="000000"/>
          <w:lang w:val="fr-FR" w:eastAsia="fr-FR"/>
        </w:rPr>
        <w:t xml:space="preserve"> </w:t>
      </w:r>
    </w:p>
    <w:p w14:paraId="2F816C79" w14:textId="248D8992" w:rsidR="00C058C5" w:rsidRDefault="00655C32" w:rsidP="000C5635">
      <w:pPr>
        <w:pStyle w:val="Corpsdetexte"/>
        <w:suppressAutoHyphens w:val="0"/>
        <w:spacing w:before="120"/>
        <w:rPr>
          <w:bCs/>
          <w:color w:val="000000"/>
          <w:lang w:val="fr-FR" w:eastAsia="fr-FR"/>
        </w:rPr>
      </w:pPr>
      <w:r>
        <w:rPr>
          <w:bCs/>
          <w:color w:val="000000"/>
          <w:lang w:val="fr-FR" w:eastAsia="fr-FR"/>
        </w:rPr>
        <w:t xml:space="preserve">Le décret </w:t>
      </w:r>
      <w:r w:rsidRPr="00655C32">
        <w:rPr>
          <w:bCs/>
          <w:color w:val="000000"/>
          <w:lang w:val="fr-FR" w:eastAsia="fr-FR"/>
        </w:rPr>
        <w:t>n° 2021-254 du 9 mars 2021 relatif à l'obligation d'acquisition par la commande publique de biens issus du réemploi ou de la réutilisation ou intégrant des matières recyclées</w:t>
      </w:r>
      <w:r>
        <w:rPr>
          <w:bCs/>
          <w:color w:val="000000"/>
          <w:lang w:val="fr-FR" w:eastAsia="fr-FR"/>
        </w:rPr>
        <w:t xml:space="preserve"> est abrogé.</w:t>
      </w:r>
    </w:p>
    <w:p w14:paraId="64E369FF" w14:textId="256FC320" w:rsidR="002B3C48" w:rsidRDefault="002B3C48" w:rsidP="000C5635">
      <w:pPr>
        <w:pStyle w:val="Corpsdetexte"/>
        <w:suppressAutoHyphens w:val="0"/>
        <w:spacing w:before="120"/>
        <w:rPr>
          <w:bCs/>
          <w:color w:val="000000"/>
          <w:lang w:val="fr-FR" w:eastAsia="fr-FR"/>
        </w:rPr>
      </w:pPr>
    </w:p>
    <w:p w14:paraId="4B9D7A11" w14:textId="137C1C56" w:rsidR="002B3C48" w:rsidRPr="00FB6D20" w:rsidRDefault="002B3C48" w:rsidP="00FB6D20">
      <w:pPr>
        <w:pStyle w:val="Corpsdetexte"/>
        <w:suppressAutoHyphens w:val="0"/>
        <w:spacing w:before="120"/>
        <w:jc w:val="center"/>
        <w:rPr>
          <w:b/>
          <w:bCs/>
          <w:color w:val="000000"/>
          <w:lang w:val="fr-FR" w:eastAsia="fr-FR"/>
        </w:rPr>
      </w:pPr>
      <w:r w:rsidRPr="00FB6D20">
        <w:rPr>
          <w:b/>
          <w:bCs/>
          <w:color w:val="000000"/>
          <w:lang w:val="fr-FR" w:eastAsia="fr-FR"/>
        </w:rPr>
        <w:t xml:space="preserve">Article </w:t>
      </w:r>
      <w:r>
        <w:rPr>
          <w:b/>
          <w:bCs/>
          <w:color w:val="000000"/>
          <w:lang w:val="fr-FR" w:eastAsia="fr-FR"/>
        </w:rPr>
        <w:t>5</w:t>
      </w:r>
    </w:p>
    <w:p w14:paraId="01BC58A1" w14:textId="617EF179" w:rsidR="00221311" w:rsidRDefault="002B3C48" w:rsidP="002B3C48">
      <w:pPr>
        <w:pStyle w:val="Corpsdetexte"/>
        <w:suppressAutoHyphens w:val="0"/>
        <w:spacing w:before="120"/>
        <w:rPr>
          <w:bCs/>
          <w:color w:val="000000"/>
          <w:lang w:val="fr-FR" w:eastAsia="fr-FR"/>
        </w:rPr>
      </w:pPr>
      <w:r>
        <w:rPr>
          <w:bCs/>
          <w:color w:val="000000"/>
          <w:lang w:val="fr-FR" w:eastAsia="fr-FR"/>
        </w:rPr>
        <w:t>L’article 2 du d</w:t>
      </w:r>
      <w:r w:rsidRPr="002B3C48">
        <w:rPr>
          <w:bCs/>
          <w:color w:val="000000"/>
          <w:lang w:val="fr-FR" w:eastAsia="fr-FR"/>
        </w:rPr>
        <w:t>écret n° 2022-2 du 4 janvier 2022 relatif aux situations permettant de déroger à l'interdiction d'acquisition par l'Etat de produits en plastique à usage unique</w:t>
      </w:r>
      <w:r>
        <w:rPr>
          <w:bCs/>
          <w:color w:val="000000"/>
          <w:lang w:val="fr-FR" w:eastAsia="fr-FR"/>
        </w:rPr>
        <w:t xml:space="preserve"> est </w:t>
      </w:r>
      <w:r w:rsidR="0053611C">
        <w:rPr>
          <w:bCs/>
          <w:color w:val="000000"/>
          <w:lang w:val="fr-FR" w:eastAsia="fr-FR"/>
        </w:rPr>
        <w:t xml:space="preserve">complété par un alinéa ainsi rédigé </w:t>
      </w:r>
      <w:r>
        <w:rPr>
          <w:bCs/>
          <w:color w:val="000000"/>
          <w:lang w:val="fr-FR" w:eastAsia="fr-FR"/>
        </w:rPr>
        <w:t xml:space="preserve">: </w:t>
      </w:r>
    </w:p>
    <w:p w14:paraId="791F2FFA" w14:textId="0315FE31" w:rsidR="002B3C48" w:rsidRDefault="002B3C48" w:rsidP="000C5635">
      <w:pPr>
        <w:pStyle w:val="Corpsdetexte"/>
        <w:suppressAutoHyphens w:val="0"/>
        <w:spacing w:before="120"/>
        <w:rPr>
          <w:bCs/>
          <w:color w:val="000000"/>
          <w:lang w:val="fr-FR" w:eastAsia="fr-FR"/>
        </w:rPr>
      </w:pPr>
      <w:r>
        <w:rPr>
          <w:bCs/>
          <w:color w:val="000000"/>
          <w:lang w:val="fr-FR" w:eastAsia="fr-FR"/>
        </w:rPr>
        <w:t>« - les situations impliquant l’utilisation de sacs poubelles en plastique à usage unique. »</w:t>
      </w:r>
    </w:p>
    <w:p w14:paraId="7DC54BBA" w14:textId="0EA37C61" w:rsidR="007B748C" w:rsidRDefault="007B748C" w:rsidP="000C5635">
      <w:pPr>
        <w:pStyle w:val="Corpsdetexte"/>
        <w:suppressAutoHyphens w:val="0"/>
        <w:spacing w:before="120"/>
        <w:rPr>
          <w:bCs/>
          <w:color w:val="000000"/>
          <w:lang w:val="fr-FR" w:eastAsia="fr-FR"/>
        </w:rPr>
      </w:pPr>
    </w:p>
    <w:p w14:paraId="3619BF16" w14:textId="77777777" w:rsidR="007B748C" w:rsidRDefault="007B748C" w:rsidP="007B748C">
      <w:pPr>
        <w:pStyle w:val="Corpsdetexte"/>
        <w:suppressAutoHyphens w:val="0"/>
        <w:spacing w:before="120"/>
        <w:jc w:val="center"/>
        <w:rPr>
          <w:b/>
          <w:bCs/>
          <w:color w:val="000000"/>
          <w:lang w:val="fr-FR" w:eastAsia="fr-FR"/>
        </w:rPr>
      </w:pPr>
      <w:r w:rsidRPr="00221311">
        <w:rPr>
          <w:b/>
          <w:bCs/>
          <w:color w:val="000000"/>
          <w:lang w:val="fr-FR" w:eastAsia="fr-FR"/>
        </w:rPr>
        <w:t xml:space="preserve">Article </w:t>
      </w:r>
      <w:r>
        <w:rPr>
          <w:b/>
          <w:bCs/>
          <w:color w:val="000000"/>
          <w:lang w:val="fr-FR" w:eastAsia="fr-FR"/>
        </w:rPr>
        <w:t>6</w:t>
      </w:r>
    </w:p>
    <w:p w14:paraId="3A1D34AA" w14:textId="36AC6F42" w:rsidR="002B3C48" w:rsidRDefault="007B748C" w:rsidP="00A329A1">
      <w:pPr>
        <w:pStyle w:val="NormalWeb"/>
        <w:jc w:val="both"/>
      </w:pPr>
      <w:r>
        <w:t>Les dispositions du présent décret sont évaluées et, le cas échéant, modifiées, d'ici le 31 décembre 2026.</w:t>
      </w:r>
    </w:p>
    <w:p w14:paraId="0E57E620" w14:textId="77777777" w:rsidR="00A329A1" w:rsidRDefault="00A329A1" w:rsidP="000C5635">
      <w:pPr>
        <w:pStyle w:val="Corpsdetexte"/>
        <w:suppressAutoHyphens w:val="0"/>
        <w:spacing w:before="120"/>
        <w:jc w:val="center"/>
        <w:rPr>
          <w:b/>
          <w:bCs/>
          <w:color w:val="000000"/>
          <w:lang w:val="fr-FR" w:eastAsia="fr-FR"/>
        </w:rPr>
      </w:pPr>
    </w:p>
    <w:p w14:paraId="31A0C55F" w14:textId="7A64F6AB" w:rsidR="00221311" w:rsidRDefault="00221311" w:rsidP="000C5635">
      <w:pPr>
        <w:pStyle w:val="Corpsdetexte"/>
        <w:suppressAutoHyphens w:val="0"/>
        <w:spacing w:before="120"/>
        <w:jc w:val="center"/>
        <w:rPr>
          <w:b/>
          <w:bCs/>
          <w:color w:val="000000"/>
          <w:lang w:val="fr-FR" w:eastAsia="fr-FR"/>
        </w:rPr>
      </w:pPr>
      <w:r w:rsidRPr="00221311">
        <w:rPr>
          <w:b/>
          <w:bCs/>
          <w:color w:val="000000"/>
          <w:lang w:val="fr-FR" w:eastAsia="fr-FR"/>
        </w:rPr>
        <w:t xml:space="preserve">Article </w:t>
      </w:r>
      <w:r w:rsidR="007B748C">
        <w:rPr>
          <w:b/>
          <w:bCs/>
          <w:color w:val="000000"/>
          <w:lang w:val="fr-FR" w:eastAsia="fr-FR"/>
        </w:rPr>
        <w:t>7</w:t>
      </w:r>
    </w:p>
    <w:p w14:paraId="70BBC944" w14:textId="68BCBE5F" w:rsidR="00DC0F48" w:rsidRDefault="0053611C" w:rsidP="00DC0F48">
      <w:pPr>
        <w:pStyle w:val="Corpsdetexte"/>
        <w:suppressAutoHyphens w:val="0"/>
        <w:spacing w:before="120"/>
        <w:rPr>
          <w:bCs/>
          <w:color w:val="000000"/>
          <w:lang w:val="fr-FR" w:eastAsia="fr-FR"/>
        </w:rPr>
      </w:pPr>
      <w:r>
        <w:rPr>
          <w:bCs/>
          <w:color w:val="000000"/>
          <w:lang w:val="fr-FR" w:eastAsia="fr-FR"/>
        </w:rPr>
        <w:t xml:space="preserve">I. </w:t>
      </w:r>
      <w:r w:rsidR="00221311">
        <w:rPr>
          <w:bCs/>
          <w:color w:val="000000"/>
          <w:lang w:val="fr-FR" w:eastAsia="fr-FR"/>
        </w:rPr>
        <w:t>Le présent décret entre en vigueur le 1</w:t>
      </w:r>
      <w:r w:rsidR="00221311" w:rsidRPr="00221311">
        <w:rPr>
          <w:bCs/>
          <w:color w:val="000000"/>
          <w:vertAlign w:val="superscript"/>
          <w:lang w:val="fr-FR" w:eastAsia="fr-FR"/>
        </w:rPr>
        <w:t>er</w:t>
      </w:r>
      <w:r w:rsidR="00173863">
        <w:rPr>
          <w:bCs/>
          <w:color w:val="000000"/>
          <w:lang w:val="fr-FR" w:eastAsia="fr-FR"/>
        </w:rPr>
        <w:t xml:space="preserve"> janvier 2024. </w:t>
      </w:r>
    </w:p>
    <w:p w14:paraId="2B414210" w14:textId="099D9E77" w:rsidR="0053611C" w:rsidRDefault="0053611C" w:rsidP="0053611C">
      <w:pPr>
        <w:pStyle w:val="Corpsdetexte"/>
        <w:suppressAutoHyphens w:val="0"/>
        <w:spacing w:before="120"/>
        <w:rPr>
          <w:bCs/>
          <w:color w:val="000000"/>
          <w:lang w:val="fr-FR" w:eastAsia="fr-FR"/>
        </w:rPr>
      </w:pPr>
      <w:r>
        <w:rPr>
          <w:bCs/>
          <w:color w:val="000000"/>
          <w:lang w:val="fr-FR" w:eastAsia="fr-FR"/>
        </w:rPr>
        <w:t>II. Pour les produits identifiés comme nouveaux dans l’arrêté mentionné à l’article 2, ses dispositions s’appliquent aux acquisitions effectuées à compter de la même date dans le cadre de marchés publics pour lesquels une consultation a été engagée ou un avis d’appel à la concurrence a été envoyé à la publication après la date de publication du présent décret.</w:t>
      </w:r>
    </w:p>
    <w:p w14:paraId="37B0AB2A" w14:textId="0C0FB482" w:rsidR="00DC0F48" w:rsidRPr="00221311" w:rsidRDefault="0053611C" w:rsidP="00DC0F48">
      <w:pPr>
        <w:pStyle w:val="Corpsdetexte"/>
        <w:suppressAutoHyphens w:val="0"/>
        <w:spacing w:before="120"/>
        <w:rPr>
          <w:bCs/>
          <w:color w:val="000000"/>
          <w:lang w:val="fr-FR" w:eastAsia="fr-FR"/>
        </w:rPr>
      </w:pPr>
      <w:r>
        <w:rPr>
          <w:lang w:val="fr-FR"/>
        </w:rPr>
        <w:t xml:space="preserve">III. </w:t>
      </w:r>
      <w:proofErr w:type="spellStart"/>
      <w:r>
        <w:rPr>
          <w:lang w:val="fr-FR"/>
        </w:rPr>
        <w:t>L</w:t>
      </w:r>
      <w:r w:rsidR="00DC0F48">
        <w:t>es</w:t>
      </w:r>
      <w:proofErr w:type="spellEnd"/>
      <w:r w:rsidR="00DC0F48">
        <w:t xml:space="preserve"> dispositions </w:t>
      </w:r>
      <w:r w:rsidR="00994255">
        <w:rPr>
          <w:lang w:val="fr-FR"/>
        </w:rPr>
        <w:t xml:space="preserve">déclaratives </w:t>
      </w:r>
      <w:r w:rsidR="000C7161">
        <w:rPr>
          <w:lang w:val="fr-FR"/>
        </w:rPr>
        <w:t>de l’article 3 du</w:t>
      </w:r>
      <w:r w:rsidR="00A64C42">
        <w:rPr>
          <w:lang w:val="fr-FR"/>
        </w:rPr>
        <w:t xml:space="preserve"> </w:t>
      </w:r>
      <w:r w:rsidR="00DC0F48">
        <w:rPr>
          <w:lang w:val="fr-FR"/>
        </w:rPr>
        <w:t xml:space="preserve">décret </w:t>
      </w:r>
      <w:r w:rsidR="00DC0F48" w:rsidRPr="00655C32">
        <w:rPr>
          <w:bCs/>
          <w:color w:val="000000"/>
          <w:lang w:val="fr-FR" w:eastAsia="fr-FR"/>
        </w:rPr>
        <w:t>n° 2021-254 du 9 mars 2021</w:t>
      </w:r>
      <w:r w:rsidR="000C7161">
        <w:rPr>
          <w:bCs/>
          <w:color w:val="000000"/>
          <w:lang w:val="fr-FR" w:eastAsia="fr-FR"/>
        </w:rPr>
        <w:t>, applicables à l</w:t>
      </w:r>
      <w:r w:rsidR="00DC0F48" w:rsidRPr="00655C32">
        <w:rPr>
          <w:bCs/>
          <w:color w:val="000000"/>
          <w:lang w:val="fr-FR" w:eastAsia="fr-FR"/>
        </w:rPr>
        <w:t>'acquisition par la commande publique de biens issus du réemploi ou de la réutilisation ou intégrant des matières recyclées</w:t>
      </w:r>
      <w:r w:rsidR="00DC0F48">
        <w:rPr>
          <w:bCs/>
          <w:color w:val="000000"/>
          <w:lang w:val="fr-FR" w:eastAsia="fr-FR"/>
        </w:rPr>
        <w:t xml:space="preserve"> </w:t>
      </w:r>
      <w:r w:rsidR="000C7161">
        <w:rPr>
          <w:bCs/>
          <w:color w:val="000000"/>
          <w:lang w:val="fr-FR" w:eastAsia="fr-FR"/>
        </w:rPr>
        <w:t xml:space="preserve">listées en annexe du décret dans sa version antérieure à son abrogation, </w:t>
      </w:r>
      <w:r w:rsidR="00DC0F48">
        <w:rPr>
          <w:lang w:val="fr-FR"/>
        </w:rPr>
        <w:t>s’appl</w:t>
      </w:r>
      <w:r w:rsidR="0047443E">
        <w:rPr>
          <w:lang w:val="fr-FR"/>
        </w:rPr>
        <w:t xml:space="preserve">iquent jusqu’au </w:t>
      </w:r>
      <w:r w:rsidR="0031452F">
        <w:rPr>
          <w:lang w:val="fr-FR"/>
        </w:rPr>
        <w:t xml:space="preserve">30 juin </w:t>
      </w:r>
      <w:r w:rsidR="0047443E">
        <w:rPr>
          <w:lang w:val="fr-FR"/>
        </w:rPr>
        <w:t>2024</w:t>
      </w:r>
      <w:r w:rsidR="00DC0F48">
        <w:rPr>
          <w:lang w:val="fr-FR"/>
        </w:rPr>
        <w:t>.</w:t>
      </w:r>
    </w:p>
    <w:p w14:paraId="7CDE0EB8" w14:textId="3736F7CB" w:rsidR="00173863" w:rsidRDefault="00173863" w:rsidP="000C5635">
      <w:pPr>
        <w:pStyle w:val="Corpsdetexte"/>
        <w:suppressAutoHyphens w:val="0"/>
        <w:spacing w:before="120"/>
        <w:rPr>
          <w:bCs/>
          <w:color w:val="000000"/>
          <w:lang w:val="fr-FR" w:eastAsia="fr-FR"/>
        </w:rPr>
      </w:pPr>
    </w:p>
    <w:p w14:paraId="67BA0226" w14:textId="23297393" w:rsidR="009A124C" w:rsidRPr="00CB204F" w:rsidRDefault="004A0F51" w:rsidP="000C5635">
      <w:pPr>
        <w:pStyle w:val="SNArticle"/>
        <w:suppressAutoHyphens w:val="0"/>
        <w:spacing w:before="120" w:after="120"/>
        <w:rPr>
          <w:color w:val="000000"/>
          <w:lang w:val="fr-FR" w:eastAsia="fr-FR"/>
        </w:rPr>
      </w:pPr>
      <w:r w:rsidRPr="00CB204F">
        <w:rPr>
          <w:color w:val="000000"/>
          <w:lang w:val="fr-FR" w:eastAsia="fr-FR"/>
        </w:rPr>
        <w:t xml:space="preserve">Article </w:t>
      </w:r>
      <w:r w:rsidR="007B748C">
        <w:rPr>
          <w:color w:val="000000"/>
          <w:lang w:val="fr-FR" w:eastAsia="fr-FR"/>
        </w:rPr>
        <w:t>8</w:t>
      </w:r>
    </w:p>
    <w:p w14:paraId="65F16D21" w14:textId="4DDCD4B0" w:rsidR="004E2A3D" w:rsidRDefault="004A0F51" w:rsidP="000C5635">
      <w:pPr>
        <w:pStyle w:val="Corpsdetexte"/>
        <w:suppressAutoHyphens w:val="0"/>
        <w:spacing w:before="120"/>
        <w:rPr>
          <w:bCs/>
          <w:color w:val="000000"/>
          <w:lang w:val="fr-FR" w:eastAsia="fr-FR"/>
        </w:rPr>
      </w:pPr>
      <w:r w:rsidRPr="00CB204F">
        <w:rPr>
          <w:bCs/>
          <w:color w:val="000000"/>
          <w:lang w:val="fr-FR" w:eastAsia="fr-FR"/>
        </w:rPr>
        <w:t>L</w:t>
      </w:r>
      <w:r w:rsidR="00655C32">
        <w:rPr>
          <w:bCs/>
          <w:color w:val="000000"/>
          <w:lang w:val="fr-FR" w:eastAsia="fr-FR"/>
        </w:rPr>
        <w:t>e</w:t>
      </w:r>
      <w:r w:rsidRPr="00CB204F">
        <w:rPr>
          <w:bCs/>
          <w:color w:val="000000"/>
          <w:lang w:val="fr-FR" w:eastAsia="fr-FR"/>
        </w:rPr>
        <w:t xml:space="preserve"> ministre de la transition écologique </w:t>
      </w:r>
      <w:r w:rsidR="00655C32">
        <w:rPr>
          <w:bCs/>
          <w:color w:val="000000"/>
          <w:lang w:val="fr-FR" w:eastAsia="fr-FR"/>
        </w:rPr>
        <w:t>et</w:t>
      </w:r>
      <w:r w:rsidR="0047443E">
        <w:rPr>
          <w:bCs/>
          <w:color w:val="000000"/>
          <w:lang w:val="fr-FR" w:eastAsia="fr-FR"/>
        </w:rPr>
        <w:t xml:space="preserve"> de la cohésion des territoires,</w:t>
      </w:r>
      <w:r w:rsidR="00173863">
        <w:rPr>
          <w:bCs/>
          <w:color w:val="000000"/>
          <w:lang w:val="fr-FR" w:eastAsia="fr-FR"/>
        </w:rPr>
        <w:t xml:space="preserve"> le ministre de l’économie, des finances et de la souveraineté </w:t>
      </w:r>
      <w:r w:rsidR="00610711">
        <w:rPr>
          <w:bCs/>
          <w:color w:val="000000"/>
          <w:lang w:val="fr-FR" w:eastAsia="fr-FR"/>
        </w:rPr>
        <w:t>industrielle et numérique</w:t>
      </w:r>
      <w:r w:rsidR="0047443E">
        <w:rPr>
          <w:bCs/>
          <w:color w:val="000000"/>
          <w:lang w:val="fr-FR" w:eastAsia="fr-FR"/>
        </w:rPr>
        <w:t xml:space="preserve">, le ministre de </w:t>
      </w:r>
      <w:r w:rsidR="00610711">
        <w:rPr>
          <w:bCs/>
          <w:color w:val="000000"/>
          <w:lang w:val="fr-FR" w:eastAsia="fr-FR"/>
        </w:rPr>
        <w:t>la transformation et de la fonction publique</w:t>
      </w:r>
      <w:r w:rsidR="00EC4CAE">
        <w:rPr>
          <w:bCs/>
          <w:color w:val="000000"/>
          <w:lang w:val="fr-FR" w:eastAsia="fr-FR"/>
        </w:rPr>
        <w:t xml:space="preserve"> et la secrétaire d’Etat chargée de l’écologie</w:t>
      </w:r>
      <w:r w:rsidR="00173863">
        <w:rPr>
          <w:bCs/>
          <w:color w:val="000000"/>
          <w:lang w:val="fr-FR" w:eastAsia="fr-FR"/>
        </w:rPr>
        <w:t xml:space="preserve"> </w:t>
      </w:r>
      <w:r w:rsidR="00610711">
        <w:rPr>
          <w:bCs/>
          <w:color w:val="000000"/>
          <w:lang w:val="fr-FR" w:eastAsia="fr-FR"/>
        </w:rPr>
        <w:t>son</w:t>
      </w:r>
      <w:r w:rsidR="004457E7" w:rsidRPr="00CB204F">
        <w:rPr>
          <w:bCs/>
          <w:color w:val="000000"/>
          <w:lang w:val="fr-FR" w:eastAsia="fr-FR"/>
        </w:rPr>
        <w:t>t chargé</w:t>
      </w:r>
      <w:r w:rsidR="00610711">
        <w:rPr>
          <w:bCs/>
          <w:color w:val="000000"/>
          <w:lang w:val="fr-FR" w:eastAsia="fr-FR"/>
        </w:rPr>
        <w:t>s</w:t>
      </w:r>
      <w:r w:rsidR="0053611C">
        <w:rPr>
          <w:bCs/>
          <w:color w:val="000000"/>
          <w:lang w:val="fr-FR" w:eastAsia="fr-FR"/>
        </w:rPr>
        <w:t>, chacun en ce qui le concerne,</w:t>
      </w:r>
      <w:r w:rsidR="004457E7" w:rsidRPr="00CB204F">
        <w:rPr>
          <w:bCs/>
          <w:color w:val="000000"/>
          <w:lang w:val="fr-FR" w:eastAsia="fr-FR"/>
        </w:rPr>
        <w:t xml:space="preserve"> </w:t>
      </w:r>
      <w:r w:rsidR="00A754D2" w:rsidRPr="00CB204F">
        <w:rPr>
          <w:bCs/>
          <w:color w:val="000000"/>
          <w:lang w:val="fr-FR" w:eastAsia="fr-FR"/>
        </w:rPr>
        <w:t xml:space="preserve">de </w:t>
      </w:r>
      <w:r w:rsidR="00C058C5" w:rsidRPr="00CB204F">
        <w:rPr>
          <w:bCs/>
          <w:color w:val="000000"/>
          <w:lang w:val="fr-FR" w:eastAsia="fr-FR"/>
        </w:rPr>
        <w:t xml:space="preserve">l’exécution </w:t>
      </w:r>
      <w:r w:rsidRPr="00CB204F">
        <w:rPr>
          <w:bCs/>
          <w:color w:val="000000"/>
          <w:lang w:val="fr-FR" w:eastAsia="fr-FR"/>
        </w:rPr>
        <w:t>du présent décret, qui sera publié au</w:t>
      </w:r>
      <w:r w:rsidR="00807008" w:rsidRPr="00CB204F">
        <w:rPr>
          <w:bCs/>
          <w:color w:val="000000"/>
          <w:lang w:val="fr-FR" w:eastAsia="fr-FR"/>
        </w:rPr>
        <w:t xml:space="preserve"> </w:t>
      </w:r>
      <w:r w:rsidR="00B25465" w:rsidRPr="00B25465">
        <w:rPr>
          <w:bCs/>
          <w:i/>
          <w:color w:val="000000"/>
          <w:lang w:val="fr-FR" w:eastAsia="fr-FR"/>
        </w:rPr>
        <w:t>J</w:t>
      </w:r>
      <w:r w:rsidR="00EB5DE7" w:rsidRPr="00B25465">
        <w:rPr>
          <w:bCs/>
          <w:i/>
          <w:color w:val="000000"/>
          <w:lang w:val="fr-FR" w:eastAsia="fr-FR"/>
        </w:rPr>
        <w:t>ournal</w:t>
      </w:r>
      <w:r w:rsidRPr="00B25465">
        <w:rPr>
          <w:bCs/>
          <w:i/>
          <w:color w:val="000000"/>
          <w:lang w:val="fr-FR" w:eastAsia="fr-FR"/>
        </w:rPr>
        <w:t xml:space="preserve"> </w:t>
      </w:r>
      <w:r w:rsidR="00336CBF" w:rsidRPr="00B25465">
        <w:rPr>
          <w:bCs/>
          <w:i/>
          <w:color w:val="000000"/>
          <w:lang w:val="fr-FR" w:eastAsia="fr-FR"/>
        </w:rPr>
        <w:t>officiel</w:t>
      </w:r>
      <w:r w:rsidRPr="00CB204F">
        <w:rPr>
          <w:bCs/>
          <w:color w:val="000000"/>
          <w:lang w:val="fr-FR" w:eastAsia="fr-FR"/>
        </w:rPr>
        <w:t xml:space="preserve"> de la République française. </w:t>
      </w:r>
    </w:p>
    <w:p w14:paraId="79F47875" w14:textId="77777777" w:rsidR="00B25465" w:rsidRDefault="00B25465" w:rsidP="000C5635">
      <w:pPr>
        <w:pStyle w:val="Corpsdetexte"/>
        <w:suppressAutoHyphens w:val="0"/>
        <w:spacing w:before="120"/>
        <w:ind w:firstLine="708"/>
        <w:rPr>
          <w:color w:val="000000"/>
          <w:lang w:val="fr-FR"/>
        </w:rPr>
      </w:pPr>
    </w:p>
    <w:p w14:paraId="43C5D6E9" w14:textId="77777777" w:rsidR="003C0488" w:rsidRDefault="003C0488">
      <w:pPr>
        <w:suppressAutoHyphens w:val="0"/>
        <w:rPr>
          <w:color w:val="000000"/>
        </w:rPr>
      </w:pPr>
      <w:r>
        <w:rPr>
          <w:color w:val="000000"/>
        </w:rPr>
        <w:br w:type="page"/>
      </w:r>
    </w:p>
    <w:p w14:paraId="32BE08CE" w14:textId="141D5155" w:rsidR="00AE3432" w:rsidRDefault="00AE3432" w:rsidP="00EC4CAE">
      <w:pPr>
        <w:pStyle w:val="Corpsdetexte"/>
        <w:suppressAutoHyphens w:val="0"/>
        <w:spacing w:after="0"/>
        <w:ind w:firstLine="708"/>
        <w:rPr>
          <w:color w:val="000000"/>
          <w:lang w:val="fr-FR"/>
        </w:rPr>
      </w:pPr>
      <w:r w:rsidRPr="00CB204F">
        <w:rPr>
          <w:color w:val="000000"/>
          <w:lang w:val="fr-FR"/>
        </w:rPr>
        <w:lastRenderedPageBreak/>
        <w:t>Fait le</w:t>
      </w:r>
    </w:p>
    <w:p w14:paraId="118EE8DE" w14:textId="28513F45" w:rsidR="00B25465" w:rsidRDefault="00B25465" w:rsidP="00EC4CAE">
      <w:pPr>
        <w:pStyle w:val="Corpsdetexte"/>
        <w:suppressAutoHyphens w:val="0"/>
        <w:spacing w:after="0"/>
        <w:rPr>
          <w:color w:val="000000"/>
          <w:lang w:val="fr-FR"/>
        </w:rPr>
      </w:pPr>
    </w:p>
    <w:p w14:paraId="7E983CEE" w14:textId="0050C186" w:rsidR="00AE3432" w:rsidRPr="00CB204F" w:rsidRDefault="00AE3432" w:rsidP="00EC4CAE">
      <w:pPr>
        <w:suppressAutoHyphens w:val="0"/>
        <w:rPr>
          <w:color w:val="000000"/>
        </w:rPr>
      </w:pPr>
      <w:r w:rsidRPr="00CB204F">
        <w:rPr>
          <w:color w:val="000000"/>
        </w:rPr>
        <w:t>Par l</w:t>
      </w:r>
      <w:r w:rsidR="0008167B">
        <w:rPr>
          <w:color w:val="000000"/>
        </w:rPr>
        <w:t>a</w:t>
      </w:r>
      <w:r w:rsidRPr="00CB204F">
        <w:rPr>
          <w:color w:val="000000"/>
        </w:rPr>
        <w:t xml:space="preserve"> Premi</w:t>
      </w:r>
      <w:r w:rsidR="0008167B">
        <w:rPr>
          <w:color w:val="000000"/>
        </w:rPr>
        <w:t>è</w:t>
      </w:r>
      <w:r w:rsidRPr="00CB204F">
        <w:rPr>
          <w:color w:val="000000"/>
        </w:rPr>
        <w:t>r</w:t>
      </w:r>
      <w:r w:rsidR="0008167B">
        <w:rPr>
          <w:color w:val="000000"/>
        </w:rPr>
        <w:t>e</w:t>
      </w:r>
      <w:r w:rsidRPr="00CB204F">
        <w:rPr>
          <w:color w:val="000000"/>
        </w:rPr>
        <w:t xml:space="preserve"> ministre : </w:t>
      </w:r>
    </w:p>
    <w:p w14:paraId="31667491" w14:textId="6A5F06F6" w:rsidR="00B25465" w:rsidRDefault="0053611C" w:rsidP="00EC4CAE">
      <w:pPr>
        <w:pStyle w:val="Corpsdetexte"/>
        <w:tabs>
          <w:tab w:val="left" w:pos="5670"/>
        </w:tabs>
        <w:suppressAutoHyphens w:val="0"/>
        <w:spacing w:after="0"/>
        <w:rPr>
          <w:color w:val="000000"/>
          <w:lang w:val="fr-FR"/>
        </w:rPr>
      </w:pPr>
      <w:r>
        <w:rPr>
          <w:color w:val="000000"/>
          <w:lang w:val="fr-FR"/>
        </w:rPr>
        <w:t>Elisabeth BORNE</w:t>
      </w:r>
    </w:p>
    <w:p w14:paraId="4F38D46A" w14:textId="51655D58" w:rsidR="00EC4CAE" w:rsidRDefault="00EC4CAE" w:rsidP="00EC4CAE">
      <w:pPr>
        <w:pStyle w:val="Corpsdetexte"/>
        <w:tabs>
          <w:tab w:val="left" w:pos="5670"/>
        </w:tabs>
        <w:suppressAutoHyphens w:val="0"/>
        <w:spacing w:after="0"/>
        <w:rPr>
          <w:color w:val="000000"/>
          <w:lang w:val="fr-FR"/>
        </w:rPr>
      </w:pPr>
    </w:p>
    <w:p w14:paraId="38BAE7CA" w14:textId="77777777" w:rsidR="00EC4CAE" w:rsidRDefault="00EC4CAE" w:rsidP="00EC4CAE">
      <w:pPr>
        <w:pStyle w:val="Corpsdetexte"/>
        <w:tabs>
          <w:tab w:val="left" w:pos="5670"/>
        </w:tabs>
        <w:suppressAutoHyphens w:val="0"/>
        <w:spacing w:after="0"/>
        <w:rPr>
          <w:color w:val="000000"/>
          <w:lang w:val="fr-FR"/>
        </w:rPr>
      </w:pPr>
    </w:p>
    <w:p w14:paraId="4292AD20" w14:textId="77777777" w:rsidR="00AE3432" w:rsidRPr="00CB204F" w:rsidRDefault="00B25465" w:rsidP="00EC4CAE">
      <w:pPr>
        <w:pStyle w:val="Corpsdetexte"/>
        <w:tabs>
          <w:tab w:val="left" w:pos="5670"/>
        </w:tabs>
        <w:suppressAutoHyphens w:val="0"/>
        <w:spacing w:after="0"/>
        <w:jc w:val="right"/>
        <w:rPr>
          <w:color w:val="000000"/>
          <w:lang w:val="fr-FR"/>
        </w:rPr>
      </w:pPr>
      <w:r>
        <w:rPr>
          <w:color w:val="000000"/>
          <w:lang w:val="fr-FR"/>
        </w:rPr>
        <w:tab/>
      </w:r>
      <w:r w:rsidR="00655C32">
        <w:rPr>
          <w:color w:val="000000"/>
          <w:lang w:val="fr-FR"/>
        </w:rPr>
        <w:t>Le ministre de la transition écologique et de la cohésion des territoires</w:t>
      </w:r>
      <w:r>
        <w:rPr>
          <w:color w:val="000000"/>
          <w:lang w:val="fr-FR"/>
        </w:rPr>
        <w:t>,</w:t>
      </w:r>
    </w:p>
    <w:p w14:paraId="2FB1FD6E" w14:textId="72BA78AE" w:rsidR="00173863" w:rsidRDefault="00B25465" w:rsidP="00EC4CAE">
      <w:pPr>
        <w:pStyle w:val="Corpsdetexte"/>
        <w:tabs>
          <w:tab w:val="left" w:pos="5670"/>
        </w:tabs>
        <w:suppressAutoHyphens w:val="0"/>
        <w:spacing w:after="0"/>
        <w:jc w:val="right"/>
        <w:rPr>
          <w:color w:val="000000"/>
          <w:lang w:val="fr-FR"/>
        </w:rPr>
      </w:pPr>
      <w:r>
        <w:rPr>
          <w:color w:val="000000"/>
          <w:lang w:val="fr-FR"/>
        </w:rPr>
        <w:tab/>
        <w:t xml:space="preserve">                </w:t>
      </w:r>
      <w:r w:rsidR="00655C32">
        <w:rPr>
          <w:color w:val="000000"/>
          <w:lang w:val="fr-FR"/>
        </w:rPr>
        <w:t>Christophe BECHU</w:t>
      </w:r>
    </w:p>
    <w:p w14:paraId="76B49754" w14:textId="43FE2FF5" w:rsidR="005C1564" w:rsidRDefault="005C1564" w:rsidP="00EC4CAE">
      <w:pPr>
        <w:pStyle w:val="Corpsdetexte"/>
        <w:tabs>
          <w:tab w:val="left" w:pos="5670"/>
        </w:tabs>
        <w:suppressAutoHyphens w:val="0"/>
        <w:spacing w:after="0"/>
        <w:rPr>
          <w:color w:val="000000"/>
          <w:lang w:val="fr-FR"/>
        </w:rPr>
      </w:pPr>
    </w:p>
    <w:p w14:paraId="0982B1EF" w14:textId="76F1E9EB" w:rsidR="00EC4CAE" w:rsidRDefault="00EC4CAE" w:rsidP="00EC4CAE">
      <w:pPr>
        <w:pStyle w:val="Corpsdetexte"/>
        <w:tabs>
          <w:tab w:val="left" w:pos="5670"/>
        </w:tabs>
        <w:suppressAutoHyphens w:val="0"/>
        <w:spacing w:after="0"/>
        <w:rPr>
          <w:color w:val="000000"/>
          <w:lang w:val="fr-FR"/>
        </w:rPr>
      </w:pPr>
    </w:p>
    <w:p w14:paraId="39A7CBA4" w14:textId="77777777" w:rsidR="00EC4CAE" w:rsidRDefault="00EC4CAE" w:rsidP="00EC4CAE">
      <w:pPr>
        <w:pStyle w:val="Corpsdetexte"/>
        <w:tabs>
          <w:tab w:val="left" w:pos="5670"/>
        </w:tabs>
        <w:suppressAutoHyphens w:val="0"/>
        <w:spacing w:after="0"/>
        <w:rPr>
          <w:color w:val="000000"/>
          <w:lang w:val="fr-FR"/>
        </w:rPr>
      </w:pPr>
    </w:p>
    <w:p w14:paraId="464B8C16" w14:textId="3AD2836C" w:rsidR="005C1564" w:rsidRDefault="005C1564" w:rsidP="00EC4CAE">
      <w:pPr>
        <w:pStyle w:val="Corpsdetexte"/>
        <w:tabs>
          <w:tab w:val="left" w:pos="5670"/>
        </w:tabs>
        <w:suppressAutoHyphens w:val="0"/>
        <w:spacing w:after="0"/>
        <w:rPr>
          <w:color w:val="000000"/>
          <w:lang w:val="fr-FR"/>
        </w:rPr>
      </w:pPr>
    </w:p>
    <w:p w14:paraId="32C1FB4F" w14:textId="77777777" w:rsidR="00EC4CAE" w:rsidRDefault="00610711" w:rsidP="00EC4CAE">
      <w:pPr>
        <w:pStyle w:val="Corpsdetexte"/>
        <w:tabs>
          <w:tab w:val="left" w:pos="5670"/>
        </w:tabs>
        <w:suppressAutoHyphens w:val="0"/>
        <w:spacing w:after="0"/>
        <w:rPr>
          <w:color w:val="000000"/>
          <w:lang w:val="fr-FR"/>
        </w:rPr>
      </w:pPr>
      <w:r>
        <w:rPr>
          <w:color w:val="000000"/>
          <w:lang w:val="fr-FR"/>
        </w:rPr>
        <w:t xml:space="preserve">Le ministre de l’économie, </w:t>
      </w:r>
      <w:r w:rsidR="005C1564">
        <w:rPr>
          <w:color w:val="000000"/>
          <w:lang w:val="fr-FR"/>
        </w:rPr>
        <w:t xml:space="preserve">des finances </w:t>
      </w:r>
    </w:p>
    <w:p w14:paraId="39089330" w14:textId="7FB736E5" w:rsidR="005C1564" w:rsidRDefault="005C1564" w:rsidP="00EC4CAE">
      <w:pPr>
        <w:pStyle w:val="Corpsdetexte"/>
        <w:tabs>
          <w:tab w:val="left" w:pos="5670"/>
        </w:tabs>
        <w:suppressAutoHyphens w:val="0"/>
        <w:spacing w:after="0"/>
        <w:rPr>
          <w:color w:val="000000"/>
          <w:lang w:val="fr-FR"/>
        </w:rPr>
      </w:pPr>
      <w:proofErr w:type="gramStart"/>
      <w:r>
        <w:rPr>
          <w:color w:val="000000"/>
          <w:lang w:val="fr-FR"/>
        </w:rPr>
        <w:t>et</w:t>
      </w:r>
      <w:proofErr w:type="gramEnd"/>
      <w:r>
        <w:rPr>
          <w:color w:val="000000"/>
          <w:lang w:val="fr-FR"/>
        </w:rPr>
        <w:t xml:space="preserve"> de la </w:t>
      </w:r>
      <w:r w:rsidR="00610711">
        <w:rPr>
          <w:bCs/>
          <w:color w:val="000000"/>
          <w:lang w:val="fr-FR" w:eastAsia="fr-FR"/>
        </w:rPr>
        <w:t>souveraineté industrielle et numérique,</w:t>
      </w:r>
    </w:p>
    <w:p w14:paraId="6655360F" w14:textId="0B3563FB" w:rsidR="005C1564" w:rsidRDefault="005C1564" w:rsidP="00EC4CAE">
      <w:pPr>
        <w:pStyle w:val="Corpsdetexte"/>
        <w:tabs>
          <w:tab w:val="left" w:pos="5670"/>
        </w:tabs>
        <w:suppressAutoHyphens w:val="0"/>
        <w:spacing w:after="0"/>
        <w:rPr>
          <w:color w:val="000000"/>
          <w:lang w:val="fr-FR"/>
        </w:rPr>
      </w:pPr>
      <w:r>
        <w:rPr>
          <w:color w:val="000000"/>
          <w:lang w:val="fr-FR"/>
        </w:rPr>
        <w:t>Bruno LE MAIRE</w:t>
      </w:r>
    </w:p>
    <w:p w14:paraId="1A494D5C" w14:textId="207BFB62" w:rsidR="00610711" w:rsidRDefault="00610711" w:rsidP="00EC4CAE">
      <w:pPr>
        <w:pStyle w:val="Corpsdetexte"/>
        <w:tabs>
          <w:tab w:val="left" w:pos="5670"/>
        </w:tabs>
        <w:suppressAutoHyphens w:val="0"/>
        <w:spacing w:after="0"/>
        <w:rPr>
          <w:color w:val="000000"/>
          <w:lang w:val="fr-FR"/>
        </w:rPr>
      </w:pPr>
    </w:p>
    <w:p w14:paraId="4F679AC5" w14:textId="4E7710A8" w:rsidR="00EC4CAE" w:rsidRDefault="00EC4CAE" w:rsidP="00EC4CAE">
      <w:pPr>
        <w:pStyle w:val="Corpsdetexte"/>
        <w:tabs>
          <w:tab w:val="left" w:pos="5670"/>
        </w:tabs>
        <w:suppressAutoHyphens w:val="0"/>
        <w:spacing w:after="0"/>
        <w:rPr>
          <w:color w:val="000000"/>
          <w:lang w:val="fr-FR"/>
        </w:rPr>
      </w:pPr>
    </w:p>
    <w:p w14:paraId="48C6EB2D" w14:textId="77777777" w:rsidR="00EC4CAE" w:rsidRDefault="00EC4CAE" w:rsidP="00EC4CAE">
      <w:pPr>
        <w:pStyle w:val="Corpsdetexte"/>
        <w:tabs>
          <w:tab w:val="left" w:pos="5670"/>
        </w:tabs>
        <w:suppressAutoHyphens w:val="0"/>
        <w:spacing w:after="0"/>
        <w:rPr>
          <w:color w:val="000000"/>
          <w:lang w:val="fr-FR"/>
        </w:rPr>
      </w:pPr>
    </w:p>
    <w:p w14:paraId="34834559" w14:textId="77777777" w:rsidR="00610711" w:rsidRDefault="00610711" w:rsidP="00EC4CAE">
      <w:pPr>
        <w:pStyle w:val="Corpsdetexte"/>
        <w:tabs>
          <w:tab w:val="left" w:pos="5670"/>
        </w:tabs>
        <w:suppressAutoHyphens w:val="0"/>
        <w:spacing w:after="0"/>
        <w:jc w:val="right"/>
        <w:rPr>
          <w:bCs/>
          <w:color w:val="000000"/>
          <w:lang w:val="fr-FR" w:eastAsia="fr-FR"/>
        </w:rPr>
      </w:pPr>
      <w:r>
        <w:rPr>
          <w:bCs/>
          <w:color w:val="000000"/>
          <w:lang w:val="fr-FR" w:eastAsia="fr-FR"/>
        </w:rPr>
        <w:t>Stanislas GUERINI</w:t>
      </w:r>
    </w:p>
    <w:p w14:paraId="1C9FDB9C" w14:textId="6C9B4BA2" w:rsidR="00DA588F" w:rsidRDefault="00610711" w:rsidP="00EC4CAE">
      <w:pPr>
        <w:pStyle w:val="Corpsdetexte"/>
        <w:tabs>
          <w:tab w:val="left" w:pos="5670"/>
        </w:tabs>
        <w:suppressAutoHyphens w:val="0"/>
        <w:spacing w:after="0"/>
        <w:jc w:val="right"/>
        <w:rPr>
          <w:bCs/>
          <w:color w:val="000000"/>
          <w:lang w:val="fr-FR" w:eastAsia="fr-FR"/>
        </w:rPr>
      </w:pPr>
      <w:r>
        <w:rPr>
          <w:bCs/>
          <w:color w:val="000000"/>
          <w:lang w:val="fr-FR" w:eastAsia="fr-FR"/>
        </w:rPr>
        <w:t>Le ministre de la transformation et de la fonction publique</w:t>
      </w:r>
    </w:p>
    <w:p w14:paraId="1CB1702D" w14:textId="4C65A38B" w:rsidR="00EC4CAE" w:rsidRDefault="00EC4CAE" w:rsidP="00EC4CAE">
      <w:pPr>
        <w:pStyle w:val="Corpsdetexte"/>
        <w:tabs>
          <w:tab w:val="left" w:pos="5670"/>
        </w:tabs>
        <w:suppressAutoHyphens w:val="0"/>
        <w:spacing w:after="0"/>
        <w:rPr>
          <w:bCs/>
          <w:color w:val="000000"/>
          <w:lang w:val="fr-FR" w:eastAsia="fr-FR"/>
        </w:rPr>
      </w:pPr>
    </w:p>
    <w:p w14:paraId="723FF01F" w14:textId="1952B6BB" w:rsidR="00EC4CAE" w:rsidRDefault="00EC4CAE" w:rsidP="00EC4CAE">
      <w:pPr>
        <w:pStyle w:val="Corpsdetexte"/>
        <w:tabs>
          <w:tab w:val="left" w:pos="5670"/>
        </w:tabs>
        <w:suppressAutoHyphens w:val="0"/>
        <w:spacing w:after="0"/>
        <w:rPr>
          <w:bCs/>
          <w:color w:val="000000"/>
          <w:lang w:val="fr-FR" w:eastAsia="fr-FR"/>
        </w:rPr>
      </w:pPr>
    </w:p>
    <w:p w14:paraId="1538F3A9" w14:textId="1EA6B5C1" w:rsidR="00EC4CAE" w:rsidRDefault="00EC4CAE" w:rsidP="00EC4CAE">
      <w:pPr>
        <w:pStyle w:val="Corpsdetexte"/>
        <w:tabs>
          <w:tab w:val="left" w:pos="5670"/>
        </w:tabs>
        <w:suppressAutoHyphens w:val="0"/>
        <w:spacing w:after="0"/>
        <w:rPr>
          <w:bCs/>
          <w:color w:val="000000"/>
          <w:lang w:val="fr-FR" w:eastAsia="fr-FR"/>
        </w:rPr>
      </w:pPr>
    </w:p>
    <w:p w14:paraId="7C976887" w14:textId="77777777" w:rsidR="00EC4CAE" w:rsidRDefault="00EC4CAE" w:rsidP="00EC4CAE">
      <w:pPr>
        <w:pStyle w:val="Corpsdetexte"/>
        <w:tabs>
          <w:tab w:val="left" w:pos="5670"/>
        </w:tabs>
        <w:suppressAutoHyphens w:val="0"/>
        <w:spacing w:after="0"/>
        <w:rPr>
          <w:bCs/>
          <w:color w:val="000000"/>
          <w:lang w:val="fr-FR" w:eastAsia="fr-FR"/>
        </w:rPr>
      </w:pPr>
    </w:p>
    <w:p w14:paraId="4B8C80EC" w14:textId="77777777" w:rsidR="00EC4CAE" w:rsidRDefault="00EC4CAE" w:rsidP="00EC4CAE">
      <w:pPr>
        <w:pStyle w:val="Corpsdetexte"/>
        <w:tabs>
          <w:tab w:val="left" w:pos="5670"/>
        </w:tabs>
        <w:suppressAutoHyphens w:val="0"/>
        <w:spacing w:after="0"/>
        <w:rPr>
          <w:bCs/>
          <w:color w:val="000000"/>
          <w:lang w:val="fr-FR" w:eastAsia="fr-FR"/>
        </w:rPr>
      </w:pPr>
    </w:p>
    <w:p w14:paraId="7C412405" w14:textId="77777777" w:rsidR="00DA588F" w:rsidRDefault="00DA588F" w:rsidP="00DA588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lang w:eastAsia="fr-FR"/>
        </w:rPr>
      </w:pPr>
    </w:p>
    <w:p w14:paraId="767975D4" w14:textId="77777777" w:rsidR="00DA588F" w:rsidRDefault="00DA588F" w:rsidP="00DA588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lang w:eastAsia="fr-FR"/>
        </w:rPr>
      </w:pPr>
    </w:p>
    <w:p w14:paraId="5A525595" w14:textId="77777777" w:rsidR="00DA588F" w:rsidRDefault="00DA588F" w:rsidP="00DA588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lang w:eastAsia="fr-FR"/>
        </w:rPr>
      </w:pPr>
    </w:p>
    <w:p w14:paraId="661368F6" w14:textId="77777777" w:rsidR="00DA588F" w:rsidRDefault="00DA588F" w:rsidP="00DA588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lang w:eastAsia="fr-FR"/>
        </w:rPr>
      </w:pPr>
    </w:p>
    <w:p w14:paraId="0E6F3164" w14:textId="15639F8A" w:rsidR="00DA588F" w:rsidRDefault="00DA588F" w:rsidP="00DA588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lang w:eastAsia="fr-FR"/>
        </w:rPr>
      </w:pPr>
    </w:p>
    <w:p w14:paraId="380DC400" w14:textId="77777777" w:rsidR="003B2BB1" w:rsidRDefault="003B2BB1" w:rsidP="00DA588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lang w:eastAsia="fr-FR"/>
        </w:rPr>
        <w:sectPr w:rsidR="003B2BB1" w:rsidSect="003B2BB1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1418" w:bottom="1418" w:left="1134" w:header="0" w:footer="709" w:gutter="0"/>
          <w:cols w:space="720"/>
          <w:formProt w:val="0"/>
          <w:docGrid w:linePitch="360" w:charSpace="-6145"/>
        </w:sectPr>
      </w:pPr>
    </w:p>
    <w:p w14:paraId="38E8843E" w14:textId="3454E624" w:rsidR="00DA588F" w:rsidRPr="00820F8C" w:rsidRDefault="00DA588F" w:rsidP="00DA588F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  <w:lang w:eastAsia="fr-FR"/>
        </w:rPr>
      </w:pPr>
      <w:r w:rsidRPr="00820F8C">
        <w:rPr>
          <w:b/>
          <w:bCs/>
          <w:sz w:val="27"/>
          <w:szCs w:val="27"/>
          <w:lang w:eastAsia="fr-FR"/>
        </w:rPr>
        <w:lastRenderedPageBreak/>
        <w:t>Annexe</w:t>
      </w:r>
      <w:r w:rsidR="00610711">
        <w:rPr>
          <w:b/>
          <w:bCs/>
          <w:sz w:val="27"/>
          <w:szCs w:val="27"/>
          <w:lang w:eastAsia="fr-FR"/>
        </w:rPr>
        <w:t xml:space="preserve"> </w:t>
      </w:r>
    </w:p>
    <w:p w14:paraId="06CE608F" w14:textId="45DD235C" w:rsidR="003C0488" w:rsidRDefault="00DA588F" w:rsidP="003C0488">
      <w:pPr>
        <w:spacing w:before="100" w:beforeAutospacing="1" w:after="100" w:afterAutospacing="1"/>
        <w:rPr>
          <w:lang w:eastAsia="fr-FR"/>
        </w:rPr>
      </w:pPr>
      <w:r w:rsidRPr="00820F8C">
        <w:rPr>
          <w:lang w:eastAsia="fr-FR"/>
        </w:rPr>
        <w:br/>
        <w:t>LISTE DES CATÉGORIES DE PRODUITS POUR LESQUELS SONT FIXÉES DES PROPORTIONS MINIMALES DE MONTANT ANNUEL D'AC</w:t>
      </w:r>
      <w:r w:rsidR="00482854">
        <w:rPr>
          <w:lang w:eastAsia="fr-FR"/>
        </w:rPr>
        <w:t>QUISITION</w:t>
      </w:r>
      <w:r w:rsidRPr="00820F8C">
        <w:rPr>
          <w:lang w:eastAsia="fr-FR"/>
        </w:rPr>
        <w:t xml:space="preserve"> DE BIENS ISSUS DU RÉEMPLOI OU DE LA </w:t>
      </w:r>
      <w:r w:rsidR="0038091C" w:rsidRPr="00820F8C">
        <w:rPr>
          <w:lang w:eastAsia="fr-FR"/>
        </w:rPr>
        <w:t xml:space="preserve">RÉUTILISATION </w:t>
      </w:r>
      <w:r w:rsidR="0038091C">
        <w:rPr>
          <w:lang w:eastAsia="fr-FR"/>
        </w:rPr>
        <w:t>OU</w:t>
      </w:r>
      <w:r w:rsidR="00482854">
        <w:rPr>
          <w:lang w:eastAsia="fr-FR"/>
        </w:rPr>
        <w:t xml:space="preserve"> COMPORTANT DES MATIERES RECYCLEES</w:t>
      </w:r>
      <w:r w:rsidR="003C0488">
        <w:rPr>
          <w:lang w:eastAsia="fr-FR"/>
        </w:rPr>
        <w:t>.</w:t>
      </w:r>
    </w:p>
    <w:p w14:paraId="0C2BBFDF" w14:textId="39477E8B" w:rsidR="00DA588F" w:rsidRDefault="00DA588F" w:rsidP="003C0488">
      <w:pPr>
        <w:spacing w:before="100" w:beforeAutospacing="1" w:after="100" w:afterAutospacing="1"/>
        <w:rPr>
          <w:lang w:eastAsia="fr-FR"/>
        </w:rPr>
      </w:pPr>
      <w:r w:rsidRPr="00820F8C">
        <w:rPr>
          <w:lang w:eastAsia="fr-FR"/>
        </w:rPr>
        <w:t>Les proportions minimales indiquées sont à respecter par ligne du tableau ci-dessous.</w:t>
      </w:r>
    </w:p>
    <w:p w14:paraId="696FB7B7" w14:textId="01C4D0AA" w:rsidR="00854B4A" w:rsidRPr="00726E9C" w:rsidRDefault="00854B4A" w:rsidP="00854B4A">
      <w:pPr>
        <w:spacing w:before="100" w:beforeAutospacing="1" w:after="100" w:afterAutospacing="1"/>
        <w:jc w:val="both"/>
        <w:rPr>
          <w:lang w:eastAsia="fr-FR"/>
        </w:rPr>
      </w:pPr>
    </w:p>
    <w:p w14:paraId="16A1B57D" w14:textId="77777777" w:rsidR="00854B4A" w:rsidRDefault="00854B4A" w:rsidP="00DA588F">
      <w:pPr>
        <w:spacing w:before="100" w:beforeAutospacing="1" w:after="100" w:afterAutospacing="1"/>
        <w:jc w:val="both"/>
        <w:rPr>
          <w:lang w:eastAsia="fr-FR"/>
        </w:rPr>
      </w:pPr>
    </w:p>
    <w:tbl>
      <w:tblPr>
        <w:tblpPr w:leftFromText="141" w:rightFromText="141" w:vertAnchor="text" w:horzAnchor="page" w:tblpX="426" w:tblpY="-856"/>
        <w:tblW w:w="1572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6437"/>
        <w:gridCol w:w="1417"/>
        <w:gridCol w:w="1276"/>
        <w:gridCol w:w="567"/>
        <w:gridCol w:w="1418"/>
        <w:gridCol w:w="1134"/>
        <w:gridCol w:w="567"/>
        <w:gridCol w:w="1275"/>
        <w:gridCol w:w="993"/>
      </w:tblGrid>
      <w:tr w:rsidR="00854B4A" w:rsidRPr="00820F8C" w14:paraId="130C36CA" w14:textId="77777777" w:rsidTr="00F457DD">
        <w:trPr>
          <w:trHeight w:val="1196"/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FF6C2" w14:textId="0AC99822" w:rsidR="00854B4A" w:rsidRPr="00F457DD" w:rsidRDefault="00854B4A" w:rsidP="00852F04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 w:rsidRPr="00F457DD">
              <w:rPr>
                <w:b/>
                <w:bCs/>
                <w:sz w:val="22"/>
                <w:szCs w:val="22"/>
                <w:lang w:eastAsia="fr-FR"/>
              </w:rPr>
              <w:t>Ligne</w:t>
            </w:r>
          </w:p>
          <w:p w14:paraId="361A527C" w14:textId="77777777" w:rsidR="00854B4A" w:rsidRPr="00F457DD" w:rsidRDefault="00854B4A" w:rsidP="00F457DD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B2901" w14:textId="08C5F7C3" w:rsidR="00854B4A" w:rsidRPr="00F457DD" w:rsidRDefault="00852F04" w:rsidP="00F457DD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>
              <w:rPr>
                <w:b/>
                <w:bCs/>
                <w:sz w:val="22"/>
                <w:szCs w:val="22"/>
                <w:lang w:eastAsia="fr-FR"/>
              </w:rPr>
              <w:t>C</w:t>
            </w:r>
            <w:r w:rsidR="00854B4A" w:rsidRPr="00F457DD">
              <w:rPr>
                <w:b/>
                <w:bCs/>
                <w:sz w:val="22"/>
                <w:szCs w:val="22"/>
                <w:lang w:eastAsia="fr-FR"/>
              </w:rPr>
              <w:t>atégories de produits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0C98E" w14:textId="77777777" w:rsidR="00854B4A" w:rsidRPr="00F457DD" w:rsidRDefault="00854B4A" w:rsidP="00F457DD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 w:rsidRPr="00F457DD">
              <w:rPr>
                <w:b/>
                <w:bCs/>
                <w:sz w:val="22"/>
                <w:szCs w:val="22"/>
                <w:lang w:eastAsia="fr-FR"/>
              </w:rPr>
              <w:t xml:space="preserve">% issu du réemploi </w:t>
            </w:r>
            <w:r w:rsidRPr="00F457DD">
              <w:rPr>
                <w:b/>
                <w:bCs/>
                <w:sz w:val="22"/>
                <w:szCs w:val="22"/>
                <w:lang w:eastAsia="fr-FR"/>
              </w:rPr>
              <w:br/>
              <w:t>ou de la réutilisation 2024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11D48" w14:textId="77777777" w:rsidR="00854B4A" w:rsidRPr="00F457DD" w:rsidRDefault="00854B4A" w:rsidP="00F457DD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 w:rsidRPr="00F457DD">
              <w:rPr>
                <w:b/>
                <w:bCs/>
                <w:sz w:val="22"/>
                <w:szCs w:val="22"/>
                <w:lang w:eastAsia="fr-FR"/>
              </w:rPr>
              <w:t xml:space="preserve">% intégrant </w:t>
            </w:r>
            <w:r w:rsidRPr="00F457DD">
              <w:rPr>
                <w:b/>
                <w:bCs/>
                <w:sz w:val="22"/>
                <w:szCs w:val="22"/>
                <w:lang w:eastAsia="fr-FR"/>
              </w:rPr>
              <w:br/>
              <w:t>des matières recyclées</w:t>
            </w:r>
          </w:p>
          <w:p w14:paraId="3CCD450C" w14:textId="77777777" w:rsidR="00854B4A" w:rsidRPr="00F457DD" w:rsidRDefault="00854B4A" w:rsidP="00F457DD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 w:rsidRPr="00F457DD">
              <w:rPr>
                <w:b/>
                <w:bCs/>
                <w:sz w:val="22"/>
                <w:szCs w:val="22"/>
                <w:lang w:eastAsia="fr-FR"/>
              </w:rPr>
              <w:t>2024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EBACC" w14:textId="77777777" w:rsidR="00854B4A" w:rsidRPr="00F457DD" w:rsidRDefault="00854B4A" w:rsidP="00F457DD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0EAFD" w14:textId="77777777" w:rsidR="00854B4A" w:rsidRPr="00F457DD" w:rsidRDefault="00854B4A" w:rsidP="00F457DD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 w:rsidRPr="00F457DD">
              <w:rPr>
                <w:b/>
                <w:bCs/>
                <w:sz w:val="22"/>
                <w:szCs w:val="22"/>
                <w:lang w:eastAsia="fr-FR"/>
              </w:rPr>
              <w:t xml:space="preserve">% issu du réemploi </w:t>
            </w:r>
            <w:r w:rsidRPr="00F457DD">
              <w:rPr>
                <w:b/>
                <w:bCs/>
                <w:sz w:val="22"/>
                <w:szCs w:val="22"/>
                <w:lang w:eastAsia="fr-FR"/>
              </w:rPr>
              <w:br/>
              <w:t>ou de la réutilisation 2027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3E5AA" w14:textId="77777777" w:rsidR="00854B4A" w:rsidRPr="00F457DD" w:rsidRDefault="00854B4A" w:rsidP="00F457DD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 w:rsidRPr="00F457DD">
              <w:rPr>
                <w:b/>
                <w:bCs/>
                <w:sz w:val="22"/>
                <w:szCs w:val="22"/>
                <w:lang w:eastAsia="fr-FR"/>
              </w:rPr>
              <w:t xml:space="preserve">% intégrant </w:t>
            </w:r>
            <w:r w:rsidRPr="00F457DD">
              <w:rPr>
                <w:b/>
                <w:bCs/>
                <w:sz w:val="22"/>
                <w:szCs w:val="22"/>
                <w:lang w:eastAsia="fr-FR"/>
              </w:rPr>
              <w:br/>
              <w:t>des matières recyclées</w:t>
            </w:r>
          </w:p>
          <w:p w14:paraId="27FEB155" w14:textId="77777777" w:rsidR="00854B4A" w:rsidRPr="00F457DD" w:rsidRDefault="00854B4A" w:rsidP="00F457DD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 w:rsidRPr="00F457DD">
              <w:rPr>
                <w:b/>
                <w:bCs/>
                <w:sz w:val="22"/>
                <w:szCs w:val="22"/>
                <w:lang w:eastAsia="fr-FR"/>
              </w:rPr>
              <w:t>2027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5C60B" w14:textId="77777777" w:rsidR="00854B4A" w:rsidRPr="00F457DD" w:rsidRDefault="00854B4A" w:rsidP="00F457DD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41DA3" w14:textId="77777777" w:rsidR="00854B4A" w:rsidRPr="00F457DD" w:rsidRDefault="00854B4A" w:rsidP="00F457DD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 w:rsidRPr="00F457DD">
              <w:rPr>
                <w:b/>
                <w:bCs/>
                <w:sz w:val="22"/>
                <w:szCs w:val="22"/>
                <w:lang w:eastAsia="fr-FR"/>
              </w:rPr>
              <w:t xml:space="preserve">% issu du réemploi </w:t>
            </w:r>
            <w:r w:rsidRPr="00F457DD">
              <w:rPr>
                <w:b/>
                <w:bCs/>
                <w:sz w:val="22"/>
                <w:szCs w:val="22"/>
                <w:lang w:eastAsia="fr-FR"/>
              </w:rPr>
              <w:br/>
              <w:t>ou de la réutilisation 2030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1ED93" w14:textId="77777777" w:rsidR="00854B4A" w:rsidRPr="00F457DD" w:rsidRDefault="00854B4A" w:rsidP="00F457DD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 w:rsidRPr="00F457DD">
              <w:rPr>
                <w:b/>
                <w:bCs/>
                <w:sz w:val="22"/>
                <w:szCs w:val="22"/>
                <w:lang w:eastAsia="fr-FR"/>
              </w:rPr>
              <w:t xml:space="preserve">% intégrant </w:t>
            </w:r>
            <w:r w:rsidRPr="00F457DD">
              <w:rPr>
                <w:b/>
                <w:bCs/>
                <w:sz w:val="22"/>
                <w:szCs w:val="22"/>
                <w:lang w:eastAsia="fr-FR"/>
              </w:rPr>
              <w:br/>
              <w:t>des matières recyclées</w:t>
            </w:r>
          </w:p>
          <w:p w14:paraId="3CE407CE" w14:textId="77777777" w:rsidR="00854B4A" w:rsidRPr="00F457DD" w:rsidRDefault="00854B4A" w:rsidP="00F457DD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 w:rsidRPr="00F457DD">
              <w:rPr>
                <w:b/>
                <w:bCs/>
                <w:sz w:val="22"/>
                <w:szCs w:val="22"/>
                <w:lang w:eastAsia="fr-FR"/>
              </w:rPr>
              <w:t>2030</w:t>
            </w:r>
          </w:p>
        </w:tc>
      </w:tr>
      <w:tr w:rsidR="00854B4A" w:rsidRPr="00820F8C" w14:paraId="3D384918" w14:textId="77777777" w:rsidTr="00F457DD">
        <w:trPr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EABC3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</w:t>
            </w: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AD31A" w14:textId="44374983" w:rsidR="00854B4A" w:rsidRPr="0053611C" w:rsidRDefault="0053611C" w:rsidP="0053611C">
            <w:pPr>
              <w:jc w:val="center"/>
              <w:rPr>
                <w:bCs/>
                <w:sz w:val="22"/>
                <w:szCs w:val="22"/>
                <w:lang w:eastAsia="fr-FR"/>
              </w:rPr>
            </w:pPr>
            <w:r>
              <w:rPr>
                <w:bCs/>
                <w:sz w:val="22"/>
                <w:szCs w:val="22"/>
                <w:lang w:eastAsia="fr-FR"/>
              </w:rPr>
              <w:t>Produits textiles et sanitaires</w:t>
            </w:r>
            <w:r w:rsidR="00504D0B">
              <w:rPr>
                <w:bCs/>
                <w:sz w:val="22"/>
                <w:szCs w:val="22"/>
                <w:lang w:eastAsia="fr-FR"/>
              </w:rPr>
              <w:t>, à l’exception des équipements de protection individuels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17678" w14:textId="58074AF0" w:rsidR="00854B4A" w:rsidRPr="00F457DD" w:rsidRDefault="007B748C" w:rsidP="00F457DD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AB455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4F972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23733" w14:textId="4A9145B8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</w:t>
            </w:r>
            <w:r w:rsidR="007B748C">
              <w:rPr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6B9A5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CBFF0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46FA9" w14:textId="303CB237" w:rsidR="00854B4A" w:rsidRPr="00F457DD" w:rsidRDefault="007B748C" w:rsidP="00F457DD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C4C50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30</w:t>
            </w:r>
          </w:p>
        </w:tc>
      </w:tr>
      <w:tr w:rsidR="00854B4A" w:rsidRPr="00820F8C" w14:paraId="007ACCD5" w14:textId="77777777" w:rsidTr="00F457DD">
        <w:trPr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8ED42" w14:textId="77777777" w:rsidR="00854B4A" w:rsidRPr="00F457DD" w:rsidRDefault="00854B4A" w:rsidP="00F457D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fr-FR"/>
              </w:rPr>
            </w:pPr>
            <w:r w:rsidRPr="00F457DD">
              <w:rPr>
                <w:b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12F41" w14:textId="7E0B9212" w:rsidR="00854B4A" w:rsidRPr="0053611C" w:rsidRDefault="0053611C" w:rsidP="00F457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fr-FR"/>
              </w:rPr>
            </w:pPr>
            <w:r w:rsidRPr="0053611C">
              <w:rPr>
                <w:bCs/>
                <w:sz w:val="22"/>
                <w:szCs w:val="22"/>
                <w:lang w:eastAsia="fr-FR"/>
              </w:rPr>
              <w:t>Matériel informatique et téléphonie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E80A4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9FDFA" w14:textId="75FBEFA2" w:rsidR="00854B4A" w:rsidRPr="00F457DD" w:rsidRDefault="007B748C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136F6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CB380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91763" w14:textId="7734AD47" w:rsidR="00854B4A" w:rsidRPr="00F457DD" w:rsidRDefault="007B748C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309E9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727EE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CF2C9" w14:textId="59ACC287" w:rsidR="00854B4A" w:rsidRPr="00F457DD" w:rsidRDefault="007B748C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30</w:t>
            </w:r>
          </w:p>
        </w:tc>
      </w:tr>
      <w:tr w:rsidR="00854B4A" w:rsidRPr="00820F8C" w14:paraId="62D5E95C" w14:textId="77777777" w:rsidTr="00F457DD">
        <w:trPr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0C99F" w14:textId="77777777" w:rsidR="00854B4A" w:rsidRPr="00F457DD" w:rsidRDefault="00854B4A" w:rsidP="00F457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 w:rsidRPr="00F457DD">
              <w:rPr>
                <w:b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F79C8" w14:textId="5120A828" w:rsidR="00854B4A" w:rsidRPr="00F457DD" w:rsidRDefault="0053611C" w:rsidP="003B42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fr-FR"/>
              </w:rPr>
            </w:pPr>
            <w:r>
              <w:rPr>
                <w:bCs/>
                <w:sz w:val="22"/>
                <w:szCs w:val="22"/>
                <w:lang w:eastAsia="fr-FR"/>
              </w:rPr>
              <w:t>Matériel de reprographie et d’impression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FD701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82A0B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191F5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86BC3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713B3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B6EC7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1CC4C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77A90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30</w:t>
            </w:r>
          </w:p>
        </w:tc>
      </w:tr>
      <w:tr w:rsidR="00854B4A" w:rsidRPr="00820F8C" w14:paraId="5ADE3A75" w14:textId="77777777" w:rsidTr="00F457DD">
        <w:trPr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662C9" w14:textId="77777777" w:rsidR="00854B4A" w:rsidRPr="00F457DD" w:rsidRDefault="00854B4A" w:rsidP="00F457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 w:rsidRPr="00F457DD">
              <w:rPr>
                <w:b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82DC5" w14:textId="4607CA72" w:rsidR="00854B4A" w:rsidRPr="0053611C" w:rsidRDefault="0053611C" w:rsidP="00F457D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fr-FR"/>
              </w:rPr>
            </w:pPr>
            <w:r>
              <w:rPr>
                <w:bCs/>
                <w:sz w:val="22"/>
                <w:szCs w:val="22"/>
                <w:lang w:eastAsia="fr-FR"/>
              </w:rPr>
              <w:t>Consommables d’impression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2132B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4113F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68717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5AB80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45A31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4F806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7DEE6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DF7F4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30</w:t>
            </w:r>
          </w:p>
        </w:tc>
      </w:tr>
      <w:tr w:rsidR="00854B4A" w:rsidRPr="00820F8C" w14:paraId="5AF8601E" w14:textId="77777777" w:rsidTr="0053611C">
        <w:trPr>
          <w:trHeight w:val="205"/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58D26" w14:textId="77777777" w:rsidR="00854B4A" w:rsidRPr="00F457DD" w:rsidRDefault="00854B4A" w:rsidP="00F457D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 w:rsidRPr="00F457DD">
              <w:rPr>
                <w:b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49AD6" w14:textId="2DD16630" w:rsidR="00854B4A" w:rsidRPr="00F457DD" w:rsidRDefault="00D46262" w:rsidP="0053611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fr-FR"/>
              </w:rPr>
            </w:pPr>
            <w:r w:rsidRPr="00F457DD">
              <w:rPr>
                <w:bCs/>
                <w:sz w:val="22"/>
                <w:szCs w:val="22"/>
                <w:lang w:eastAsia="fr-FR"/>
              </w:rPr>
              <w:t>Papier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4C7C6" w14:textId="41AFC838" w:rsidR="00854B4A" w:rsidRPr="00F457DD" w:rsidRDefault="00F457DD" w:rsidP="00F457DD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0F46F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40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E29C2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4AC61" w14:textId="49C4650A" w:rsidR="00854B4A" w:rsidRPr="00F457DD" w:rsidRDefault="00F457DD" w:rsidP="00F457DD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5C1DB" w14:textId="1CC9FB8C" w:rsidR="00854B4A" w:rsidRPr="00F457DD" w:rsidRDefault="007B748C" w:rsidP="00F457DD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4</w:t>
            </w:r>
            <w:r w:rsidR="00B0250C" w:rsidRPr="00F457DD">
              <w:rPr>
                <w:sz w:val="22"/>
                <w:szCs w:val="22"/>
                <w:lang w:eastAsia="fr-F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AC661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92638" w14:textId="5F961991" w:rsidR="00854B4A" w:rsidRPr="00F457DD" w:rsidRDefault="00F457DD" w:rsidP="00F457DD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C07E9" w14:textId="6089D930" w:rsidR="00854B4A" w:rsidRPr="00F457DD" w:rsidRDefault="00047942" w:rsidP="00F457DD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4</w:t>
            </w:r>
            <w:r w:rsidRPr="00F457DD">
              <w:rPr>
                <w:sz w:val="22"/>
                <w:szCs w:val="22"/>
                <w:lang w:eastAsia="fr-FR"/>
              </w:rPr>
              <w:t>0</w:t>
            </w:r>
          </w:p>
        </w:tc>
      </w:tr>
      <w:tr w:rsidR="00854B4A" w:rsidRPr="00820F8C" w14:paraId="5C5BC057" w14:textId="77777777" w:rsidTr="00F457DD">
        <w:trPr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C3D03" w14:textId="77777777" w:rsidR="00854B4A" w:rsidRPr="00F457DD" w:rsidRDefault="00854B4A" w:rsidP="00F457DD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 w:rsidRPr="00F457DD">
              <w:rPr>
                <w:b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13609" w14:textId="64BA86D8" w:rsidR="00854B4A" w:rsidRPr="00F457DD" w:rsidRDefault="00854B4A" w:rsidP="0053611C">
            <w:pPr>
              <w:suppressAutoHyphens w:val="0"/>
              <w:jc w:val="center"/>
              <w:rPr>
                <w:bCs/>
                <w:sz w:val="22"/>
                <w:szCs w:val="22"/>
                <w:lang w:eastAsia="fr-FR"/>
              </w:rPr>
            </w:pPr>
            <w:r w:rsidRPr="0053611C">
              <w:rPr>
                <w:bCs/>
                <w:sz w:val="22"/>
                <w:szCs w:val="22"/>
                <w:lang w:eastAsia="fr-FR"/>
              </w:rPr>
              <w:t>Fournitures</w:t>
            </w:r>
            <w:r w:rsidRPr="00F457DD">
              <w:rPr>
                <w:bCs/>
                <w:sz w:val="22"/>
                <w:szCs w:val="22"/>
                <w:lang w:eastAsia="fr-FR"/>
              </w:rPr>
              <w:t xml:space="preserve"> de bureau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2DAFF" w14:textId="7C63FCC5" w:rsidR="00854B4A" w:rsidRPr="00F457DD" w:rsidRDefault="00F457DD" w:rsidP="00F457DD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F016E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68BEA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25744" w14:textId="139A1C4E" w:rsidR="00854B4A" w:rsidRPr="00F457DD" w:rsidRDefault="00F457DD" w:rsidP="00F457DD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1C0BE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40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BFEDC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CFC7C" w14:textId="3B60F60C" w:rsidR="00854B4A" w:rsidRPr="00F457DD" w:rsidRDefault="00F457DD" w:rsidP="00F457DD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59BEE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50</w:t>
            </w:r>
          </w:p>
        </w:tc>
      </w:tr>
      <w:tr w:rsidR="00854B4A" w:rsidRPr="00820F8C" w14:paraId="63255A0A" w14:textId="77777777" w:rsidTr="007B748C">
        <w:trPr>
          <w:trHeight w:val="229"/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EC35D" w14:textId="77777777" w:rsidR="00854B4A" w:rsidRPr="00F457DD" w:rsidRDefault="00854B4A" w:rsidP="00F457DD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 w:rsidRPr="00F457DD">
              <w:rPr>
                <w:b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840CD" w14:textId="0B3199D0" w:rsidR="00854B4A" w:rsidRPr="0053611C" w:rsidRDefault="007B748C" w:rsidP="007B748C">
            <w:pPr>
              <w:jc w:val="center"/>
              <w:rPr>
                <w:bCs/>
                <w:sz w:val="22"/>
                <w:szCs w:val="22"/>
                <w:lang w:eastAsia="fr-FR"/>
              </w:rPr>
            </w:pPr>
            <w:r>
              <w:rPr>
                <w:bCs/>
                <w:sz w:val="22"/>
                <w:szCs w:val="22"/>
                <w:lang w:eastAsia="fr-FR"/>
              </w:rPr>
              <w:t>Engins de transport</w:t>
            </w:r>
            <w:r w:rsidR="00D63E88">
              <w:rPr>
                <w:bCs/>
                <w:sz w:val="22"/>
                <w:szCs w:val="22"/>
                <w:lang w:eastAsia="fr-FR"/>
              </w:rPr>
              <w:t xml:space="preserve"> et pièces détachées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AF335" w14:textId="70A335A0" w:rsidR="00854B4A" w:rsidRPr="00F457DD" w:rsidRDefault="00F457DD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0FFF5" w14:textId="7523FD9D" w:rsidR="00854B4A" w:rsidRPr="00F457DD" w:rsidRDefault="00F457DD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853B0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98500" w14:textId="379BEBE1" w:rsidR="00854B4A" w:rsidRPr="00F457DD" w:rsidRDefault="00F457DD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BA736" w14:textId="5AFF59B3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A99FC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31F58" w14:textId="767C9C3F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</w:t>
            </w:r>
            <w:r w:rsidR="00F457DD" w:rsidRPr="00F457DD">
              <w:rPr>
                <w:sz w:val="22"/>
                <w:szCs w:val="22"/>
                <w:lang w:eastAsia="fr-FR"/>
              </w:rPr>
              <w:t>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65B31" w14:textId="77777777" w:rsidR="00854B4A" w:rsidRPr="00F457DD" w:rsidRDefault="00854B4A" w:rsidP="00F457DD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15</w:t>
            </w:r>
          </w:p>
        </w:tc>
      </w:tr>
      <w:tr w:rsidR="005656DA" w:rsidRPr="00820F8C" w14:paraId="5EB65B61" w14:textId="77777777" w:rsidTr="007B748C">
        <w:trPr>
          <w:trHeight w:val="229"/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063CA" w14:textId="50FD6ED3" w:rsidR="005656DA" w:rsidRPr="00F457DD" w:rsidRDefault="005656DA" w:rsidP="005656DA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>
              <w:rPr>
                <w:b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11626" w14:textId="37D5C923" w:rsidR="005656DA" w:rsidRDefault="005656DA" w:rsidP="005656DA">
            <w:pPr>
              <w:jc w:val="center"/>
              <w:rPr>
                <w:bCs/>
                <w:sz w:val="22"/>
                <w:szCs w:val="22"/>
                <w:lang w:eastAsia="fr-FR"/>
              </w:rPr>
            </w:pPr>
            <w:r>
              <w:rPr>
                <w:bCs/>
                <w:sz w:val="22"/>
                <w:szCs w:val="22"/>
                <w:lang w:eastAsia="fr-FR"/>
              </w:rPr>
              <w:t>Véhicules</w:t>
            </w:r>
            <w:r w:rsidR="00D63E88">
              <w:rPr>
                <w:bCs/>
                <w:sz w:val="22"/>
                <w:szCs w:val="22"/>
                <w:lang w:eastAsia="fr-FR"/>
              </w:rPr>
              <w:t xml:space="preserve"> et pièces détachées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B7A82" w14:textId="68629C8F" w:rsidR="005656DA" w:rsidRPr="00F457DD" w:rsidRDefault="00D63E88" w:rsidP="005656DA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7AABE" w14:textId="2A1D0F83" w:rsidR="005656DA" w:rsidRPr="00F457DD" w:rsidRDefault="00D63E88" w:rsidP="00D63E88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40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DE283" w14:textId="77777777" w:rsidR="005656DA" w:rsidRPr="00F457DD" w:rsidRDefault="005656DA" w:rsidP="005656DA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78ADE" w14:textId="7E072404" w:rsidR="005656DA" w:rsidRPr="00F457DD" w:rsidRDefault="00FF2825" w:rsidP="005656DA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72C54" w14:textId="72FDB991" w:rsidR="005656DA" w:rsidRPr="00F457DD" w:rsidRDefault="00D63E88" w:rsidP="00D63E88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50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C8FDF" w14:textId="77777777" w:rsidR="005656DA" w:rsidRPr="00F457DD" w:rsidRDefault="005656DA" w:rsidP="005656DA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83381" w14:textId="3E507236" w:rsidR="005656DA" w:rsidRPr="00F457DD" w:rsidRDefault="00FF2825" w:rsidP="005656DA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CBF5E" w14:textId="2F3A63C6" w:rsidR="005656DA" w:rsidRPr="00F457DD" w:rsidRDefault="00D63E88" w:rsidP="00D63E88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70</w:t>
            </w:r>
          </w:p>
        </w:tc>
      </w:tr>
      <w:tr w:rsidR="005656DA" w:rsidRPr="00820F8C" w14:paraId="56D36D92" w14:textId="77777777" w:rsidTr="00F457DD">
        <w:trPr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C83E9" w14:textId="4A503117" w:rsidR="005656DA" w:rsidRPr="00F457DD" w:rsidRDefault="005656DA" w:rsidP="005656DA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>
              <w:rPr>
                <w:b/>
                <w:bCs/>
                <w:sz w:val="22"/>
                <w:szCs w:val="22"/>
                <w:lang w:eastAsia="fr-FR"/>
              </w:rPr>
              <w:t>9</w:t>
            </w: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D829F" w14:textId="05BC2DE3" w:rsidR="005656DA" w:rsidRPr="00F457DD" w:rsidRDefault="005656DA" w:rsidP="005656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fr-FR"/>
              </w:rPr>
            </w:pPr>
            <w:r w:rsidRPr="0053611C">
              <w:rPr>
                <w:bCs/>
                <w:sz w:val="22"/>
                <w:szCs w:val="22"/>
                <w:lang w:eastAsia="fr-FR"/>
              </w:rPr>
              <w:t>Mobilier intérieur et de bureau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9062C" w14:textId="01381D8E" w:rsidR="005656DA" w:rsidRPr="00F457DD" w:rsidRDefault="005656DA" w:rsidP="005656DA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E9BDB" w14:textId="60D27D3E" w:rsidR="005656DA" w:rsidRPr="00F457DD" w:rsidRDefault="005656DA" w:rsidP="005656DA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DDA2E" w14:textId="77777777" w:rsidR="005656DA" w:rsidRPr="00F457DD" w:rsidRDefault="005656DA" w:rsidP="005656DA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7E456" w14:textId="6E127AD1" w:rsidR="005656DA" w:rsidRPr="0031452F" w:rsidRDefault="005656DA" w:rsidP="00EA618E">
            <w:pPr>
              <w:jc w:val="center"/>
              <w:rPr>
                <w:sz w:val="22"/>
                <w:szCs w:val="22"/>
                <w:lang w:eastAsia="fr-FR"/>
              </w:rPr>
            </w:pPr>
            <w:r w:rsidRPr="0031452F">
              <w:rPr>
                <w:sz w:val="22"/>
                <w:szCs w:val="22"/>
                <w:lang w:eastAsia="fr-FR"/>
              </w:rPr>
              <w:t>2</w:t>
            </w:r>
            <w:r w:rsidR="00EA618E" w:rsidRPr="0031452F">
              <w:rPr>
                <w:sz w:val="22"/>
                <w:szCs w:val="22"/>
                <w:lang w:eastAsia="fr-FR"/>
              </w:rPr>
              <w:t>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F97F9" w14:textId="763D4A9A" w:rsidR="005656DA" w:rsidRPr="0031452F" w:rsidRDefault="005656DA" w:rsidP="005656DA">
            <w:pPr>
              <w:jc w:val="center"/>
              <w:rPr>
                <w:sz w:val="22"/>
                <w:szCs w:val="22"/>
                <w:lang w:eastAsia="fr-FR"/>
              </w:rPr>
            </w:pPr>
            <w:r w:rsidRPr="0031452F">
              <w:rPr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61868" w14:textId="77777777" w:rsidR="005656DA" w:rsidRPr="0031452F" w:rsidRDefault="005656DA" w:rsidP="005656DA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30574" w14:textId="55FEA69A" w:rsidR="005656DA" w:rsidRPr="0031452F" w:rsidRDefault="00EA618E" w:rsidP="005656DA">
            <w:pPr>
              <w:jc w:val="center"/>
              <w:rPr>
                <w:sz w:val="22"/>
                <w:szCs w:val="22"/>
                <w:lang w:eastAsia="fr-FR"/>
              </w:rPr>
            </w:pPr>
            <w:r w:rsidRPr="0031452F">
              <w:rPr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50B68" w14:textId="771FD78C" w:rsidR="005656DA" w:rsidRPr="0031452F" w:rsidRDefault="005656DA" w:rsidP="005656DA">
            <w:pPr>
              <w:jc w:val="center"/>
              <w:rPr>
                <w:sz w:val="22"/>
                <w:szCs w:val="22"/>
                <w:lang w:eastAsia="fr-FR"/>
              </w:rPr>
            </w:pPr>
            <w:r w:rsidRPr="0031452F">
              <w:rPr>
                <w:sz w:val="22"/>
                <w:szCs w:val="22"/>
                <w:lang w:eastAsia="fr-FR"/>
              </w:rPr>
              <w:t>25</w:t>
            </w:r>
          </w:p>
        </w:tc>
      </w:tr>
      <w:tr w:rsidR="005656DA" w:rsidRPr="00820F8C" w14:paraId="012C2981" w14:textId="77777777" w:rsidTr="0053611C">
        <w:trPr>
          <w:trHeight w:val="289"/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BF531" w14:textId="37EC1F74" w:rsidR="005656DA" w:rsidRPr="00F457DD" w:rsidRDefault="005656DA" w:rsidP="005656DA">
            <w:pPr>
              <w:jc w:val="center"/>
              <w:rPr>
                <w:bCs/>
                <w:i/>
                <w:sz w:val="22"/>
                <w:szCs w:val="22"/>
                <w:highlight w:val="lightGray"/>
                <w:lang w:eastAsia="fr-FR"/>
              </w:rPr>
            </w:pPr>
            <w:r>
              <w:rPr>
                <w:b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88FF2" w14:textId="413B91E9" w:rsidR="005656DA" w:rsidRPr="0053611C" w:rsidRDefault="005656DA" w:rsidP="005656DA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fr-FR"/>
              </w:rPr>
            </w:pPr>
            <w:r w:rsidRPr="0053611C">
              <w:rPr>
                <w:bCs/>
                <w:sz w:val="22"/>
                <w:szCs w:val="22"/>
                <w:lang w:eastAsia="fr-FR"/>
              </w:rPr>
              <w:t>Mobilier urbain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C982C" w14:textId="77777777" w:rsidR="005656DA" w:rsidRPr="00F457DD" w:rsidRDefault="005656DA" w:rsidP="005656DA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223CE" w14:textId="77777777" w:rsidR="005656DA" w:rsidRPr="00F457DD" w:rsidRDefault="005656DA" w:rsidP="005656DA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45839" w14:textId="77777777" w:rsidR="005656DA" w:rsidRPr="00F457DD" w:rsidRDefault="005656DA" w:rsidP="005656DA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E7CED" w14:textId="254A3365" w:rsidR="005656DA" w:rsidRPr="00F457DD" w:rsidRDefault="000A360E" w:rsidP="005656DA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AC370" w14:textId="2AA26E2D" w:rsidR="005656DA" w:rsidRPr="00F457DD" w:rsidRDefault="000A360E" w:rsidP="005656DA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89672" w14:textId="77777777" w:rsidR="005656DA" w:rsidRPr="00F457DD" w:rsidRDefault="005656DA" w:rsidP="005656DA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DA241" w14:textId="34698EF0" w:rsidR="005656DA" w:rsidRPr="00F457DD" w:rsidRDefault="000A360E" w:rsidP="005656DA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5E342" w14:textId="509D57D1" w:rsidR="005656DA" w:rsidRPr="00F457DD" w:rsidRDefault="000A360E" w:rsidP="005656DA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4</w:t>
            </w:r>
            <w:r w:rsidRPr="00F457DD">
              <w:rPr>
                <w:sz w:val="22"/>
                <w:szCs w:val="22"/>
                <w:lang w:eastAsia="fr-FR"/>
              </w:rPr>
              <w:t>0</w:t>
            </w:r>
          </w:p>
        </w:tc>
      </w:tr>
      <w:tr w:rsidR="000A360E" w:rsidRPr="00820F8C" w14:paraId="099B2448" w14:textId="77777777" w:rsidTr="0053611C">
        <w:trPr>
          <w:trHeight w:val="289"/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9AE75" w14:textId="1714339C" w:rsidR="000A360E" w:rsidRDefault="00EA618E" w:rsidP="000A360E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>
              <w:rPr>
                <w:b/>
                <w:bCs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6A5E7" w14:textId="2030CE26" w:rsidR="000A360E" w:rsidRPr="0053611C" w:rsidRDefault="000A360E" w:rsidP="000A360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fr-FR"/>
              </w:rPr>
            </w:pPr>
            <w:r>
              <w:rPr>
                <w:bCs/>
                <w:sz w:val="22"/>
                <w:szCs w:val="22"/>
                <w:lang w:eastAsia="fr-FR"/>
              </w:rPr>
              <w:t>E</w:t>
            </w:r>
            <w:r w:rsidRPr="000A360E">
              <w:rPr>
                <w:bCs/>
                <w:sz w:val="22"/>
                <w:szCs w:val="22"/>
                <w:lang w:eastAsia="fr-FR"/>
              </w:rPr>
              <w:t>quipements de collecte des déchets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7823B" w14:textId="11E0024E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C002D" w14:textId="59C5382F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FAA2B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01C25" w14:textId="7E0958B5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4A045" w14:textId="479D1EB3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52EF7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78089" w14:textId="71AF981C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AFA90" w14:textId="786B5744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30</w:t>
            </w:r>
          </w:p>
        </w:tc>
      </w:tr>
      <w:tr w:rsidR="000A360E" w:rsidRPr="00820F8C" w14:paraId="16D01BF2" w14:textId="77777777" w:rsidTr="00F457DD">
        <w:trPr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58EE12" w14:textId="3F3EC378" w:rsidR="000A360E" w:rsidRPr="00F457DD" w:rsidRDefault="000A360E" w:rsidP="00EA61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>
              <w:rPr>
                <w:b/>
                <w:bCs/>
                <w:sz w:val="22"/>
                <w:szCs w:val="22"/>
                <w:lang w:eastAsia="fr-FR"/>
              </w:rPr>
              <w:t>1</w:t>
            </w:r>
            <w:r w:rsidR="00EA618E">
              <w:rPr>
                <w:b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1D5DE" w14:textId="435B1A93" w:rsidR="000A360E" w:rsidRPr="00F457DD" w:rsidRDefault="000A360E" w:rsidP="000A360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fr-FR"/>
              </w:rPr>
            </w:pPr>
            <w:r>
              <w:rPr>
                <w:bCs/>
                <w:sz w:val="22"/>
                <w:szCs w:val="22"/>
                <w:lang w:eastAsia="fr-FR"/>
              </w:rPr>
              <w:t>Bocaux et flacons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6A1BB" w14:textId="5A37F4F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754FC" w14:textId="4595D85E" w:rsidR="000A360E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3F70E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98DB5" w14:textId="73DDE502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E2662" w14:textId="5556AD38" w:rsidR="000A360E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337F9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7120A" w14:textId="557EB753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BFE86" w14:textId="30FC90C1" w:rsidR="000A360E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20</w:t>
            </w:r>
          </w:p>
        </w:tc>
      </w:tr>
      <w:tr w:rsidR="000A360E" w:rsidRPr="00820F8C" w14:paraId="468B5561" w14:textId="77777777" w:rsidTr="00F457DD">
        <w:trPr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D2641" w14:textId="65DDA490" w:rsidR="000A360E" w:rsidRPr="00F457DD" w:rsidRDefault="000A360E" w:rsidP="00EA61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>
              <w:rPr>
                <w:b/>
                <w:bCs/>
                <w:sz w:val="22"/>
                <w:szCs w:val="22"/>
                <w:lang w:eastAsia="fr-FR"/>
              </w:rPr>
              <w:t>1</w:t>
            </w:r>
            <w:r w:rsidR="00EA618E">
              <w:rPr>
                <w:b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26B7B" w14:textId="19260C5C" w:rsidR="000A360E" w:rsidRPr="00F457DD" w:rsidRDefault="000A360E" w:rsidP="000A36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fr-FR"/>
              </w:rPr>
            </w:pPr>
            <w:r w:rsidRPr="0053611C">
              <w:rPr>
                <w:bCs/>
                <w:sz w:val="22"/>
                <w:szCs w:val="22"/>
                <w:lang w:eastAsia="fr-FR"/>
              </w:rPr>
              <w:t xml:space="preserve">Equipement </w:t>
            </w:r>
            <w:r>
              <w:rPr>
                <w:bCs/>
                <w:sz w:val="22"/>
                <w:szCs w:val="22"/>
                <w:lang w:eastAsia="fr-FR"/>
              </w:rPr>
              <w:t xml:space="preserve">et matériel </w:t>
            </w:r>
            <w:r w:rsidRPr="0053611C">
              <w:rPr>
                <w:bCs/>
                <w:sz w:val="22"/>
                <w:szCs w:val="22"/>
                <w:lang w:eastAsia="fr-FR"/>
              </w:rPr>
              <w:t>sportif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22BA5" w14:textId="3D67B875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96B89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F3478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CC74C" w14:textId="76C93669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C9DCC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E8847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EFEA9" w14:textId="2193CDA0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E7A6B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30</w:t>
            </w:r>
          </w:p>
        </w:tc>
      </w:tr>
      <w:tr w:rsidR="000A360E" w:rsidRPr="00820F8C" w14:paraId="5B9E23C6" w14:textId="77777777" w:rsidTr="00F457DD">
        <w:trPr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6883A" w14:textId="02FF1D94" w:rsidR="000A360E" w:rsidRPr="00F457DD" w:rsidRDefault="000A360E" w:rsidP="00EA618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4EC05" w14:textId="101E7483" w:rsidR="000A360E" w:rsidRPr="00F457DD" w:rsidRDefault="000A360E" w:rsidP="000A36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F3DAF" w14:textId="7B686C7A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E0917" w14:textId="70167F93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78C5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8E6FE" w14:textId="2A2922F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29EC7" w14:textId="072F1B40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1FF7B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2B439" w14:textId="35351E99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8E4CC" w14:textId="51E39DD6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</w:tr>
      <w:tr w:rsidR="000A360E" w:rsidRPr="00820F8C" w14:paraId="5C5EE101" w14:textId="77777777" w:rsidTr="00F457DD">
        <w:trPr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74367" w14:textId="242AF4CF" w:rsidR="000A360E" w:rsidRPr="00F457DD" w:rsidRDefault="000A360E" w:rsidP="00EA618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>
              <w:rPr>
                <w:b/>
                <w:bCs/>
                <w:sz w:val="22"/>
                <w:szCs w:val="22"/>
                <w:lang w:eastAsia="fr-FR"/>
              </w:rPr>
              <w:t>1</w:t>
            </w:r>
            <w:r w:rsidR="0031452F">
              <w:rPr>
                <w:b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E0B90" w14:textId="1EFE696A" w:rsidR="000A360E" w:rsidRPr="00F457DD" w:rsidRDefault="000A360E" w:rsidP="000A360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fr-FR"/>
              </w:rPr>
            </w:pPr>
            <w:r w:rsidRPr="0053611C">
              <w:rPr>
                <w:bCs/>
                <w:sz w:val="22"/>
                <w:szCs w:val="22"/>
                <w:lang w:eastAsia="fr-FR"/>
              </w:rPr>
              <w:t>Matériel</w:t>
            </w:r>
            <w:r>
              <w:rPr>
                <w:bCs/>
                <w:sz w:val="22"/>
                <w:szCs w:val="22"/>
                <w:lang w:eastAsia="fr-FR"/>
              </w:rPr>
              <w:t xml:space="preserve"> d’entretien des espaces verts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E5E2B" w14:textId="2D1F2A32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F5CB5" w14:textId="69571699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4515D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22CCE" w14:textId="100F6AFC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DDABE" w14:textId="7D32B63E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D60E6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57BE1" w14:textId="79AE5D4C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E1A96" w14:textId="417D72DB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15</w:t>
            </w:r>
          </w:p>
        </w:tc>
      </w:tr>
      <w:tr w:rsidR="000A360E" w:rsidRPr="00820F8C" w14:paraId="59889A7D" w14:textId="77777777" w:rsidTr="00F457DD">
        <w:trPr>
          <w:trHeight w:val="25"/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ACE96" w14:textId="211ED489" w:rsidR="000A360E" w:rsidRPr="00F457DD" w:rsidRDefault="000A360E" w:rsidP="00EA618E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>
              <w:rPr>
                <w:b/>
                <w:bCs/>
                <w:sz w:val="22"/>
                <w:szCs w:val="22"/>
                <w:lang w:eastAsia="fr-FR"/>
              </w:rPr>
              <w:t>1</w:t>
            </w:r>
            <w:r w:rsidR="0031452F">
              <w:rPr>
                <w:b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E7556" w14:textId="36CC5B1F" w:rsidR="000A360E" w:rsidRPr="00F457DD" w:rsidRDefault="000A360E" w:rsidP="000A360E">
            <w:pPr>
              <w:jc w:val="center"/>
              <w:rPr>
                <w:bCs/>
                <w:sz w:val="22"/>
                <w:szCs w:val="22"/>
                <w:lang w:eastAsia="fr-FR"/>
              </w:rPr>
            </w:pPr>
            <w:r>
              <w:rPr>
                <w:bCs/>
                <w:sz w:val="22"/>
                <w:szCs w:val="22"/>
                <w:lang w:eastAsia="fr-FR"/>
              </w:rPr>
              <w:t>Bâtiments préfabriqués ou modulaires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BDFC3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BE628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974D4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0E55C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37979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7EFE6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E425D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7E0D1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30</w:t>
            </w:r>
          </w:p>
        </w:tc>
      </w:tr>
      <w:tr w:rsidR="000A360E" w:rsidRPr="00820F8C" w14:paraId="7FA93AED" w14:textId="77777777" w:rsidTr="00F457DD">
        <w:trPr>
          <w:trHeight w:val="25"/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7F125" w14:textId="57B9097C" w:rsidR="000A360E" w:rsidRDefault="0031452F" w:rsidP="000A360E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  <w:r>
              <w:rPr>
                <w:b/>
                <w:bCs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AE745" w14:textId="60E6DB87" w:rsidR="000A360E" w:rsidDel="00504D0B" w:rsidRDefault="000A360E" w:rsidP="000A360E">
            <w:pPr>
              <w:jc w:val="center"/>
              <w:rPr>
                <w:bCs/>
                <w:sz w:val="22"/>
                <w:szCs w:val="22"/>
                <w:lang w:eastAsia="fr-FR"/>
              </w:rPr>
            </w:pPr>
            <w:r>
              <w:rPr>
                <w:bCs/>
                <w:sz w:val="22"/>
                <w:szCs w:val="22"/>
                <w:lang w:eastAsia="fr-FR"/>
              </w:rPr>
              <w:t>Appareils ménagers</w:t>
            </w:r>
            <w:r w:rsidR="000E4933">
              <w:rPr>
                <w:bCs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6F8D6" w14:textId="7D46CBA0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5217A" w14:textId="1FFEA506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22933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36850" w14:textId="070DA03D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5964A" w14:textId="30C8FB75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34476" w14:textId="7777777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649D1" w14:textId="2963934B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30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AC6CC" w14:textId="6C166B47" w:rsidR="000A360E" w:rsidRPr="00F457DD" w:rsidRDefault="000A360E" w:rsidP="000A360E">
            <w:pPr>
              <w:jc w:val="center"/>
              <w:rPr>
                <w:sz w:val="22"/>
                <w:szCs w:val="22"/>
                <w:lang w:eastAsia="fr-FR"/>
              </w:rPr>
            </w:pPr>
            <w:r w:rsidRPr="00F457DD">
              <w:rPr>
                <w:sz w:val="22"/>
                <w:szCs w:val="22"/>
                <w:lang w:eastAsia="fr-FR"/>
              </w:rPr>
              <w:t>30</w:t>
            </w:r>
          </w:p>
        </w:tc>
      </w:tr>
      <w:tr w:rsidR="002324BE" w:rsidRPr="00820F8C" w14:paraId="28C452FC" w14:textId="77777777" w:rsidTr="00F457DD">
        <w:trPr>
          <w:trHeight w:val="25"/>
          <w:tblCellSpacing w:w="15" w:type="dxa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0F8CA" w14:textId="58D07573" w:rsidR="002324BE" w:rsidRDefault="002324BE" w:rsidP="000A360E">
            <w:pPr>
              <w:jc w:val="center"/>
              <w:rPr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6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A52072" w14:textId="503697AA" w:rsidR="002324BE" w:rsidRDefault="002324BE" w:rsidP="000A360E">
            <w:pPr>
              <w:jc w:val="center"/>
              <w:rPr>
                <w:bCs/>
                <w:sz w:val="22"/>
                <w:szCs w:val="22"/>
                <w:lang w:eastAsia="fr-FR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A7EB2" w14:textId="59653B42" w:rsidR="002324BE" w:rsidRPr="00F457DD" w:rsidRDefault="002324B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B3EDD" w14:textId="16F384A3" w:rsidR="002324BE" w:rsidRPr="00F457DD" w:rsidRDefault="002324BE" w:rsidP="000A360E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79A13" w14:textId="77777777" w:rsidR="002324BE" w:rsidRPr="00F457DD" w:rsidRDefault="002324B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E9310" w14:textId="1B9F3F66" w:rsidR="002324BE" w:rsidRPr="00F457DD" w:rsidRDefault="002324B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C7D38" w14:textId="44139ECD" w:rsidR="002324BE" w:rsidRPr="00F457DD" w:rsidRDefault="002324BE" w:rsidP="000A360E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C8DDB" w14:textId="77777777" w:rsidR="002324BE" w:rsidRPr="00F457DD" w:rsidRDefault="002324B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AF375" w14:textId="474FFF86" w:rsidR="002324BE" w:rsidRPr="00F457DD" w:rsidRDefault="002324BE" w:rsidP="000A360E">
            <w:pPr>
              <w:jc w:val="center"/>
              <w:rPr>
                <w:sz w:val="22"/>
                <w:szCs w:val="22"/>
                <w:lang w:eastAsia="fr-FR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AB4BC" w14:textId="6D2B3195" w:rsidR="002324BE" w:rsidRPr="00F457DD" w:rsidRDefault="002324BE" w:rsidP="000A360E">
            <w:pPr>
              <w:jc w:val="center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>0</w:t>
            </w:r>
          </w:p>
        </w:tc>
      </w:tr>
    </w:tbl>
    <w:p w14:paraId="06F074ED" w14:textId="3DF1C1AB" w:rsidR="007F7DB6" w:rsidRPr="000C5635" w:rsidRDefault="007F7DB6" w:rsidP="00206146">
      <w:pPr>
        <w:rPr>
          <w:b/>
          <w:color w:val="000000" w:themeColor="text1"/>
        </w:rPr>
      </w:pPr>
    </w:p>
    <w:sectPr w:rsidR="007F7DB6" w:rsidRPr="000C5635" w:rsidSect="003B2BB1">
      <w:pgSz w:w="16838" w:h="11906" w:orient="landscape"/>
      <w:pgMar w:top="1134" w:right="1134" w:bottom="1418" w:left="141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7566F" w14:textId="77777777" w:rsidR="000F647A" w:rsidRDefault="000F647A">
      <w:r>
        <w:separator/>
      </w:r>
    </w:p>
  </w:endnote>
  <w:endnote w:type="continuationSeparator" w:id="0">
    <w:p w14:paraId="05C76446" w14:textId="77777777" w:rsidR="000F647A" w:rsidRDefault="000F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168192"/>
      <w:docPartObj>
        <w:docPartGallery w:val="Page Numbers (Bottom of Page)"/>
        <w:docPartUnique/>
      </w:docPartObj>
    </w:sdtPr>
    <w:sdtEndPr/>
    <w:sdtContent>
      <w:p w14:paraId="0BFEC518" w14:textId="6CA88B4D" w:rsidR="0047443E" w:rsidRDefault="0047443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088" w:rsidRPr="00E62088">
          <w:rPr>
            <w:noProof/>
            <w:lang w:val="fr-FR"/>
          </w:rPr>
          <w:t>6</w:t>
        </w:r>
        <w:r>
          <w:fldChar w:fldCharType="end"/>
        </w:r>
      </w:p>
    </w:sdtContent>
  </w:sdt>
  <w:p w14:paraId="47DBDBB2" w14:textId="77777777" w:rsidR="0047443E" w:rsidRDefault="004744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51827" w14:textId="77777777" w:rsidR="000F647A" w:rsidRDefault="000F647A">
      <w:r>
        <w:separator/>
      </w:r>
    </w:p>
  </w:footnote>
  <w:footnote w:type="continuationSeparator" w:id="0">
    <w:p w14:paraId="42A391F8" w14:textId="77777777" w:rsidR="000F647A" w:rsidRDefault="000F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26480" w14:textId="5061E3D5" w:rsidR="00594004" w:rsidRDefault="00E62088">
    <w:pPr>
      <w:pStyle w:val="En-tte"/>
    </w:pPr>
    <w:r>
      <w:rPr>
        <w:noProof/>
      </w:rPr>
      <w:pict w14:anchorId="364000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3891" o:spid="_x0000_s2050" type="#_x0000_t136" style="position:absolute;margin-left:0;margin-top:0;width:494.55pt;height:16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7624B" w14:textId="6E2F5141" w:rsidR="00594004" w:rsidRDefault="00E62088">
    <w:pPr>
      <w:pStyle w:val="En-tte"/>
    </w:pPr>
    <w:r>
      <w:rPr>
        <w:noProof/>
      </w:rPr>
      <w:pict w14:anchorId="42F5E3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3892" o:spid="_x0000_s2051" type="#_x0000_t136" style="position:absolute;margin-left:0;margin-top:0;width:494.55pt;height:16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014CA" w14:textId="3A4D4346" w:rsidR="00594004" w:rsidRDefault="00E62088">
    <w:pPr>
      <w:pStyle w:val="En-tte"/>
    </w:pPr>
    <w:r>
      <w:rPr>
        <w:noProof/>
      </w:rPr>
      <w:pict w14:anchorId="6C0942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03890" o:spid="_x0000_s2049" type="#_x0000_t136" style="position:absolute;margin-left:0;margin-top:0;width:494.55pt;height:16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505"/>
    <w:multiLevelType w:val="hybridMultilevel"/>
    <w:tmpl w:val="19C047AE"/>
    <w:lvl w:ilvl="0" w:tplc="13E47B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496E"/>
    <w:multiLevelType w:val="hybridMultilevel"/>
    <w:tmpl w:val="BC580B08"/>
    <w:lvl w:ilvl="0" w:tplc="DF2C3BA0">
      <w:start w:val="2"/>
      <w:numFmt w:val="bullet"/>
      <w:lvlText w:val="-"/>
      <w:lvlJc w:val="left"/>
      <w:pPr>
        <w:ind w:left="360" w:hanging="360"/>
      </w:pPr>
      <w:rPr>
        <w:rFonts w:ascii="Times New Roman" w:eastAsia="Mariann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0633B"/>
    <w:multiLevelType w:val="hybridMultilevel"/>
    <w:tmpl w:val="1DE05C5C"/>
    <w:lvl w:ilvl="0" w:tplc="97D095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74EF"/>
    <w:multiLevelType w:val="hybridMultilevel"/>
    <w:tmpl w:val="AAEA4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C5F94"/>
    <w:multiLevelType w:val="multilevel"/>
    <w:tmpl w:val="07CA34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0D52AC"/>
    <w:multiLevelType w:val="hybridMultilevel"/>
    <w:tmpl w:val="451EEAF4"/>
    <w:lvl w:ilvl="0" w:tplc="974CE8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01515"/>
    <w:multiLevelType w:val="hybridMultilevel"/>
    <w:tmpl w:val="84CAACA2"/>
    <w:lvl w:ilvl="0" w:tplc="514C498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52B49"/>
    <w:multiLevelType w:val="hybridMultilevel"/>
    <w:tmpl w:val="0C44D1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202EE"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32C1E"/>
    <w:multiLevelType w:val="hybridMultilevel"/>
    <w:tmpl w:val="9C6443C0"/>
    <w:lvl w:ilvl="0" w:tplc="37FAE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546B9"/>
    <w:multiLevelType w:val="hybridMultilevel"/>
    <w:tmpl w:val="85385CC4"/>
    <w:lvl w:ilvl="0" w:tplc="14962388">
      <w:numFmt w:val="bullet"/>
      <w:lvlText w:val="-"/>
      <w:lvlJc w:val="left"/>
      <w:pPr>
        <w:ind w:left="644" w:hanging="360"/>
      </w:pPr>
      <w:rPr>
        <w:rFonts w:ascii="Times New Roman" w:eastAsia="Marianne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5BF0127"/>
    <w:multiLevelType w:val="hybridMultilevel"/>
    <w:tmpl w:val="394812A4"/>
    <w:lvl w:ilvl="0" w:tplc="A4E6B8B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4404A4"/>
    <w:multiLevelType w:val="hybridMultilevel"/>
    <w:tmpl w:val="E4483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2539C"/>
    <w:multiLevelType w:val="hybridMultilevel"/>
    <w:tmpl w:val="8856E1E8"/>
    <w:lvl w:ilvl="0" w:tplc="DF2C3BA0">
      <w:start w:val="2"/>
      <w:numFmt w:val="bullet"/>
      <w:lvlText w:val="-"/>
      <w:lvlJc w:val="left"/>
      <w:pPr>
        <w:ind w:left="360" w:hanging="360"/>
      </w:pPr>
      <w:rPr>
        <w:rFonts w:ascii="Times New Roman" w:eastAsia="Mariann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D1677C"/>
    <w:multiLevelType w:val="hybridMultilevel"/>
    <w:tmpl w:val="D0666884"/>
    <w:lvl w:ilvl="0" w:tplc="0C0A4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0607E"/>
    <w:multiLevelType w:val="hybridMultilevel"/>
    <w:tmpl w:val="3596263E"/>
    <w:lvl w:ilvl="0" w:tplc="A4E6B8B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5203C"/>
    <w:multiLevelType w:val="multilevel"/>
    <w:tmpl w:val="AD201516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7BB512DB"/>
    <w:multiLevelType w:val="hybridMultilevel"/>
    <w:tmpl w:val="5DC47FAA"/>
    <w:lvl w:ilvl="0" w:tplc="D92854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"/>
  </w:num>
  <w:num w:numId="11">
    <w:abstractNumId w:val="16"/>
  </w:num>
  <w:num w:numId="12">
    <w:abstractNumId w:val="14"/>
  </w:num>
  <w:num w:numId="13">
    <w:abstractNumId w:val="6"/>
  </w:num>
  <w:num w:numId="14">
    <w:abstractNumId w:val="11"/>
  </w:num>
  <w:num w:numId="15">
    <w:abstractNumId w:val="3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4C"/>
    <w:rsid w:val="000031B2"/>
    <w:rsid w:val="0000799E"/>
    <w:rsid w:val="00014570"/>
    <w:rsid w:val="000163B7"/>
    <w:rsid w:val="00017815"/>
    <w:rsid w:val="00021518"/>
    <w:rsid w:val="0003467F"/>
    <w:rsid w:val="000376B1"/>
    <w:rsid w:val="0004168B"/>
    <w:rsid w:val="00042FB0"/>
    <w:rsid w:val="0004472A"/>
    <w:rsid w:val="00045B93"/>
    <w:rsid w:val="00047942"/>
    <w:rsid w:val="000512CE"/>
    <w:rsid w:val="00051D86"/>
    <w:rsid w:val="00056615"/>
    <w:rsid w:val="00063305"/>
    <w:rsid w:val="00064E3C"/>
    <w:rsid w:val="00067358"/>
    <w:rsid w:val="00070EEA"/>
    <w:rsid w:val="00073188"/>
    <w:rsid w:val="00075730"/>
    <w:rsid w:val="0008167B"/>
    <w:rsid w:val="00081950"/>
    <w:rsid w:val="00081B05"/>
    <w:rsid w:val="0008518D"/>
    <w:rsid w:val="000871FD"/>
    <w:rsid w:val="000A0B84"/>
    <w:rsid w:val="000A2255"/>
    <w:rsid w:val="000A360E"/>
    <w:rsid w:val="000B0B6B"/>
    <w:rsid w:val="000B281E"/>
    <w:rsid w:val="000B5230"/>
    <w:rsid w:val="000B740A"/>
    <w:rsid w:val="000C4444"/>
    <w:rsid w:val="000C5635"/>
    <w:rsid w:val="000C6B5B"/>
    <w:rsid w:val="000C7161"/>
    <w:rsid w:val="000D3FA8"/>
    <w:rsid w:val="000D4291"/>
    <w:rsid w:val="000E46F5"/>
    <w:rsid w:val="000E4933"/>
    <w:rsid w:val="000E6878"/>
    <w:rsid w:val="000F0888"/>
    <w:rsid w:val="000F1A4E"/>
    <w:rsid w:val="000F22BE"/>
    <w:rsid w:val="000F647A"/>
    <w:rsid w:val="001017E4"/>
    <w:rsid w:val="00101929"/>
    <w:rsid w:val="00111281"/>
    <w:rsid w:val="00113E4C"/>
    <w:rsid w:val="00114493"/>
    <w:rsid w:val="00116FF9"/>
    <w:rsid w:val="00120140"/>
    <w:rsid w:val="001218AC"/>
    <w:rsid w:val="00122C78"/>
    <w:rsid w:val="00125C41"/>
    <w:rsid w:val="0013062F"/>
    <w:rsid w:val="00135737"/>
    <w:rsid w:val="0014539B"/>
    <w:rsid w:val="00146825"/>
    <w:rsid w:val="00151A9E"/>
    <w:rsid w:val="00151CA8"/>
    <w:rsid w:val="001551B3"/>
    <w:rsid w:val="001570C9"/>
    <w:rsid w:val="00162424"/>
    <w:rsid w:val="00166201"/>
    <w:rsid w:val="001677E3"/>
    <w:rsid w:val="00170685"/>
    <w:rsid w:val="001728F6"/>
    <w:rsid w:val="00172F7B"/>
    <w:rsid w:val="00173863"/>
    <w:rsid w:val="00181E54"/>
    <w:rsid w:val="00183699"/>
    <w:rsid w:val="00184DE7"/>
    <w:rsid w:val="0018591C"/>
    <w:rsid w:val="00194F76"/>
    <w:rsid w:val="001A6EB1"/>
    <w:rsid w:val="001B004B"/>
    <w:rsid w:val="001B2353"/>
    <w:rsid w:val="001B2E21"/>
    <w:rsid w:val="001B3540"/>
    <w:rsid w:val="001B5006"/>
    <w:rsid w:val="001C24E1"/>
    <w:rsid w:val="001C3A24"/>
    <w:rsid w:val="001D3F39"/>
    <w:rsid w:val="001D5FB4"/>
    <w:rsid w:val="001E06A8"/>
    <w:rsid w:val="001E2532"/>
    <w:rsid w:val="001F0519"/>
    <w:rsid w:val="001F19C8"/>
    <w:rsid w:val="001F53FB"/>
    <w:rsid w:val="00201787"/>
    <w:rsid w:val="00203E46"/>
    <w:rsid w:val="00206146"/>
    <w:rsid w:val="002121AD"/>
    <w:rsid w:val="00221311"/>
    <w:rsid w:val="00221F1D"/>
    <w:rsid w:val="0022604E"/>
    <w:rsid w:val="00227DCF"/>
    <w:rsid w:val="002317A7"/>
    <w:rsid w:val="00231933"/>
    <w:rsid w:val="002324BE"/>
    <w:rsid w:val="00237D25"/>
    <w:rsid w:val="00240B54"/>
    <w:rsid w:val="00243853"/>
    <w:rsid w:val="00244029"/>
    <w:rsid w:val="00250C62"/>
    <w:rsid w:val="00252D21"/>
    <w:rsid w:val="002564E3"/>
    <w:rsid w:val="00256D04"/>
    <w:rsid w:val="0026004B"/>
    <w:rsid w:val="002611BF"/>
    <w:rsid w:val="00264164"/>
    <w:rsid w:val="00266314"/>
    <w:rsid w:val="00267ECF"/>
    <w:rsid w:val="00275B56"/>
    <w:rsid w:val="00275FDE"/>
    <w:rsid w:val="002763C0"/>
    <w:rsid w:val="0028319B"/>
    <w:rsid w:val="002871A7"/>
    <w:rsid w:val="002903D5"/>
    <w:rsid w:val="002A0E60"/>
    <w:rsid w:val="002A3561"/>
    <w:rsid w:val="002A4DAB"/>
    <w:rsid w:val="002A59ED"/>
    <w:rsid w:val="002B330D"/>
    <w:rsid w:val="002B3C48"/>
    <w:rsid w:val="002B6A31"/>
    <w:rsid w:val="002C7681"/>
    <w:rsid w:val="002D0C64"/>
    <w:rsid w:val="002D2453"/>
    <w:rsid w:val="002D3E47"/>
    <w:rsid w:val="002E2946"/>
    <w:rsid w:val="002E3040"/>
    <w:rsid w:val="002F10E7"/>
    <w:rsid w:val="002F580A"/>
    <w:rsid w:val="002F7E43"/>
    <w:rsid w:val="0030117D"/>
    <w:rsid w:val="00304288"/>
    <w:rsid w:val="00306F20"/>
    <w:rsid w:val="00310081"/>
    <w:rsid w:val="0031214F"/>
    <w:rsid w:val="00312E95"/>
    <w:rsid w:val="003132C2"/>
    <w:rsid w:val="0031452F"/>
    <w:rsid w:val="00317502"/>
    <w:rsid w:val="00322858"/>
    <w:rsid w:val="00334F16"/>
    <w:rsid w:val="00336CBF"/>
    <w:rsid w:val="00337259"/>
    <w:rsid w:val="00343DB3"/>
    <w:rsid w:val="00346698"/>
    <w:rsid w:val="00351392"/>
    <w:rsid w:val="003522B1"/>
    <w:rsid w:val="003529CC"/>
    <w:rsid w:val="00354B47"/>
    <w:rsid w:val="003568A6"/>
    <w:rsid w:val="003573F0"/>
    <w:rsid w:val="0036316F"/>
    <w:rsid w:val="00363543"/>
    <w:rsid w:val="003651E2"/>
    <w:rsid w:val="00366C79"/>
    <w:rsid w:val="003726DA"/>
    <w:rsid w:val="0038091C"/>
    <w:rsid w:val="00380F43"/>
    <w:rsid w:val="0038181F"/>
    <w:rsid w:val="0038605D"/>
    <w:rsid w:val="00390A8F"/>
    <w:rsid w:val="003914A7"/>
    <w:rsid w:val="00395349"/>
    <w:rsid w:val="00395863"/>
    <w:rsid w:val="003A0963"/>
    <w:rsid w:val="003A16BE"/>
    <w:rsid w:val="003A4931"/>
    <w:rsid w:val="003A68DA"/>
    <w:rsid w:val="003B0041"/>
    <w:rsid w:val="003B1853"/>
    <w:rsid w:val="003B2BB1"/>
    <w:rsid w:val="003B42C8"/>
    <w:rsid w:val="003B4AAD"/>
    <w:rsid w:val="003B5E3E"/>
    <w:rsid w:val="003C0488"/>
    <w:rsid w:val="003C05B5"/>
    <w:rsid w:val="003C1B21"/>
    <w:rsid w:val="003C4152"/>
    <w:rsid w:val="003C6E22"/>
    <w:rsid w:val="003D227D"/>
    <w:rsid w:val="003D327E"/>
    <w:rsid w:val="003D37ED"/>
    <w:rsid w:val="003D4EE8"/>
    <w:rsid w:val="003E0FB7"/>
    <w:rsid w:val="003E3E1A"/>
    <w:rsid w:val="003E5023"/>
    <w:rsid w:val="003E5155"/>
    <w:rsid w:val="003E792E"/>
    <w:rsid w:val="003F138C"/>
    <w:rsid w:val="003F40E3"/>
    <w:rsid w:val="0041062E"/>
    <w:rsid w:val="00411D18"/>
    <w:rsid w:val="00422814"/>
    <w:rsid w:val="00424C34"/>
    <w:rsid w:val="00426148"/>
    <w:rsid w:val="00433446"/>
    <w:rsid w:val="00433B33"/>
    <w:rsid w:val="00440CF1"/>
    <w:rsid w:val="004457E7"/>
    <w:rsid w:val="0044728A"/>
    <w:rsid w:val="004509B7"/>
    <w:rsid w:val="00450AFD"/>
    <w:rsid w:val="004524CC"/>
    <w:rsid w:val="00452D8D"/>
    <w:rsid w:val="00454872"/>
    <w:rsid w:val="0047443E"/>
    <w:rsid w:val="00476E3D"/>
    <w:rsid w:val="00477937"/>
    <w:rsid w:val="00482854"/>
    <w:rsid w:val="00482E4A"/>
    <w:rsid w:val="00486EFE"/>
    <w:rsid w:val="00495AC3"/>
    <w:rsid w:val="004972D7"/>
    <w:rsid w:val="004A0CD7"/>
    <w:rsid w:val="004A0F51"/>
    <w:rsid w:val="004A152B"/>
    <w:rsid w:val="004A1D47"/>
    <w:rsid w:val="004A5B69"/>
    <w:rsid w:val="004A7AEC"/>
    <w:rsid w:val="004B0AAA"/>
    <w:rsid w:val="004B1C32"/>
    <w:rsid w:val="004B4AA3"/>
    <w:rsid w:val="004C095F"/>
    <w:rsid w:val="004C20DF"/>
    <w:rsid w:val="004C4EEE"/>
    <w:rsid w:val="004D51E1"/>
    <w:rsid w:val="004D6E11"/>
    <w:rsid w:val="004E28B3"/>
    <w:rsid w:val="004E2A3D"/>
    <w:rsid w:val="004E7E3B"/>
    <w:rsid w:val="004F1523"/>
    <w:rsid w:val="004F4B1F"/>
    <w:rsid w:val="004F4FCF"/>
    <w:rsid w:val="004F543A"/>
    <w:rsid w:val="005022D9"/>
    <w:rsid w:val="00504277"/>
    <w:rsid w:val="00504D0B"/>
    <w:rsid w:val="00507145"/>
    <w:rsid w:val="005242A7"/>
    <w:rsid w:val="00524AC1"/>
    <w:rsid w:val="00524B2C"/>
    <w:rsid w:val="00525B09"/>
    <w:rsid w:val="0053611C"/>
    <w:rsid w:val="00537C1D"/>
    <w:rsid w:val="005416A7"/>
    <w:rsid w:val="00546BC9"/>
    <w:rsid w:val="005478EC"/>
    <w:rsid w:val="00554FA7"/>
    <w:rsid w:val="0055538A"/>
    <w:rsid w:val="00560662"/>
    <w:rsid w:val="005644B9"/>
    <w:rsid w:val="005656DA"/>
    <w:rsid w:val="0057101C"/>
    <w:rsid w:val="0057139D"/>
    <w:rsid w:val="005844DC"/>
    <w:rsid w:val="005860DC"/>
    <w:rsid w:val="0059366E"/>
    <w:rsid w:val="00594004"/>
    <w:rsid w:val="005A1992"/>
    <w:rsid w:val="005A3198"/>
    <w:rsid w:val="005A42ED"/>
    <w:rsid w:val="005A4E1A"/>
    <w:rsid w:val="005A75F3"/>
    <w:rsid w:val="005B4EE9"/>
    <w:rsid w:val="005C004F"/>
    <w:rsid w:val="005C1564"/>
    <w:rsid w:val="005C4F37"/>
    <w:rsid w:val="005C5D75"/>
    <w:rsid w:val="005C7F56"/>
    <w:rsid w:val="005E0535"/>
    <w:rsid w:val="005E1E68"/>
    <w:rsid w:val="005E1FD8"/>
    <w:rsid w:val="005E77A9"/>
    <w:rsid w:val="005F5238"/>
    <w:rsid w:val="00604680"/>
    <w:rsid w:val="00605D82"/>
    <w:rsid w:val="0060701F"/>
    <w:rsid w:val="00610711"/>
    <w:rsid w:val="0061384C"/>
    <w:rsid w:val="00614348"/>
    <w:rsid w:val="006149E2"/>
    <w:rsid w:val="00615899"/>
    <w:rsid w:val="00616508"/>
    <w:rsid w:val="0061741B"/>
    <w:rsid w:val="00620E4B"/>
    <w:rsid w:val="0062334D"/>
    <w:rsid w:val="00625BE6"/>
    <w:rsid w:val="0063162E"/>
    <w:rsid w:val="00631A97"/>
    <w:rsid w:val="00636403"/>
    <w:rsid w:val="006369D5"/>
    <w:rsid w:val="00646700"/>
    <w:rsid w:val="00651AA9"/>
    <w:rsid w:val="00652440"/>
    <w:rsid w:val="00654673"/>
    <w:rsid w:val="00655C32"/>
    <w:rsid w:val="00661DA6"/>
    <w:rsid w:val="0066353D"/>
    <w:rsid w:val="00665C1A"/>
    <w:rsid w:val="006664BD"/>
    <w:rsid w:val="006676CC"/>
    <w:rsid w:val="006707D9"/>
    <w:rsid w:val="00674756"/>
    <w:rsid w:val="006813B3"/>
    <w:rsid w:val="0068278F"/>
    <w:rsid w:val="00692B4A"/>
    <w:rsid w:val="00694098"/>
    <w:rsid w:val="00694E31"/>
    <w:rsid w:val="006951B1"/>
    <w:rsid w:val="0069571C"/>
    <w:rsid w:val="00697564"/>
    <w:rsid w:val="00697BE2"/>
    <w:rsid w:val="006A6C23"/>
    <w:rsid w:val="006B1B41"/>
    <w:rsid w:val="006B234A"/>
    <w:rsid w:val="006B5E3D"/>
    <w:rsid w:val="006D50A1"/>
    <w:rsid w:val="006E2FD4"/>
    <w:rsid w:val="006E3B6D"/>
    <w:rsid w:val="006F227F"/>
    <w:rsid w:val="006F2B33"/>
    <w:rsid w:val="00702BCF"/>
    <w:rsid w:val="00704AD5"/>
    <w:rsid w:val="007050F8"/>
    <w:rsid w:val="007054DC"/>
    <w:rsid w:val="00715BE7"/>
    <w:rsid w:val="0071722F"/>
    <w:rsid w:val="00720B31"/>
    <w:rsid w:val="00727053"/>
    <w:rsid w:val="007336AE"/>
    <w:rsid w:val="0073660F"/>
    <w:rsid w:val="00740CA2"/>
    <w:rsid w:val="00741630"/>
    <w:rsid w:val="007421D0"/>
    <w:rsid w:val="00743F4A"/>
    <w:rsid w:val="007440A7"/>
    <w:rsid w:val="00744119"/>
    <w:rsid w:val="00744899"/>
    <w:rsid w:val="0074629E"/>
    <w:rsid w:val="007468C9"/>
    <w:rsid w:val="00753EC3"/>
    <w:rsid w:val="007577CB"/>
    <w:rsid w:val="007620F7"/>
    <w:rsid w:val="00763826"/>
    <w:rsid w:val="0076407D"/>
    <w:rsid w:val="00765235"/>
    <w:rsid w:val="00767BB8"/>
    <w:rsid w:val="007734F9"/>
    <w:rsid w:val="00774F95"/>
    <w:rsid w:val="007839B6"/>
    <w:rsid w:val="007839D3"/>
    <w:rsid w:val="00793864"/>
    <w:rsid w:val="007973A4"/>
    <w:rsid w:val="007A0BCA"/>
    <w:rsid w:val="007A13D2"/>
    <w:rsid w:val="007A18D6"/>
    <w:rsid w:val="007A3F07"/>
    <w:rsid w:val="007A5516"/>
    <w:rsid w:val="007B748C"/>
    <w:rsid w:val="007C4081"/>
    <w:rsid w:val="007C41B1"/>
    <w:rsid w:val="007C6972"/>
    <w:rsid w:val="007C6A6D"/>
    <w:rsid w:val="007C6B80"/>
    <w:rsid w:val="007D3018"/>
    <w:rsid w:val="007D5C6A"/>
    <w:rsid w:val="007E4E30"/>
    <w:rsid w:val="007E5770"/>
    <w:rsid w:val="007E73AF"/>
    <w:rsid w:val="007E75EC"/>
    <w:rsid w:val="007E7EEC"/>
    <w:rsid w:val="007F0B71"/>
    <w:rsid w:val="007F59F6"/>
    <w:rsid w:val="007F7DB6"/>
    <w:rsid w:val="00800049"/>
    <w:rsid w:val="00800564"/>
    <w:rsid w:val="00807008"/>
    <w:rsid w:val="00813B46"/>
    <w:rsid w:val="00816782"/>
    <w:rsid w:val="00820D47"/>
    <w:rsid w:val="00824D4C"/>
    <w:rsid w:val="00824E4E"/>
    <w:rsid w:val="00827270"/>
    <w:rsid w:val="008273C6"/>
    <w:rsid w:val="0083135F"/>
    <w:rsid w:val="00831C92"/>
    <w:rsid w:val="00832CAE"/>
    <w:rsid w:val="00841E57"/>
    <w:rsid w:val="00845D62"/>
    <w:rsid w:val="008527EA"/>
    <w:rsid w:val="00852F04"/>
    <w:rsid w:val="0085450F"/>
    <w:rsid w:val="00854B4A"/>
    <w:rsid w:val="00860420"/>
    <w:rsid w:val="00866846"/>
    <w:rsid w:val="00866D67"/>
    <w:rsid w:val="00867755"/>
    <w:rsid w:val="00870DCF"/>
    <w:rsid w:val="00875056"/>
    <w:rsid w:val="00876224"/>
    <w:rsid w:val="00882F18"/>
    <w:rsid w:val="0088333A"/>
    <w:rsid w:val="00892401"/>
    <w:rsid w:val="00892F3B"/>
    <w:rsid w:val="0089687B"/>
    <w:rsid w:val="008A0BCC"/>
    <w:rsid w:val="008A7B52"/>
    <w:rsid w:val="008B09F2"/>
    <w:rsid w:val="008B2ADF"/>
    <w:rsid w:val="008B7493"/>
    <w:rsid w:val="008C0E8C"/>
    <w:rsid w:val="008C3B59"/>
    <w:rsid w:val="008C716A"/>
    <w:rsid w:val="008C7CD0"/>
    <w:rsid w:val="008D10D3"/>
    <w:rsid w:val="008D2015"/>
    <w:rsid w:val="008E048F"/>
    <w:rsid w:val="008E5A4C"/>
    <w:rsid w:val="008E6D2A"/>
    <w:rsid w:val="00901301"/>
    <w:rsid w:val="0090139E"/>
    <w:rsid w:val="0090361A"/>
    <w:rsid w:val="009042B7"/>
    <w:rsid w:val="009146F9"/>
    <w:rsid w:val="0092308F"/>
    <w:rsid w:val="00926BCC"/>
    <w:rsid w:val="009273BA"/>
    <w:rsid w:val="0092755D"/>
    <w:rsid w:val="009279A7"/>
    <w:rsid w:val="00933925"/>
    <w:rsid w:val="00933E1A"/>
    <w:rsid w:val="00941E2D"/>
    <w:rsid w:val="00944012"/>
    <w:rsid w:val="00950F19"/>
    <w:rsid w:val="009512C6"/>
    <w:rsid w:val="00955BC0"/>
    <w:rsid w:val="009639AA"/>
    <w:rsid w:val="00972633"/>
    <w:rsid w:val="009773ED"/>
    <w:rsid w:val="00981584"/>
    <w:rsid w:val="00985902"/>
    <w:rsid w:val="0098747C"/>
    <w:rsid w:val="00987D4F"/>
    <w:rsid w:val="00994255"/>
    <w:rsid w:val="009A11AA"/>
    <w:rsid w:val="009A124C"/>
    <w:rsid w:val="009A478D"/>
    <w:rsid w:val="009A4E68"/>
    <w:rsid w:val="009A708F"/>
    <w:rsid w:val="009C2551"/>
    <w:rsid w:val="009C56EE"/>
    <w:rsid w:val="009D2F8E"/>
    <w:rsid w:val="009E2C70"/>
    <w:rsid w:val="009E6ED8"/>
    <w:rsid w:val="009E780C"/>
    <w:rsid w:val="00A01676"/>
    <w:rsid w:val="00A044AE"/>
    <w:rsid w:val="00A20D12"/>
    <w:rsid w:val="00A329A1"/>
    <w:rsid w:val="00A36D72"/>
    <w:rsid w:val="00A4690E"/>
    <w:rsid w:val="00A51336"/>
    <w:rsid w:val="00A53544"/>
    <w:rsid w:val="00A55A0E"/>
    <w:rsid w:val="00A64C42"/>
    <w:rsid w:val="00A70372"/>
    <w:rsid w:val="00A748BB"/>
    <w:rsid w:val="00A754D2"/>
    <w:rsid w:val="00A804D7"/>
    <w:rsid w:val="00A80B02"/>
    <w:rsid w:val="00A86388"/>
    <w:rsid w:val="00A8648D"/>
    <w:rsid w:val="00A865CB"/>
    <w:rsid w:val="00A8720D"/>
    <w:rsid w:val="00A87DF8"/>
    <w:rsid w:val="00A958C5"/>
    <w:rsid w:val="00AA19AE"/>
    <w:rsid w:val="00AA2F1D"/>
    <w:rsid w:val="00AA564A"/>
    <w:rsid w:val="00AB008D"/>
    <w:rsid w:val="00AB1DDA"/>
    <w:rsid w:val="00AB56BD"/>
    <w:rsid w:val="00AB5DC4"/>
    <w:rsid w:val="00AB6336"/>
    <w:rsid w:val="00AB7C1F"/>
    <w:rsid w:val="00AC0CAF"/>
    <w:rsid w:val="00AC1857"/>
    <w:rsid w:val="00AC30B0"/>
    <w:rsid w:val="00AC4C39"/>
    <w:rsid w:val="00AC605D"/>
    <w:rsid w:val="00AC74B8"/>
    <w:rsid w:val="00AD6D68"/>
    <w:rsid w:val="00AD78BE"/>
    <w:rsid w:val="00AE1493"/>
    <w:rsid w:val="00AE3432"/>
    <w:rsid w:val="00AE57F4"/>
    <w:rsid w:val="00AE5E38"/>
    <w:rsid w:val="00AE6C81"/>
    <w:rsid w:val="00AF1231"/>
    <w:rsid w:val="00AF6547"/>
    <w:rsid w:val="00B0250C"/>
    <w:rsid w:val="00B03100"/>
    <w:rsid w:val="00B06822"/>
    <w:rsid w:val="00B13D27"/>
    <w:rsid w:val="00B159B9"/>
    <w:rsid w:val="00B16051"/>
    <w:rsid w:val="00B228FA"/>
    <w:rsid w:val="00B23A75"/>
    <w:rsid w:val="00B24C02"/>
    <w:rsid w:val="00B25465"/>
    <w:rsid w:val="00B26D67"/>
    <w:rsid w:val="00B41928"/>
    <w:rsid w:val="00B42B60"/>
    <w:rsid w:val="00B42E73"/>
    <w:rsid w:val="00B504E7"/>
    <w:rsid w:val="00B5669B"/>
    <w:rsid w:val="00B610E1"/>
    <w:rsid w:val="00B624A7"/>
    <w:rsid w:val="00B62CEB"/>
    <w:rsid w:val="00B63FA8"/>
    <w:rsid w:val="00B65361"/>
    <w:rsid w:val="00B70BAF"/>
    <w:rsid w:val="00B70DBB"/>
    <w:rsid w:val="00B7102B"/>
    <w:rsid w:val="00B7626E"/>
    <w:rsid w:val="00B83416"/>
    <w:rsid w:val="00B85174"/>
    <w:rsid w:val="00B87F8B"/>
    <w:rsid w:val="00B90763"/>
    <w:rsid w:val="00B9705F"/>
    <w:rsid w:val="00BA1465"/>
    <w:rsid w:val="00BA2DFE"/>
    <w:rsid w:val="00BA384A"/>
    <w:rsid w:val="00BA5081"/>
    <w:rsid w:val="00BB5144"/>
    <w:rsid w:val="00BC0E17"/>
    <w:rsid w:val="00BC28CC"/>
    <w:rsid w:val="00BC494A"/>
    <w:rsid w:val="00BC4F49"/>
    <w:rsid w:val="00BC7ED9"/>
    <w:rsid w:val="00BD00CA"/>
    <w:rsid w:val="00BD265D"/>
    <w:rsid w:val="00BE4973"/>
    <w:rsid w:val="00BF0177"/>
    <w:rsid w:val="00BF08B7"/>
    <w:rsid w:val="00BF4C52"/>
    <w:rsid w:val="00BF71B4"/>
    <w:rsid w:val="00C058C5"/>
    <w:rsid w:val="00C0796B"/>
    <w:rsid w:val="00C119DD"/>
    <w:rsid w:val="00C11C9C"/>
    <w:rsid w:val="00C17309"/>
    <w:rsid w:val="00C219A7"/>
    <w:rsid w:val="00C26397"/>
    <w:rsid w:val="00C26500"/>
    <w:rsid w:val="00C31410"/>
    <w:rsid w:val="00C3224D"/>
    <w:rsid w:val="00C32807"/>
    <w:rsid w:val="00C33B3B"/>
    <w:rsid w:val="00C34590"/>
    <w:rsid w:val="00C428B4"/>
    <w:rsid w:val="00C457F9"/>
    <w:rsid w:val="00C469CE"/>
    <w:rsid w:val="00C533C4"/>
    <w:rsid w:val="00C54280"/>
    <w:rsid w:val="00C5655C"/>
    <w:rsid w:val="00C578B8"/>
    <w:rsid w:val="00C62021"/>
    <w:rsid w:val="00C731AA"/>
    <w:rsid w:val="00C73FF2"/>
    <w:rsid w:val="00C80592"/>
    <w:rsid w:val="00C852C7"/>
    <w:rsid w:val="00C85F7D"/>
    <w:rsid w:val="00C91290"/>
    <w:rsid w:val="00CA536B"/>
    <w:rsid w:val="00CA53E7"/>
    <w:rsid w:val="00CA799F"/>
    <w:rsid w:val="00CA7E18"/>
    <w:rsid w:val="00CB204F"/>
    <w:rsid w:val="00CB5B15"/>
    <w:rsid w:val="00CB7FC5"/>
    <w:rsid w:val="00CC0382"/>
    <w:rsid w:val="00CC46BB"/>
    <w:rsid w:val="00CC6F7E"/>
    <w:rsid w:val="00CC771E"/>
    <w:rsid w:val="00CC7908"/>
    <w:rsid w:val="00CE0A2B"/>
    <w:rsid w:val="00CE5D6D"/>
    <w:rsid w:val="00CE67E9"/>
    <w:rsid w:val="00CF13C7"/>
    <w:rsid w:val="00CF1EE8"/>
    <w:rsid w:val="00CF4C3D"/>
    <w:rsid w:val="00D0201A"/>
    <w:rsid w:val="00D03547"/>
    <w:rsid w:val="00D057EA"/>
    <w:rsid w:val="00D05D46"/>
    <w:rsid w:val="00D11332"/>
    <w:rsid w:val="00D13111"/>
    <w:rsid w:val="00D1571E"/>
    <w:rsid w:val="00D1639E"/>
    <w:rsid w:val="00D16661"/>
    <w:rsid w:val="00D17F48"/>
    <w:rsid w:val="00D216C7"/>
    <w:rsid w:val="00D22B55"/>
    <w:rsid w:val="00D23B75"/>
    <w:rsid w:val="00D27F99"/>
    <w:rsid w:val="00D32960"/>
    <w:rsid w:val="00D33290"/>
    <w:rsid w:val="00D33873"/>
    <w:rsid w:val="00D349F3"/>
    <w:rsid w:val="00D34BD3"/>
    <w:rsid w:val="00D37009"/>
    <w:rsid w:val="00D45C56"/>
    <w:rsid w:val="00D46262"/>
    <w:rsid w:val="00D55D40"/>
    <w:rsid w:val="00D60B9C"/>
    <w:rsid w:val="00D61153"/>
    <w:rsid w:val="00D61629"/>
    <w:rsid w:val="00D6264C"/>
    <w:rsid w:val="00D6325C"/>
    <w:rsid w:val="00D63E88"/>
    <w:rsid w:val="00D64237"/>
    <w:rsid w:val="00D65E99"/>
    <w:rsid w:val="00D736CA"/>
    <w:rsid w:val="00D76617"/>
    <w:rsid w:val="00D76A09"/>
    <w:rsid w:val="00D773A0"/>
    <w:rsid w:val="00D90FF4"/>
    <w:rsid w:val="00D94899"/>
    <w:rsid w:val="00D9591C"/>
    <w:rsid w:val="00D973A3"/>
    <w:rsid w:val="00DA3BA9"/>
    <w:rsid w:val="00DA4148"/>
    <w:rsid w:val="00DA4D51"/>
    <w:rsid w:val="00DA588F"/>
    <w:rsid w:val="00DA7668"/>
    <w:rsid w:val="00DB3C37"/>
    <w:rsid w:val="00DB4826"/>
    <w:rsid w:val="00DB71AB"/>
    <w:rsid w:val="00DC0EAD"/>
    <w:rsid w:val="00DC0F48"/>
    <w:rsid w:val="00DC1D21"/>
    <w:rsid w:val="00DC7F39"/>
    <w:rsid w:val="00DC7FCE"/>
    <w:rsid w:val="00DD0ADA"/>
    <w:rsid w:val="00DD20BA"/>
    <w:rsid w:val="00DD3F13"/>
    <w:rsid w:val="00DD542F"/>
    <w:rsid w:val="00DE4E2B"/>
    <w:rsid w:val="00DE687A"/>
    <w:rsid w:val="00E0322E"/>
    <w:rsid w:val="00E0446E"/>
    <w:rsid w:val="00E1458D"/>
    <w:rsid w:val="00E21079"/>
    <w:rsid w:val="00E2590D"/>
    <w:rsid w:val="00E26649"/>
    <w:rsid w:val="00E277B4"/>
    <w:rsid w:val="00E366CB"/>
    <w:rsid w:val="00E3772C"/>
    <w:rsid w:val="00E4692B"/>
    <w:rsid w:val="00E5016D"/>
    <w:rsid w:val="00E50B9A"/>
    <w:rsid w:val="00E52D6C"/>
    <w:rsid w:val="00E5619B"/>
    <w:rsid w:val="00E62088"/>
    <w:rsid w:val="00E64F0C"/>
    <w:rsid w:val="00E71EAC"/>
    <w:rsid w:val="00E72CF1"/>
    <w:rsid w:val="00E82790"/>
    <w:rsid w:val="00E8282E"/>
    <w:rsid w:val="00E831AB"/>
    <w:rsid w:val="00E858DC"/>
    <w:rsid w:val="00E864E3"/>
    <w:rsid w:val="00E87CA0"/>
    <w:rsid w:val="00E87E15"/>
    <w:rsid w:val="00EA2833"/>
    <w:rsid w:val="00EA3947"/>
    <w:rsid w:val="00EA618E"/>
    <w:rsid w:val="00EA7B19"/>
    <w:rsid w:val="00EB22E6"/>
    <w:rsid w:val="00EB5DE7"/>
    <w:rsid w:val="00EB71C2"/>
    <w:rsid w:val="00EB7DC6"/>
    <w:rsid w:val="00EC0EF7"/>
    <w:rsid w:val="00EC206C"/>
    <w:rsid w:val="00EC4CAE"/>
    <w:rsid w:val="00EC755F"/>
    <w:rsid w:val="00ED2552"/>
    <w:rsid w:val="00ED4B28"/>
    <w:rsid w:val="00EE283D"/>
    <w:rsid w:val="00EF2F5B"/>
    <w:rsid w:val="00F01B13"/>
    <w:rsid w:val="00F03414"/>
    <w:rsid w:val="00F04530"/>
    <w:rsid w:val="00F04B35"/>
    <w:rsid w:val="00F058F0"/>
    <w:rsid w:val="00F12A6E"/>
    <w:rsid w:val="00F13F99"/>
    <w:rsid w:val="00F14156"/>
    <w:rsid w:val="00F16119"/>
    <w:rsid w:val="00F17436"/>
    <w:rsid w:val="00F179DF"/>
    <w:rsid w:val="00F21F8D"/>
    <w:rsid w:val="00F252C3"/>
    <w:rsid w:val="00F25F35"/>
    <w:rsid w:val="00F27661"/>
    <w:rsid w:val="00F3090C"/>
    <w:rsid w:val="00F32CD0"/>
    <w:rsid w:val="00F33EFB"/>
    <w:rsid w:val="00F457DD"/>
    <w:rsid w:val="00F47797"/>
    <w:rsid w:val="00F51E2C"/>
    <w:rsid w:val="00F62C4C"/>
    <w:rsid w:val="00F666EA"/>
    <w:rsid w:val="00F677C1"/>
    <w:rsid w:val="00F712B7"/>
    <w:rsid w:val="00F7291F"/>
    <w:rsid w:val="00F72A0C"/>
    <w:rsid w:val="00F73346"/>
    <w:rsid w:val="00F74EB8"/>
    <w:rsid w:val="00F76157"/>
    <w:rsid w:val="00F82CB1"/>
    <w:rsid w:val="00F95128"/>
    <w:rsid w:val="00FA5816"/>
    <w:rsid w:val="00FA6702"/>
    <w:rsid w:val="00FB5170"/>
    <w:rsid w:val="00FB6D20"/>
    <w:rsid w:val="00FC2D37"/>
    <w:rsid w:val="00FD0120"/>
    <w:rsid w:val="00FD33E4"/>
    <w:rsid w:val="00FE2E57"/>
    <w:rsid w:val="00FE4E94"/>
    <w:rsid w:val="00FE5463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5F3F09"/>
  <w15:docId w15:val="{1838556A-C411-4B90-8BF7-B3660C53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348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b/>
      <w:bCs/>
      <w:caps/>
      <w:lang w:val="x-non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360"/>
      <w:jc w:val="center"/>
      <w:outlineLvl w:val="1"/>
    </w:pPr>
    <w:rPr>
      <w:b/>
      <w:bCs/>
      <w:iCs/>
      <w:smallCaps/>
      <w:lang w:val="x-non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360"/>
      <w:jc w:val="center"/>
      <w:outlineLvl w:val="2"/>
    </w:pPr>
    <w:rPr>
      <w:b/>
      <w:szCs w:val="26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ans" w:hAnsi="Liberation Sans" w:cs="Liberation Sans"/>
    </w:rPr>
  </w:style>
  <w:style w:type="character" w:customStyle="1" w:styleId="WW8Num3z0">
    <w:name w:val="WW8Num3z0"/>
    <w:qFormat/>
    <w:rPr>
      <w:rFonts w:ascii="Liberation Sans" w:hAnsi="Liberation Sans" w:cs="Liberation Sans"/>
    </w:rPr>
  </w:style>
  <w:style w:type="character" w:customStyle="1" w:styleId="Policepardfaut5">
    <w:name w:val="Police par défaut5"/>
    <w:qFormat/>
  </w:style>
  <w:style w:type="character" w:customStyle="1" w:styleId="Policepardfaut4">
    <w:name w:val="Police par défaut4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Arial Unicode MS" w:hAnsi="Times New Roman" w:cs="Times New Roman"/>
      <w:color w:val="FF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Times New Roman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SNTimbreCar">
    <w:name w:val="SNTimbre Car"/>
    <w:qFormat/>
    <w:rPr>
      <w:rFonts w:eastAsia="Lucida Sans Unicode"/>
      <w:sz w:val="24"/>
      <w:szCs w:val="24"/>
      <w:lang w:val="fr-FR" w:bidi="ar-SA"/>
    </w:rPr>
  </w:style>
  <w:style w:type="character" w:customStyle="1" w:styleId="SNDateCar">
    <w:name w:val="SNDate Car"/>
    <w:qFormat/>
    <w:rPr>
      <w:sz w:val="24"/>
      <w:szCs w:val="24"/>
      <w:lang w:val="fr-FR" w:bidi="ar-SA"/>
    </w:rPr>
  </w:style>
  <w:style w:type="character" w:customStyle="1" w:styleId="SNArticleCar">
    <w:name w:val="SNArticle Car"/>
    <w:qFormat/>
    <w:rPr>
      <w:b/>
      <w:bCs/>
      <w:sz w:val="24"/>
      <w:szCs w:val="24"/>
      <w:lang w:val="x-none"/>
    </w:rPr>
  </w:style>
  <w:style w:type="character" w:customStyle="1" w:styleId="SNenProjet">
    <w:name w:val="SNenProjet"/>
    <w:basedOn w:val="Policepardfaut1"/>
    <w:qFormat/>
  </w:style>
  <w:style w:type="character" w:customStyle="1" w:styleId="CarCar5">
    <w:name w:val="Car Car5"/>
    <w:qFormat/>
    <w:rPr>
      <w:b/>
      <w:sz w:val="24"/>
      <w:szCs w:val="26"/>
      <w:lang w:val="x-none"/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arCar3">
    <w:name w:val="Car Car3"/>
    <w:basedOn w:val="Policepardfaut1"/>
    <w:qFormat/>
  </w:style>
  <w:style w:type="character" w:customStyle="1" w:styleId="CarCar2">
    <w:name w:val="Car Car2"/>
    <w:qFormat/>
    <w:rPr>
      <w:b/>
      <w:bCs/>
    </w:rPr>
  </w:style>
  <w:style w:type="character" w:customStyle="1" w:styleId="CarCar4">
    <w:name w:val="Car Car4"/>
    <w:qFormat/>
    <w:rPr>
      <w:sz w:val="24"/>
      <w:szCs w:val="24"/>
    </w:rPr>
  </w:style>
  <w:style w:type="character" w:customStyle="1" w:styleId="CarCar7">
    <w:name w:val="Car Car7"/>
    <w:qFormat/>
    <w:rPr>
      <w:rFonts w:cs="Arial"/>
      <w:b/>
      <w:bCs/>
      <w:caps/>
      <w:sz w:val="24"/>
      <w:szCs w:val="24"/>
    </w:rPr>
  </w:style>
  <w:style w:type="character" w:customStyle="1" w:styleId="CarCar6">
    <w:name w:val="Car Car6"/>
    <w:qFormat/>
    <w:rPr>
      <w:b/>
      <w:bCs/>
      <w:iCs/>
      <w:smallCaps/>
      <w:sz w:val="24"/>
      <w:szCs w:val="24"/>
      <w:lang w:val="x-none"/>
    </w:rPr>
  </w:style>
  <w:style w:type="character" w:customStyle="1" w:styleId="CarCar1">
    <w:name w:val="Car Car1"/>
    <w:qFormat/>
    <w:rPr>
      <w:sz w:val="24"/>
      <w:szCs w:val="24"/>
    </w:rPr>
  </w:style>
  <w:style w:type="character" w:customStyle="1" w:styleId="CarCar">
    <w:name w:val="Car Car"/>
    <w:qFormat/>
    <w:rPr>
      <w:sz w:val="24"/>
      <w:szCs w:val="24"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surlignage">
    <w:name w:val="surlignage"/>
    <w:qFormat/>
  </w:style>
  <w:style w:type="character" w:styleId="Lienhypertextesuivivisit">
    <w:name w:val="FollowedHyperlink"/>
    <w:uiPriority w:val="99"/>
    <w:qFormat/>
    <w:rPr>
      <w:color w:val="800080"/>
      <w:u w:val="single"/>
    </w:rPr>
  </w:style>
  <w:style w:type="character" w:styleId="lev">
    <w:name w:val="Strong"/>
    <w:qFormat/>
    <w:rPr>
      <w:b/>
      <w:bCs/>
    </w:rPr>
  </w:style>
  <w:style w:type="character" w:customStyle="1" w:styleId="tm2code">
    <w:name w:val="tm2code"/>
    <w:basedOn w:val="Policepardfaut1"/>
    <w:qFormat/>
  </w:style>
  <w:style w:type="character" w:customStyle="1" w:styleId="tm3code">
    <w:name w:val="tm3code"/>
    <w:basedOn w:val="Policepardfaut1"/>
    <w:qFormat/>
  </w:style>
  <w:style w:type="character" w:customStyle="1" w:styleId="tm4code">
    <w:name w:val="tm4code"/>
    <w:basedOn w:val="Policepardfaut1"/>
    <w:qFormat/>
  </w:style>
  <w:style w:type="character" w:customStyle="1" w:styleId="citation">
    <w:name w:val="citation"/>
    <w:basedOn w:val="Policepardfaut1"/>
    <w:qFormat/>
  </w:style>
  <w:style w:type="character" w:customStyle="1" w:styleId="WW8Num11z5">
    <w:name w:val="WW8Num11z5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Accentuation">
    <w:name w:val="Emphasis"/>
    <w:uiPriority w:val="20"/>
    <w:qFormat/>
    <w:rPr>
      <w:i/>
      <w:iCs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CommentaireCar">
    <w:name w:val="Commentaire Car"/>
    <w:uiPriority w:val="99"/>
    <w:qFormat/>
    <w:rPr>
      <w:lang w:eastAsia="zh-CN"/>
    </w:rPr>
  </w:style>
  <w:style w:type="character" w:customStyle="1" w:styleId="tm5code">
    <w:name w:val="tm5code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stddocNumber">
    <w:name w:val="std_docNumber"/>
    <w:qFormat/>
    <w:rsid w:val="00C16C8D"/>
    <w:rPr>
      <w:rFonts w:ascii="Arial" w:hAnsi="Arial"/>
      <w:shd w:val="clear" w:color="auto" w:fill="F2DBDB"/>
    </w:rPr>
  </w:style>
  <w:style w:type="character" w:customStyle="1" w:styleId="stdpublisher">
    <w:name w:val="std_publisher"/>
    <w:qFormat/>
    <w:rsid w:val="00C16C8D"/>
    <w:rPr>
      <w:rFonts w:ascii="Arial" w:hAnsi="Arial"/>
      <w:shd w:val="clear" w:color="auto" w:fill="C6D9F1"/>
    </w:rPr>
  </w:style>
  <w:style w:type="character" w:customStyle="1" w:styleId="TabletitleChar">
    <w:name w:val="Table title Char"/>
    <w:link w:val="Tabletitle"/>
    <w:qFormat/>
    <w:rsid w:val="00C16C8D"/>
    <w:rPr>
      <w:rFonts w:ascii="Arial" w:eastAsia="Calibri" w:hAnsi="Arial"/>
      <w:b/>
      <w:szCs w:val="24"/>
      <w:lang w:val="en-GB" w:eastAsia="en-US"/>
    </w:rPr>
  </w:style>
  <w:style w:type="paragraph" w:customStyle="1" w:styleId="Tabletitle">
    <w:name w:val="Table title"/>
    <w:basedOn w:val="Normal"/>
    <w:link w:val="TabletitleChar"/>
    <w:qFormat/>
    <w:rsid w:val="00C16C8D"/>
    <w:pPr>
      <w:keepNext/>
      <w:spacing w:before="120" w:after="120" w:line="240" w:lineRule="atLeast"/>
      <w:jc w:val="center"/>
      <w:outlineLvl w:val="0"/>
    </w:pPr>
    <w:rPr>
      <w:rFonts w:ascii="Arial" w:eastAsia="Calibri" w:hAnsi="Arial"/>
      <w:b/>
      <w:sz w:val="20"/>
      <w:lang w:val="en-GB" w:eastAsia="en-US"/>
    </w:rPr>
  </w:style>
  <w:style w:type="character" w:customStyle="1" w:styleId="TablebodyChar">
    <w:name w:val="Table body Char"/>
    <w:link w:val="Tablebody"/>
    <w:qFormat/>
    <w:rsid w:val="00C16C8D"/>
    <w:rPr>
      <w:rFonts w:ascii="Arial" w:eastAsia="Calibri" w:hAnsi="Arial"/>
      <w:szCs w:val="22"/>
      <w:lang w:val="en-GB" w:eastAsia="en-US"/>
    </w:rPr>
  </w:style>
  <w:style w:type="paragraph" w:customStyle="1" w:styleId="Tablebody">
    <w:name w:val="Table body"/>
    <w:basedOn w:val="Normal"/>
    <w:link w:val="TablebodyChar"/>
    <w:qFormat/>
    <w:rsid w:val="00C16C8D"/>
    <w:pPr>
      <w:suppressAutoHyphens w:val="0"/>
      <w:spacing w:before="60" w:after="60" w:line="210" w:lineRule="atLeast"/>
    </w:pPr>
    <w:rPr>
      <w:rFonts w:ascii="Arial" w:eastAsia="Calibri" w:hAnsi="Arial"/>
      <w:sz w:val="20"/>
      <w:szCs w:val="22"/>
      <w:lang w:val="en-GB" w:eastAsia="en-US"/>
    </w:rPr>
  </w:style>
  <w:style w:type="character" w:customStyle="1" w:styleId="TableheaderChar">
    <w:name w:val="Table header Char"/>
    <w:link w:val="Tableheader"/>
    <w:qFormat/>
    <w:rsid w:val="00C16C8D"/>
    <w:rPr>
      <w:rFonts w:ascii="Arial" w:eastAsia="Calibri" w:hAnsi="Arial"/>
      <w:szCs w:val="22"/>
      <w:lang w:val="en-GB" w:eastAsia="en-US"/>
    </w:rPr>
  </w:style>
  <w:style w:type="paragraph" w:customStyle="1" w:styleId="Tableheader">
    <w:name w:val="Table header"/>
    <w:basedOn w:val="Tablebody"/>
    <w:link w:val="TableheaderChar"/>
    <w:qFormat/>
    <w:rsid w:val="00C16C8D"/>
  </w:style>
  <w:style w:type="character" w:customStyle="1" w:styleId="ListLabel1">
    <w:name w:val="ListLabel 1"/>
    <w:qFormat/>
    <w:rPr>
      <w:rFonts w:cs="Liberation Sans"/>
    </w:rPr>
  </w:style>
  <w:style w:type="character" w:customStyle="1" w:styleId="ListLabel2">
    <w:name w:val="ListLabel 2"/>
    <w:qFormat/>
    <w:rPr>
      <w:rFonts w:cs="Liberation Sans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pPr>
      <w:spacing w:after="120"/>
      <w:jc w:val="both"/>
    </w:pPr>
    <w:rPr>
      <w:lang w:val="x-none"/>
    </w:rPr>
  </w:style>
  <w:style w:type="character" w:customStyle="1" w:styleId="CorpsdetexteCar">
    <w:name w:val="Corps de texte Car"/>
    <w:basedOn w:val="Policepardfaut"/>
    <w:link w:val="Corpsdetexte"/>
    <w:rsid w:val="0026004B"/>
    <w:rPr>
      <w:sz w:val="24"/>
      <w:szCs w:val="24"/>
      <w:lang w:val="x-none" w:eastAsia="zh-CN"/>
    </w:r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5">
    <w:name w:val="Titre5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4">
    <w:name w:val="Titre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30">
    <w:name w:val="Titre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20">
    <w:name w:val="Titre2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pPr>
      <w:suppressAutoHyphens/>
      <w:jc w:val="center"/>
    </w:pPr>
    <w:rPr>
      <w:bCs/>
      <w:sz w:val="24"/>
      <w:lang w:eastAsia="zh-CN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qFormat/>
    <w:pPr>
      <w:spacing w:before="120" w:after="1680"/>
      <w:ind w:left="720" w:right="-6" w:firstLine="1080"/>
      <w:jc w:val="right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qFormat/>
    <w:pPr>
      <w:spacing w:before="280" w:after="280"/>
      <w:ind w:firstLine="720"/>
      <w:jc w:val="both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360" w:after="240"/>
      <w:jc w:val="center"/>
    </w:pPr>
    <w:rPr>
      <w:b/>
      <w:bCs/>
      <w:lang w:val="x-none"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Titre1"/>
    <w:qFormat/>
    <w:pPr>
      <w:numPr>
        <w:numId w:val="0"/>
      </w:numPr>
      <w:spacing w:before="0" w:after="120"/>
    </w:pPr>
    <w:rPr>
      <w:b w:val="0"/>
    </w:rPr>
  </w:style>
  <w:style w:type="paragraph" w:customStyle="1" w:styleId="Titre2objet">
    <w:name w:val="Titre 2 objet"/>
    <w:basedOn w:val="Titre2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customStyle="1" w:styleId="titre3objet">
    <w:name w:val="titre 3 objet"/>
    <w:basedOn w:val="Titre3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styleId="Objetducommentaire">
    <w:name w:val="annotation subject"/>
    <w:basedOn w:val="Commentaire1"/>
    <w:next w:val="Commentaire1"/>
    <w:qFormat/>
    <w:rPr>
      <w:b/>
      <w:bCs/>
      <w:lang w:val="x-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PointDouble2">
    <w:name w:val="PointDouble 2"/>
    <w:basedOn w:val="Normal"/>
    <w:qFormat/>
    <w:pPr>
      <w:tabs>
        <w:tab w:val="left" w:pos="1984"/>
      </w:tabs>
      <w:spacing w:before="120" w:after="120" w:line="360" w:lineRule="auto"/>
      <w:ind w:left="2551" w:hanging="1134"/>
    </w:pPr>
  </w:style>
  <w:style w:type="paragraph" w:customStyle="1" w:styleId="Tiret0">
    <w:name w:val="Tiret 0"/>
    <w:basedOn w:val="Normal"/>
    <w:qFormat/>
    <w:pPr>
      <w:spacing w:before="120" w:after="120" w:line="360" w:lineRule="auto"/>
    </w:pPr>
  </w:style>
  <w:style w:type="paragraph" w:customStyle="1" w:styleId="Tiret1">
    <w:name w:val="Tiret 1"/>
    <w:basedOn w:val="Normal"/>
    <w:qFormat/>
    <w:pPr>
      <w:spacing w:before="120" w:after="120" w:line="360" w:lineRule="auto"/>
    </w:pPr>
  </w:style>
  <w:style w:type="paragraph" w:customStyle="1" w:styleId="Text1">
    <w:name w:val="Text 1"/>
    <w:basedOn w:val="Normal"/>
    <w:qFormat/>
    <w:pPr>
      <w:spacing w:before="120" w:after="120" w:line="360" w:lineRule="auto"/>
      <w:ind w:left="850"/>
    </w:pPr>
  </w:style>
  <w:style w:type="paragraph" w:customStyle="1" w:styleId="Point0">
    <w:name w:val="Point 0"/>
    <w:basedOn w:val="Normal"/>
    <w:qFormat/>
    <w:pPr>
      <w:spacing w:before="120" w:after="120" w:line="360" w:lineRule="auto"/>
      <w:ind w:left="850" w:hanging="850"/>
    </w:pPr>
  </w:style>
  <w:style w:type="paragraph" w:customStyle="1" w:styleId="Point1">
    <w:name w:val="Point 1"/>
    <w:basedOn w:val="Normal"/>
    <w:qFormat/>
    <w:pPr>
      <w:spacing w:before="120" w:after="120" w:line="360" w:lineRule="auto"/>
      <w:ind w:left="1417" w:hanging="567"/>
    </w:pPr>
  </w:style>
  <w:style w:type="paragraph" w:customStyle="1" w:styleId="ManualNumPar1">
    <w:name w:val="Manual NumPar 1"/>
    <w:basedOn w:val="Normal"/>
    <w:qFormat/>
    <w:pPr>
      <w:spacing w:before="120" w:after="120" w:line="360" w:lineRule="auto"/>
      <w:ind w:left="850" w:hanging="850"/>
    </w:pPr>
  </w:style>
  <w:style w:type="paragraph" w:styleId="Rvision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/>
    </w:rPr>
  </w:style>
  <w:style w:type="paragraph" w:styleId="Notedebasdepage">
    <w:name w:val="footnote text"/>
    <w:basedOn w:val="Normal"/>
    <w:qFormat/>
    <w:rPr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customStyle="1" w:styleId="western">
    <w:name w:val="western"/>
    <w:basedOn w:val="Normal"/>
    <w:qFormat/>
    <w:pPr>
      <w:suppressAutoHyphens w:val="0"/>
      <w:spacing w:before="280" w:after="119"/>
      <w:jc w:val="both"/>
    </w:pPr>
    <w:rPr>
      <w:color w:val="000000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1775C"/>
    <w:pPr>
      <w:ind w:left="720"/>
      <w:contextualSpacing/>
    </w:pPr>
  </w:style>
  <w:style w:type="paragraph" w:customStyle="1" w:styleId="CM1">
    <w:name w:val="CM1"/>
    <w:basedOn w:val="Default"/>
    <w:next w:val="Default"/>
    <w:uiPriority w:val="99"/>
    <w:qFormat/>
    <w:rsid w:val="009A03FA"/>
    <w:pPr>
      <w:suppressAutoHyphens w:val="0"/>
    </w:pPr>
    <w:rPr>
      <w:rFonts w:ascii="EUAlbertina" w:hAnsi="EUAlbertina"/>
      <w:color w:val="00000A"/>
      <w:lang w:eastAsia="fr-FR"/>
    </w:rPr>
  </w:style>
  <w:style w:type="paragraph" w:customStyle="1" w:styleId="CM3">
    <w:name w:val="CM3"/>
    <w:basedOn w:val="Default"/>
    <w:next w:val="Default"/>
    <w:uiPriority w:val="99"/>
    <w:qFormat/>
    <w:rsid w:val="009A03FA"/>
    <w:pPr>
      <w:suppressAutoHyphens w:val="0"/>
    </w:pPr>
    <w:rPr>
      <w:rFonts w:ascii="EUAlbertina" w:hAnsi="EUAlbertina"/>
      <w:color w:val="00000A"/>
      <w:lang w:eastAsia="fr-FR"/>
    </w:rPr>
  </w:style>
  <w:style w:type="paragraph" w:customStyle="1" w:styleId="CM4">
    <w:name w:val="CM4"/>
    <w:basedOn w:val="Default"/>
    <w:next w:val="Default"/>
    <w:uiPriority w:val="99"/>
    <w:qFormat/>
    <w:rsid w:val="009A03FA"/>
    <w:pPr>
      <w:suppressAutoHyphens w:val="0"/>
    </w:pPr>
    <w:rPr>
      <w:rFonts w:ascii="EUAlbertina" w:hAnsi="EUAlbertina"/>
      <w:color w:val="00000A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80B02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A80B02"/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A80B02"/>
    <w:rPr>
      <w:lang w:eastAsia="zh-CN"/>
    </w:rPr>
  </w:style>
  <w:style w:type="character" w:customStyle="1" w:styleId="highlight">
    <w:name w:val="highlight"/>
    <w:basedOn w:val="Policepardfaut"/>
    <w:rsid w:val="00EB71C2"/>
  </w:style>
  <w:style w:type="table" w:styleId="Grilledutableau">
    <w:name w:val="Table Grid"/>
    <w:basedOn w:val="TableauNormal"/>
    <w:uiPriority w:val="39"/>
    <w:rsid w:val="009C56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A804D7"/>
    <w:rPr>
      <w:sz w:val="24"/>
      <w:szCs w:val="24"/>
      <w:lang w:val="x-none"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6E2FD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54B4A"/>
    <w:rPr>
      <w:color w:val="000080"/>
      <w:u w:val="single"/>
    </w:rPr>
  </w:style>
  <w:style w:type="paragraph" w:customStyle="1" w:styleId="sdfootnote">
    <w:name w:val="sdfootnote"/>
    <w:basedOn w:val="Normal"/>
    <w:rsid w:val="00854B4A"/>
    <w:pPr>
      <w:suppressAutoHyphens w:val="0"/>
      <w:spacing w:before="100" w:beforeAutospacing="1"/>
      <w:ind w:left="340" w:hanging="340"/>
    </w:pPr>
    <w:rPr>
      <w:sz w:val="20"/>
      <w:szCs w:val="20"/>
      <w:lang w:eastAsia="fr-FR"/>
    </w:rPr>
  </w:style>
  <w:style w:type="paragraph" w:customStyle="1" w:styleId="name-article">
    <w:name w:val="name-article"/>
    <w:basedOn w:val="Normal"/>
    <w:rsid w:val="002B3C48"/>
    <w:pPr>
      <w:suppressAutoHyphens w:val="0"/>
      <w:spacing w:before="100" w:beforeAutospacing="1" w:after="100" w:afterAutospacing="1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CFDAE-0195-465C-9F68-5C51B22E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1332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Hewlett-Packard Company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GC</dc:creator>
  <cp:keywords/>
  <dc:description/>
  <cp:lastModifiedBy>MOIZO Juliette</cp:lastModifiedBy>
  <cp:revision>8</cp:revision>
  <cp:lastPrinted>2021-12-08T13:24:00Z</cp:lastPrinted>
  <dcterms:created xsi:type="dcterms:W3CDTF">2023-07-20T10:11:00Z</dcterms:created>
  <dcterms:modified xsi:type="dcterms:W3CDTF">2023-07-21T13:59:00Z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