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C9" w:rsidRDefault="006776C9">
      <w:pPr>
        <w:jc w:val="both"/>
        <w:rPr>
          <w:rFonts w:ascii="Times New Roman" w:hAnsi="Times New Roman"/>
          <w:sz w:val="28"/>
          <w:szCs w:val="28"/>
        </w:rPr>
      </w:pPr>
    </w:p>
    <w:p w:rsidR="006776C9" w:rsidRPr="00753095" w:rsidRDefault="006776C9" w:rsidP="006776C9">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Pr>
          <w:rFonts w:ascii="Times New Roman" w:hAnsi="Times New Roman"/>
          <w:b/>
          <w:sz w:val="28"/>
          <w:szCs w:val="28"/>
        </w:rPr>
        <w:t>Participation du public – Note de présentation du projet de texte</w:t>
      </w:r>
    </w:p>
    <w:p w:rsidR="005E6C73" w:rsidRPr="00BD60D5" w:rsidRDefault="005E6C73">
      <w:pPr>
        <w:jc w:val="both"/>
        <w:rPr>
          <w:rFonts w:ascii="Times New Roman" w:hAnsi="Times New Roman"/>
          <w:sz w:val="28"/>
          <w:szCs w:val="28"/>
        </w:rPr>
      </w:pPr>
    </w:p>
    <w:p w:rsidR="0099624A" w:rsidRPr="004D6C1B" w:rsidRDefault="00753095" w:rsidP="004D6C1B">
      <w:pPr>
        <w:pStyle w:val="western"/>
        <w:pBdr>
          <w:top w:val="single" w:sz="6" w:space="1" w:color="000000"/>
          <w:left w:val="single" w:sz="6" w:space="4" w:color="000000"/>
          <w:bottom w:val="single" w:sz="6" w:space="1" w:color="000000"/>
          <w:right w:val="single" w:sz="6" w:space="4" w:color="000000"/>
        </w:pBdr>
        <w:spacing w:after="0"/>
        <w:jc w:val="center"/>
        <w:rPr>
          <w:rFonts w:ascii="Times New Roman" w:hAnsi="Times New Roman"/>
          <w:b/>
          <w:bCs/>
          <w:sz w:val="28"/>
          <w:szCs w:val="28"/>
        </w:rPr>
      </w:pPr>
      <w:r w:rsidRPr="004D6C1B">
        <w:rPr>
          <w:rFonts w:ascii="Times New Roman" w:hAnsi="Times New Roman"/>
          <w:b/>
          <w:bCs/>
          <w:sz w:val="28"/>
          <w:szCs w:val="28"/>
        </w:rPr>
        <w:t xml:space="preserve">Projet d’arrêté </w:t>
      </w:r>
      <w:r w:rsidR="004D6C1B" w:rsidRPr="004D6C1B">
        <w:rPr>
          <w:rFonts w:ascii="Times New Roman" w:hAnsi="Times New Roman"/>
          <w:b/>
          <w:bCs/>
          <w:sz w:val="28"/>
          <w:szCs w:val="28"/>
        </w:rPr>
        <w:t>portant définition, répartition et modalités de gestion du quota d’anguille européenne (</w:t>
      </w:r>
      <w:r w:rsidR="004D6C1B" w:rsidRPr="004D6C1B">
        <w:rPr>
          <w:rFonts w:ascii="Times New Roman" w:hAnsi="Times New Roman"/>
          <w:b/>
          <w:bCs/>
          <w:i/>
          <w:iCs/>
          <w:sz w:val="28"/>
          <w:szCs w:val="28"/>
        </w:rPr>
        <w:t>Anguilla anguilla</w:t>
      </w:r>
      <w:r w:rsidR="004D6C1B" w:rsidRPr="004D6C1B">
        <w:rPr>
          <w:rFonts w:ascii="Times New Roman" w:hAnsi="Times New Roman"/>
          <w:b/>
          <w:bCs/>
          <w:sz w:val="28"/>
          <w:szCs w:val="28"/>
        </w:rPr>
        <w:t xml:space="preserve">) de moins de </w:t>
      </w:r>
      <w:smartTag w:uri="urn:schemas-microsoft-com:office:smarttags" w:element="metricconverter">
        <w:smartTagPr>
          <w:attr w:name="ProductID" w:val="12 centim￨tres"/>
        </w:smartTagPr>
        <w:r w:rsidR="004D6C1B" w:rsidRPr="004D6C1B">
          <w:rPr>
            <w:rFonts w:ascii="Times New Roman" w:hAnsi="Times New Roman"/>
            <w:b/>
            <w:bCs/>
            <w:sz w:val="28"/>
            <w:szCs w:val="28"/>
          </w:rPr>
          <w:t>12 centimètres</w:t>
        </w:r>
      </w:smartTag>
      <w:r w:rsidR="004D6C1B" w:rsidRPr="004D6C1B">
        <w:rPr>
          <w:rFonts w:ascii="Times New Roman" w:hAnsi="Times New Roman"/>
          <w:b/>
          <w:bCs/>
          <w:sz w:val="28"/>
          <w:szCs w:val="28"/>
        </w:rPr>
        <w:t xml:space="preserve"> pour l</w:t>
      </w:r>
      <w:r w:rsidR="00963231">
        <w:rPr>
          <w:rFonts w:ascii="Times New Roman" w:hAnsi="Times New Roman"/>
          <w:b/>
          <w:bCs/>
          <w:sz w:val="28"/>
          <w:szCs w:val="28"/>
        </w:rPr>
        <w:t>a campagne de pêche 2014-2015</w:t>
      </w:r>
    </w:p>
    <w:p w:rsidR="00510E95" w:rsidRPr="00BD60D5" w:rsidRDefault="00510E95" w:rsidP="00F94C66">
      <w:pPr>
        <w:jc w:val="both"/>
        <w:rPr>
          <w:rFonts w:ascii="Times New Roman" w:hAnsi="Times New Roman"/>
          <w:sz w:val="28"/>
          <w:szCs w:val="28"/>
        </w:rPr>
      </w:pPr>
    </w:p>
    <w:p w:rsidR="008674F5" w:rsidRDefault="008674F5" w:rsidP="00547FD8">
      <w:pPr>
        <w:jc w:val="both"/>
        <w:rPr>
          <w:b/>
          <w:bCs/>
          <w:sz w:val="22"/>
          <w:szCs w:val="22"/>
        </w:rPr>
      </w:pPr>
    </w:p>
    <w:p w:rsidR="00055E0A" w:rsidRPr="00055E0A" w:rsidRDefault="00055E0A" w:rsidP="00FD5A20">
      <w:pPr>
        <w:pStyle w:val="NormalWeb"/>
        <w:spacing w:before="0" w:after="0"/>
        <w:jc w:val="both"/>
        <w:rPr>
          <w:rFonts w:eastAsia="Calibri"/>
          <w:b/>
          <w:sz w:val="28"/>
          <w:szCs w:val="28"/>
        </w:rPr>
      </w:pPr>
      <w:r w:rsidRPr="00055E0A">
        <w:rPr>
          <w:rFonts w:eastAsia="Calibri"/>
          <w:b/>
          <w:sz w:val="28"/>
          <w:szCs w:val="28"/>
        </w:rPr>
        <w:t>Contexte et objectifs du projet de texte :</w:t>
      </w:r>
    </w:p>
    <w:p w:rsidR="004D6C1B" w:rsidRDefault="004D6C1B" w:rsidP="00FD5A20">
      <w:pPr>
        <w:pStyle w:val="western"/>
        <w:spacing w:after="0"/>
        <w:jc w:val="both"/>
        <w:rPr>
          <w:rFonts w:ascii="Arial" w:hAnsi="Arial" w:cs="Arial"/>
          <w:b/>
          <w:bCs/>
          <w:u w:val="single"/>
        </w:rPr>
      </w:pPr>
    </w:p>
    <w:p w:rsidR="00D80119" w:rsidRPr="00D80119" w:rsidRDefault="00D80119" w:rsidP="00D80119">
      <w:pPr>
        <w:pStyle w:val="NormalWeb"/>
        <w:spacing w:before="0" w:beforeAutospacing="0" w:after="0"/>
        <w:jc w:val="both"/>
      </w:pPr>
      <w:r w:rsidRPr="00D80119">
        <w:rPr>
          <w:b/>
          <w:bCs/>
          <w:u w:val="single"/>
        </w:rPr>
        <w:t>La gestion de l’anguille</w:t>
      </w:r>
    </w:p>
    <w:p w:rsidR="00D80119" w:rsidRPr="00D80119" w:rsidRDefault="00D80119" w:rsidP="00D80119">
      <w:pPr>
        <w:pStyle w:val="NormalWeb"/>
        <w:spacing w:before="0" w:beforeAutospacing="0" w:after="0"/>
        <w:jc w:val="both"/>
      </w:pPr>
    </w:p>
    <w:p w:rsidR="00D80119" w:rsidRPr="00D80119" w:rsidRDefault="00D80119" w:rsidP="00D80119">
      <w:pPr>
        <w:pStyle w:val="NormalWeb"/>
        <w:spacing w:before="0" w:beforeAutospacing="0" w:after="0"/>
        <w:jc w:val="both"/>
      </w:pPr>
      <w:r w:rsidRPr="00D80119">
        <w:t>L’anguille vit alternativement en eau douce et en eau de mer et doit traverser l’océan Atlantique pour se reproduire en mer des Sargasses. Les larves prennent ensuite le chemin inverse. Le cycle de vie de l’anguille est composé de trois stades :</w:t>
      </w:r>
    </w:p>
    <w:p w:rsidR="00D80119" w:rsidRPr="00D80119" w:rsidRDefault="00D80119" w:rsidP="00D80119">
      <w:pPr>
        <w:pStyle w:val="NormalWeb"/>
        <w:numPr>
          <w:ilvl w:val="0"/>
          <w:numId w:val="20"/>
        </w:numPr>
        <w:spacing w:before="0" w:beforeAutospacing="0" w:after="0"/>
        <w:jc w:val="both"/>
      </w:pPr>
      <w:r w:rsidRPr="00D80119">
        <w:t xml:space="preserve">la civelle (anguille de moins de </w:t>
      </w:r>
      <w:smartTag w:uri="urn:schemas-microsoft-com:office:smarttags" w:element="metricconverter">
        <w:smartTagPr>
          <w:attr w:name="ProductID" w:val="12 cm"/>
        </w:smartTagPr>
        <w:r w:rsidRPr="00D80119">
          <w:t>12 cm</w:t>
        </w:r>
      </w:smartTag>
      <w:r w:rsidRPr="00D80119">
        <w:t>), stade juvénile de l’anguille,</w:t>
      </w:r>
    </w:p>
    <w:p w:rsidR="00D80119" w:rsidRPr="00D80119" w:rsidRDefault="00D80119" w:rsidP="00D80119">
      <w:pPr>
        <w:pStyle w:val="NormalWeb"/>
        <w:numPr>
          <w:ilvl w:val="0"/>
          <w:numId w:val="20"/>
        </w:numPr>
        <w:spacing w:before="0" w:beforeAutospacing="0" w:after="0"/>
        <w:jc w:val="both"/>
      </w:pPr>
      <w:r w:rsidRPr="00D80119">
        <w:t>l’anguille jaune, anguille colonisant le domaine continental et sédentaire pendant 10 à 15 ans,</w:t>
      </w:r>
    </w:p>
    <w:p w:rsidR="00D80119" w:rsidRPr="00D80119" w:rsidRDefault="00D80119" w:rsidP="00D80119">
      <w:pPr>
        <w:pStyle w:val="NormalWeb"/>
        <w:numPr>
          <w:ilvl w:val="0"/>
          <w:numId w:val="20"/>
        </w:numPr>
        <w:spacing w:before="0" w:beforeAutospacing="0" w:after="0"/>
        <w:jc w:val="both"/>
      </w:pPr>
      <w:r w:rsidRPr="00D80119">
        <w:t>l’anguille argentée, stade reproducteur retournant en mer des Sargasses.</w:t>
      </w:r>
    </w:p>
    <w:p w:rsidR="00D80119" w:rsidRPr="00D80119" w:rsidRDefault="00D80119" w:rsidP="00D80119">
      <w:pPr>
        <w:pStyle w:val="NormalWeb"/>
        <w:spacing w:before="0" w:beforeAutospacing="0" w:after="0"/>
        <w:jc w:val="both"/>
      </w:pPr>
    </w:p>
    <w:p w:rsidR="00D80119" w:rsidRPr="00D80119" w:rsidRDefault="00D80119" w:rsidP="00D80119">
      <w:pPr>
        <w:pStyle w:val="NormalWeb"/>
        <w:spacing w:before="0" w:beforeAutospacing="0" w:after="0"/>
        <w:jc w:val="both"/>
      </w:pPr>
      <w:r w:rsidRPr="00D80119">
        <w:t xml:space="preserve">Depuis les années 80, on assiste à un déclin inquiétant du stock d’anguilles européennes. Les raisons en sont nombreuses. Les principaux responsables de la diminution de la population d’anguilles sont : </w:t>
      </w:r>
    </w:p>
    <w:p w:rsidR="00D80119" w:rsidRPr="00D80119" w:rsidRDefault="00D80119" w:rsidP="00D80119">
      <w:pPr>
        <w:pStyle w:val="NormalWeb"/>
        <w:numPr>
          <w:ilvl w:val="0"/>
          <w:numId w:val="21"/>
        </w:numPr>
        <w:spacing w:before="0" w:beforeAutospacing="0" w:after="0"/>
        <w:jc w:val="both"/>
      </w:pPr>
      <w:r w:rsidRPr="00D80119">
        <w:t>la circulation entravée des anguilles par les barrages hydroélectriques ou les seuils non pourvus de passe à poissons qui nuisent à sa survie et contraignent ses déplacements ;</w:t>
      </w:r>
    </w:p>
    <w:p w:rsidR="00D80119" w:rsidRPr="00D80119" w:rsidRDefault="00D80119" w:rsidP="00D80119">
      <w:pPr>
        <w:pStyle w:val="NormalWeb"/>
        <w:numPr>
          <w:ilvl w:val="0"/>
          <w:numId w:val="21"/>
        </w:numPr>
        <w:spacing w:before="0" w:beforeAutospacing="0" w:after="0"/>
        <w:jc w:val="both"/>
      </w:pPr>
      <w:r w:rsidRPr="00D80119">
        <w:t xml:space="preserve">la dégradation de leurs habitats consécutive à la canalisation des cours d’eau, au drainage des zones humides, à la pollution des eaux et des sédiments par des agents contaminants et des produits phytosanitaires ; </w:t>
      </w:r>
    </w:p>
    <w:p w:rsidR="00D80119" w:rsidRPr="00D80119" w:rsidRDefault="00D80119" w:rsidP="00D80119">
      <w:pPr>
        <w:pStyle w:val="NormalWeb"/>
        <w:numPr>
          <w:ilvl w:val="0"/>
          <w:numId w:val="21"/>
        </w:numPr>
        <w:spacing w:before="0" w:beforeAutospacing="0" w:after="0"/>
        <w:jc w:val="both"/>
      </w:pPr>
      <w:r w:rsidRPr="00D80119">
        <w:t xml:space="preserve">la pêche et le braconnage ; </w:t>
      </w:r>
    </w:p>
    <w:p w:rsidR="00D80119" w:rsidRPr="00D80119" w:rsidRDefault="00D80119" w:rsidP="00D80119">
      <w:pPr>
        <w:pStyle w:val="NormalWeb"/>
        <w:numPr>
          <w:ilvl w:val="0"/>
          <w:numId w:val="21"/>
        </w:numPr>
        <w:spacing w:before="0" w:beforeAutospacing="0" w:after="0"/>
        <w:jc w:val="both"/>
      </w:pPr>
      <w:r w:rsidRPr="00D80119">
        <w:t>et aussi, le parasitisme.</w:t>
      </w:r>
    </w:p>
    <w:p w:rsidR="00D80119" w:rsidRPr="00D80119" w:rsidRDefault="00D80119" w:rsidP="00D80119">
      <w:pPr>
        <w:pStyle w:val="NormalWeb"/>
        <w:spacing w:before="0" w:beforeAutospacing="0" w:after="0"/>
        <w:jc w:val="both"/>
      </w:pPr>
      <w:r w:rsidRPr="00D80119">
        <w:t xml:space="preserve">Le règlement européen du 18 septembre 2007 institue des mesures de reconstitution du stock d’anguilles européennes (dit règlement « anguille ») afin de favoriser le retour des géniteurs vers leur lieu de reproduction. </w:t>
      </w:r>
    </w:p>
    <w:p w:rsidR="00D80119" w:rsidRPr="00D80119" w:rsidRDefault="00D80119" w:rsidP="00D80119">
      <w:pPr>
        <w:pStyle w:val="NormalWeb"/>
        <w:spacing w:before="0" w:beforeAutospacing="0" w:after="0"/>
        <w:jc w:val="both"/>
      </w:pPr>
    </w:p>
    <w:p w:rsidR="00D80119" w:rsidRPr="00D80119" w:rsidRDefault="00D80119" w:rsidP="00D80119">
      <w:pPr>
        <w:pStyle w:val="NormalWeb"/>
        <w:spacing w:before="0" w:beforeAutospacing="0" w:after="0"/>
        <w:jc w:val="both"/>
      </w:pPr>
      <w:r w:rsidRPr="00D80119">
        <w:t>Le règlement prévoit sur le volet pêche notamment :</w:t>
      </w:r>
    </w:p>
    <w:p w:rsidR="00D80119" w:rsidRPr="00D80119" w:rsidRDefault="00D80119" w:rsidP="00D80119">
      <w:pPr>
        <w:pStyle w:val="NormalWeb"/>
        <w:numPr>
          <w:ilvl w:val="0"/>
          <w:numId w:val="22"/>
        </w:numPr>
        <w:spacing w:before="0" w:beforeAutospacing="0" w:after="0"/>
        <w:jc w:val="both"/>
      </w:pPr>
      <w:r w:rsidRPr="00D80119">
        <w:t>de mettre en œuvre des mesures de réduction de la mortalité par pêche,</w:t>
      </w:r>
    </w:p>
    <w:p w:rsidR="00D80119" w:rsidRPr="00D80119" w:rsidRDefault="00D80119" w:rsidP="00D80119">
      <w:pPr>
        <w:pStyle w:val="NormalWeb"/>
        <w:numPr>
          <w:ilvl w:val="0"/>
          <w:numId w:val="22"/>
        </w:numPr>
        <w:spacing w:before="0" w:beforeAutospacing="0" w:after="0"/>
        <w:jc w:val="both"/>
      </w:pPr>
      <w:r w:rsidRPr="00D80119">
        <w:t>de mettre en place un système de déclarations des captures d’anguille,</w:t>
      </w:r>
    </w:p>
    <w:p w:rsidR="00D80119" w:rsidRPr="00D80119" w:rsidRDefault="00D80119" w:rsidP="00D80119">
      <w:pPr>
        <w:pStyle w:val="NormalWeb"/>
        <w:numPr>
          <w:ilvl w:val="0"/>
          <w:numId w:val="22"/>
        </w:numPr>
        <w:spacing w:before="0" w:beforeAutospacing="0" w:after="0"/>
        <w:jc w:val="both"/>
      </w:pPr>
      <w:r w:rsidRPr="00D80119">
        <w:t>d’assurer la provenance légale des captures exportées et importées sur leur territoire,</w:t>
      </w:r>
    </w:p>
    <w:p w:rsidR="00D80119" w:rsidRPr="00D80119" w:rsidRDefault="00D80119" w:rsidP="00D80119">
      <w:pPr>
        <w:pStyle w:val="NormalWeb"/>
        <w:numPr>
          <w:ilvl w:val="0"/>
          <w:numId w:val="22"/>
        </w:numPr>
        <w:spacing w:before="0" w:beforeAutospacing="0" w:after="0"/>
        <w:jc w:val="both"/>
      </w:pPr>
      <w:r w:rsidRPr="00D80119">
        <w:t xml:space="preserve">que les Etats membres qui autorisent la pêche de l’anguille de moins de </w:t>
      </w:r>
      <w:smartTag w:uri="urn:schemas-microsoft-com:office:smarttags" w:element="metricconverter">
        <w:smartTagPr>
          <w:attr w:name="ProductID" w:val="12 centim￨tres"/>
        </w:smartTagPr>
        <w:r w:rsidRPr="00D80119">
          <w:t>12 centimètres</w:t>
        </w:r>
      </w:smartTag>
      <w:r w:rsidRPr="00D80119">
        <w:t xml:space="preserve"> réservent 35 %, puis à terme 60 %, des anguilles de moins de </w:t>
      </w:r>
      <w:smartTag w:uri="urn:schemas-microsoft-com:office:smarttags" w:element="metricconverter">
        <w:smartTagPr>
          <w:attr w:name="ProductID" w:val="12 cm"/>
        </w:smartTagPr>
        <w:r w:rsidRPr="00D80119">
          <w:t>12 cm</w:t>
        </w:r>
      </w:smartTag>
      <w:r w:rsidRPr="00D80119">
        <w:t xml:space="preserve"> pour des opérations de repeuplement dans les différents Etats membres.</w:t>
      </w:r>
    </w:p>
    <w:p w:rsidR="00D80119" w:rsidRPr="00D80119" w:rsidRDefault="00D80119" w:rsidP="00D80119">
      <w:pPr>
        <w:pStyle w:val="NormalWeb"/>
        <w:spacing w:before="0" w:beforeAutospacing="0" w:after="0"/>
        <w:jc w:val="both"/>
      </w:pPr>
    </w:p>
    <w:p w:rsidR="00D80119" w:rsidRDefault="00D80119" w:rsidP="00D80119">
      <w:pPr>
        <w:pStyle w:val="NormalWeb"/>
        <w:spacing w:before="0" w:beforeAutospacing="0" w:after="0"/>
        <w:jc w:val="both"/>
      </w:pPr>
    </w:p>
    <w:p w:rsidR="00D80119" w:rsidRDefault="00D80119" w:rsidP="00D80119">
      <w:pPr>
        <w:pStyle w:val="NormalWeb"/>
        <w:spacing w:before="0" w:beforeAutospacing="0" w:after="0"/>
        <w:jc w:val="both"/>
      </w:pPr>
    </w:p>
    <w:p w:rsidR="00D80119" w:rsidRDefault="00D80119" w:rsidP="00D80119">
      <w:pPr>
        <w:pStyle w:val="NormalWeb"/>
        <w:spacing w:before="0" w:beforeAutospacing="0" w:after="0"/>
        <w:jc w:val="both"/>
      </w:pPr>
    </w:p>
    <w:p w:rsidR="00D80119" w:rsidRDefault="00D80119" w:rsidP="00D80119">
      <w:pPr>
        <w:pStyle w:val="NormalWeb"/>
        <w:spacing w:before="0" w:beforeAutospacing="0" w:after="0"/>
        <w:jc w:val="both"/>
      </w:pPr>
    </w:p>
    <w:p w:rsidR="00D80119" w:rsidRDefault="00D80119" w:rsidP="00D80119">
      <w:pPr>
        <w:pStyle w:val="NormalWeb"/>
        <w:spacing w:before="0" w:beforeAutospacing="0" w:after="0"/>
        <w:jc w:val="both"/>
      </w:pPr>
    </w:p>
    <w:p w:rsidR="00D80119" w:rsidRDefault="00D80119" w:rsidP="00D80119">
      <w:pPr>
        <w:pStyle w:val="NormalWeb"/>
        <w:spacing w:before="0" w:beforeAutospacing="0" w:after="0"/>
        <w:jc w:val="both"/>
      </w:pPr>
    </w:p>
    <w:p w:rsidR="00D80119" w:rsidRPr="00D80119" w:rsidRDefault="00D80119" w:rsidP="00D80119">
      <w:pPr>
        <w:pStyle w:val="NormalWeb"/>
        <w:spacing w:before="0" w:beforeAutospacing="0" w:after="0"/>
        <w:jc w:val="both"/>
      </w:pPr>
      <w:r w:rsidRPr="00D80119">
        <w:t xml:space="preserve">Afin de répondre aux objectifs fixés par le règlement européen, les autorités françaises se sont engagées sur le long terme à stopper l’effondrement du stock via des actions ambitieuses et progressives. Un plan national d’action a été élaboré par </w:t>
      </w:r>
      <w:smartTag w:uri="urn:schemas-microsoft-com:office:smarttags" w:element="PersonName">
        <w:smartTagPr>
          <w:attr w:name="ProductID" w:val="la DEB"/>
        </w:smartTagPr>
        <w:r w:rsidRPr="00D80119">
          <w:t>la DEB</w:t>
        </w:r>
      </w:smartTag>
      <w:r w:rsidRPr="00D80119">
        <w:t xml:space="preserve"> (direction de l’eau et de la biodiversité) et </w:t>
      </w:r>
      <w:smartTag w:uri="urn:schemas-microsoft-com:office:smarttags" w:element="PersonName">
        <w:smartTagPr>
          <w:attr w:name="ProductID" w:val="la DPMA"/>
        </w:smartTagPr>
        <w:r w:rsidRPr="00D80119">
          <w:t>la DPMA</w:t>
        </w:r>
      </w:smartTag>
      <w:r w:rsidRPr="00D80119">
        <w:t xml:space="preserve"> (direction des pêches maritimes et de l’aquaculture) et approuvé par </w:t>
      </w:r>
      <w:smartTag w:uri="urn:schemas-microsoft-com:office:smarttags" w:element="PersonName">
        <w:smartTagPr>
          <w:attr w:name="ProductID" w:val="la Commission"/>
        </w:smartTagPr>
        <w:r w:rsidRPr="00D80119">
          <w:t>la Commission</w:t>
        </w:r>
      </w:smartTag>
      <w:r w:rsidRPr="00D80119">
        <w:t xml:space="preserve"> européenne le 15 février 2010.</w:t>
      </w:r>
    </w:p>
    <w:p w:rsidR="00D80119" w:rsidRPr="00D80119" w:rsidRDefault="00D80119" w:rsidP="00D80119">
      <w:pPr>
        <w:pStyle w:val="NormalWeb"/>
        <w:spacing w:before="0" w:beforeAutospacing="0" w:after="0"/>
        <w:jc w:val="both"/>
      </w:pPr>
    </w:p>
    <w:p w:rsidR="00D80119" w:rsidRPr="00D80119" w:rsidRDefault="00D80119" w:rsidP="00D80119">
      <w:pPr>
        <w:pStyle w:val="NormalWeb"/>
        <w:spacing w:before="0" w:beforeAutospacing="0" w:after="0"/>
        <w:jc w:val="both"/>
      </w:pPr>
      <w:r w:rsidRPr="00D80119">
        <w:rPr>
          <w:rFonts w:eastAsia="Arial Unicode MS"/>
        </w:rPr>
        <w:t xml:space="preserve">Le plan national de gestion de l’anguille fixe comme objectif une réduction de la mortalité par pêche de l’anguille de moins de </w:t>
      </w:r>
      <w:smartTag w:uri="urn:schemas-microsoft-com:office:smarttags" w:element="metricconverter">
        <w:smartTagPr>
          <w:attr w:name="ProductID" w:val="12 cm"/>
        </w:smartTagPr>
        <w:r w:rsidRPr="00D80119">
          <w:rPr>
            <w:rFonts w:eastAsia="Arial Unicode MS"/>
          </w:rPr>
          <w:t>12 cm</w:t>
        </w:r>
      </w:smartTag>
      <w:r w:rsidRPr="00D80119">
        <w:rPr>
          <w:rFonts w:eastAsia="Arial Unicode MS"/>
        </w:rPr>
        <w:t xml:space="preserve"> de 60 % d’ici 2015. Il prévoit l’instauration de quotas de pêche et la limitation de la période de pêche à 5 mois.</w:t>
      </w:r>
    </w:p>
    <w:p w:rsidR="00D80119" w:rsidRPr="00D80119" w:rsidRDefault="00D80119" w:rsidP="00D80119">
      <w:pPr>
        <w:pStyle w:val="NormalWeb"/>
        <w:spacing w:before="0" w:beforeAutospacing="0" w:after="0"/>
        <w:jc w:val="both"/>
      </w:pPr>
    </w:p>
    <w:p w:rsidR="00D80119" w:rsidRDefault="00D80119" w:rsidP="00D80119">
      <w:pPr>
        <w:pStyle w:val="NormalWeb"/>
        <w:spacing w:before="0" w:beforeAutospacing="0" w:after="0"/>
        <w:jc w:val="both"/>
        <w:rPr>
          <w:rFonts w:eastAsia="Arial Unicode MS"/>
          <w:b/>
          <w:bCs/>
          <w:u w:val="single"/>
        </w:rPr>
      </w:pPr>
    </w:p>
    <w:p w:rsidR="00D80119" w:rsidRPr="00D80119" w:rsidRDefault="00D80119" w:rsidP="00D80119">
      <w:pPr>
        <w:pStyle w:val="NormalWeb"/>
        <w:spacing w:before="0" w:beforeAutospacing="0" w:after="0"/>
        <w:jc w:val="both"/>
      </w:pPr>
      <w:r w:rsidRPr="00D80119">
        <w:rPr>
          <w:rFonts w:eastAsia="Arial Unicode MS"/>
          <w:b/>
          <w:bCs/>
          <w:u w:val="single"/>
        </w:rPr>
        <w:t xml:space="preserve">Le quota de pêche pour l’anguille de moins de </w:t>
      </w:r>
      <w:smartTag w:uri="urn:schemas-microsoft-com:office:smarttags" w:element="metricconverter">
        <w:smartTagPr>
          <w:attr w:name="ProductID" w:val="12 centim￨tres"/>
        </w:smartTagPr>
        <w:r w:rsidRPr="00D80119">
          <w:rPr>
            <w:rFonts w:eastAsia="Arial Unicode MS"/>
            <w:b/>
            <w:bCs/>
            <w:u w:val="single"/>
          </w:rPr>
          <w:t>12 centimètres</w:t>
        </w:r>
      </w:smartTag>
      <w:r w:rsidRPr="00D80119">
        <w:rPr>
          <w:rFonts w:eastAsia="Arial Unicode MS"/>
          <w:b/>
          <w:bCs/>
          <w:u w:val="single"/>
        </w:rPr>
        <w:t xml:space="preserve"> pour la saison 201</w:t>
      </w:r>
      <w:r w:rsidR="006055E8">
        <w:rPr>
          <w:rFonts w:eastAsia="Arial Unicode MS"/>
          <w:b/>
          <w:bCs/>
          <w:u w:val="single"/>
        </w:rPr>
        <w:t>4-2015</w:t>
      </w:r>
    </w:p>
    <w:p w:rsidR="00D80119" w:rsidRPr="00D80119" w:rsidRDefault="00D80119" w:rsidP="00D80119">
      <w:pPr>
        <w:pStyle w:val="NormalWeb"/>
        <w:spacing w:before="0" w:beforeAutospacing="0" w:after="0"/>
        <w:jc w:val="both"/>
      </w:pPr>
    </w:p>
    <w:p w:rsidR="00D80119" w:rsidRPr="00D80119" w:rsidRDefault="00D80119" w:rsidP="00D80119">
      <w:pPr>
        <w:pStyle w:val="western"/>
        <w:spacing w:before="0" w:beforeAutospacing="0" w:after="0"/>
        <w:jc w:val="both"/>
        <w:rPr>
          <w:rFonts w:ascii="Times New Roman" w:hAnsi="Times New Roman"/>
        </w:rPr>
      </w:pPr>
      <w:r w:rsidRPr="00D80119">
        <w:rPr>
          <w:rFonts w:ascii="Times New Roman" w:hAnsi="Times New Roman"/>
        </w:rPr>
        <w:t xml:space="preserve">L’anguille de moins de </w:t>
      </w:r>
      <w:smartTag w:uri="urn:schemas-microsoft-com:office:smarttags" w:element="metricconverter">
        <w:smartTagPr>
          <w:attr w:name="ProductID" w:val="12 centim￨tres"/>
        </w:smartTagPr>
        <w:r w:rsidRPr="00D80119">
          <w:rPr>
            <w:rFonts w:ascii="Times New Roman" w:hAnsi="Times New Roman"/>
          </w:rPr>
          <w:t>12 centimètres</w:t>
        </w:r>
      </w:smartTag>
      <w:r w:rsidRPr="00D80119">
        <w:rPr>
          <w:rFonts w:ascii="Times New Roman" w:hAnsi="Times New Roman"/>
        </w:rPr>
        <w:t xml:space="preserve"> est pêchée par les pêcheurs professionnels sur le domaine fluvial et sur le domaine maritime. </w:t>
      </w:r>
    </w:p>
    <w:p w:rsidR="00D80119" w:rsidRPr="00D80119" w:rsidRDefault="00D80119" w:rsidP="00D80119">
      <w:pPr>
        <w:pStyle w:val="western"/>
        <w:spacing w:before="0" w:beforeAutospacing="0" w:after="0"/>
        <w:jc w:val="both"/>
        <w:rPr>
          <w:rFonts w:ascii="Times New Roman" w:hAnsi="Times New Roman"/>
        </w:rPr>
      </w:pPr>
    </w:p>
    <w:p w:rsidR="00D80119" w:rsidRPr="00D80119" w:rsidRDefault="00D80119" w:rsidP="00D80119">
      <w:pPr>
        <w:pStyle w:val="western"/>
        <w:spacing w:before="0" w:beforeAutospacing="0" w:after="0"/>
        <w:jc w:val="both"/>
        <w:rPr>
          <w:rFonts w:ascii="Times New Roman" w:hAnsi="Times New Roman"/>
        </w:rPr>
      </w:pPr>
      <w:r w:rsidRPr="00D80119">
        <w:rPr>
          <w:rFonts w:ascii="Times New Roman" w:hAnsi="Times New Roman"/>
        </w:rPr>
        <w:t xml:space="preserve">Le quota de pêche de l’anguille de moins de </w:t>
      </w:r>
      <w:smartTag w:uri="urn:schemas-microsoft-com:office:smarttags" w:element="metricconverter">
        <w:smartTagPr>
          <w:attr w:name="ProductID" w:val="12 centim￨tres"/>
        </w:smartTagPr>
        <w:r w:rsidRPr="00D80119">
          <w:rPr>
            <w:rFonts w:ascii="Times New Roman" w:hAnsi="Times New Roman"/>
          </w:rPr>
          <w:t>12 centimètres</w:t>
        </w:r>
      </w:smartTag>
      <w:r w:rsidRPr="00D80119">
        <w:rPr>
          <w:rFonts w:ascii="Times New Roman" w:hAnsi="Times New Roman"/>
        </w:rPr>
        <w:t xml:space="preserve"> est déterminé par le ministre chargé des pêches maritimes et </w:t>
      </w:r>
      <w:r w:rsidR="0066071A">
        <w:rPr>
          <w:rFonts w:ascii="Times New Roman" w:hAnsi="Times New Roman"/>
        </w:rPr>
        <w:t>le ministre chargé de la pêche en eau douce</w:t>
      </w:r>
      <w:r w:rsidRPr="00D80119">
        <w:rPr>
          <w:rFonts w:ascii="Times New Roman" w:hAnsi="Times New Roman"/>
        </w:rPr>
        <w:t xml:space="preserve"> au regard :</w:t>
      </w:r>
    </w:p>
    <w:p w:rsidR="00D80119" w:rsidRPr="00D80119" w:rsidRDefault="00D80119" w:rsidP="00D80119">
      <w:pPr>
        <w:pStyle w:val="western"/>
        <w:numPr>
          <w:ilvl w:val="0"/>
          <w:numId w:val="23"/>
        </w:numPr>
        <w:spacing w:before="0" w:beforeAutospacing="0" w:after="0"/>
        <w:jc w:val="both"/>
        <w:rPr>
          <w:rFonts w:ascii="Times New Roman" w:hAnsi="Times New Roman"/>
        </w:rPr>
      </w:pPr>
      <w:r w:rsidRPr="00D80119">
        <w:rPr>
          <w:rFonts w:ascii="Times New Roman" w:hAnsi="Times New Roman"/>
        </w:rPr>
        <w:t>de l’avis d’un comité scientifique qui établit ses préconisations au regard de l’état du stock d’anguilles et des objectifs prévus par le plan de gestion de l’anguille</w:t>
      </w:r>
    </w:p>
    <w:p w:rsidR="00D80119" w:rsidRPr="00D80119" w:rsidRDefault="00D80119" w:rsidP="00D80119">
      <w:pPr>
        <w:pStyle w:val="western"/>
        <w:numPr>
          <w:ilvl w:val="0"/>
          <w:numId w:val="23"/>
        </w:numPr>
        <w:spacing w:before="0" w:beforeAutospacing="0" w:after="0"/>
        <w:jc w:val="both"/>
        <w:rPr>
          <w:rFonts w:ascii="Times New Roman" w:hAnsi="Times New Roman"/>
        </w:rPr>
      </w:pPr>
      <w:r w:rsidRPr="00D80119">
        <w:rPr>
          <w:rFonts w:ascii="Times New Roman" w:hAnsi="Times New Roman"/>
        </w:rPr>
        <w:t>de l’avis d’un comité socio-économique auquel participent les pêcheurs professionnels et qui se prononce sur les conséquences sociales et économiques des mesures de gestion envisagées</w:t>
      </w:r>
    </w:p>
    <w:p w:rsidR="00D80119" w:rsidRPr="00D80119" w:rsidRDefault="00D80119" w:rsidP="00D80119">
      <w:pPr>
        <w:pStyle w:val="western"/>
        <w:spacing w:before="0" w:beforeAutospacing="0" w:after="0"/>
        <w:jc w:val="both"/>
        <w:rPr>
          <w:rFonts w:ascii="Times New Roman" w:hAnsi="Times New Roman"/>
        </w:rPr>
      </w:pPr>
    </w:p>
    <w:p w:rsidR="00D80119" w:rsidRPr="00D80119" w:rsidRDefault="00D80119" w:rsidP="00D80119">
      <w:pPr>
        <w:pStyle w:val="western"/>
        <w:spacing w:before="0" w:beforeAutospacing="0" w:after="0"/>
        <w:jc w:val="both"/>
        <w:rPr>
          <w:rFonts w:ascii="Times New Roman" w:hAnsi="Times New Roman"/>
        </w:rPr>
      </w:pPr>
      <w:r w:rsidRPr="00D80119">
        <w:rPr>
          <w:rFonts w:ascii="Times New Roman" w:hAnsi="Times New Roman"/>
        </w:rPr>
        <w:t xml:space="preserve">Le quota de pêche est réparti entre les pêcheurs professionnels maritimes et les </w:t>
      </w:r>
      <w:r w:rsidR="0066071A">
        <w:rPr>
          <w:rFonts w:ascii="Times New Roman" w:hAnsi="Times New Roman"/>
        </w:rPr>
        <w:t>pêcheurs professionnels en eau douce</w:t>
      </w:r>
      <w:r w:rsidRPr="00D80119">
        <w:rPr>
          <w:rFonts w:ascii="Times New Roman" w:hAnsi="Times New Roman"/>
        </w:rPr>
        <w:t xml:space="preserve">. Le détail de la répartition de ce quota au sein de ces deux catégories de pêcheurs et de ses modalités de gestion est prévu par deux arrêtés ministériels : l’un est relatif au quota de pêche attribué aux pêcheurs maritimes, l’autre est relatif au quota de pêche attribué aux pêcheurs fluviaux. </w:t>
      </w:r>
    </w:p>
    <w:p w:rsidR="00D80119" w:rsidRPr="00D80119" w:rsidRDefault="00D80119" w:rsidP="00D80119">
      <w:pPr>
        <w:pStyle w:val="western"/>
        <w:spacing w:before="0" w:beforeAutospacing="0" w:after="0"/>
        <w:jc w:val="both"/>
        <w:rPr>
          <w:rFonts w:ascii="Times New Roman" w:hAnsi="Times New Roman"/>
        </w:rPr>
      </w:pPr>
    </w:p>
    <w:p w:rsidR="00D80119" w:rsidRDefault="00D80119" w:rsidP="00D80119">
      <w:pPr>
        <w:pStyle w:val="western"/>
        <w:spacing w:before="0" w:beforeAutospacing="0" w:after="0"/>
        <w:jc w:val="both"/>
        <w:rPr>
          <w:rFonts w:ascii="Times New Roman" w:hAnsi="Times New Roman"/>
        </w:rPr>
      </w:pPr>
      <w:r w:rsidRPr="00D80119">
        <w:rPr>
          <w:rFonts w:ascii="Times New Roman" w:hAnsi="Times New Roman"/>
        </w:rPr>
        <w:t>P</w:t>
      </w:r>
      <w:r w:rsidR="00963231">
        <w:rPr>
          <w:rFonts w:ascii="Times New Roman" w:hAnsi="Times New Roman"/>
        </w:rPr>
        <w:t>our la saison de pêche 2014-2015, il est envisagé de fixer le quota de pêch</w:t>
      </w:r>
      <w:r w:rsidR="006055E8">
        <w:rPr>
          <w:rFonts w:ascii="Times New Roman" w:hAnsi="Times New Roman"/>
        </w:rPr>
        <w:t>e d’anguilles de moins de 12 cm</w:t>
      </w:r>
      <w:r w:rsidR="00963231">
        <w:rPr>
          <w:rFonts w:ascii="Times New Roman" w:hAnsi="Times New Roman"/>
        </w:rPr>
        <w:t xml:space="preserve"> destinées à la consommation à 30 tonnes ; soit une augmentation par rapport au quota destiné à la consommation fixé lors de la campagne 2013-2014 (17 tonnes).  Cette augmentation est proposée au regard de l’avis du comité scientifique qui confirme l’augmentation du recrutement en civelle et l’atteinte des objectifs de réduction de la mortalité par pêche fixés par le</w:t>
      </w:r>
      <w:r w:rsidR="00AD229F">
        <w:rPr>
          <w:rFonts w:ascii="Times New Roman" w:hAnsi="Times New Roman"/>
        </w:rPr>
        <w:t xml:space="preserve"> plan de gestion</w:t>
      </w:r>
      <w:r w:rsidR="00963231">
        <w:rPr>
          <w:rFonts w:ascii="Times New Roman" w:hAnsi="Times New Roman"/>
        </w:rPr>
        <w:t xml:space="preserve"> </w:t>
      </w:r>
      <w:r w:rsidRPr="00D80119">
        <w:rPr>
          <w:rFonts w:ascii="Times New Roman" w:hAnsi="Times New Roman"/>
        </w:rPr>
        <w:t xml:space="preserve">de manière à ce qu’il représente 60% du quota total, conformément aux dispositions du règlement « anguille »). </w:t>
      </w:r>
      <w:r w:rsidR="00963231">
        <w:rPr>
          <w:rFonts w:ascii="Times New Roman" w:hAnsi="Times New Roman"/>
        </w:rPr>
        <w:t xml:space="preserve"> Dans une approche de précaution à l’égard du stock il est envisagé un quota de 30 tonnes qui correspond à l’avis du comité socio-économique.</w:t>
      </w:r>
    </w:p>
    <w:p w:rsidR="00963231" w:rsidRDefault="00963231" w:rsidP="00D80119">
      <w:pPr>
        <w:pStyle w:val="western"/>
        <w:spacing w:before="0" w:beforeAutospacing="0" w:after="0"/>
        <w:jc w:val="both"/>
        <w:rPr>
          <w:rFonts w:ascii="Times New Roman" w:hAnsi="Times New Roman"/>
        </w:rPr>
      </w:pPr>
    </w:p>
    <w:p w:rsidR="00963231" w:rsidRPr="00D80119" w:rsidRDefault="00963231" w:rsidP="00D80119">
      <w:pPr>
        <w:pStyle w:val="western"/>
        <w:spacing w:before="0" w:beforeAutospacing="0" w:after="0"/>
        <w:jc w:val="both"/>
        <w:rPr>
          <w:rFonts w:ascii="Times New Roman" w:hAnsi="Times New Roman"/>
        </w:rPr>
      </w:pPr>
      <w:r>
        <w:rPr>
          <w:rFonts w:ascii="Times New Roman" w:hAnsi="Times New Roman"/>
        </w:rPr>
        <w:t>Le quota de pêch</w:t>
      </w:r>
      <w:r w:rsidR="006055E8">
        <w:rPr>
          <w:rFonts w:ascii="Times New Roman" w:hAnsi="Times New Roman"/>
        </w:rPr>
        <w:t>e d’anguilles de moins de 12 cm</w:t>
      </w:r>
      <w:r>
        <w:rPr>
          <w:rFonts w:ascii="Times New Roman" w:hAnsi="Times New Roman"/>
        </w:rPr>
        <w:t xml:space="preserve"> destinées au repeuplement sera augmenté de 25.5 à 45 tonnes de manière à ce qu’il représente 60% du quota total, conformément aux dispositions du règlement</w:t>
      </w:r>
      <w:r w:rsidR="00770731">
        <w:rPr>
          <w:rFonts w:ascii="Times New Roman" w:hAnsi="Times New Roman"/>
        </w:rPr>
        <w:t xml:space="preserve"> « anguille</w:t>
      </w:r>
      <w:r>
        <w:rPr>
          <w:rFonts w:ascii="Times New Roman" w:hAnsi="Times New Roman"/>
        </w:rPr>
        <w:t> ».</w:t>
      </w:r>
    </w:p>
    <w:p w:rsidR="00D80119" w:rsidRPr="00D80119" w:rsidRDefault="00D80119" w:rsidP="00D80119">
      <w:pPr>
        <w:pStyle w:val="western"/>
        <w:spacing w:before="0" w:beforeAutospacing="0" w:after="0"/>
        <w:jc w:val="both"/>
        <w:rPr>
          <w:rFonts w:ascii="Times New Roman" w:hAnsi="Times New Roman"/>
        </w:rPr>
      </w:pPr>
    </w:p>
    <w:p w:rsidR="00D80119" w:rsidRDefault="00D80119" w:rsidP="00D80119">
      <w:pPr>
        <w:pStyle w:val="western"/>
        <w:spacing w:before="0" w:beforeAutospacing="0" w:after="0"/>
        <w:jc w:val="both"/>
        <w:rPr>
          <w:rFonts w:ascii="Times New Roman" w:hAnsi="Times New Roman"/>
        </w:rPr>
      </w:pPr>
      <w:r w:rsidRPr="00D80119">
        <w:rPr>
          <w:rFonts w:ascii="Times New Roman" w:hAnsi="Times New Roman"/>
        </w:rPr>
        <w:lastRenderedPageBreak/>
        <w:t xml:space="preserve">La répartition entre marins-pêcheurs et pêcheurs professionnels en eau douce est identique à celle des années précédentes : 87 % </w:t>
      </w:r>
      <w:r w:rsidR="00770731">
        <w:rPr>
          <w:rFonts w:ascii="Times New Roman" w:hAnsi="Times New Roman"/>
        </w:rPr>
        <w:t>pour les marins-pêcheurs</w:t>
      </w:r>
      <w:r w:rsidRPr="00D80119">
        <w:rPr>
          <w:rFonts w:ascii="Times New Roman" w:hAnsi="Times New Roman"/>
        </w:rPr>
        <w:t xml:space="preserve"> et 13% pour les pêcheurs pr</w:t>
      </w:r>
      <w:r w:rsidR="00770731">
        <w:rPr>
          <w:rFonts w:ascii="Times New Roman" w:hAnsi="Times New Roman"/>
        </w:rPr>
        <w:t>ofessionnels en eau douce</w:t>
      </w:r>
      <w:r w:rsidRPr="00D80119">
        <w:rPr>
          <w:rFonts w:ascii="Times New Roman" w:hAnsi="Times New Roman"/>
        </w:rPr>
        <w:t>.</w:t>
      </w:r>
      <w:r w:rsidR="00F2614F">
        <w:rPr>
          <w:rFonts w:ascii="Times New Roman" w:hAnsi="Times New Roman"/>
        </w:rPr>
        <w:t xml:space="preserve"> </w:t>
      </w:r>
    </w:p>
    <w:p w:rsidR="00F2614F" w:rsidRPr="00D80119" w:rsidRDefault="00F2614F" w:rsidP="00D80119">
      <w:pPr>
        <w:pStyle w:val="western"/>
        <w:spacing w:before="0" w:beforeAutospacing="0" w:after="0"/>
        <w:jc w:val="both"/>
        <w:rPr>
          <w:rFonts w:ascii="Times New Roman" w:hAnsi="Times New Roman"/>
        </w:rPr>
      </w:pPr>
    </w:p>
    <w:p w:rsidR="00D80119" w:rsidRPr="00D80119" w:rsidRDefault="00D80119" w:rsidP="00D80119">
      <w:pPr>
        <w:pStyle w:val="western"/>
        <w:spacing w:before="0" w:beforeAutospacing="0" w:after="0"/>
        <w:jc w:val="both"/>
        <w:rPr>
          <w:rFonts w:ascii="Times New Roman" w:hAnsi="Times New Roman"/>
        </w:rPr>
      </w:pPr>
      <w:r w:rsidRPr="00D80119">
        <w:rPr>
          <w:rFonts w:ascii="Times New Roman" w:hAnsi="Times New Roman"/>
        </w:rPr>
        <w:t>Dans le cadre de la participation du public, ces deux projets d’arrêtés font l’objet d’une mise en ligne par les services de chaque autorité ministérielle compétente. Cette mise en ligne a lieu simultanément.</w:t>
      </w:r>
    </w:p>
    <w:p w:rsidR="00DF218B" w:rsidRDefault="00DF218B" w:rsidP="00FD5A20">
      <w:pPr>
        <w:pStyle w:val="Corpsdetexte"/>
        <w:spacing w:after="0"/>
        <w:jc w:val="both"/>
        <w:rPr>
          <w:rFonts w:ascii="Times New Roman" w:hAnsi="Times New Roman"/>
        </w:rPr>
      </w:pPr>
    </w:p>
    <w:p w:rsidR="00D80119" w:rsidRDefault="00D80119" w:rsidP="00FD5A20">
      <w:pPr>
        <w:pStyle w:val="Corpsdetexte"/>
        <w:spacing w:after="0"/>
        <w:jc w:val="both"/>
        <w:rPr>
          <w:rFonts w:ascii="Times New Roman" w:hAnsi="Times New Roman"/>
        </w:rPr>
      </w:pPr>
    </w:p>
    <w:p w:rsidR="00D80119" w:rsidRPr="004D6C1B" w:rsidRDefault="00D80119" w:rsidP="00FD5A20">
      <w:pPr>
        <w:pStyle w:val="Corpsdetexte"/>
        <w:spacing w:after="0"/>
        <w:jc w:val="both"/>
        <w:rPr>
          <w:rFonts w:ascii="Times New Roman" w:hAnsi="Times New Roman"/>
        </w:rPr>
      </w:pPr>
    </w:p>
    <w:p w:rsidR="00D80119" w:rsidRDefault="00D80119" w:rsidP="00FD5A20">
      <w:pPr>
        <w:jc w:val="both"/>
        <w:rPr>
          <w:rFonts w:ascii="Times New Roman" w:hAnsi="Times New Roman"/>
          <w:b/>
          <w:sz w:val="28"/>
          <w:szCs w:val="28"/>
        </w:rPr>
      </w:pPr>
    </w:p>
    <w:p w:rsidR="00D80119" w:rsidRDefault="00D80119" w:rsidP="00FD5A20">
      <w:pPr>
        <w:jc w:val="both"/>
        <w:rPr>
          <w:rFonts w:ascii="Times New Roman" w:hAnsi="Times New Roman"/>
          <w:b/>
          <w:sz w:val="28"/>
          <w:szCs w:val="28"/>
        </w:rPr>
      </w:pPr>
    </w:p>
    <w:p w:rsidR="00D80119" w:rsidRDefault="00D80119" w:rsidP="00FD5A20">
      <w:pPr>
        <w:jc w:val="both"/>
        <w:rPr>
          <w:rFonts w:ascii="Times New Roman" w:hAnsi="Times New Roman"/>
          <w:b/>
          <w:sz w:val="28"/>
          <w:szCs w:val="28"/>
        </w:rPr>
      </w:pPr>
    </w:p>
    <w:p w:rsidR="00D80119" w:rsidRDefault="00D80119" w:rsidP="00FD5A20">
      <w:pPr>
        <w:jc w:val="both"/>
        <w:rPr>
          <w:rFonts w:ascii="Times New Roman" w:hAnsi="Times New Roman"/>
          <w:b/>
          <w:sz w:val="28"/>
          <w:szCs w:val="28"/>
        </w:rPr>
      </w:pPr>
    </w:p>
    <w:p w:rsidR="00055E0A" w:rsidRPr="004D6C1B" w:rsidRDefault="00055E0A" w:rsidP="00FD5A20">
      <w:pPr>
        <w:jc w:val="both"/>
        <w:rPr>
          <w:rFonts w:ascii="Times New Roman" w:hAnsi="Times New Roman"/>
          <w:sz w:val="28"/>
          <w:szCs w:val="28"/>
        </w:rPr>
      </w:pPr>
      <w:r w:rsidRPr="004D6C1B">
        <w:rPr>
          <w:rFonts w:ascii="Times New Roman" w:hAnsi="Times New Roman"/>
          <w:b/>
          <w:sz w:val="28"/>
          <w:szCs w:val="28"/>
        </w:rPr>
        <w:t>Dates et lieux de la consultation :</w:t>
      </w:r>
    </w:p>
    <w:p w:rsidR="00055E0A" w:rsidRPr="004D6C1B" w:rsidRDefault="00055E0A" w:rsidP="00FD5A20">
      <w:pPr>
        <w:jc w:val="both"/>
        <w:rPr>
          <w:rFonts w:ascii="Times New Roman" w:hAnsi="Times New Roman"/>
        </w:rPr>
      </w:pPr>
    </w:p>
    <w:p w:rsidR="004D6C1B" w:rsidRPr="004D6C1B" w:rsidRDefault="004D6C1B" w:rsidP="001B1CD2">
      <w:pPr>
        <w:widowControl/>
        <w:suppressAutoHyphens w:val="0"/>
        <w:spacing w:before="100" w:beforeAutospacing="1"/>
        <w:jc w:val="center"/>
        <w:rPr>
          <w:rFonts w:ascii="Times New Roman" w:eastAsia="Times New Roman" w:hAnsi="Times New Roman"/>
          <w:color w:val="000000"/>
          <w:kern w:val="0"/>
        </w:rPr>
      </w:pPr>
      <w:r w:rsidRPr="004D6C1B">
        <w:rPr>
          <w:rFonts w:ascii="Times New Roman" w:eastAsia="Times New Roman" w:hAnsi="Times New Roman"/>
          <w:color w:val="000000"/>
          <w:kern w:val="0"/>
        </w:rPr>
        <w:t>La consultation est ouv</w:t>
      </w:r>
      <w:r w:rsidR="006055E8">
        <w:rPr>
          <w:rFonts w:ascii="Times New Roman" w:eastAsia="Times New Roman" w:hAnsi="Times New Roman"/>
          <w:color w:val="000000"/>
          <w:kern w:val="0"/>
        </w:rPr>
        <w:t xml:space="preserve">erte du 26 septembre au 17 octobre </w:t>
      </w:r>
      <w:r w:rsidR="0066071A">
        <w:rPr>
          <w:rFonts w:ascii="Times New Roman" w:eastAsia="Times New Roman" w:hAnsi="Times New Roman"/>
          <w:color w:val="000000"/>
          <w:kern w:val="0"/>
        </w:rPr>
        <w:t>2014</w:t>
      </w:r>
      <w:r w:rsidR="006055E8">
        <w:rPr>
          <w:rFonts w:ascii="Times New Roman" w:eastAsia="Times New Roman" w:hAnsi="Times New Roman"/>
          <w:color w:val="000000"/>
          <w:kern w:val="0"/>
        </w:rPr>
        <w:t xml:space="preserve"> </w:t>
      </w:r>
      <w:r w:rsidRPr="004D6C1B">
        <w:rPr>
          <w:rFonts w:ascii="Times New Roman" w:eastAsia="Times New Roman" w:hAnsi="Times New Roman"/>
          <w:color w:val="000000"/>
          <w:kern w:val="0"/>
        </w:rPr>
        <w:t xml:space="preserve"> sur le site suivant :</w:t>
      </w:r>
    </w:p>
    <w:p w:rsidR="004D6C1B" w:rsidRPr="004D6C1B" w:rsidRDefault="004D6C1B" w:rsidP="001B1CD2">
      <w:pPr>
        <w:widowControl/>
        <w:suppressAutoHyphens w:val="0"/>
        <w:spacing w:before="100" w:beforeAutospacing="1"/>
        <w:jc w:val="center"/>
        <w:rPr>
          <w:rFonts w:ascii="Times New Roman" w:eastAsia="Times New Roman" w:hAnsi="Times New Roman"/>
          <w:color w:val="000000"/>
          <w:kern w:val="0"/>
        </w:rPr>
      </w:pPr>
      <w:r w:rsidRPr="004D6C1B">
        <w:rPr>
          <w:rFonts w:ascii="Times New Roman" w:eastAsia="Times New Roman" w:hAnsi="Times New Roman"/>
          <w:color w:val="0000FF"/>
          <w:kern w:val="0"/>
          <w:u w:val="single"/>
        </w:rPr>
        <w:t>http://www.consultations-publiques.developpement-durable.gouv.fr</w:t>
      </w:r>
    </w:p>
    <w:p w:rsidR="004D6C1B" w:rsidRPr="004D6C1B" w:rsidRDefault="004D6C1B" w:rsidP="00FD5A20">
      <w:pPr>
        <w:widowControl/>
        <w:suppressAutoHyphens w:val="0"/>
        <w:spacing w:before="100" w:beforeAutospacing="1"/>
        <w:jc w:val="both"/>
        <w:rPr>
          <w:rFonts w:ascii="Times New Roman" w:eastAsia="Times New Roman" w:hAnsi="Times New Roman"/>
          <w:color w:val="000000"/>
          <w:kern w:val="0"/>
        </w:rPr>
      </w:pPr>
    </w:p>
    <w:p w:rsidR="004D6C1B" w:rsidRDefault="004D6C1B" w:rsidP="00FD5A20">
      <w:pPr>
        <w:widowControl/>
        <w:suppressAutoHyphens w:val="0"/>
        <w:spacing w:before="100" w:beforeAutospacing="1"/>
        <w:jc w:val="both"/>
        <w:rPr>
          <w:rFonts w:ascii="Times New Roman" w:eastAsia="Times New Roman" w:hAnsi="Times New Roman"/>
          <w:color w:val="000000"/>
          <w:kern w:val="0"/>
        </w:rPr>
      </w:pPr>
    </w:p>
    <w:p w:rsidR="004D6C1B" w:rsidRPr="004D6C1B" w:rsidRDefault="004D6C1B" w:rsidP="001B1CD2">
      <w:pPr>
        <w:widowControl/>
        <w:suppressAutoHyphens w:val="0"/>
        <w:spacing w:before="100" w:beforeAutospacing="1"/>
        <w:jc w:val="center"/>
        <w:rPr>
          <w:rFonts w:ascii="Times New Roman" w:eastAsia="Times New Roman" w:hAnsi="Times New Roman"/>
          <w:color w:val="000000"/>
          <w:kern w:val="0"/>
        </w:rPr>
      </w:pPr>
      <w:r w:rsidRPr="004D6C1B">
        <w:rPr>
          <w:rFonts w:ascii="Times New Roman" w:eastAsia="Times New Roman" w:hAnsi="Times New Roman"/>
          <w:color w:val="000000"/>
          <w:kern w:val="0"/>
        </w:rPr>
        <w:t>Vous pouvez également adresser dans ce même délai vos observations à l’adresse suivante :</w:t>
      </w:r>
    </w:p>
    <w:p w:rsidR="004D6C1B" w:rsidRPr="004D6C1B" w:rsidRDefault="004D6C1B" w:rsidP="00FD5A20">
      <w:pPr>
        <w:widowControl/>
        <w:suppressAutoHyphens w:val="0"/>
        <w:spacing w:before="100" w:beforeAutospacing="1"/>
        <w:jc w:val="both"/>
        <w:rPr>
          <w:rFonts w:ascii="Times New Roman" w:eastAsia="Times New Roman" w:hAnsi="Times New Roman"/>
          <w:color w:val="000000"/>
          <w:kern w:val="0"/>
        </w:rPr>
      </w:pPr>
    </w:p>
    <w:p w:rsidR="004D6C1B" w:rsidRPr="00FD5A20" w:rsidRDefault="004D6C1B" w:rsidP="00FD5A20">
      <w:pPr>
        <w:widowControl/>
        <w:suppressAutoHyphens w:val="0"/>
        <w:spacing w:before="100" w:beforeAutospacing="1"/>
        <w:jc w:val="center"/>
        <w:rPr>
          <w:rFonts w:ascii="Times New Roman" w:eastAsia="Times New Roman" w:hAnsi="Times New Roman"/>
          <w:b/>
          <w:bCs/>
          <w:color w:val="000000"/>
          <w:kern w:val="0"/>
        </w:rPr>
      </w:pPr>
      <w:r w:rsidRPr="00FD5A20">
        <w:rPr>
          <w:rFonts w:ascii="Times New Roman" w:eastAsia="Times New Roman" w:hAnsi="Times New Roman"/>
          <w:b/>
          <w:bCs/>
          <w:color w:val="000000"/>
          <w:kern w:val="0"/>
        </w:rPr>
        <w:t>Direction des pêches maritimes et de l’aquaculture</w:t>
      </w:r>
    </w:p>
    <w:p w:rsidR="004D6C1B" w:rsidRPr="004D6C1B" w:rsidRDefault="004D6C1B" w:rsidP="00FD5A20">
      <w:pPr>
        <w:widowControl/>
        <w:suppressAutoHyphens w:val="0"/>
        <w:spacing w:before="100" w:beforeAutospacing="1"/>
        <w:jc w:val="center"/>
        <w:rPr>
          <w:rFonts w:ascii="Times New Roman" w:eastAsia="Times New Roman" w:hAnsi="Times New Roman"/>
          <w:color w:val="000000"/>
          <w:kern w:val="0"/>
        </w:rPr>
      </w:pPr>
      <w:r w:rsidRPr="004D6C1B">
        <w:rPr>
          <w:rFonts w:ascii="Times New Roman" w:eastAsia="Times New Roman" w:hAnsi="Times New Roman"/>
          <w:color w:val="000000"/>
          <w:kern w:val="0"/>
        </w:rPr>
        <w:t>Tour Voltaire</w:t>
      </w:r>
    </w:p>
    <w:p w:rsidR="004D6C1B" w:rsidRPr="004D6C1B" w:rsidRDefault="004D6C1B" w:rsidP="00FD5A20">
      <w:pPr>
        <w:widowControl/>
        <w:suppressAutoHyphens w:val="0"/>
        <w:spacing w:before="100" w:beforeAutospacing="1"/>
        <w:jc w:val="center"/>
        <w:rPr>
          <w:rFonts w:ascii="Times New Roman" w:eastAsia="Times New Roman" w:hAnsi="Times New Roman"/>
          <w:color w:val="000000"/>
          <w:kern w:val="0"/>
        </w:rPr>
      </w:pPr>
      <w:r w:rsidRPr="004D6C1B">
        <w:rPr>
          <w:rFonts w:ascii="Times New Roman" w:eastAsia="Times New Roman" w:hAnsi="Times New Roman"/>
          <w:color w:val="000000"/>
          <w:kern w:val="0"/>
        </w:rPr>
        <w:t>1 place des Degrés</w:t>
      </w:r>
    </w:p>
    <w:p w:rsidR="004D6C1B" w:rsidRPr="004D6C1B" w:rsidRDefault="004D6C1B" w:rsidP="00FD5A20">
      <w:pPr>
        <w:widowControl/>
        <w:suppressAutoHyphens w:val="0"/>
        <w:spacing w:before="100" w:beforeAutospacing="1"/>
        <w:jc w:val="center"/>
        <w:rPr>
          <w:rFonts w:ascii="Times New Roman" w:eastAsia="Times New Roman" w:hAnsi="Times New Roman"/>
          <w:color w:val="000000"/>
          <w:kern w:val="0"/>
        </w:rPr>
      </w:pPr>
      <w:r w:rsidRPr="004D6C1B">
        <w:rPr>
          <w:rFonts w:ascii="Times New Roman" w:eastAsia="Times New Roman" w:hAnsi="Times New Roman"/>
          <w:color w:val="000000"/>
          <w:kern w:val="0"/>
        </w:rPr>
        <w:t xml:space="preserve">92055 </w:t>
      </w:r>
      <w:smartTag w:uri="urn:schemas-microsoft-com:office:smarttags" w:element="PersonName">
        <w:smartTagPr>
          <w:attr w:name="ProductID" w:val="LA DEFENSE CEDEX"/>
        </w:smartTagPr>
        <w:r w:rsidRPr="004D6C1B">
          <w:rPr>
            <w:rFonts w:ascii="Times New Roman" w:eastAsia="Times New Roman" w:hAnsi="Times New Roman"/>
            <w:color w:val="000000"/>
            <w:kern w:val="0"/>
          </w:rPr>
          <w:t>LA DEFENSE CEDEX</w:t>
        </w:r>
      </w:smartTag>
    </w:p>
    <w:p w:rsidR="00BC6A37" w:rsidRPr="004D6C1B" w:rsidRDefault="00BC6A37" w:rsidP="00FD5A20">
      <w:pPr>
        <w:jc w:val="both"/>
        <w:rPr>
          <w:rFonts w:ascii="Times New Roman" w:hAnsi="Times New Roman"/>
        </w:rPr>
      </w:pPr>
    </w:p>
    <w:p w:rsidR="00753095" w:rsidRPr="00055E0A" w:rsidRDefault="00753095" w:rsidP="00FD5A20">
      <w:pPr>
        <w:jc w:val="both"/>
        <w:rPr>
          <w:rFonts w:ascii="Times New Roman" w:hAnsi="Times New Roman"/>
          <w:sz w:val="28"/>
          <w:szCs w:val="28"/>
        </w:rPr>
      </w:pPr>
    </w:p>
    <w:sectPr w:rsidR="00753095" w:rsidRPr="00055E0A" w:rsidSect="009E7A3F">
      <w:headerReference w:type="default" r:id="rId7"/>
      <w:pgSz w:w="11905" w:h="16837"/>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243" w:rsidRDefault="00E46243">
      <w:r>
        <w:separator/>
      </w:r>
    </w:p>
  </w:endnote>
  <w:endnote w:type="continuationSeparator" w:id="1">
    <w:p w:rsidR="00E46243" w:rsidRDefault="00E46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243" w:rsidRDefault="00E46243">
      <w:r>
        <w:separator/>
      </w:r>
    </w:p>
  </w:footnote>
  <w:footnote w:type="continuationSeparator" w:id="1">
    <w:p w:rsidR="00E46243" w:rsidRDefault="00E46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31" w:rsidRDefault="00963231" w:rsidP="00055E0A">
    <w:pPr>
      <w:jc w:val="center"/>
      <w:rPr>
        <w:rFonts w:ascii="Arial" w:hAnsi="Arial" w:cs="Arial"/>
      </w:rPr>
    </w:pPr>
  </w:p>
  <w:p w:rsidR="00963231" w:rsidRDefault="00963231" w:rsidP="00055E0A">
    <w:pPr>
      <w:jc w:val="center"/>
      <w:rPr>
        <w:rFonts w:ascii="Arial" w:hAnsi="Arial" w:cs="Arial"/>
      </w:rPr>
    </w:pPr>
  </w:p>
  <w:p w:rsidR="00963231" w:rsidRDefault="00963231" w:rsidP="00055E0A">
    <w:pPr>
      <w:jc w:val="center"/>
      <w:rPr>
        <w:rFonts w:ascii="Arial" w:hAnsi="Arial" w:cs="Arial"/>
      </w:rPr>
    </w:pPr>
  </w:p>
  <w:p w:rsidR="00963231" w:rsidRPr="00EF78A3" w:rsidRDefault="00963231" w:rsidP="006776C9">
    <w:pPr>
      <w:pStyle w:val="m-BlocTitre"/>
      <w:rPr>
        <w:rFonts w:ascii="Arial" w:hAnsi="Arial" w:cs="Arial"/>
        <w:color w:val="808080"/>
        <w:szCs w:val="22"/>
      </w:rPr>
    </w:pPr>
    <w:r w:rsidRPr="00EF78A3">
      <w:rPr>
        <w:rFonts w:ascii="Arial" w:hAnsi="Arial" w:cs="Arial"/>
        <w:color w:val="808080"/>
        <w:szCs w:val="22"/>
      </w:rPr>
      <w:t>MINISTÈRE DE L’ÉCOLOGIE, DU DÉVELOPPEMENT DURABLE</w:t>
    </w:r>
  </w:p>
  <w:p w:rsidR="00963231" w:rsidRPr="00EF78A3" w:rsidRDefault="00963231" w:rsidP="006776C9">
    <w:pPr>
      <w:jc w:val="center"/>
      <w:rPr>
        <w:rFonts w:ascii="Arial" w:hAnsi="Arial" w:cs="Arial"/>
        <w:color w:val="808080"/>
        <w:sz w:val="22"/>
        <w:szCs w:val="22"/>
      </w:rPr>
    </w:pPr>
    <w:r w:rsidRPr="00EF78A3">
      <w:rPr>
        <w:rFonts w:ascii="Arial" w:hAnsi="Arial" w:cs="Arial"/>
        <w:color w:val="808080"/>
        <w:sz w:val="22"/>
        <w:szCs w:val="22"/>
      </w:rPr>
      <w:t>ET DE L'ÉNERGIE</w:t>
    </w:r>
  </w:p>
  <w:p w:rsidR="00963231" w:rsidRPr="002B7329" w:rsidRDefault="00AD229F" w:rsidP="00055E0A">
    <w:pPr>
      <w:jc w:val="center"/>
      <w:rPr>
        <w:rFonts w:ascii="Arial" w:hAnsi="Arial" w:cs="Arial"/>
      </w:rPr>
    </w:pPr>
    <w:r>
      <w:rPr>
        <w:rFonts w:ascii="Arial" w:hAnsi="Arial" w:cs="Arial"/>
        <w:noProof/>
      </w:rPr>
      <w:drawing>
        <wp:anchor distT="0" distB="0" distL="114935" distR="114935" simplePos="0" relativeHeight="251657728" behindDoc="1" locked="0" layoutInCell="1" allowOverlap="1">
          <wp:simplePos x="0" y="0"/>
          <wp:positionH relativeFrom="page">
            <wp:align>center</wp:align>
          </wp:positionH>
          <wp:positionV relativeFrom="page">
            <wp:posOffset>215900</wp:posOffset>
          </wp:positionV>
          <wp:extent cx="1075055" cy="64643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5055" cy="64643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3997AD3"/>
    <w:multiLevelType w:val="multilevel"/>
    <w:tmpl w:val="7388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47DBD"/>
    <w:multiLevelType w:val="hybridMultilevel"/>
    <w:tmpl w:val="1E98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87326C"/>
    <w:multiLevelType w:val="hybridMultilevel"/>
    <w:tmpl w:val="E4BCBAB2"/>
    <w:lvl w:ilvl="0" w:tplc="8FE4C9D8">
      <w:start w:val="14"/>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nsid w:val="24143CC3"/>
    <w:multiLevelType w:val="hybridMultilevel"/>
    <w:tmpl w:val="A042AA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72744B3"/>
    <w:multiLevelType w:val="hybridMultilevel"/>
    <w:tmpl w:val="88E8951E"/>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2BB86EA7"/>
    <w:multiLevelType w:val="hybridMultilevel"/>
    <w:tmpl w:val="9AA660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C7662C5"/>
    <w:multiLevelType w:val="hybridMultilevel"/>
    <w:tmpl w:val="F9E426A6"/>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312A4B28"/>
    <w:multiLevelType w:val="hybridMultilevel"/>
    <w:tmpl w:val="0002CC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1E0286A"/>
    <w:multiLevelType w:val="hybridMultilevel"/>
    <w:tmpl w:val="63424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A50734"/>
    <w:multiLevelType w:val="hybridMultilevel"/>
    <w:tmpl w:val="20A4A608"/>
    <w:lvl w:ilvl="0" w:tplc="EDC2F3A8">
      <w:numFmt w:val="bullet"/>
      <w:lvlText w:val="-"/>
      <w:lvlJc w:val="left"/>
      <w:pPr>
        <w:tabs>
          <w:tab w:val="num" w:pos="720"/>
        </w:tabs>
        <w:ind w:left="720" w:hanging="360"/>
      </w:pPr>
      <w:rPr>
        <w:rFonts w:ascii="Liberation Sans" w:eastAsia="Times New Roman"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4B056B6"/>
    <w:multiLevelType w:val="multilevel"/>
    <w:tmpl w:val="9D6EF0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51E4837"/>
    <w:multiLevelType w:val="multilevel"/>
    <w:tmpl w:val="6D1A18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9B4394"/>
    <w:multiLevelType w:val="hybridMultilevel"/>
    <w:tmpl w:val="EC5C18C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nsid w:val="63F919B2"/>
    <w:multiLevelType w:val="hybridMultilevel"/>
    <w:tmpl w:val="CAF6F102"/>
    <w:lvl w:ilvl="0" w:tplc="441EAB0E">
      <w:numFmt w:val="bullet"/>
      <w:lvlText w:val="-"/>
      <w:lvlJc w:val="left"/>
      <w:pPr>
        <w:tabs>
          <w:tab w:val="num" w:pos="1065"/>
        </w:tabs>
        <w:ind w:left="1065" w:hanging="360"/>
      </w:pPr>
      <w:rPr>
        <w:rFonts w:ascii="Times New Roman" w:eastAsia="Calibri"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7">
    <w:nsid w:val="67945FB1"/>
    <w:multiLevelType w:val="hybridMultilevel"/>
    <w:tmpl w:val="68CCEC94"/>
    <w:lvl w:ilvl="0" w:tplc="F67A69DA">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BAA29EA"/>
    <w:multiLevelType w:val="multilevel"/>
    <w:tmpl w:val="6F64C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9FF06E0"/>
    <w:multiLevelType w:val="multilevel"/>
    <w:tmpl w:val="FE8A95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A6E2E14"/>
    <w:multiLevelType w:val="hybridMultilevel"/>
    <w:tmpl w:val="E04AF86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1">
    <w:nsid w:val="7BEA178C"/>
    <w:multiLevelType w:val="hybridMultilevel"/>
    <w:tmpl w:val="A5B0FA6C"/>
    <w:lvl w:ilvl="0" w:tplc="7B722526">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D160D2F"/>
    <w:multiLevelType w:val="multilevel"/>
    <w:tmpl w:val="F66E62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2"/>
  </w:num>
  <w:num w:numId="4">
    <w:abstractNumId w:val="15"/>
  </w:num>
  <w:num w:numId="5">
    <w:abstractNumId w:val="5"/>
  </w:num>
  <w:num w:numId="6">
    <w:abstractNumId w:val="20"/>
  </w:num>
  <w:num w:numId="7">
    <w:abstractNumId w:val="8"/>
  </w:num>
  <w:num w:numId="8">
    <w:abstractNumId w:val="6"/>
  </w:num>
  <w:num w:numId="9">
    <w:abstractNumId w:val="16"/>
  </w:num>
  <w:num w:numId="10">
    <w:abstractNumId w:val="9"/>
  </w:num>
  <w:num w:numId="11">
    <w:abstractNumId w:val="7"/>
  </w:num>
  <w:num w:numId="12">
    <w:abstractNumId w:val="2"/>
  </w:num>
  <w:num w:numId="13">
    <w:abstractNumId w:val="4"/>
  </w:num>
  <w:num w:numId="14">
    <w:abstractNumId w:val="11"/>
  </w:num>
  <w:num w:numId="15">
    <w:abstractNumId w:val="12"/>
  </w:num>
  <w:num w:numId="16">
    <w:abstractNumId w:val="10"/>
  </w:num>
  <w:num w:numId="17">
    <w:abstractNumId w:val="21"/>
  </w:num>
  <w:num w:numId="18">
    <w:abstractNumId w:val="17"/>
  </w:num>
  <w:num w:numId="19">
    <w:abstractNumId w:val="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compat>
  <w:rsids>
    <w:rsidRoot w:val="004034EB"/>
    <w:rsid w:val="00012510"/>
    <w:rsid w:val="00023E20"/>
    <w:rsid w:val="000528C9"/>
    <w:rsid w:val="00055E0A"/>
    <w:rsid w:val="00082039"/>
    <w:rsid w:val="000B6B52"/>
    <w:rsid w:val="000D04B3"/>
    <w:rsid w:val="00102D92"/>
    <w:rsid w:val="00126778"/>
    <w:rsid w:val="00126A1D"/>
    <w:rsid w:val="0013593F"/>
    <w:rsid w:val="00140B3F"/>
    <w:rsid w:val="0016222A"/>
    <w:rsid w:val="001B1CD2"/>
    <w:rsid w:val="001D2584"/>
    <w:rsid w:val="001E26E1"/>
    <w:rsid w:val="0020523B"/>
    <w:rsid w:val="002346A6"/>
    <w:rsid w:val="00266B8E"/>
    <w:rsid w:val="00275957"/>
    <w:rsid w:val="00296B18"/>
    <w:rsid w:val="002B3509"/>
    <w:rsid w:val="002B7329"/>
    <w:rsid w:val="002D76F4"/>
    <w:rsid w:val="00321F08"/>
    <w:rsid w:val="0035456D"/>
    <w:rsid w:val="003558DA"/>
    <w:rsid w:val="003725A2"/>
    <w:rsid w:val="003750F3"/>
    <w:rsid w:val="003C6A4A"/>
    <w:rsid w:val="003D0D61"/>
    <w:rsid w:val="004034EB"/>
    <w:rsid w:val="004205F6"/>
    <w:rsid w:val="00421098"/>
    <w:rsid w:val="00444810"/>
    <w:rsid w:val="00446860"/>
    <w:rsid w:val="00464BA7"/>
    <w:rsid w:val="00464D76"/>
    <w:rsid w:val="004730E6"/>
    <w:rsid w:val="00474C68"/>
    <w:rsid w:val="0048486A"/>
    <w:rsid w:val="004A7F6B"/>
    <w:rsid w:val="004B09A9"/>
    <w:rsid w:val="004D6C1B"/>
    <w:rsid w:val="004F3228"/>
    <w:rsid w:val="00501855"/>
    <w:rsid w:val="00510E95"/>
    <w:rsid w:val="00517859"/>
    <w:rsid w:val="0052690E"/>
    <w:rsid w:val="00547FD8"/>
    <w:rsid w:val="00560C13"/>
    <w:rsid w:val="005745EE"/>
    <w:rsid w:val="00575FDC"/>
    <w:rsid w:val="00595AAF"/>
    <w:rsid w:val="005C0D5D"/>
    <w:rsid w:val="005D4EAD"/>
    <w:rsid w:val="005E6C73"/>
    <w:rsid w:val="005F5514"/>
    <w:rsid w:val="006055E8"/>
    <w:rsid w:val="006114FB"/>
    <w:rsid w:val="00627BA2"/>
    <w:rsid w:val="0063381B"/>
    <w:rsid w:val="006515C4"/>
    <w:rsid w:val="00654304"/>
    <w:rsid w:val="006548E8"/>
    <w:rsid w:val="00656044"/>
    <w:rsid w:val="0066071A"/>
    <w:rsid w:val="00660E30"/>
    <w:rsid w:val="00667C96"/>
    <w:rsid w:val="006712A8"/>
    <w:rsid w:val="00672108"/>
    <w:rsid w:val="006763C0"/>
    <w:rsid w:val="006776C9"/>
    <w:rsid w:val="00684411"/>
    <w:rsid w:val="00684BAB"/>
    <w:rsid w:val="006902DE"/>
    <w:rsid w:val="006A4795"/>
    <w:rsid w:val="00717118"/>
    <w:rsid w:val="00731D59"/>
    <w:rsid w:val="00731F42"/>
    <w:rsid w:val="0073746D"/>
    <w:rsid w:val="00753095"/>
    <w:rsid w:val="0075676E"/>
    <w:rsid w:val="00770731"/>
    <w:rsid w:val="00773A4F"/>
    <w:rsid w:val="00783F5E"/>
    <w:rsid w:val="007B03D7"/>
    <w:rsid w:val="007C5964"/>
    <w:rsid w:val="007D3A77"/>
    <w:rsid w:val="007F1B4F"/>
    <w:rsid w:val="007F7956"/>
    <w:rsid w:val="00802C0C"/>
    <w:rsid w:val="008209A3"/>
    <w:rsid w:val="00823C08"/>
    <w:rsid w:val="0082566F"/>
    <w:rsid w:val="00836BA8"/>
    <w:rsid w:val="0085566A"/>
    <w:rsid w:val="00864EAF"/>
    <w:rsid w:val="008674F5"/>
    <w:rsid w:val="0087327A"/>
    <w:rsid w:val="00873477"/>
    <w:rsid w:val="0088545A"/>
    <w:rsid w:val="008968D2"/>
    <w:rsid w:val="008A3C24"/>
    <w:rsid w:val="008B3433"/>
    <w:rsid w:val="008C239E"/>
    <w:rsid w:val="00903954"/>
    <w:rsid w:val="00916F81"/>
    <w:rsid w:val="0093282F"/>
    <w:rsid w:val="0096103D"/>
    <w:rsid w:val="00963231"/>
    <w:rsid w:val="00992A22"/>
    <w:rsid w:val="00993427"/>
    <w:rsid w:val="0099624A"/>
    <w:rsid w:val="009E0F9A"/>
    <w:rsid w:val="009E7A3F"/>
    <w:rsid w:val="00A02F10"/>
    <w:rsid w:val="00A032A0"/>
    <w:rsid w:val="00A400F3"/>
    <w:rsid w:val="00A41C5B"/>
    <w:rsid w:val="00A45460"/>
    <w:rsid w:val="00A45D90"/>
    <w:rsid w:val="00A5308F"/>
    <w:rsid w:val="00A57EE9"/>
    <w:rsid w:val="00A63C6F"/>
    <w:rsid w:val="00AA1AEF"/>
    <w:rsid w:val="00AB40FC"/>
    <w:rsid w:val="00AB7973"/>
    <w:rsid w:val="00AC5F25"/>
    <w:rsid w:val="00AD229F"/>
    <w:rsid w:val="00AD2EEC"/>
    <w:rsid w:val="00AE3A2A"/>
    <w:rsid w:val="00AE3BEF"/>
    <w:rsid w:val="00AE47E8"/>
    <w:rsid w:val="00B10F07"/>
    <w:rsid w:val="00B759E7"/>
    <w:rsid w:val="00B81B1F"/>
    <w:rsid w:val="00BC4651"/>
    <w:rsid w:val="00BC6A37"/>
    <w:rsid w:val="00BC722A"/>
    <w:rsid w:val="00BD60D5"/>
    <w:rsid w:val="00C05D38"/>
    <w:rsid w:val="00C2707B"/>
    <w:rsid w:val="00C47643"/>
    <w:rsid w:val="00C57DDC"/>
    <w:rsid w:val="00C91BB6"/>
    <w:rsid w:val="00C93C37"/>
    <w:rsid w:val="00CD6E80"/>
    <w:rsid w:val="00CF4682"/>
    <w:rsid w:val="00CF5A6F"/>
    <w:rsid w:val="00D16322"/>
    <w:rsid w:val="00D265AA"/>
    <w:rsid w:val="00D42678"/>
    <w:rsid w:val="00D6076E"/>
    <w:rsid w:val="00D80119"/>
    <w:rsid w:val="00D90B40"/>
    <w:rsid w:val="00D97A82"/>
    <w:rsid w:val="00D97E42"/>
    <w:rsid w:val="00DC4A9A"/>
    <w:rsid w:val="00DD057D"/>
    <w:rsid w:val="00DF11BB"/>
    <w:rsid w:val="00DF218B"/>
    <w:rsid w:val="00DF3FF6"/>
    <w:rsid w:val="00E1130E"/>
    <w:rsid w:val="00E14B5F"/>
    <w:rsid w:val="00E27B3F"/>
    <w:rsid w:val="00E30C79"/>
    <w:rsid w:val="00E32F43"/>
    <w:rsid w:val="00E46243"/>
    <w:rsid w:val="00E5150B"/>
    <w:rsid w:val="00E63F2F"/>
    <w:rsid w:val="00E70C2C"/>
    <w:rsid w:val="00E83783"/>
    <w:rsid w:val="00EA682F"/>
    <w:rsid w:val="00EB0E53"/>
    <w:rsid w:val="00EC4B2F"/>
    <w:rsid w:val="00ED1ED8"/>
    <w:rsid w:val="00F1386E"/>
    <w:rsid w:val="00F2614F"/>
    <w:rsid w:val="00F379AA"/>
    <w:rsid w:val="00F51371"/>
    <w:rsid w:val="00F81A54"/>
    <w:rsid w:val="00F94C66"/>
    <w:rsid w:val="00FA1A71"/>
    <w:rsid w:val="00FA6674"/>
    <w:rsid w:val="00FB0AB6"/>
    <w:rsid w:val="00FD3B6A"/>
    <w:rsid w:val="00FD5A20"/>
    <w:rsid w:val="00FD65A8"/>
    <w:rsid w:val="00FF78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C08"/>
    <w:pPr>
      <w:widowControl w:val="0"/>
      <w:suppressAutoHyphens/>
    </w:pPr>
    <w:rPr>
      <w:rFonts w:ascii="Liberation Sans" w:eastAsia="Arial Unicode MS" w:hAnsi="Liberation Sans"/>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823C08"/>
    <w:rPr>
      <w:rFonts w:ascii="OpenSymbol" w:eastAsia="Times New Roman" w:hAnsi="OpenSymbol"/>
    </w:rPr>
  </w:style>
  <w:style w:type="paragraph" w:customStyle="1" w:styleId="Titre1">
    <w:name w:val="Titre1"/>
    <w:basedOn w:val="Normal"/>
    <w:next w:val="Corpsdetexte"/>
    <w:rsid w:val="00823C08"/>
    <w:pPr>
      <w:keepNext/>
      <w:spacing w:before="240" w:after="120"/>
    </w:pPr>
    <w:rPr>
      <w:rFonts w:eastAsia="MS Mincho" w:cs="Tahoma"/>
      <w:sz w:val="28"/>
      <w:szCs w:val="28"/>
    </w:rPr>
  </w:style>
  <w:style w:type="paragraph" w:styleId="Corpsdetexte">
    <w:name w:val="Body Text"/>
    <w:basedOn w:val="Normal"/>
    <w:link w:val="CorpsdetexteCar"/>
    <w:uiPriority w:val="99"/>
    <w:rsid w:val="00823C08"/>
    <w:pPr>
      <w:spacing w:after="120"/>
    </w:pPr>
  </w:style>
  <w:style w:type="character" w:customStyle="1" w:styleId="CorpsdetexteCar">
    <w:name w:val="Corps de texte Car"/>
    <w:basedOn w:val="Policepardfaut"/>
    <w:link w:val="Corpsdetexte"/>
    <w:uiPriority w:val="99"/>
    <w:semiHidden/>
    <w:rsid w:val="00F33395"/>
    <w:rPr>
      <w:rFonts w:ascii="Liberation Sans" w:eastAsia="Arial Unicode MS" w:hAnsi="Liberation Sans"/>
      <w:kern w:val="1"/>
      <w:sz w:val="24"/>
      <w:szCs w:val="24"/>
    </w:rPr>
  </w:style>
  <w:style w:type="paragraph" w:styleId="Liste">
    <w:name w:val="List"/>
    <w:basedOn w:val="Corpsdetexte"/>
    <w:uiPriority w:val="99"/>
    <w:rsid w:val="00823C08"/>
    <w:rPr>
      <w:rFonts w:cs="Tahoma"/>
    </w:rPr>
  </w:style>
  <w:style w:type="paragraph" w:customStyle="1" w:styleId="Lgende1">
    <w:name w:val="Légende1"/>
    <w:basedOn w:val="Normal"/>
    <w:rsid w:val="00823C08"/>
    <w:pPr>
      <w:suppressLineNumbers/>
      <w:spacing w:before="120" w:after="120"/>
    </w:pPr>
    <w:rPr>
      <w:rFonts w:cs="Tahoma"/>
      <w:i/>
      <w:iCs/>
    </w:rPr>
  </w:style>
  <w:style w:type="paragraph" w:customStyle="1" w:styleId="Index">
    <w:name w:val="Index"/>
    <w:basedOn w:val="Normal"/>
    <w:rsid w:val="00823C08"/>
    <w:pPr>
      <w:suppressLineNumbers/>
    </w:pPr>
    <w:rPr>
      <w:rFonts w:cs="Tahoma"/>
    </w:rPr>
  </w:style>
  <w:style w:type="paragraph" w:styleId="En-tte">
    <w:name w:val="header"/>
    <w:basedOn w:val="Normal"/>
    <w:link w:val="En-tteCar"/>
    <w:uiPriority w:val="99"/>
    <w:rsid w:val="002B7329"/>
    <w:pPr>
      <w:tabs>
        <w:tab w:val="center" w:pos="4536"/>
        <w:tab w:val="right" w:pos="9072"/>
      </w:tabs>
    </w:pPr>
  </w:style>
  <w:style w:type="character" w:customStyle="1" w:styleId="En-tteCar">
    <w:name w:val="En-tête Car"/>
    <w:basedOn w:val="Policepardfaut"/>
    <w:link w:val="En-tte"/>
    <w:uiPriority w:val="99"/>
    <w:semiHidden/>
    <w:rsid w:val="00F33395"/>
    <w:rPr>
      <w:rFonts w:ascii="Liberation Sans" w:eastAsia="Arial Unicode MS" w:hAnsi="Liberation Sans"/>
      <w:kern w:val="1"/>
      <w:sz w:val="24"/>
      <w:szCs w:val="24"/>
    </w:rPr>
  </w:style>
  <w:style w:type="paragraph" w:styleId="Pieddepage">
    <w:name w:val="footer"/>
    <w:basedOn w:val="Normal"/>
    <w:link w:val="PieddepageCar"/>
    <w:uiPriority w:val="99"/>
    <w:rsid w:val="002B7329"/>
    <w:pPr>
      <w:tabs>
        <w:tab w:val="center" w:pos="4536"/>
        <w:tab w:val="right" w:pos="9072"/>
      </w:tabs>
    </w:pPr>
  </w:style>
  <w:style w:type="character" w:customStyle="1" w:styleId="PieddepageCar">
    <w:name w:val="Pied de page Car"/>
    <w:basedOn w:val="Policepardfaut"/>
    <w:link w:val="Pieddepage"/>
    <w:uiPriority w:val="99"/>
    <w:semiHidden/>
    <w:rsid w:val="00F33395"/>
    <w:rPr>
      <w:rFonts w:ascii="Liberation Sans" w:eastAsia="Arial Unicode MS" w:hAnsi="Liberation Sans"/>
      <w:kern w:val="1"/>
      <w:sz w:val="24"/>
      <w:szCs w:val="24"/>
    </w:rPr>
  </w:style>
  <w:style w:type="paragraph" w:styleId="Notedebasdepage">
    <w:name w:val="footnote text"/>
    <w:basedOn w:val="Normal"/>
    <w:link w:val="NotedebasdepageCar"/>
    <w:rsid w:val="00903954"/>
    <w:rPr>
      <w:sz w:val="20"/>
      <w:szCs w:val="20"/>
    </w:rPr>
  </w:style>
  <w:style w:type="character" w:customStyle="1" w:styleId="NotedebasdepageCar">
    <w:name w:val="Note de bas de page Car"/>
    <w:basedOn w:val="Policepardfaut"/>
    <w:link w:val="Notedebasdepage"/>
    <w:rsid w:val="00F33395"/>
    <w:rPr>
      <w:rFonts w:ascii="Liberation Sans" w:eastAsia="Arial Unicode MS" w:hAnsi="Liberation Sans"/>
      <w:kern w:val="1"/>
    </w:rPr>
  </w:style>
  <w:style w:type="character" w:styleId="Appelnotedebasdep">
    <w:name w:val="footnote reference"/>
    <w:basedOn w:val="Policepardfaut"/>
    <w:rsid w:val="00903954"/>
    <w:rPr>
      <w:rFonts w:cs="Times New Roman"/>
      <w:vertAlign w:val="superscript"/>
    </w:rPr>
  </w:style>
  <w:style w:type="character" w:styleId="Lienhypertexte">
    <w:name w:val="Hyperlink"/>
    <w:basedOn w:val="Policepardfaut"/>
    <w:rsid w:val="00547FD8"/>
    <w:rPr>
      <w:color w:val="0000FF"/>
      <w:u w:val="single"/>
    </w:rPr>
  </w:style>
  <w:style w:type="paragraph" w:styleId="Paragraphedeliste">
    <w:name w:val="List Paragraph"/>
    <w:basedOn w:val="Normal"/>
    <w:qFormat/>
    <w:rsid w:val="0099624A"/>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rsid w:val="00753095"/>
    <w:pPr>
      <w:widowControl/>
      <w:suppressAutoHyphens w:val="0"/>
      <w:spacing w:before="100" w:beforeAutospacing="1" w:after="119"/>
    </w:pPr>
    <w:rPr>
      <w:rFonts w:ascii="Times New Roman" w:eastAsia="Times New Roman" w:hAnsi="Times New Roman"/>
      <w:kern w:val="0"/>
    </w:rPr>
  </w:style>
  <w:style w:type="paragraph" w:customStyle="1" w:styleId="m-BlocTitre">
    <w:name w:val="m-BlocTitre"/>
    <w:basedOn w:val="Normal"/>
    <w:rsid w:val="006776C9"/>
    <w:pPr>
      <w:widowControl/>
      <w:ind w:hanging="340"/>
      <w:jc w:val="center"/>
    </w:pPr>
    <w:rPr>
      <w:rFonts w:ascii="Liberation Serif" w:eastAsia="Times New Roman" w:hAnsi="Liberation Serif"/>
      <w:color w:val="4C4C4C"/>
      <w:kern w:val="0"/>
      <w:sz w:val="22"/>
      <w:lang w:eastAsia="ar-SA"/>
    </w:rPr>
  </w:style>
  <w:style w:type="paragraph" w:customStyle="1" w:styleId="western">
    <w:name w:val="western"/>
    <w:basedOn w:val="Normal"/>
    <w:rsid w:val="004D6C1B"/>
    <w:pPr>
      <w:widowControl/>
      <w:suppressAutoHyphens w:val="0"/>
      <w:spacing w:before="100" w:beforeAutospacing="1" w:after="119"/>
    </w:pPr>
    <w:rPr>
      <w:rFonts w:eastAsia="Times New Roman"/>
      <w:color w:val="000000"/>
      <w:kern w:val="0"/>
    </w:rPr>
  </w:style>
</w:styles>
</file>

<file path=word/webSettings.xml><?xml version="1.0" encoding="utf-8"?>
<w:webSettings xmlns:r="http://schemas.openxmlformats.org/officeDocument/2006/relationships" xmlns:w="http://schemas.openxmlformats.org/wordprocessingml/2006/main">
  <w:divs>
    <w:div w:id="163781843">
      <w:bodyDiv w:val="1"/>
      <w:marLeft w:val="0"/>
      <w:marRight w:val="0"/>
      <w:marTop w:val="0"/>
      <w:marBottom w:val="0"/>
      <w:divBdr>
        <w:top w:val="none" w:sz="0" w:space="0" w:color="auto"/>
        <w:left w:val="none" w:sz="0" w:space="0" w:color="auto"/>
        <w:bottom w:val="none" w:sz="0" w:space="0" w:color="auto"/>
        <w:right w:val="none" w:sz="0" w:space="0" w:color="auto"/>
      </w:divBdr>
    </w:div>
    <w:div w:id="350957866">
      <w:bodyDiv w:val="1"/>
      <w:marLeft w:val="0"/>
      <w:marRight w:val="0"/>
      <w:marTop w:val="0"/>
      <w:marBottom w:val="0"/>
      <w:divBdr>
        <w:top w:val="none" w:sz="0" w:space="0" w:color="auto"/>
        <w:left w:val="none" w:sz="0" w:space="0" w:color="auto"/>
        <w:bottom w:val="none" w:sz="0" w:space="0" w:color="auto"/>
        <w:right w:val="none" w:sz="0" w:space="0" w:color="auto"/>
      </w:divBdr>
    </w:div>
    <w:div w:id="435097895">
      <w:bodyDiv w:val="1"/>
      <w:marLeft w:val="0"/>
      <w:marRight w:val="0"/>
      <w:marTop w:val="0"/>
      <w:marBottom w:val="0"/>
      <w:divBdr>
        <w:top w:val="none" w:sz="0" w:space="0" w:color="auto"/>
        <w:left w:val="none" w:sz="0" w:space="0" w:color="auto"/>
        <w:bottom w:val="none" w:sz="0" w:space="0" w:color="auto"/>
        <w:right w:val="none" w:sz="0" w:space="0" w:color="auto"/>
      </w:divBdr>
    </w:div>
    <w:div w:id="602957470">
      <w:bodyDiv w:val="1"/>
      <w:marLeft w:val="0"/>
      <w:marRight w:val="0"/>
      <w:marTop w:val="0"/>
      <w:marBottom w:val="0"/>
      <w:divBdr>
        <w:top w:val="none" w:sz="0" w:space="0" w:color="auto"/>
        <w:left w:val="none" w:sz="0" w:space="0" w:color="auto"/>
        <w:bottom w:val="none" w:sz="0" w:space="0" w:color="auto"/>
        <w:right w:val="none" w:sz="0" w:space="0" w:color="auto"/>
      </w:divBdr>
    </w:div>
    <w:div w:id="639924774">
      <w:bodyDiv w:val="1"/>
      <w:marLeft w:val="0"/>
      <w:marRight w:val="0"/>
      <w:marTop w:val="0"/>
      <w:marBottom w:val="0"/>
      <w:divBdr>
        <w:top w:val="none" w:sz="0" w:space="0" w:color="auto"/>
        <w:left w:val="none" w:sz="0" w:space="0" w:color="auto"/>
        <w:bottom w:val="none" w:sz="0" w:space="0" w:color="auto"/>
        <w:right w:val="none" w:sz="0" w:space="0" w:color="auto"/>
      </w:divBdr>
    </w:div>
    <w:div w:id="649142412">
      <w:bodyDiv w:val="1"/>
      <w:marLeft w:val="0"/>
      <w:marRight w:val="0"/>
      <w:marTop w:val="0"/>
      <w:marBottom w:val="0"/>
      <w:divBdr>
        <w:top w:val="none" w:sz="0" w:space="0" w:color="auto"/>
        <w:left w:val="none" w:sz="0" w:space="0" w:color="auto"/>
        <w:bottom w:val="none" w:sz="0" w:space="0" w:color="auto"/>
        <w:right w:val="none" w:sz="0" w:space="0" w:color="auto"/>
      </w:divBdr>
    </w:div>
    <w:div w:id="1587760555">
      <w:bodyDiv w:val="1"/>
      <w:marLeft w:val="0"/>
      <w:marRight w:val="0"/>
      <w:marTop w:val="0"/>
      <w:marBottom w:val="0"/>
      <w:divBdr>
        <w:top w:val="none" w:sz="0" w:space="0" w:color="auto"/>
        <w:left w:val="none" w:sz="0" w:space="0" w:color="auto"/>
        <w:bottom w:val="none" w:sz="0" w:space="0" w:color="auto"/>
        <w:right w:val="none" w:sz="0" w:space="0" w:color="auto"/>
      </w:divBdr>
    </w:div>
    <w:div w:id="1609697511">
      <w:bodyDiv w:val="1"/>
      <w:marLeft w:val="0"/>
      <w:marRight w:val="0"/>
      <w:marTop w:val="0"/>
      <w:marBottom w:val="0"/>
      <w:divBdr>
        <w:top w:val="none" w:sz="0" w:space="0" w:color="auto"/>
        <w:left w:val="none" w:sz="0" w:space="0" w:color="auto"/>
        <w:bottom w:val="none" w:sz="0" w:space="0" w:color="auto"/>
        <w:right w:val="none" w:sz="0" w:space="0" w:color="auto"/>
      </w:divBdr>
    </w:div>
    <w:div w:id="1986397460">
      <w:bodyDiv w:val="1"/>
      <w:marLeft w:val="0"/>
      <w:marRight w:val="0"/>
      <w:marTop w:val="0"/>
      <w:marBottom w:val="0"/>
      <w:divBdr>
        <w:top w:val="none" w:sz="0" w:space="0" w:color="auto"/>
        <w:left w:val="none" w:sz="0" w:space="0" w:color="auto"/>
        <w:bottom w:val="none" w:sz="0" w:space="0" w:color="auto"/>
        <w:right w:val="none" w:sz="0" w:space="0" w:color="auto"/>
      </w:divBdr>
    </w:div>
    <w:div w:id="20056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4924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FICHE</vt:lpstr>
    </vt:vector>
  </TitlesOfParts>
  <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creator>Gorodetska</dc:creator>
  <cp:lastModifiedBy>MEDDE</cp:lastModifiedBy>
  <cp:revision>2</cp:revision>
  <cp:lastPrinted>2013-09-20T16:28:00Z</cp:lastPrinted>
  <dcterms:created xsi:type="dcterms:W3CDTF">2014-09-18T16:23:00Z</dcterms:created>
  <dcterms:modified xsi:type="dcterms:W3CDTF">2014-09-18T16:23:00Z</dcterms:modified>
</cp:coreProperties>
</file>