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D2D6" w14:textId="77777777" w:rsidR="00412CB1" w:rsidRPr="00151FA0" w:rsidRDefault="00CB6696" w:rsidP="00CB6696">
      <w:pPr>
        <w:ind w:left="2832" w:firstLine="708"/>
        <w:rPr>
          <w:rFonts w:ascii="Arial" w:hAnsi="Arial" w:cs="Arial"/>
          <w:b/>
        </w:rPr>
      </w:pPr>
      <w:r w:rsidRPr="00151FA0">
        <w:rPr>
          <w:rFonts w:ascii="Arial" w:hAnsi="Arial" w:cs="Arial"/>
          <w:b/>
        </w:rPr>
        <w:t>NOTE DE PRESENTATION</w:t>
      </w:r>
    </w:p>
    <w:p w14:paraId="04072E8B" w14:textId="10EDB24D" w:rsidR="00151FA0" w:rsidRPr="00151FA0" w:rsidRDefault="00CB6696" w:rsidP="007D0F23">
      <w:pPr>
        <w:pStyle w:val="Titre"/>
        <w:jc w:val="both"/>
      </w:pPr>
      <w:r w:rsidRPr="00151FA0">
        <w:t>Projet d’arrêté</w:t>
      </w:r>
      <w:r w:rsidR="00151FA0" w:rsidRPr="00151FA0">
        <w:t xml:space="preserve"> fixant la liste des usages des produits phytopharmaceutiques, pour lesquels aucune solution technique alternative ne permet d'obtenir la qualité requise dans le cadre des compétitions officielles pour les équipements sportifs ou parties d’équipements sportifs</w:t>
      </w:r>
      <w:r w:rsidR="00DA52DE">
        <w:t xml:space="preserve">. </w:t>
      </w:r>
    </w:p>
    <w:p w14:paraId="375CBE24" w14:textId="0537811D" w:rsidR="00CB6696" w:rsidRPr="00151FA0" w:rsidRDefault="00CB6696">
      <w:pPr>
        <w:rPr>
          <w:rFonts w:ascii="Arial" w:hAnsi="Arial" w:cs="Arial"/>
          <w:sz w:val="20"/>
          <w:szCs w:val="20"/>
        </w:rPr>
      </w:pPr>
      <w:r w:rsidRPr="00151FA0">
        <w:rPr>
          <w:b/>
        </w:rPr>
        <w:t xml:space="preserve"> </w:t>
      </w:r>
    </w:p>
    <w:p w14:paraId="7BF73C72" w14:textId="77777777" w:rsidR="00D04EA6" w:rsidRDefault="00CB6696" w:rsidP="00D04EA6">
      <w:pPr>
        <w:pStyle w:val="Titre1"/>
        <w:shd w:val="clear" w:color="auto" w:fill="FFFFFF"/>
        <w:spacing w:before="0" w:after="0"/>
        <w:jc w:val="both"/>
        <w:rPr>
          <w:color w:val="000000"/>
          <w:sz w:val="21"/>
          <w:szCs w:val="21"/>
          <w:shd w:val="clear" w:color="auto" w:fill="FFFFFF"/>
        </w:rPr>
      </w:pPr>
      <w:r w:rsidRPr="00151FA0">
        <w:rPr>
          <w:b w:val="0"/>
          <w:sz w:val="20"/>
          <w:szCs w:val="20"/>
        </w:rPr>
        <w:t xml:space="preserve">L’arrêté du 15 janvier 2021 </w:t>
      </w:r>
      <w:r w:rsidRPr="00151FA0">
        <w:rPr>
          <w:b w:val="0"/>
          <w:bCs w:val="0"/>
          <w:sz w:val="20"/>
          <w:szCs w:val="20"/>
        </w:rPr>
        <w:t>modifiant l’arrêté du 4 mai</w:t>
      </w:r>
      <w:r w:rsidRPr="00151FA0">
        <w:rPr>
          <w:b w:val="0"/>
          <w:sz w:val="20"/>
          <w:szCs w:val="20"/>
        </w:rPr>
        <w:t xml:space="preserve"> 2017 relatif à la mise sur le marché et à l’utilisation des produits phytopharmaceutiques et de leurs adjuvants </w:t>
      </w:r>
      <w:r w:rsidR="00BB718C">
        <w:rPr>
          <w:b w:val="0"/>
          <w:sz w:val="20"/>
          <w:szCs w:val="20"/>
        </w:rPr>
        <w:t xml:space="preserve">a interdit </w:t>
      </w:r>
      <w:r w:rsidRPr="00151FA0">
        <w:rPr>
          <w:b w:val="0"/>
          <w:bCs w:val="0"/>
          <w:sz w:val="20"/>
          <w:szCs w:val="20"/>
        </w:rPr>
        <w:t>l’utilisation des produits phytopharmaceutiques chimiques dans l’ensemble des terrains de sports et des hippodromes à partir du 1er janvier 2025</w:t>
      </w:r>
      <w:r w:rsidR="00BB718C">
        <w:rPr>
          <w:b w:val="0"/>
          <w:sz w:val="20"/>
          <w:szCs w:val="20"/>
        </w:rPr>
        <w:t xml:space="preserve">. </w:t>
      </w:r>
      <w:r w:rsidRPr="00151FA0">
        <w:rPr>
          <w:b w:val="0"/>
          <w:bCs w:val="0"/>
          <w:sz w:val="20"/>
          <w:szCs w:val="20"/>
        </w:rPr>
        <w:t>Cependant</w:t>
      </w:r>
      <w:r w:rsidRPr="00151FA0">
        <w:rPr>
          <w:b w:val="0"/>
          <w:sz w:val="20"/>
          <w:szCs w:val="20"/>
        </w:rPr>
        <w:t xml:space="preserve"> l’arrêté prévoit que </w:t>
      </w:r>
      <w:r w:rsidRPr="00151FA0">
        <w:rPr>
          <w:b w:val="0"/>
          <w:bCs w:val="0"/>
          <w:sz w:val="20"/>
          <w:szCs w:val="20"/>
        </w:rPr>
        <w:t xml:space="preserve">l’interdiction ne s’applique pas aux usages des </w:t>
      </w:r>
      <w:r w:rsidRPr="00D04EA6">
        <w:rPr>
          <w:b w:val="0"/>
          <w:bCs w:val="0"/>
          <w:sz w:val="20"/>
          <w:szCs w:val="20"/>
        </w:rPr>
        <w:t xml:space="preserve">produits phytopharmaceutiques chimiques, « figurant sur une liste établie </w:t>
      </w:r>
      <w:r w:rsidR="000419EB">
        <w:rPr>
          <w:b w:val="0"/>
          <w:bCs w:val="0"/>
          <w:sz w:val="20"/>
          <w:szCs w:val="20"/>
        </w:rPr>
        <w:t xml:space="preserve">pour une durée limitée </w:t>
      </w:r>
      <w:r w:rsidRPr="00D04EA6">
        <w:rPr>
          <w:b w:val="0"/>
          <w:bCs w:val="0"/>
          <w:sz w:val="20"/>
          <w:szCs w:val="20"/>
        </w:rPr>
        <w:t>par les ministres chargés de l’écologie et des sports, pour lesquels aucune solution technique alternative ne permet d’obtenir la qualité requise dans le cadre des compétitions officielles ».</w:t>
      </w:r>
      <w:r w:rsidR="000419EB" w:rsidRPr="000419EB">
        <w:rPr>
          <w:color w:val="000000"/>
          <w:sz w:val="21"/>
          <w:szCs w:val="21"/>
          <w:shd w:val="clear" w:color="auto" w:fill="FFFFFF"/>
        </w:rPr>
        <w:t xml:space="preserve"> </w:t>
      </w:r>
    </w:p>
    <w:p w14:paraId="4B81569F" w14:textId="77777777" w:rsidR="007D0F23" w:rsidRDefault="007D0F23" w:rsidP="00D04EA6">
      <w:pPr>
        <w:pStyle w:val="Titre1"/>
        <w:shd w:val="clear" w:color="auto" w:fill="FFFFFF"/>
        <w:spacing w:before="0" w:after="0"/>
        <w:jc w:val="both"/>
        <w:rPr>
          <w:b w:val="0"/>
          <w:sz w:val="20"/>
          <w:szCs w:val="20"/>
        </w:rPr>
      </w:pPr>
    </w:p>
    <w:p w14:paraId="0E1B6AD2" w14:textId="3BE4EF0C" w:rsidR="00D04EA6" w:rsidRPr="00D04EA6" w:rsidRDefault="00D04EA6" w:rsidP="00D04EA6">
      <w:pPr>
        <w:pStyle w:val="Titre1"/>
        <w:shd w:val="clear" w:color="auto" w:fill="FFFFFF"/>
        <w:spacing w:before="0" w:after="0"/>
        <w:jc w:val="both"/>
        <w:rPr>
          <w:b w:val="0"/>
          <w:sz w:val="20"/>
          <w:szCs w:val="20"/>
        </w:rPr>
      </w:pPr>
      <w:r w:rsidRPr="00D04EA6">
        <w:rPr>
          <w:b w:val="0"/>
          <w:sz w:val="20"/>
          <w:szCs w:val="20"/>
        </w:rPr>
        <w:t xml:space="preserve">Des solutions alternatives aux traitements phytopharmaceutiques chimiques existent mais restent insuffisantes pour garantir le maintien d’un standard de qualité dans les équipements sportifs pour 6 usages (couple végétal/mode d’application/maladie ou ravageur) identifiés par la filière, sur les 21 usages de produits autorisés à ce jour sur les gazons sportifs. </w:t>
      </w:r>
    </w:p>
    <w:p w14:paraId="790F41C1" w14:textId="77777777" w:rsidR="007D0F23" w:rsidRDefault="007D0F23" w:rsidP="00D04EA6">
      <w:pPr>
        <w:jc w:val="both"/>
        <w:rPr>
          <w:rFonts w:ascii="Arial" w:hAnsi="Arial" w:cs="Arial"/>
          <w:color w:val="000000"/>
          <w:sz w:val="20"/>
          <w:szCs w:val="20"/>
          <w:shd w:val="clear" w:color="auto" w:fill="FFFFFF"/>
        </w:rPr>
      </w:pPr>
    </w:p>
    <w:p w14:paraId="6E1578BF" w14:textId="58B37EAB" w:rsidR="00D04EA6" w:rsidRDefault="00D04EA6" w:rsidP="00D04EA6">
      <w:pPr>
        <w:jc w:val="both"/>
        <w:rPr>
          <w:rFonts w:ascii="Arial" w:hAnsi="Arial" w:cs="Arial"/>
          <w:color w:val="000000"/>
          <w:sz w:val="20"/>
          <w:szCs w:val="20"/>
          <w:shd w:val="clear" w:color="auto" w:fill="FFFFFF"/>
        </w:rPr>
      </w:pPr>
      <w:r w:rsidRPr="00151FA0">
        <w:rPr>
          <w:rFonts w:ascii="Arial" w:hAnsi="Arial" w:cs="Arial"/>
          <w:color w:val="000000"/>
          <w:sz w:val="20"/>
          <w:szCs w:val="20"/>
          <w:shd w:val="clear" w:color="auto" w:fill="FFFFFF"/>
        </w:rPr>
        <w:t xml:space="preserve">Le </w:t>
      </w:r>
      <w:r>
        <w:rPr>
          <w:rFonts w:ascii="Arial" w:hAnsi="Arial" w:cs="Arial"/>
          <w:color w:val="000000"/>
          <w:sz w:val="20"/>
          <w:szCs w:val="20"/>
          <w:shd w:val="clear" w:color="auto" w:fill="FFFFFF"/>
        </w:rPr>
        <w:t>projet d’arrêté vise à lister ces usages de produits phytopharmaceutiques</w:t>
      </w:r>
      <w:r w:rsidRPr="00151FA0">
        <w:rPr>
          <w:rFonts w:ascii="Arial" w:hAnsi="Arial" w:cs="Arial"/>
          <w:color w:val="000000"/>
          <w:sz w:val="20"/>
          <w:szCs w:val="20"/>
          <w:shd w:val="clear" w:color="auto" w:fill="FFFFFF"/>
        </w:rPr>
        <w:t>, pour lesquels il n’existerait pas à ce jour de solution technique alternative efficiente</w:t>
      </w:r>
      <w:r>
        <w:rPr>
          <w:rFonts w:ascii="Arial" w:hAnsi="Arial" w:cs="Arial"/>
          <w:color w:val="000000"/>
          <w:sz w:val="20"/>
          <w:szCs w:val="20"/>
          <w:shd w:val="clear" w:color="auto" w:fill="FFFFFF"/>
        </w:rPr>
        <w:t xml:space="preserve"> pour obtenir la qualité requise dans le cadre des compétitions officielles</w:t>
      </w:r>
      <w:r w:rsidRPr="00151FA0">
        <w:rPr>
          <w:rFonts w:ascii="Arial" w:hAnsi="Arial" w:cs="Arial"/>
          <w:color w:val="000000"/>
          <w:sz w:val="20"/>
          <w:szCs w:val="20"/>
          <w:shd w:val="clear" w:color="auto" w:fill="FFFFFF"/>
        </w:rPr>
        <w:t xml:space="preserve">. </w:t>
      </w:r>
    </w:p>
    <w:p w14:paraId="48C61E57" w14:textId="23EAAE17" w:rsidR="00D04EA6" w:rsidRDefault="00812E4C" w:rsidP="00D04EA6">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Il prévoi</w:t>
      </w:r>
      <w:r w:rsidR="00DA52DE">
        <w:rPr>
          <w:rFonts w:ascii="Arial" w:hAnsi="Arial" w:cs="Arial"/>
          <w:color w:val="000000"/>
          <w:sz w:val="20"/>
          <w:szCs w:val="20"/>
          <w:shd w:val="clear" w:color="auto" w:fill="FFFFFF"/>
        </w:rPr>
        <w:t>t</w:t>
      </w:r>
      <w:r>
        <w:rPr>
          <w:rFonts w:ascii="Arial" w:hAnsi="Arial" w:cs="Arial"/>
          <w:color w:val="000000"/>
          <w:sz w:val="20"/>
          <w:szCs w:val="20"/>
          <w:shd w:val="clear" w:color="auto" w:fill="FFFFFF"/>
        </w:rPr>
        <w:t xml:space="preserve"> </w:t>
      </w:r>
      <w:r w:rsidR="00DB0D31">
        <w:rPr>
          <w:rFonts w:ascii="Arial" w:hAnsi="Arial" w:cs="Arial"/>
          <w:color w:val="000000"/>
          <w:sz w:val="20"/>
          <w:szCs w:val="20"/>
          <w:shd w:val="clear" w:color="auto" w:fill="FFFFFF"/>
        </w:rPr>
        <w:t xml:space="preserve">par ailleurs </w:t>
      </w:r>
      <w:r>
        <w:rPr>
          <w:rFonts w:ascii="Arial" w:hAnsi="Arial" w:cs="Arial"/>
          <w:color w:val="000000"/>
          <w:sz w:val="20"/>
          <w:szCs w:val="20"/>
          <w:shd w:val="clear" w:color="auto" w:fill="FFFFFF"/>
        </w:rPr>
        <w:t>que les représentants des propriétaires des terrains bénéficiant de la dérogation élaborent</w:t>
      </w:r>
      <w:r w:rsidR="00DB0D31">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00D75DC4">
        <w:rPr>
          <w:rFonts w:ascii="Arial" w:hAnsi="Arial" w:cs="Arial"/>
          <w:color w:val="000000"/>
          <w:sz w:val="20"/>
          <w:szCs w:val="20"/>
          <w:shd w:val="clear" w:color="auto" w:fill="FFFFFF"/>
        </w:rPr>
        <w:t xml:space="preserve">au plus tard le 31 juillet 2025 </w:t>
      </w:r>
      <w:r>
        <w:rPr>
          <w:rFonts w:ascii="Arial" w:hAnsi="Arial" w:cs="Arial"/>
          <w:color w:val="000000"/>
          <w:sz w:val="20"/>
          <w:szCs w:val="20"/>
          <w:shd w:val="clear" w:color="auto" w:fill="FFFFFF"/>
        </w:rPr>
        <w:t>une feuille de route fixant une trajectoire de généralisation de l’arrêt d’utilisation des produits phytopharmaceutiques chimiques dans les équipements sportifs.</w:t>
      </w:r>
    </w:p>
    <w:p w14:paraId="7386B942" w14:textId="77777777" w:rsidR="00812E4C" w:rsidRDefault="00D75DC4" w:rsidP="00D04EA6">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Dans le même temps l</w:t>
      </w:r>
      <w:r w:rsidR="00812E4C">
        <w:rPr>
          <w:rFonts w:ascii="Arial" w:hAnsi="Arial" w:cs="Arial"/>
          <w:color w:val="000000"/>
          <w:sz w:val="20"/>
          <w:szCs w:val="20"/>
          <w:shd w:val="clear" w:color="auto" w:fill="FFFFFF"/>
        </w:rPr>
        <w:t xml:space="preserve">’arrêté demande </w:t>
      </w:r>
      <w:r>
        <w:rPr>
          <w:rFonts w:ascii="Arial" w:hAnsi="Arial" w:cs="Arial"/>
          <w:color w:val="000000"/>
          <w:sz w:val="20"/>
          <w:szCs w:val="20"/>
          <w:shd w:val="clear" w:color="auto" w:fill="FFFFFF"/>
        </w:rPr>
        <w:t xml:space="preserve">à ce que le ministère chargé des sports fixe la liste des </w:t>
      </w:r>
      <w:r w:rsidR="00DB0D31">
        <w:rPr>
          <w:rFonts w:ascii="Arial" w:hAnsi="Arial" w:cs="Arial"/>
          <w:color w:val="000000"/>
          <w:sz w:val="20"/>
          <w:szCs w:val="20"/>
          <w:shd w:val="clear" w:color="auto" w:fill="FFFFFF"/>
        </w:rPr>
        <w:t>équipements sportifs concernés par la dérogation</w:t>
      </w:r>
      <w:r>
        <w:rPr>
          <w:rFonts w:ascii="Arial" w:hAnsi="Arial" w:cs="Arial"/>
          <w:color w:val="000000"/>
          <w:sz w:val="20"/>
          <w:szCs w:val="20"/>
          <w:shd w:val="clear" w:color="auto" w:fill="FFFFFF"/>
        </w:rPr>
        <w:t xml:space="preserve">.  </w:t>
      </w:r>
    </w:p>
    <w:p w14:paraId="08068927" w14:textId="595A8EEF" w:rsidR="00131E33" w:rsidRDefault="00131E33" w:rsidP="00131E3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Le présent projet d’arrêté a fait l’objet d’un avis favorable de la mission interministérielle de l’eau réunie le 14 novembre 2024.</w:t>
      </w:r>
    </w:p>
    <w:p w14:paraId="7DC84EC4" w14:textId="77777777" w:rsidR="00131E33" w:rsidRDefault="00131E33" w:rsidP="00131E3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Il sera soumis à l’avis du </w:t>
      </w:r>
      <w:r w:rsidR="00812E4C">
        <w:rPr>
          <w:rFonts w:ascii="Arial" w:hAnsi="Arial" w:cs="Arial"/>
          <w:color w:val="000000"/>
          <w:sz w:val="20"/>
          <w:szCs w:val="20"/>
          <w:shd w:val="clear" w:color="auto" w:fill="FFFFFF"/>
        </w:rPr>
        <w:t xml:space="preserve">conseil national d’évaluation des normes du 12 décembre et du </w:t>
      </w:r>
      <w:r>
        <w:rPr>
          <w:rFonts w:ascii="Arial" w:hAnsi="Arial" w:cs="Arial"/>
          <w:color w:val="000000"/>
          <w:sz w:val="20"/>
          <w:szCs w:val="20"/>
          <w:shd w:val="clear" w:color="auto" w:fill="FFFFFF"/>
        </w:rPr>
        <w:t>comité national de l’eau du 19 décembre.</w:t>
      </w:r>
    </w:p>
    <w:p w14:paraId="0882BEDA" w14:textId="469A4F45" w:rsidR="00CB6696" w:rsidRDefault="00131E33" w:rsidP="0074218A">
      <w:pPr>
        <w:jc w:val="both"/>
      </w:pPr>
      <w:r>
        <w:rPr>
          <w:rFonts w:ascii="Arial" w:hAnsi="Arial" w:cs="Arial"/>
          <w:color w:val="000000"/>
          <w:sz w:val="20"/>
          <w:szCs w:val="20"/>
          <w:shd w:val="clear" w:color="auto" w:fill="FFFFFF"/>
        </w:rPr>
        <w:t>L</w:t>
      </w:r>
      <w:r w:rsidR="00D04EA6">
        <w:rPr>
          <w:rFonts w:ascii="Arial" w:hAnsi="Arial" w:cs="Arial"/>
          <w:color w:val="000000"/>
          <w:sz w:val="20"/>
          <w:szCs w:val="20"/>
          <w:shd w:val="clear" w:color="auto" w:fill="FFFFFF"/>
        </w:rPr>
        <w:t>a publication de l’arrêté doit</w:t>
      </w:r>
      <w:r>
        <w:rPr>
          <w:rFonts w:ascii="Arial" w:hAnsi="Arial" w:cs="Arial"/>
          <w:color w:val="000000"/>
          <w:sz w:val="20"/>
          <w:szCs w:val="20"/>
          <w:shd w:val="clear" w:color="auto" w:fill="FFFFFF"/>
        </w:rPr>
        <w:t xml:space="preserve"> intervenir </w:t>
      </w:r>
      <w:r w:rsidR="00290A41">
        <w:rPr>
          <w:rFonts w:ascii="Arial" w:hAnsi="Arial" w:cs="Arial"/>
          <w:color w:val="000000"/>
          <w:sz w:val="20"/>
          <w:szCs w:val="20"/>
          <w:shd w:val="clear" w:color="auto" w:fill="FFFFFF"/>
        </w:rPr>
        <w:t>rapidement</w:t>
      </w:r>
      <w:r>
        <w:rPr>
          <w:rFonts w:ascii="Arial" w:hAnsi="Arial" w:cs="Arial"/>
          <w:color w:val="000000"/>
          <w:sz w:val="20"/>
          <w:szCs w:val="20"/>
          <w:shd w:val="clear" w:color="auto" w:fill="FFFFFF"/>
        </w:rPr>
        <w:t xml:space="preserve"> pour une entrée en vigueur prévue au 1</w:t>
      </w:r>
      <w:r w:rsidRPr="00975A1B">
        <w:rPr>
          <w:rFonts w:ascii="Arial" w:hAnsi="Arial" w:cs="Arial"/>
          <w:color w:val="000000"/>
          <w:sz w:val="20"/>
          <w:szCs w:val="20"/>
          <w:shd w:val="clear" w:color="auto" w:fill="FFFFFF"/>
          <w:vertAlign w:val="superscript"/>
        </w:rPr>
        <w:t>er</w:t>
      </w:r>
      <w:r>
        <w:rPr>
          <w:rFonts w:ascii="Arial" w:hAnsi="Arial" w:cs="Arial"/>
          <w:color w:val="000000"/>
          <w:sz w:val="20"/>
          <w:szCs w:val="20"/>
          <w:shd w:val="clear" w:color="auto" w:fill="FFFFFF"/>
        </w:rPr>
        <w:t xml:space="preserve"> janvier 2025</w:t>
      </w:r>
      <w:r w:rsidR="00812E4C">
        <w:rPr>
          <w:rFonts w:ascii="Arial" w:hAnsi="Arial" w:cs="Arial"/>
          <w:color w:val="000000"/>
          <w:sz w:val="20"/>
          <w:szCs w:val="20"/>
          <w:shd w:val="clear" w:color="auto" w:fill="FFFFFF"/>
        </w:rPr>
        <w:t xml:space="preserve"> et une durée de validité de 18 mois.</w:t>
      </w:r>
    </w:p>
    <w:sectPr w:rsidR="00CB6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0BDE" w14:textId="77777777" w:rsidR="00CB6696" w:rsidRDefault="00CB6696" w:rsidP="00CB6696">
      <w:pPr>
        <w:spacing w:after="0" w:line="240" w:lineRule="auto"/>
      </w:pPr>
      <w:r>
        <w:separator/>
      </w:r>
    </w:p>
  </w:endnote>
  <w:endnote w:type="continuationSeparator" w:id="0">
    <w:p w14:paraId="2B700367" w14:textId="77777777" w:rsidR="00CB6696" w:rsidRDefault="00CB6696" w:rsidP="00CB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583C" w14:textId="77777777" w:rsidR="00CB6696" w:rsidRDefault="00CB6696" w:rsidP="00CB6696">
      <w:pPr>
        <w:spacing w:after="0" w:line="240" w:lineRule="auto"/>
      </w:pPr>
      <w:r>
        <w:separator/>
      </w:r>
    </w:p>
  </w:footnote>
  <w:footnote w:type="continuationSeparator" w:id="0">
    <w:p w14:paraId="1101EA13" w14:textId="77777777" w:rsidR="00CB6696" w:rsidRDefault="00CB6696" w:rsidP="00CB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46B2"/>
    <w:multiLevelType w:val="hybridMultilevel"/>
    <w:tmpl w:val="22E298EC"/>
    <w:lvl w:ilvl="0" w:tplc="040C0011">
      <w:start w:val="1"/>
      <w:numFmt w:val="decimal"/>
      <w:lvlText w:val="%1)"/>
      <w:lvlJc w:val="left"/>
      <w:pPr>
        <w:ind w:left="927" w:hanging="360"/>
      </w:pPr>
      <w:rPr>
        <w:rFonts w:hint="default"/>
      </w:rPr>
    </w:lvl>
    <w:lvl w:ilvl="1" w:tplc="040C0019" w:tentative="1">
      <w:start w:val="1"/>
      <w:numFmt w:val="lowerLetter"/>
      <w:lvlText w:val="%2."/>
      <w:lvlJc w:val="left"/>
      <w:pPr>
        <w:ind w:left="-119" w:hanging="360"/>
      </w:pPr>
    </w:lvl>
    <w:lvl w:ilvl="2" w:tplc="040C001B" w:tentative="1">
      <w:start w:val="1"/>
      <w:numFmt w:val="lowerRoman"/>
      <w:lvlText w:val="%3."/>
      <w:lvlJc w:val="right"/>
      <w:pPr>
        <w:ind w:left="601" w:hanging="180"/>
      </w:pPr>
    </w:lvl>
    <w:lvl w:ilvl="3" w:tplc="040C000F" w:tentative="1">
      <w:start w:val="1"/>
      <w:numFmt w:val="decimal"/>
      <w:lvlText w:val="%4."/>
      <w:lvlJc w:val="left"/>
      <w:pPr>
        <w:ind w:left="1321" w:hanging="360"/>
      </w:pPr>
    </w:lvl>
    <w:lvl w:ilvl="4" w:tplc="040C0019" w:tentative="1">
      <w:start w:val="1"/>
      <w:numFmt w:val="lowerLetter"/>
      <w:lvlText w:val="%5."/>
      <w:lvlJc w:val="left"/>
      <w:pPr>
        <w:ind w:left="2041" w:hanging="360"/>
      </w:pPr>
    </w:lvl>
    <w:lvl w:ilvl="5" w:tplc="040C001B" w:tentative="1">
      <w:start w:val="1"/>
      <w:numFmt w:val="lowerRoman"/>
      <w:lvlText w:val="%6."/>
      <w:lvlJc w:val="right"/>
      <w:pPr>
        <w:ind w:left="2761" w:hanging="180"/>
      </w:pPr>
    </w:lvl>
    <w:lvl w:ilvl="6" w:tplc="040C000F" w:tentative="1">
      <w:start w:val="1"/>
      <w:numFmt w:val="decimal"/>
      <w:lvlText w:val="%7."/>
      <w:lvlJc w:val="left"/>
      <w:pPr>
        <w:ind w:left="3481" w:hanging="360"/>
      </w:pPr>
    </w:lvl>
    <w:lvl w:ilvl="7" w:tplc="040C0019" w:tentative="1">
      <w:start w:val="1"/>
      <w:numFmt w:val="lowerLetter"/>
      <w:lvlText w:val="%8."/>
      <w:lvlJc w:val="left"/>
      <w:pPr>
        <w:ind w:left="4201" w:hanging="360"/>
      </w:pPr>
    </w:lvl>
    <w:lvl w:ilvl="8" w:tplc="040C001B" w:tentative="1">
      <w:start w:val="1"/>
      <w:numFmt w:val="lowerRoman"/>
      <w:lvlText w:val="%9."/>
      <w:lvlJc w:val="right"/>
      <w:pPr>
        <w:ind w:left="49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96"/>
    <w:rsid w:val="000419EB"/>
    <w:rsid w:val="00110E45"/>
    <w:rsid w:val="00131E33"/>
    <w:rsid w:val="00151FA0"/>
    <w:rsid w:val="00181E27"/>
    <w:rsid w:val="001F2CDE"/>
    <w:rsid w:val="00290A41"/>
    <w:rsid w:val="002F4A8F"/>
    <w:rsid w:val="00345382"/>
    <w:rsid w:val="005C3BCE"/>
    <w:rsid w:val="005D7850"/>
    <w:rsid w:val="005E4CD5"/>
    <w:rsid w:val="0074218A"/>
    <w:rsid w:val="00762E55"/>
    <w:rsid w:val="007D0F23"/>
    <w:rsid w:val="00812E4C"/>
    <w:rsid w:val="00975A1B"/>
    <w:rsid w:val="00BB718C"/>
    <w:rsid w:val="00CB6696"/>
    <w:rsid w:val="00D04EA6"/>
    <w:rsid w:val="00D75DC4"/>
    <w:rsid w:val="00DA52DE"/>
    <w:rsid w:val="00DB0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395E"/>
  <w15:chartTrackingRefBased/>
  <w15:docId w15:val="{53BD0FCD-11A9-4F23-BAE1-184B4C6E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Objet"/>
    <w:basedOn w:val="Titre2"/>
    <w:next w:val="Normal"/>
    <w:link w:val="Titre1Car"/>
    <w:uiPriority w:val="9"/>
    <w:qFormat/>
    <w:rsid w:val="00CB6696"/>
    <w:pPr>
      <w:keepNext w:val="0"/>
      <w:keepLines w:val="0"/>
      <w:spacing w:before="360" w:after="120" w:line="240" w:lineRule="auto"/>
      <w:jc w:val="center"/>
      <w:outlineLvl w:val="0"/>
    </w:pPr>
    <w:rPr>
      <w:rFonts w:ascii="Arial" w:eastAsia="Arial" w:hAnsi="Arial" w:cs="Arial"/>
      <w:b/>
      <w:bCs/>
      <w:color w:val="auto"/>
      <w:sz w:val="24"/>
      <w:szCs w:val="24"/>
      <w:lang w:eastAsia="fr-FR"/>
    </w:rPr>
  </w:style>
  <w:style w:type="paragraph" w:styleId="Titre2">
    <w:name w:val="heading 2"/>
    <w:basedOn w:val="Normal"/>
    <w:next w:val="Normal"/>
    <w:link w:val="Titre2Car"/>
    <w:uiPriority w:val="9"/>
    <w:semiHidden/>
    <w:unhideWhenUsed/>
    <w:qFormat/>
    <w:rsid w:val="00CB6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Objet Car"/>
    <w:basedOn w:val="Policepardfaut"/>
    <w:link w:val="Titre1"/>
    <w:uiPriority w:val="9"/>
    <w:rsid w:val="00CB6696"/>
    <w:rPr>
      <w:rFonts w:ascii="Arial" w:eastAsia="Arial" w:hAnsi="Arial" w:cs="Arial"/>
      <w:b/>
      <w:bCs/>
      <w:sz w:val="24"/>
      <w:szCs w:val="24"/>
      <w:lang w:eastAsia="fr-FR"/>
    </w:rPr>
  </w:style>
  <w:style w:type="paragraph" w:styleId="Paragraphedeliste">
    <w:name w:val="List Paragraph"/>
    <w:basedOn w:val="Normal"/>
    <w:uiPriority w:val="34"/>
    <w:qFormat/>
    <w:rsid w:val="00CB6696"/>
    <w:pPr>
      <w:spacing w:after="0" w:line="240" w:lineRule="atLeast"/>
      <w:ind w:left="720"/>
      <w:contextualSpacing/>
    </w:pPr>
    <w:rPr>
      <w:rFonts w:ascii="Arial" w:hAnsi="Arial"/>
      <w:color w:val="00000A"/>
      <w:sz w:val="20"/>
      <w:szCs w:val="20"/>
    </w:rPr>
  </w:style>
  <w:style w:type="paragraph" w:styleId="Notedebasdepage">
    <w:name w:val="footnote text"/>
    <w:basedOn w:val="Normal"/>
    <w:link w:val="NotedebasdepageCar"/>
    <w:uiPriority w:val="99"/>
    <w:semiHidden/>
    <w:unhideWhenUsed/>
    <w:rsid w:val="00CB6696"/>
    <w:pPr>
      <w:spacing w:after="0" w:line="240" w:lineRule="auto"/>
    </w:pPr>
    <w:rPr>
      <w:rFonts w:ascii="Arial" w:hAnsi="Arial" w:cs="Arial"/>
      <w:sz w:val="20"/>
      <w:szCs w:val="20"/>
    </w:rPr>
  </w:style>
  <w:style w:type="character" w:customStyle="1" w:styleId="NotedebasdepageCar">
    <w:name w:val="Note de bas de page Car"/>
    <w:basedOn w:val="Policepardfaut"/>
    <w:link w:val="Notedebasdepage"/>
    <w:uiPriority w:val="99"/>
    <w:semiHidden/>
    <w:rsid w:val="00CB6696"/>
    <w:rPr>
      <w:rFonts w:ascii="Arial" w:hAnsi="Arial" w:cs="Arial"/>
      <w:sz w:val="20"/>
      <w:szCs w:val="20"/>
    </w:rPr>
  </w:style>
  <w:style w:type="character" w:styleId="Appelnotedebasdep">
    <w:name w:val="footnote reference"/>
    <w:basedOn w:val="Policepardfaut"/>
    <w:uiPriority w:val="99"/>
    <w:semiHidden/>
    <w:unhideWhenUsed/>
    <w:rsid w:val="00CB6696"/>
    <w:rPr>
      <w:vertAlign w:val="superscript"/>
    </w:rPr>
  </w:style>
  <w:style w:type="character" w:customStyle="1" w:styleId="Titre2Car">
    <w:name w:val="Titre 2 Car"/>
    <w:basedOn w:val="Policepardfaut"/>
    <w:link w:val="Titre2"/>
    <w:uiPriority w:val="9"/>
    <w:semiHidden/>
    <w:rsid w:val="00CB6696"/>
    <w:rPr>
      <w:rFonts w:asciiTheme="majorHAnsi" w:eastAsiaTheme="majorEastAsia" w:hAnsiTheme="majorHAnsi" w:cstheme="majorBidi"/>
      <w:color w:val="2E74B5" w:themeColor="accent1" w:themeShade="BF"/>
      <w:sz w:val="26"/>
      <w:szCs w:val="26"/>
    </w:rPr>
  </w:style>
  <w:style w:type="paragraph" w:styleId="Titre">
    <w:name w:val="Title"/>
    <w:aliases w:val="Direction"/>
    <w:basedOn w:val="Normal"/>
    <w:next w:val="Normal"/>
    <w:link w:val="TitreCar"/>
    <w:qFormat/>
    <w:rsid w:val="00151FA0"/>
    <w:pPr>
      <w:widowControl w:val="0"/>
      <w:tabs>
        <w:tab w:val="left" w:pos="5387"/>
      </w:tabs>
      <w:autoSpaceDE w:val="0"/>
      <w:autoSpaceDN w:val="0"/>
      <w:spacing w:after="0" w:line="240" w:lineRule="auto"/>
    </w:pPr>
    <w:rPr>
      <w:rFonts w:ascii="Arial" w:eastAsia="Arial" w:hAnsi="Arial" w:cs="Arial"/>
      <w:b/>
      <w:bCs/>
      <w:noProof/>
      <w:sz w:val="20"/>
      <w:szCs w:val="20"/>
      <w:lang w:eastAsia="fr-FR"/>
    </w:rPr>
  </w:style>
  <w:style w:type="character" w:customStyle="1" w:styleId="TitreCar">
    <w:name w:val="Titre Car"/>
    <w:aliases w:val="Direction Car"/>
    <w:basedOn w:val="Policepardfaut"/>
    <w:link w:val="Titre"/>
    <w:rsid w:val="00151FA0"/>
    <w:rPr>
      <w:rFonts w:ascii="Arial" w:eastAsia="Arial" w:hAnsi="Arial" w:cs="Arial"/>
      <w:b/>
      <w:bCs/>
      <w:noProof/>
      <w:sz w:val="20"/>
      <w:szCs w:val="20"/>
      <w:lang w:eastAsia="fr-FR"/>
    </w:rPr>
  </w:style>
  <w:style w:type="paragraph" w:customStyle="1" w:styleId="SNTimbre">
    <w:name w:val="SNTimbre"/>
    <w:basedOn w:val="Normal"/>
    <w:link w:val="SNTimbreCar"/>
    <w:autoRedefine/>
    <w:rsid w:val="00151FA0"/>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14:ligatures w14:val="standardContextual"/>
    </w:rPr>
  </w:style>
  <w:style w:type="character" w:customStyle="1" w:styleId="SNTimbreCar">
    <w:name w:val="SNTimbre Car"/>
    <w:link w:val="SNTimbre"/>
    <w:rsid w:val="00151FA0"/>
    <w:rPr>
      <w:rFonts w:ascii="Times New Roman" w:eastAsia="Lucida Sans Unicode" w:hAnsi="Times New Roman" w:cs="Times New Roman"/>
      <w:sz w:val="24"/>
      <w:szCs w:val="24"/>
      <w:lang w:eastAsia="fr-FR"/>
      <w14:ligatures w14:val="standardContextual"/>
    </w:rPr>
  </w:style>
  <w:style w:type="paragraph" w:customStyle="1" w:styleId="Textejustifi">
    <w:name w:val="Texte justifié"/>
    <w:unhideWhenUsed/>
    <w:qFormat/>
    <w:rsid w:val="00151FA0"/>
    <w:pPr>
      <w:jc w:val="both"/>
    </w:pPr>
    <w:rPr>
      <w:rFonts w:ascii="Calibri" w:eastAsiaTheme="minorEastAsia" w:hAnsi="Calibri"/>
      <w:kern w:val="2"/>
      <w:lang w:eastAsia="fr-FR"/>
      <w14:ligatures w14:val="standardContextual"/>
    </w:rPr>
  </w:style>
  <w:style w:type="paragraph" w:customStyle="1" w:styleId="Textecentr">
    <w:name w:val="Texte centré"/>
    <w:unhideWhenUsed/>
    <w:qFormat/>
    <w:rsid w:val="00151FA0"/>
    <w:pPr>
      <w:jc w:val="center"/>
    </w:pPr>
    <w:rPr>
      <w:rFonts w:ascii="Calibri" w:eastAsiaTheme="minorEastAsia" w:hAnsi="Calibri"/>
      <w:kern w:val="2"/>
      <w:lang w:eastAsia="fr-FR"/>
      <w14:ligatures w14:val="standardContextual"/>
    </w:rPr>
  </w:style>
  <w:style w:type="paragraph" w:customStyle="1" w:styleId="SNREPUBLIQUE">
    <w:name w:val="SNREPUBLIQUE"/>
    <w:basedOn w:val="Normal"/>
    <w:rsid w:val="00151FA0"/>
    <w:pPr>
      <w:suppressAutoHyphens/>
      <w:spacing w:after="0" w:line="240" w:lineRule="auto"/>
      <w:jc w:val="center"/>
    </w:pPr>
    <w:rPr>
      <w:rFonts w:ascii="Times New Roman" w:eastAsia="Times New Roman" w:hAnsi="Times New Roman" w:cs="Times New Roman"/>
      <w:b/>
      <w:bCs/>
      <w:sz w:val="24"/>
      <w:szCs w:val="20"/>
      <w:lang w:eastAsia="zh-CN"/>
      <w14:ligatures w14:val="standardContextual"/>
    </w:rPr>
  </w:style>
  <w:style w:type="paragraph" w:customStyle="1" w:styleId="SNSignature">
    <w:name w:val="SNSignature"/>
    <w:basedOn w:val="Normal"/>
    <w:rsid w:val="00151FA0"/>
    <w:pPr>
      <w:suppressAutoHyphens/>
      <w:spacing w:after="0" w:line="240" w:lineRule="auto"/>
      <w:ind w:firstLine="720"/>
    </w:pPr>
    <w:rPr>
      <w:rFonts w:ascii="Times New Roman" w:eastAsia="Times New Roman" w:hAnsi="Times New Roman" w:cs="Times New Roman"/>
      <w:sz w:val="24"/>
      <w:szCs w:val="24"/>
      <w:lang w:eastAsia="zh-CN"/>
      <w14:ligatures w14:val="standardContextual"/>
    </w:rPr>
  </w:style>
  <w:style w:type="paragraph" w:customStyle="1" w:styleId="SNDatearrt">
    <w:name w:val="SNDate arrêté"/>
    <w:basedOn w:val="Normal"/>
    <w:next w:val="Normal"/>
    <w:rsid w:val="00151FA0"/>
    <w:pPr>
      <w:suppressAutoHyphens/>
      <w:spacing w:before="480" w:after="1680" w:line="240" w:lineRule="auto"/>
      <w:ind w:firstLine="720"/>
    </w:pPr>
    <w:rPr>
      <w:rFonts w:ascii="Times New Roman" w:eastAsia="Times New Roman" w:hAnsi="Times New Roman" w:cs="Times New Roman"/>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379</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POUJEAUX Dominique</dc:creator>
  <cp:keywords/>
  <dc:description/>
  <cp:lastModifiedBy>MAGNARD Laure-Anne</cp:lastModifiedBy>
  <cp:revision>7</cp:revision>
  <dcterms:created xsi:type="dcterms:W3CDTF">2024-12-03T16:20:00Z</dcterms:created>
  <dcterms:modified xsi:type="dcterms:W3CDTF">2024-12-05T15:54:00Z</dcterms:modified>
</cp:coreProperties>
</file>