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684D" w14:textId="77777777" w:rsidR="00CD177B" w:rsidRDefault="00CD177B" w:rsidP="003049DF">
      <w:pPr>
        <w:pStyle w:val="NormalWeb"/>
        <w:spacing w:line="276" w:lineRule="auto"/>
        <w:jc w:val="center"/>
      </w:pPr>
      <w:r>
        <w:rPr>
          <w:b/>
          <w:bCs/>
          <w:sz w:val="36"/>
          <w:szCs w:val="36"/>
        </w:rPr>
        <w:t>Note de présentation à destination du public</w:t>
      </w:r>
    </w:p>
    <w:p w14:paraId="0CBEFE69" w14:textId="77777777" w:rsidR="009722C2" w:rsidRDefault="009722C2" w:rsidP="003049DF">
      <w:pPr>
        <w:pStyle w:val="western"/>
        <w:spacing w:line="276" w:lineRule="auto"/>
        <w:jc w:val="center"/>
        <w:rPr>
          <w:b/>
          <w:bCs/>
          <w:i w:val="0"/>
          <w:iCs w:val="0"/>
          <w:sz w:val="30"/>
          <w:szCs w:val="30"/>
        </w:rPr>
      </w:pPr>
    </w:p>
    <w:p w14:paraId="1632AA9C" w14:textId="36890252" w:rsidR="009722C2" w:rsidRDefault="009722C2" w:rsidP="003049DF">
      <w:pPr>
        <w:spacing w:line="276" w:lineRule="auto"/>
        <w:jc w:val="both"/>
        <w:rPr>
          <w:b/>
          <w:bCs/>
          <w:u w:val="single"/>
        </w:rPr>
      </w:pPr>
      <w:r w:rsidRPr="00753260">
        <w:rPr>
          <w:b/>
          <w:bCs/>
          <w:u w:val="single"/>
        </w:rPr>
        <w:t>Titre d</w:t>
      </w:r>
      <w:r w:rsidR="000D0508">
        <w:rPr>
          <w:b/>
          <w:bCs/>
          <w:u w:val="single"/>
        </w:rPr>
        <w:t>es</w:t>
      </w:r>
      <w:r w:rsidRPr="00753260">
        <w:rPr>
          <w:b/>
          <w:bCs/>
          <w:u w:val="single"/>
        </w:rPr>
        <w:t xml:space="preserve"> texte</w:t>
      </w:r>
      <w:r w:rsidR="000D0508">
        <w:rPr>
          <w:b/>
          <w:bCs/>
          <w:u w:val="single"/>
        </w:rPr>
        <w:t>s</w:t>
      </w:r>
      <w:r>
        <w:rPr>
          <w:b/>
          <w:bCs/>
          <w:u w:val="single"/>
        </w:rPr>
        <w:t> :</w:t>
      </w:r>
    </w:p>
    <w:p w14:paraId="3DF8DB13" w14:textId="77777777" w:rsidR="00134146" w:rsidRDefault="00134146" w:rsidP="00134146">
      <w:pPr>
        <w:jc w:val="both"/>
      </w:pPr>
      <w:r w:rsidRPr="002F7E2F">
        <w:t>Projet de décret portant diverses modifications en matière de prévention des risques concernant le sol et le sous-sol</w:t>
      </w:r>
    </w:p>
    <w:p w14:paraId="783150D7" w14:textId="488647FD" w:rsidR="00033C1F" w:rsidRDefault="00033C1F" w:rsidP="003049DF">
      <w:pPr>
        <w:spacing w:line="276" w:lineRule="auto"/>
        <w:jc w:val="both"/>
      </w:pPr>
      <w:r>
        <w:t xml:space="preserve">Arrêté visant </w:t>
      </w:r>
      <w:r w:rsidR="0031663C">
        <w:t xml:space="preserve">à </w:t>
      </w:r>
      <w:r w:rsidRPr="00B37D2D">
        <w:t xml:space="preserve">faciliter la mise en œuvre de certaines dispositions </w:t>
      </w:r>
      <w:r w:rsidR="0031663C">
        <w:t>de l’article 27 du règlement européen sur les matières premières critiques.</w:t>
      </w:r>
    </w:p>
    <w:p w14:paraId="7DEDBBC8" w14:textId="64378BAC" w:rsidR="00CD177B" w:rsidRPr="009722C2" w:rsidRDefault="009722C2" w:rsidP="003049DF">
      <w:pPr>
        <w:pStyle w:val="western"/>
        <w:spacing w:line="276" w:lineRule="auto"/>
        <w:rPr>
          <w:b/>
          <w:i w:val="0"/>
          <w:iCs w:val="0"/>
          <w:u w:val="single"/>
        </w:rPr>
      </w:pPr>
      <w:r w:rsidRPr="009722C2">
        <w:rPr>
          <w:b/>
          <w:i w:val="0"/>
          <w:iCs w:val="0"/>
          <w:u w:val="single"/>
        </w:rPr>
        <w:t>Texte</w:t>
      </w:r>
      <w:r w:rsidR="000D0508">
        <w:rPr>
          <w:b/>
          <w:i w:val="0"/>
          <w:iCs w:val="0"/>
          <w:u w:val="single"/>
        </w:rPr>
        <w:t>s</w:t>
      </w:r>
      <w:r w:rsidRPr="009722C2">
        <w:rPr>
          <w:b/>
          <w:i w:val="0"/>
          <w:iCs w:val="0"/>
          <w:u w:val="single"/>
        </w:rPr>
        <w:t> :</w:t>
      </w:r>
    </w:p>
    <w:p w14:paraId="2449F1E7" w14:textId="2C39C3C1" w:rsidR="00CD177B" w:rsidRDefault="002F0095" w:rsidP="003049DF">
      <w:pPr>
        <w:spacing w:line="276" w:lineRule="auto"/>
        <w:jc w:val="both"/>
      </w:pPr>
      <w:r w:rsidRPr="0031663C">
        <w:t>L</w:t>
      </w:r>
      <w:r w:rsidR="00CD177B" w:rsidRPr="0031663C">
        <w:t>e</w:t>
      </w:r>
      <w:r w:rsidR="000D0508">
        <w:t>s</w:t>
      </w:r>
      <w:r w:rsidR="00CD177B" w:rsidRPr="0031663C">
        <w:t xml:space="preserve"> projet</w:t>
      </w:r>
      <w:r w:rsidR="000D0508">
        <w:t>s</w:t>
      </w:r>
      <w:r w:rsidR="00CD177B" w:rsidRPr="0031663C">
        <w:t xml:space="preserve"> de texte</w:t>
      </w:r>
      <w:r w:rsidR="000D0508">
        <w:t>s</w:t>
      </w:r>
      <w:r w:rsidR="00FF1108">
        <w:t xml:space="preserve"> sont</w:t>
      </w:r>
      <w:r w:rsidR="003510CD" w:rsidRPr="0031663C">
        <w:t xml:space="preserve"> disponible</w:t>
      </w:r>
      <w:r w:rsidR="00FF1108">
        <w:t>s</w:t>
      </w:r>
      <w:r w:rsidR="003510CD" w:rsidRPr="0031663C">
        <w:t>. Vous pouvez consulter ce</w:t>
      </w:r>
      <w:r w:rsidR="000D0508">
        <w:t>s</w:t>
      </w:r>
      <w:r w:rsidR="003510CD" w:rsidRPr="0031663C">
        <w:t xml:space="preserve"> projet</w:t>
      </w:r>
      <w:r w:rsidR="000D0508">
        <w:t>s</w:t>
      </w:r>
      <w:r w:rsidR="003510CD" w:rsidRPr="0031663C">
        <w:t xml:space="preserve"> </w:t>
      </w:r>
      <w:r w:rsidR="00CD177B" w:rsidRPr="0031663C">
        <w:t xml:space="preserve">de texte et faire part de vos observations, via le lien en bas de page « Déposer votre commentaire », du </w:t>
      </w:r>
      <w:r w:rsidR="001E4919">
        <w:t>05</w:t>
      </w:r>
      <w:r w:rsidR="00134146">
        <w:t>/</w:t>
      </w:r>
      <w:r w:rsidR="001E4919">
        <w:t>01</w:t>
      </w:r>
      <w:r w:rsidR="00134146">
        <w:t>/202</w:t>
      </w:r>
      <w:r w:rsidR="001E4919">
        <w:t>6</w:t>
      </w:r>
      <w:r w:rsidR="003510CD" w:rsidRPr="0031663C">
        <w:t xml:space="preserve"> au </w:t>
      </w:r>
      <w:r w:rsidR="001E4919">
        <w:t>26</w:t>
      </w:r>
      <w:r w:rsidR="00134146">
        <w:t>/01/2026</w:t>
      </w:r>
      <w:r w:rsidR="003510CD" w:rsidRPr="0031663C">
        <w:t xml:space="preserve"> inclus</w:t>
      </w:r>
      <w:r w:rsidR="00CD177B" w:rsidRPr="0031663C">
        <w:t>.</w:t>
      </w:r>
    </w:p>
    <w:p w14:paraId="3B705997" w14:textId="77777777" w:rsidR="00FF1108" w:rsidRDefault="00FF1108" w:rsidP="003049DF">
      <w:pPr>
        <w:spacing w:line="276" w:lineRule="auto"/>
        <w:jc w:val="both"/>
      </w:pPr>
      <w:r>
        <w:t>Le projet de décret a fait l’objet d’un avis favorable de la Mission interministérielle de l’eau (MIE) du 18 décembre 2025.</w:t>
      </w:r>
    </w:p>
    <w:p w14:paraId="430EDB05" w14:textId="7ED7D95E" w:rsidR="00FF1108" w:rsidRPr="008F7206" w:rsidRDefault="00FF1108" w:rsidP="003049DF">
      <w:pPr>
        <w:spacing w:line="276" w:lineRule="auto"/>
        <w:jc w:val="both"/>
      </w:pPr>
      <w:r>
        <w:t>Le projet de décret et le projet d’arrêté feront l’objet d’une consultation du</w:t>
      </w:r>
      <w:r w:rsidRPr="0031663C">
        <w:t xml:space="preserve"> Conseil supérieur de la prévention des risques technologiques (CSPRT) du </w:t>
      </w:r>
      <w:r w:rsidR="008F7206">
        <w:t>3 février</w:t>
      </w:r>
      <w:r w:rsidRPr="0031663C">
        <w:t xml:space="preserve"> 2026</w:t>
      </w:r>
      <w:r>
        <w:t>.</w:t>
      </w:r>
    </w:p>
    <w:p w14:paraId="43D1E357" w14:textId="77777777" w:rsidR="00CD177B" w:rsidRPr="009722C2" w:rsidRDefault="009722C2" w:rsidP="003049DF">
      <w:pPr>
        <w:spacing w:line="276" w:lineRule="auto"/>
        <w:jc w:val="both"/>
      </w:pPr>
      <w:r w:rsidRPr="0031663C">
        <w:t>Cette consultation publique est réalisée en application de l’article L.123-19-1 du code de l’environnement pour la mise en œuvre du principe de participation du public aux décisions publiques ayant une incidence sur l’environnement prévu à l’article 7 de la Charte de l’environnement.</w:t>
      </w:r>
    </w:p>
    <w:p w14:paraId="27E6FF39" w14:textId="77777777" w:rsidR="007D0C25" w:rsidRPr="00F87F43" w:rsidRDefault="007D0C25" w:rsidP="003049DF">
      <w:pPr>
        <w:pStyle w:val="western"/>
        <w:spacing w:line="276" w:lineRule="auto"/>
        <w:rPr>
          <w:b/>
          <w:i w:val="0"/>
          <w:iCs w:val="0"/>
        </w:rPr>
      </w:pPr>
      <w:r w:rsidRPr="00F87F43">
        <w:rPr>
          <w:b/>
          <w:i w:val="0"/>
          <w:iCs w:val="0"/>
          <w:u w:val="single"/>
        </w:rPr>
        <w:t>Les objectifs</w:t>
      </w:r>
      <w:r w:rsidRPr="00F87F43">
        <w:rPr>
          <w:b/>
          <w:i w:val="0"/>
          <w:iCs w:val="0"/>
        </w:rPr>
        <w:t> :</w:t>
      </w:r>
    </w:p>
    <w:p w14:paraId="26412CB0" w14:textId="11E7B0F8" w:rsidR="007D0C25" w:rsidRPr="007D0C25" w:rsidRDefault="007D0C25" w:rsidP="003049DF">
      <w:pPr>
        <w:pStyle w:val="western"/>
        <w:spacing w:line="276" w:lineRule="auto"/>
        <w:rPr>
          <w:bCs/>
          <w:i w:val="0"/>
          <w:iCs w:val="0"/>
        </w:rPr>
      </w:pPr>
      <w:r>
        <w:rPr>
          <w:bCs/>
          <w:i w:val="0"/>
          <w:iCs w:val="0"/>
        </w:rPr>
        <w:t>L</w:t>
      </w:r>
      <w:r w:rsidRPr="007D0C25">
        <w:rPr>
          <w:bCs/>
          <w:i w:val="0"/>
          <w:iCs w:val="0"/>
        </w:rPr>
        <w:t xml:space="preserve">e présent projet de décret vise, tout d’abord, à faciliter le développement de la géothermie, en augmentant le seuil de la géothermie de minime importance sur sonde (à 2 MW), en excluant du régime légal des mines certaines activités géothermiques et en renforçant le régime de sanctions applicable aux travaux </w:t>
      </w:r>
      <w:r w:rsidR="00CD4E35">
        <w:rPr>
          <w:bCs/>
          <w:i w:val="0"/>
          <w:iCs w:val="0"/>
        </w:rPr>
        <w:t>miniers à autorisation</w:t>
      </w:r>
      <w:r w:rsidRPr="007D0C25">
        <w:rPr>
          <w:bCs/>
          <w:i w:val="0"/>
          <w:iCs w:val="0"/>
        </w:rPr>
        <w:t>.</w:t>
      </w:r>
    </w:p>
    <w:p w14:paraId="2D5C34F4" w14:textId="77777777" w:rsidR="007D0C25" w:rsidRPr="007D0C25" w:rsidRDefault="007D0C25" w:rsidP="003049DF">
      <w:pPr>
        <w:pStyle w:val="western"/>
        <w:spacing w:line="276" w:lineRule="auto"/>
        <w:rPr>
          <w:bCs/>
          <w:i w:val="0"/>
          <w:iCs w:val="0"/>
        </w:rPr>
      </w:pPr>
      <w:r w:rsidRPr="007D0C25">
        <w:rPr>
          <w:bCs/>
          <w:i w:val="0"/>
          <w:iCs w:val="0"/>
        </w:rPr>
        <w:t>Par ailleurs, il adapte les dispositions relatives aux cessations d’activité des stockages souterrain de gaz naturel.</w:t>
      </w:r>
    </w:p>
    <w:p w14:paraId="47E84392" w14:textId="7DF4E5A6" w:rsidR="007D0C25" w:rsidRDefault="006572B9" w:rsidP="003049DF">
      <w:pPr>
        <w:pStyle w:val="western"/>
        <w:spacing w:line="276" w:lineRule="auto"/>
        <w:rPr>
          <w:bCs/>
          <w:i w:val="0"/>
          <w:iCs w:val="0"/>
        </w:rPr>
      </w:pPr>
      <w:r>
        <w:rPr>
          <w:bCs/>
          <w:i w:val="0"/>
          <w:iCs w:val="0"/>
        </w:rPr>
        <w:t>L</w:t>
      </w:r>
      <w:r w:rsidR="007D0C25" w:rsidRPr="007D0C25">
        <w:rPr>
          <w:bCs/>
          <w:i w:val="0"/>
          <w:iCs w:val="0"/>
        </w:rPr>
        <w:t>e décret définit les modalités d'appel des sommes consignées en cas de non-exécution des dispositions relatives aux garanties financières</w:t>
      </w:r>
      <w:r w:rsidR="000D0508">
        <w:rPr>
          <w:bCs/>
          <w:i w:val="0"/>
          <w:iCs w:val="0"/>
        </w:rPr>
        <w:t xml:space="preserve"> qui doivent être mises en place par certaines installations classées pour l</w:t>
      </w:r>
      <w:r w:rsidR="00DF5581">
        <w:rPr>
          <w:bCs/>
          <w:i w:val="0"/>
          <w:iCs w:val="0"/>
        </w:rPr>
        <w:t>a</w:t>
      </w:r>
      <w:r w:rsidR="000D0508">
        <w:rPr>
          <w:bCs/>
          <w:i w:val="0"/>
          <w:iCs w:val="0"/>
        </w:rPr>
        <w:t xml:space="preserve"> protection de l’environnement.</w:t>
      </w:r>
    </w:p>
    <w:p w14:paraId="124F8BCB" w14:textId="57737419" w:rsidR="00D74B41" w:rsidRPr="00033C1F" w:rsidRDefault="006572B9" w:rsidP="003049DF">
      <w:pPr>
        <w:pStyle w:val="western"/>
        <w:spacing w:line="276" w:lineRule="auto"/>
        <w:rPr>
          <w:i w:val="0"/>
        </w:rPr>
      </w:pPr>
      <w:r>
        <w:rPr>
          <w:bCs/>
          <w:i w:val="0"/>
          <w:iCs w:val="0"/>
        </w:rPr>
        <w:t xml:space="preserve">Enfin, </w:t>
      </w:r>
      <w:r w:rsidR="00E02224">
        <w:rPr>
          <w:bCs/>
          <w:i w:val="0"/>
          <w:iCs w:val="0"/>
        </w:rPr>
        <w:t xml:space="preserve">le décret </w:t>
      </w:r>
      <w:r w:rsidR="00033C1F">
        <w:rPr>
          <w:bCs/>
          <w:i w:val="0"/>
          <w:iCs w:val="0"/>
        </w:rPr>
        <w:t xml:space="preserve">et l’arrêté </w:t>
      </w:r>
      <w:r w:rsidR="00E02224">
        <w:rPr>
          <w:bCs/>
          <w:i w:val="0"/>
          <w:iCs w:val="0"/>
        </w:rPr>
        <w:t>vise</w:t>
      </w:r>
      <w:r w:rsidR="00033C1F">
        <w:rPr>
          <w:bCs/>
          <w:i w:val="0"/>
          <w:iCs w:val="0"/>
        </w:rPr>
        <w:t>nt</w:t>
      </w:r>
      <w:r w:rsidR="00554CF4" w:rsidRPr="00554CF4">
        <w:rPr>
          <w:bCs/>
          <w:i w:val="0"/>
          <w:iCs w:val="0"/>
        </w:rPr>
        <w:t xml:space="preserve"> à faciliter la mise en œuvre de certaines dispositions de l’article 27 du règlement européen </w:t>
      </w:r>
      <w:r w:rsidR="00D74B41" w:rsidRPr="00033C1F">
        <w:rPr>
          <w:i w:val="0"/>
        </w:rPr>
        <w:t>2024/1252 du 11 avril 2024</w:t>
      </w:r>
      <w:r w:rsidR="00D74B41" w:rsidRPr="00A87C32">
        <w:rPr>
          <w:iCs w:val="0"/>
        </w:rPr>
        <w:t xml:space="preserve"> </w:t>
      </w:r>
      <w:r w:rsidR="00554CF4" w:rsidRPr="00554CF4">
        <w:rPr>
          <w:bCs/>
          <w:i w:val="0"/>
          <w:iCs w:val="0"/>
        </w:rPr>
        <w:t>sur les matières premières critiques</w:t>
      </w:r>
      <w:r w:rsidR="00033C1F">
        <w:rPr>
          <w:bCs/>
          <w:i w:val="0"/>
          <w:iCs w:val="0"/>
        </w:rPr>
        <w:t xml:space="preserve">, dispositions qui ont pour objectif de </w:t>
      </w:r>
      <w:r w:rsidR="00D74B41" w:rsidRPr="00033C1F">
        <w:rPr>
          <w:bCs/>
          <w:i w:val="0"/>
        </w:rPr>
        <w:t xml:space="preserve">mieux connaître la teneur en matières premières critiques </w:t>
      </w:r>
      <w:r w:rsidR="00D74B41" w:rsidRPr="00033C1F">
        <w:rPr>
          <w:bCs/>
          <w:i w:val="0"/>
        </w:rPr>
        <w:lastRenderedPageBreak/>
        <w:t>des déchets d’extraction des sites en exploitation, le cas échéant</w:t>
      </w:r>
      <w:r w:rsidR="00033C1F">
        <w:rPr>
          <w:bCs/>
          <w:i w:val="0"/>
        </w:rPr>
        <w:t xml:space="preserve"> en </w:t>
      </w:r>
      <w:r w:rsidR="00D74B41" w:rsidRPr="00033C1F">
        <w:rPr>
          <w:bCs/>
          <w:i w:val="0"/>
        </w:rPr>
        <w:t>réalis</w:t>
      </w:r>
      <w:r w:rsidR="00033C1F">
        <w:rPr>
          <w:bCs/>
          <w:i w:val="0"/>
        </w:rPr>
        <w:t>ant</w:t>
      </w:r>
      <w:r w:rsidR="00D74B41" w:rsidRPr="00033C1F">
        <w:rPr>
          <w:bCs/>
          <w:i w:val="0"/>
        </w:rPr>
        <w:t xml:space="preserve"> une étude d’évaluation économique préliminaire concernant leurs possibilités de valorisation</w:t>
      </w:r>
      <w:r w:rsidR="00D74B41" w:rsidRPr="00033C1F">
        <w:rPr>
          <w:i w:val="0"/>
        </w:rPr>
        <w:t>.</w:t>
      </w:r>
    </w:p>
    <w:p w14:paraId="57EBF62A" w14:textId="65D5D03A" w:rsidR="00D74B41" w:rsidRPr="00134146" w:rsidRDefault="000D0508" w:rsidP="003049DF">
      <w:pPr>
        <w:pStyle w:val="western"/>
        <w:spacing w:line="276" w:lineRule="auto"/>
        <w:rPr>
          <w:b/>
          <w:i w:val="0"/>
          <w:iCs w:val="0"/>
          <w:u w:val="single"/>
        </w:rPr>
      </w:pPr>
      <w:r w:rsidRPr="00134146">
        <w:rPr>
          <w:b/>
          <w:i w:val="0"/>
          <w:iCs w:val="0"/>
          <w:u w:val="single"/>
        </w:rPr>
        <w:t>Présentation du contexte et des dispositions</w:t>
      </w:r>
    </w:p>
    <w:p w14:paraId="47819E4F" w14:textId="13D1FF2F" w:rsidR="00783491" w:rsidRPr="00783491" w:rsidRDefault="00783491" w:rsidP="003049DF">
      <w:pPr>
        <w:pStyle w:val="western"/>
        <w:spacing w:line="276" w:lineRule="auto"/>
        <w:rPr>
          <w:bCs/>
        </w:rPr>
      </w:pPr>
      <w:r w:rsidRPr="00783491">
        <w:rPr>
          <w:bCs/>
        </w:rPr>
        <w:t xml:space="preserve">1/ Développement de la géothermie </w:t>
      </w:r>
    </w:p>
    <w:p w14:paraId="4FA62892" w14:textId="7F2FF689" w:rsidR="00C42426" w:rsidRDefault="000D0508" w:rsidP="003049DF">
      <w:pPr>
        <w:pStyle w:val="western"/>
        <w:spacing w:line="276" w:lineRule="auto"/>
        <w:rPr>
          <w:bCs/>
          <w:i w:val="0"/>
          <w:iCs w:val="0"/>
        </w:rPr>
      </w:pPr>
      <w:r>
        <w:rPr>
          <w:bCs/>
          <w:i w:val="0"/>
          <w:iCs w:val="0"/>
        </w:rPr>
        <w:t>Dans une optique de décarbonation des moyens de chauffage, l</w:t>
      </w:r>
      <w:r w:rsidR="00EF1A26">
        <w:rPr>
          <w:bCs/>
          <w:i w:val="0"/>
          <w:iCs w:val="0"/>
        </w:rPr>
        <w:t xml:space="preserve">e Gouvernement s’est donné pour objectif de faciliter le développement de </w:t>
      </w:r>
      <w:r>
        <w:rPr>
          <w:bCs/>
          <w:i w:val="0"/>
          <w:iCs w:val="0"/>
        </w:rPr>
        <w:t>la géothermie</w:t>
      </w:r>
      <w:r w:rsidR="00EF1A26">
        <w:rPr>
          <w:bCs/>
          <w:i w:val="0"/>
          <w:iCs w:val="0"/>
        </w:rPr>
        <w:t xml:space="preserve">. </w:t>
      </w:r>
      <w:r>
        <w:rPr>
          <w:bCs/>
          <w:i w:val="0"/>
          <w:iCs w:val="0"/>
        </w:rPr>
        <w:t>Le</w:t>
      </w:r>
      <w:r w:rsidR="00EF1A26" w:rsidRPr="00EF1A26">
        <w:rPr>
          <w:bCs/>
          <w:i w:val="0"/>
          <w:iCs w:val="0"/>
        </w:rPr>
        <w:t xml:space="preserve"> plan d’action national </w:t>
      </w:r>
      <w:r>
        <w:rPr>
          <w:bCs/>
          <w:i w:val="0"/>
          <w:iCs w:val="0"/>
        </w:rPr>
        <w:t xml:space="preserve">d’action sur ce sujet prévoit, parmi d’autres actions, </w:t>
      </w:r>
      <w:r w:rsidR="00783491">
        <w:rPr>
          <w:bCs/>
          <w:i w:val="0"/>
          <w:iCs w:val="0"/>
        </w:rPr>
        <w:t>l</w:t>
      </w:r>
      <w:r w:rsidR="00C42426" w:rsidRPr="00554CF4">
        <w:rPr>
          <w:bCs/>
          <w:i w:val="0"/>
          <w:iCs w:val="0"/>
        </w:rPr>
        <w:t xml:space="preserve">’augmentation du seuil de la puissance à 2 MW pour la </w:t>
      </w:r>
      <w:r w:rsidR="00FA593F" w:rsidRPr="00554CF4">
        <w:rPr>
          <w:bCs/>
          <w:i w:val="0"/>
          <w:iCs w:val="0"/>
        </w:rPr>
        <w:t>géothermie de minime importance (</w:t>
      </w:r>
      <w:r w:rsidR="00C42426" w:rsidRPr="00554CF4">
        <w:rPr>
          <w:bCs/>
          <w:i w:val="0"/>
          <w:iCs w:val="0"/>
        </w:rPr>
        <w:t>GMI</w:t>
      </w:r>
      <w:r w:rsidR="00FA593F" w:rsidRPr="00554CF4">
        <w:rPr>
          <w:bCs/>
          <w:i w:val="0"/>
          <w:iCs w:val="0"/>
        </w:rPr>
        <w:t>)</w:t>
      </w:r>
      <w:r w:rsidR="00C42426" w:rsidRPr="00554CF4">
        <w:rPr>
          <w:bCs/>
          <w:i w:val="0"/>
          <w:iCs w:val="0"/>
        </w:rPr>
        <w:t xml:space="preserve"> </w:t>
      </w:r>
      <w:r w:rsidR="00FA593F" w:rsidRPr="00554CF4">
        <w:rPr>
          <w:bCs/>
          <w:i w:val="0"/>
          <w:iCs w:val="0"/>
        </w:rPr>
        <w:t>ne recourant qu'à des échangeurs géothermiques fermés, dite « GMI sur</w:t>
      </w:r>
      <w:r w:rsidR="00C42426" w:rsidRPr="00554CF4">
        <w:rPr>
          <w:bCs/>
          <w:i w:val="0"/>
          <w:iCs w:val="0"/>
        </w:rPr>
        <w:t xml:space="preserve"> sonde</w:t>
      </w:r>
      <w:r w:rsidR="00FA593F" w:rsidRPr="00554CF4">
        <w:rPr>
          <w:bCs/>
          <w:i w:val="0"/>
          <w:iCs w:val="0"/>
        </w:rPr>
        <w:t> »</w:t>
      </w:r>
      <w:r w:rsidR="00783491">
        <w:rPr>
          <w:bCs/>
          <w:i w:val="0"/>
          <w:iCs w:val="0"/>
        </w:rPr>
        <w:t>.</w:t>
      </w:r>
    </w:p>
    <w:p w14:paraId="0627EE6F" w14:textId="77777777" w:rsidR="000D0508" w:rsidRPr="003E21D6" w:rsidRDefault="000D0508" w:rsidP="000D0508">
      <w:pPr>
        <w:pStyle w:val="western"/>
        <w:spacing w:after="0" w:afterAutospacing="0" w:line="276" w:lineRule="auto"/>
        <w:rPr>
          <w:bCs/>
          <w:i w:val="0"/>
          <w:iCs w:val="0"/>
        </w:rPr>
      </w:pPr>
      <w:r w:rsidRPr="003049DF">
        <w:rPr>
          <w:b/>
          <w:i w:val="0"/>
          <w:iCs w:val="0"/>
        </w:rPr>
        <w:t>L’article 1</w:t>
      </w:r>
      <w:r w:rsidRPr="003049DF">
        <w:rPr>
          <w:b/>
          <w:i w:val="0"/>
          <w:iCs w:val="0"/>
          <w:vertAlign w:val="superscript"/>
        </w:rPr>
        <w:t>er</w:t>
      </w:r>
      <w:r>
        <w:rPr>
          <w:bCs/>
          <w:i w:val="0"/>
          <w:iCs w:val="0"/>
        </w:rPr>
        <w:t xml:space="preserve"> du </w:t>
      </w:r>
      <w:r w:rsidRPr="00554CF4">
        <w:rPr>
          <w:bCs/>
          <w:i w:val="0"/>
          <w:iCs w:val="0"/>
        </w:rPr>
        <w:t>projet de décret prévoit</w:t>
      </w:r>
      <w:r>
        <w:rPr>
          <w:bCs/>
          <w:i w:val="0"/>
          <w:iCs w:val="0"/>
        </w:rPr>
        <w:t xml:space="preserve">, sous réserve du respect de certaines conditions </w:t>
      </w:r>
      <w:r w:rsidRPr="003E21D6">
        <w:rPr>
          <w:bCs/>
          <w:i w:val="0"/>
          <w:iCs w:val="0"/>
        </w:rPr>
        <w:t>techniques, d’exempter de l’application du code minier, les ouvrages suivants :</w:t>
      </w:r>
    </w:p>
    <w:p w14:paraId="44F2C5BB" w14:textId="656AC524" w:rsidR="000D0508" w:rsidRPr="003E21D6" w:rsidRDefault="000D0508" w:rsidP="000D0508">
      <w:pPr>
        <w:pStyle w:val="Paragraphedeliste"/>
        <w:numPr>
          <w:ilvl w:val="0"/>
          <w:numId w:val="8"/>
        </w:numPr>
        <w:spacing w:line="276" w:lineRule="auto"/>
        <w:jc w:val="both"/>
      </w:pPr>
      <w:r w:rsidRPr="003E21D6">
        <w:t>d’anciennes sources thermales</w:t>
      </w:r>
      <w:r>
        <w:t>,</w:t>
      </w:r>
      <w:r w:rsidRPr="003E21D6">
        <w:t xml:space="preserve"> </w:t>
      </w:r>
      <w:r>
        <w:t>lorsqu’il s’agit d’y prélever des</w:t>
      </w:r>
      <w:r w:rsidRPr="003E21D6">
        <w:t xml:space="preserve"> calories afin de chauffer des bâtiments</w:t>
      </w:r>
      <w:r>
        <w:t xml:space="preserve">, sans impact négatif sur l’environnement </w:t>
      </w:r>
      <w:r w:rsidRPr="003E21D6">
        <w:t>;</w:t>
      </w:r>
    </w:p>
    <w:p w14:paraId="3098739F" w14:textId="1A4F223D" w:rsidR="000D0508" w:rsidRPr="003E21D6" w:rsidRDefault="000D0508" w:rsidP="000D0508">
      <w:pPr>
        <w:pStyle w:val="Paragraphedeliste"/>
        <w:numPr>
          <w:ilvl w:val="0"/>
          <w:numId w:val="8"/>
        </w:numPr>
        <w:spacing w:line="276" w:lineRule="auto"/>
        <w:jc w:val="both"/>
      </w:pPr>
      <w:r w:rsidRPr="003E21D6">
        <w:t xml:space="preserve">des </w:t>
      </w:r>
      <w:r>
        <w:t>échangeurs thermiques connectés à des forages utilisés pour éviter des phénomènes de remontée de nappe phréatique, qui ont donc un but principal de protection des personnes et des biens</w:t>
      </w:r>
      <w:r w:rsidRPr="003E21D6">
        <w:t>.</w:t>
      </w:r>
    </w:p>
    <w:p w14:paraId="639868AF" w14:textId="633B7ACC" w:rsidR="000D0508" w:rsidRDefault="000D0508" w:rsidP="000D0508">
      <w:pPr>
        <w:spacing w:line="276" w:lineRule="auto"/>
        <w:jc w:val="both"/>
        <w:rPr>
          <w:bCs/>
        </w:rPr>
      </w:pPr>
      <w:r w:rsidRPr="003049DF">
        <w:rPr>
          <w:b/>
          <w:bCs/>
        </w:rPr>
        <w:t>L’article 2</w:t>
      </w:r>
      <w:r w:rsidRPr="003E21D6">
        <w:t xml:space="preserve"> relève la </w:t>
      </w:r>
      <w:r w:rsidRPr="003E21D6">
        <w:rPr>
          <w:bCs/>
        </w:rPr>
        <w:t>puissance thermique maximale des activités géothermiques</w:t>
      </w:r>
      <w:r>
        <w:rPr>
          <w:bCs/>
        </w:rPr>
        <w:t xml:space="preserve"> dites « de minime importance »</w:t>
      </w:r>
      <w:r w:rsidRPr="003E21D6">
        <w:rPr>
          <w:bCs/>
        </w:rPr>
        <w:t xml:space="preserve"> n’ayant recours qu’à des échangeurs géothermiques fermés de 500 kW à 2 MW.</w:t>
      </w:r>
      <w:r>
        <w:rPr>
          <w:bCs/>
        </w:rPr>
        <w:t xml:space="preserve"> Ces activités bénéficieront donc d’un cadre procédural très léger, </w:t>
      </w:r>
      <w:r w:rsidR="001E4349">
        <w:rPr>
          <w:bCs/>
        </w:rPr>
        <w:t>avec u</w:t>
      </w:r>
      <w:r>
        <w:rPr>
          <w:bCs/>
        </w:rPr>
        <w:t>ne simple déclaration</w:t>
      </w:r>
      <w:r w:rsidR="001E4349">
        <w:rPr>
          <w:bCs/>
        </w:rPr>
        <w:t xml:space="preserve"> à l’administration</w:t>
      </w:r>
      <w:r>
        <w:rPr>
          <w:bCs/>
        </w:rPr>
        <w:t>, ce qui devrait faciliter leur développement.</w:t>
      </w:r>
    </w:p>
    <w:p w14:paraId="68F4FE2E" w14:textId="2D3AD8BE" w:rsidR="000D0508" w:rsidRPr="00EF224E" w:rsidRDefault="000D0508" w:rsidP="000D0508">
      <w:pPr>
        <w:spacing w:line="276" w:lineRule="auto"/>
        <w:jc w:val="both"/>
      </w:pPr>
      <w:r w:rsidRPr="0065228A">
        <w:t xml:space="preserve">Enfin, </w:t>
      </w:r>
      <w:r w:rsidR="001E4349">
        <w:t xml:space="preserve">dans l’optique d’un développement responsable des activités d’exploitation des ressources du sous-sol, </w:t>
      </w:r>
      <w:r w:rsidRPr="003049DF">
        <w:rPr>
          <w:b/>
          <w:bCs/>
        </w:rPr>
        <w:t>l’article 3</w:t>
      </w:r>
      <w:r w:rsidRPr="0065228A">
        <w:t xml:space="preserve"> complète le corpus de sanctions pénales relatif aux activités </w:t>
      </w:r>
      <w:r>
        <w:t>mini</w:t>
      </w:r>
      <w:r w:rsidR="001E4349">
        <w:t>è</w:t>
      </w:r>
      <w:r>
        <w:t>r</w:t>
      </w:r>
      <w:r w:rsidR="001E4349">
        <w:t>e</w:t>
      </w:r>
      <w:r>
        <w:t>s</w:t>
      </w:r>
      <w:r w:rsidRPr="0065228A">
        <w:t xml:space="preserve"> </w:t>
      </w:r>
      <w:r w:rsidR="001E4349">
        <w:t xml:space="preserve">soumises </w:t>
      </w:r>
      <w:r w:rsidRPr="0065228A">
        <w:t xml:space="preserve">à autorisation, qui est actuellement moins complet que celui applicable aux activités de géothermie de minime importance. </w:t>
      </w:r>
    </w:p>
    <w:p w14:paraId="32709062" w14:textId="79D5AD83" w:rsidR="007D0C25" w:rsidRPr="00783491" w:rsidRDefault="007D0C25" w:rsidP="003049DF">
      <w:pPr>
        <w:pStyle w:val="western"/>
        <w:spacing w:line="276" w:lineRule="auto"/>
        <w:rPr>
          <w:bCs/>
        </w:rPr>
      </w:pPr>
      <w:r w:rsidRPr="00783491">
        <w:rPr>
          <w:bCs/>
        </w:rPr>
        <w:t>2/ Cessations d’activité des stockages souterrains de gaz naturel</w:t>
      </w:r>
    </w:p>
    <w:p w14:paraId="6E6E5CCD" w14:textId="77777777" w:rsidR="00783491" w:rsidRDefault="00CE696E" w:rsidP="003049DF">
      <w:pPr>
        <w:pStyle w:val="western"/>
        <w:keepNext/>
        <w:spacing w:line="276" w:lineRule="auto"/>
        <w:rPr>
          <w:i w:val="0"/>
          <w:iCs w:val="0"/>
        </w:rPr>
      </w:pPr>
      <w:r>
        <w:rPr>
          <w:i w:val="0"/>
          <w:iCs w:val="0"/>
        </w:rPr>
        <w:t>La</w:t>
      </w:r>
      <w:r w:rsidR="00BB5143" w:rsidRPr="00554CF4">
        <w:rPr>
          <w:i w:val="0"/>
          <w:iCs w:val="0"/>
        </w:rPr>
        <w:t xml:space="preserve"> </w:t>
      </w:r>
      <w:r>
        <w:rPr>
          <w:i w:val="0"/>
          <w:iCs w:val="0"/>
        </w:rPr>
        <w:t xml:space="preserve">mise en sécurité réalisées lors de la </w:t>
      </w:r>
      <w:r w:rsidR="00BB5143" w:rsidRPr="00554CF4">
        <w:rPr>
          <w:i w:val="0"/>
          <w:iCs w:val="0"/>
        </w:rPr>
        <w:t xml:space="preserve">cessation d’activité d’une </w:t>
      </w:r>
      <w:r w:rsidR="00BA09AA">
        <w:rPr>
          <w:i w:val="0"/>
          <w:iCs w:val="0"/>
        </w:rPr>
        <w:t>installation classée</w:t>
      </w:r>
      <w:r w:rsidR="00C42426">
        <w:rPr>
          <w:i w:val="0"/>
          <w:iCs w:val="0"/>
        </w:rPr>
        <w:t xml:space="preserve"> pour la protection de l’environnement (ICPE)</w:t>
      </w:r>
      <w:r w:rsidR="00BB5143" w:rsidRPr="00554CF4">
        <w:rPr>
          <w:i w:val="0"/>
          <w:iCs w:val="0"/>
        </w:rPr>
        <w:t xml:space="preserve"> comprend notamment l’évacuation de tous les déchets et produits dangereux. </w:t>
      </w:r>
    </w:p>
    <w:p w14:paraId="502AEB48" w14:textId="794F6AED" w:rsidR="00783491" w:rsidRDefault="00BB5143" w:rsidP="003049DF">
      <w:pPr>
        <w:pStyle w:val="western"/>
        <w:keepNext/>
        <w:spacing w:line="276" w:lineRule="auto"/>
        <w:rPr>
          <w:i w:val="0"/>
          <w:iCs w:val="0"/>
        </w:rPr>
      </w:pPr>
      <w:r w:rsidRPr="00554CF4">
        <w:rPr>
          <w:i w:val="0"/>
          <w:iCs w:val="0"/>
        </w:rPr>
        <w:t xml:space="preserve">Or, pour les stockages souterrains de gaz, il s’avère qu’une quantité </w:t>
      </w:r>
      <w:r w:rsidR="00BE0092">
        <w:rPr>
          <w:i w:val="0"/>
          <w:iCs w:val="0"/>
        </w:rPr>
        <w:t xml:space="preserve">résiduelle </w:t>
      </w:r>
      <w:r w:rsidRPr="00554CF4">
        <w:rPr>
          <w:i w:val="0"/>
          <w:iCs w:val="0"/>
        </w:rPr>
        <w:t xml:space="preserve">de </w:t>
      </w:r>
      <w:r>
        <w:rPr>
          <w:i w:val="0"/>
          <w:iCs w:val="0"/>
        </w:rPr>
        <w:t>gaz naturel</w:t>
      </w:r>
      <w:r w:rsidRPr="00554CF4">
        <w:rPr>
          <w:i w:val="0"/>
          <w:iCs w:val="0"/>
        </w:rPr>
        <w:t xml:space="preserve"> demeure toujours stockée sous terre</w:t>
      </w:r>
      <w:r w:rsidR="00CE696E">
        <w:rPr>
          <w:i w:val="0"/>
          <w:iCs w:val="0"/>
        </w:rPr>
        <w:t>. Une</w:t>
      </w:r>
      <w:r w:rsidRPr="00554CF4">
        <w:rPr>
          <w:i w:val="0"/>
          <w:iCs w:val="0"/>
        </w:rPr>
        <w:t xml:space="preserve"> partie </w:t>
      </w:r>
      <w:r w:rsidR="00CE696E">
        <w:rPr>
          <w:i w:val="0"/>
          <w:iCs w:val="0"/>
        </w:rPr>
        <w:t xml:space="preserve">de ce gaz </w:t>
      </w:r>
      <w:r w:rsidRPr="00554CF4">
        <w:rPr>
          <w:i w:val="0"/>
          <w:iCs w:val="0"/>
        </w:rPr>
        <w:t xml:space="preserve">est piégée par la roche </w:t>
      </w:r>
      <w:r w:rsidR="007463B9">
        <w:rPr>
          <w:i w:val="0"/>
          <w:iCs w:val="0"/>
        </w:rPr>
        <w:t xml:space="preserve">réservoir </w:t>
      </w:r>
      <w:r w:rsidRPr="00554CF4">
        <w:rPr>
          <w:i w:val="0"/>
          <w:iCs w:val="0"/>
        </w:rPr>
        <w:t xml:space="preserve">et une autre est potentiellement soutirable. Il n’est </w:t>
      </w:r>
      <w:r w:rsidR="000D0508">
        <w:rPr>
          <w:i w:val="0"/>
          <w:iCs w:val="0"/>
        </w:rPr>
        <w:t xml:space="preserve">cependant </w:t>
      </w:r>
      <w:r w:rsidRPr="00554CF4">
        <w:rPr>
          <w:i w:val="0"/>
          <w:iCs w:val="0"/>
        </w:rPr>
        <w:t xml:space="preserve">pas toujours </w:t>
      </w:r>
      <w:r w:rsidRPr="00BB5143">
        <w:rPr>
          <w:i w:val="0"/>
          <w:iCs w:val="0"/>
        </w:rPr>
        <w:t>possible</w:t>
      </w:r>
      <w:r w:rsidRPr="00554CF4">
        <w:rPr>
          <w:i w:val="0"/>
          <w:iCs w:val="0"/>
        </w:rPr>
        <w:t>, d’un point de vue technico-</w:t>
      </w:r>
      <w:r>
        <w:rPr>
          <w:i w:val="0"/>
          <w:iCs w:val="0"/>
        </w:rPr>
        <w:t>é</w:t>
      </w:r>
      <w:r w:rsidRPr="00554CF4">
        <w:rPr>
          <w:i w:val="0"/>
          <w:iCs w:val="0"/>
        </w:rPr>
        <w:t>conomique de capter la part soutirable.</w:t>
      </w:r>
      <w:r w:rsidR="00C42426">
        <w:rPr>
          <w:i w:val="0"/>
          <w:iCs w:val="0"/>
        </w:rPr>
        <w:t xml:space="preserve"> </w:t>
      </w:r>
    </w:p>
    <w:p w14:paraId="73E60FED" w14:textId="48A2F1DF" w:rsidR="001E4349" w:rsidRDefault="001E4349" w:rsidP="001E4349">
      <w:pPr>
        <w:spacing w:line="276" w:lineRule="auto"/>
        <w:jc w:val="both"/>
      </w:pPr>
      <w:r w:rsidRPr="003049DF">
        <w:rPr>
          <w:b/>
        </w:rPr>
        <w:t>L’article 4</w:t>
      </w:r>
      <w:r>
        <w:rPr>
          <w:bCs/>
        </w:rPr>
        <w:t xml:space="preserve"> vise ainsi à permettre à l’</w:t>
      </w:r>
      <w:r>
        <w:t>exploitant d'un stockage souterrain de gaz naturel de maintenir une quantité résiduelle de gaz en souterrain lors de la cessation d’activité du stockage.</w:t>
      </w:r>
    </w:p>
    <w:p w14:paraId="5BFDDBA6" w14:textId="2AB38EC0" w:rsidR="001E4349" w:rsidRPr="00554CF4" w:rsidRDefault="001E4349" w:rsidP="001E4349">
      <w:pPr>
        <w:spacing w:line="276" w:lineRule="auto"/>
        <w:jc w:val="both"/>
        <w:rPr>
          <w:color w:val="FF0000"/>
          <w:sz w:val="20"/>
          <w:szCs w:val="20"/>
        </w:rPr>
      </w:pPr>
      <w:r>
        <w:rPr>
          <w:bCs/>
        </w:rPr>
        <w:t>Une</w:t>
      </w:r>
      <w:r w:rsidRPr="00554CF4">
        <w:rPr>
          <w:bCs/>
        </w:rPr>
        <w:t xml:space="preserve"> </w:t>
      </w:r>
      <w:r w:rsidRPr="00FA593F">
        <w:rPr>
          <w:bCs/>
        </w:rPr>
        <w:t>s</w:t>
      </w:r>
      <w:r w:rsidRPr="00554CF4">
        <w:rPr>
          <w:bCs/>
        </w:rPr>
        <w:t xml:space="preserve">ection 2 </w:t>
      </w:r>
      <w:r w:rsidRPr="0065228A">
        <w:rPr>
          <w:bCs/>
          <w:i/>
          <w:iCs/>
        </w:rPr>
        <w:t>bis</w:t>
      </w:r>
      <w:r>
        <w:rPr>
          <w:bCs/>
          <w:i/>
          <w:iCs/>
        </w:rPr>
        <w:t>,</w:t>
      </w:r>
      <w:r w:rsidRPr="00554CF4">
        <w:rPr>
          <w:bCs/>
        </w:rPr>
        <w:t xml:space="preserve"> dénommée « stockage souterrain de gaz naturel »</w:t>
      </w:r>
      <w:r>
        <w:rPr>
          <w:bCs/>
        </w:rPr>
        <w:t>,</w:t>
      </w:r>
      <w:r w:rsidRPr="00554CF4">
        <w:rPr>
          <w:bCs/>
        </w:rPr>
        <w:t xml:space="preserve"> et </w:t>
      </w:r>
      <w:r>
        <w:rPr>
          <w:bCs/>
        </w:rPr>
        <w:t xml:space="preserve">un </w:t>
      </w:r>
      <w:r w:rsidRPr="00554CF4">
        <w:rPr>
          <w:bCs/>
        </w:rPr>
        <w:t xml:space="preserve">article R. 515-23-1 sont créés dans le code de l’environnement afin de définir les conditions dérogatoires </w:t>
      </w:r>
      <w:r w:rsidRPr="00FA593F">
        <w:rPr>
          <w:bCs/>
        </w:rPr>
        <w:t>de mise en sé</w:t>
      </w:r>
      <w:r w:rsidRPr="006D2F10">
        <w:rPr>
          <w:bCs/>
        </w:rPr>
        <w:t xml:space="preserve">curité </w:t>
      </w:r>
      <w:r w:rsidRPr="00150812">
        <w:rPr>
          <w:bCs/>
        </w:rPr>
        <w:t xml:space="preserve">des stockages souterrain </w:t>
      </w:r>
      <w:r w:rsidRPr="00EF224E">
        <w:rPr>
          <w:bCs/>
        </w:rPr>
        <w:t xml:space="preserve">de gaz naturel, sous réserve </w:t>
      </w:r>
      <w:r w:rsidRPr="00EF224E">
        <w:t>que l</w:t>
      </w:r>
      <w:r w:rsidRPr="00080625">
        <w:t>’exploitant démontre que </w:t>
      </w:r>
      <w:r w:rsidRPr="00C84F9C">
        <w:t>:</w:t>
      </w:r>
      <w:r w:rsidRPr="00554CF4">
        <w:rPr>
          <w:color w:val="FF0000"/>
          <w:sz w:val="20"/>
          <w:szCs w:val="20"/>
        </w:rPr>
        <w:t xml:space="preserve"> </w:t>
      </w:r>
    </w:p>
    <w:p w14:paraId="34E06684" w14:textId="77777777" w:rsidR="001E4349" w:rsidRDefault="001E4349" w:rsidP="001E4349">
      <w:pPr>
        <w:pStyle w:val="western"/>
        <w:numPr>
          <w:ilvl w:val="0"/>
          <w:numId w:val="7"/>
        </w:numPr>
        <w:spacing w:before="0" w:beforeAutospacing="0" w:line="276" w:lineRule="auto"/>
        <w:ind w:left="714" w:hanging="357"/>
        <w:rPr>
          <w:bCs/>
          <w:i w:val="0"/>
          <w:iCs w:val="0"/>
        </w:rPr>
      </w:pPr>
      <w:r w:rsidRPr="00FA593F">
        <w:rPr>
          <w:bCs/>
          <w:i w:val="0"/>
          <w:iCs w:val="0"/>
        </w:rPr>
        <w:t>le gaz ne puisse être extrait compte tenu d’un bilan défavorable</w:t>
      </w:r>
      <w:r w:rsidRPr="00B25A87">
        <w:rPr>
          <w:bCs/>
          <w:i w:val="0"/>
          <w:iCs w:val="0"/>
        </w:rPr>
        <w:t xml:space="preserve"> des coûts et des avantages</w:t>
      </w:r>
      <w:r w:rsidRPr="006D2F10">
        <w:rPr>
          <w:bCs/>
          <w:i w:val="0"/>
          <w:iCs w:val="0"/>
        </w:rPr>
        <w:t xml:space="preserve">, </w:t>
      </w:r>
      <w:r w:rsidRPr="00150812">
        <w:rPr>
          <w:bCs/>
          <w:i w:val="0"/>
          <w:iCs w:val="0"/>
        </w:rPr>
        <w:t xml:space="preserve">prenant en compte </w:t>
      </w:r>
      <w:r w:rsidRPr="00EF224E">
        <w:rPr>
          <w:bCs/>
          <w:i w:val="0"/>
          <w:iCs w:val="0"/>
        </w:rPr>
        <w:t>les techniques disponibles, l'impact environnemental global et le coût économique ;</w:t>
      </w:r>
    </w:p>
    <w:p w14:paraId="1FC9AF6B" w14:textId="5C4DA08F" w:rsidR="001E4349" w:rsidRPr="00EF224E" w:rsidRDefault="001E4349" w:rsidP="001E4349">
      <w:pPr>
        <w:pStyle w:val="western"/>
        <w:numPr>
          <w:ilvl w:val="0"/>
          <w:numId w:val="7"/>
        </w:numPr>
        <w:spacing w:line="276" w:lineRule="auto"/>
        <w:rPr>
          <w:bCs/>
          <w:i w:val="0"/>
          <w:iCs w:val="0"/>
        </w:rPr>
      </w:pPr>
      <w:r w:rsidRPr="00FA593F">
        <w:rPr>
          <w:bCs/>
          <w:i w:val="0"/>
          <w:iCs w:val="0"/>
        </w:rPr>
        <w:t xml:space="preserve">le site soit placé dans un état tel qu'il ne puisse porter atteinte aux </w:t>
      </w:r>
      <w:r>
        <w:rPr>
          <w:bCs/>
          <w:i w:val="0"/>
          <w:iCs w:val="0"/>
        </w:rPr>
        <w:t>personnes et à l’environnement.</w:t>
      </w:r>
    </w:p>
    <w:p w14:paraId="3AA6C9BF" w14:textId="24C683C4" w:rsidR="007D0C25" w:rsidRPr="00783491" w:rsidRDefault="007D0C25" w:rsidP="003049DF">
      <w:pPr>
        <w:pStyle w:val="western"/>
        <w:keepNext/>
        <w:spacing w:line="276" w:lineRule="auto"/>
        <w:rPr>
          <w:bCs/>
        </w:rPr>
      </w:pPr>
      <w:r w:rsidRPr="00783491">
        <w:rPr>
          <w:bCs/>
        </w:rPr>
        <w:t>3/ Modalités d</w:t>
      </w:r>
      <w:r w:rsidR="003E21D6">
        <w:rPr>
          <w:bCs/>
        </w:rPr>
        <w:t>’</w:t>
      </w:r>
      <w:r w:rsidRPr="00783491">
        <w:rPr>
          <w:bCs/>
        </w:rPr>
        <w:t>appel des sommes consignées en cas de non-exécution des dispositions relatives aux garanties financières</w:t>
      </w:r>
    </w:p>
    <w:p w14:paraId="76EED877" w14:textId="732E8614" w:rsidR="007D0C25" w:rsidRPr="007D0C25" w:rsidRDefault="007D0C25" w:rsidP="003049DF">
      <w:pPr>
        <w:pStyle w:val="western"/>
        <w:spacing w:line="276" w:lineRule="auto"/>
        <w:rPr>
          <w:bCs/>
          <w:i w:val="0"/>
          <w:iCs w:val="0"/>
        </w:rPr>
      </w:pPr>
      <w:r w:rsidRPr="007D0C25">
        <w:rPr>
          <w:bCs/>
          <w:i w:val="0"/>
          <w:iCs w:val="0"/>
        </w:rPr>
        <w:t xml:space="preserve">La mise en activité, tant après l'autorisation initiale qu'après une autorisation de changement d'exploitant, de certaines installations </w:t>
      </w:r>
      <w:r w:rsidR="000D0508">
        <w:rPr>
          <w:bCs/>
          <w:i w:val="0"/>
          <w:iCs w:val="0"/>
        </w:rPr>
        <w:t>industrielles présentant des risques particuliers</w:t>
      </w:r>
      <w:r w:rsidRPr="007D0C25">
        <w:rPr>
          <w:bCs/>
          <w:i w:val="0"/>
          <w:iCs w:val="0"/>
        </w:rPr>
        <w:t xml:space="preserve"> est subordonnée à la constitution de garanties financières en application des articles L.</w:t>
      </w:r>
      <w:r>
        <w:rPr>
          <w:bCs/>
          <w:i w:val="0"/>
          <w:iCs w:val="0"/>
        </w:rPr>
        <w:t> </w:t>
      </w:r>
      <w:r w:rsidRPr="007D0C25">
        <w:rPr>
          <w:bCs/>
          <w:i w:val="0"/>
          <w:iCs w:val="0"/>
        </w:rPr>
        <w:t>516-1 et L.</w:t>
      </w:r>
      <w:r>
        <w:rPr>
          <w:bCs/>
          <w:i w:val="0"/>
          <w:iCs w:val="0"/>
        </w:rPr>
        <w:t> </w:t>
      </w:r>
      <w:r w:rsidRPr="007D0C25">
        <w:rPr>
          <w:bCs/>
          <w:i w:val="0"/>
          <w:iCs w:val="0"/>
        </w:rPr>
        <w:t>515-46 du code de l’environnement : c’est le cas pour les installations de stockage de déchets, les carrières, les installations Seveso,</w:t>
      </w:r>
      <w:r w:rsidR="00783491" w:rsidRPr="00783491">
        <w:t xml:space="preserve"> </w:t>
      </w:r>
      <w:r w:rsidR="00783491">
        <w:rPr>
          <w:i w:val="0"/>
          <w:iCs w:val="0"/>
        </w:rPr>
        <w:t xml:space="preserve">les </w:t>
      </w:r>
      <w:r w:rsidR="00783491" w:rsidRPr="00783491">
        <w:rPr>
          <w:bCs/>
          <w:i w:val="0"/>
          <w:iCs w:val="0"/>
        </w:rPr>
        <w:t>stockage</w:t>
      </w:r>
      <w:r w:rsidR="00783491">
        <w:rPr>
          <w:bCs/>
          <w:i w:val="0"/>
          <w:iCs w:val="0"/>
        </w:rPr>
        <w:t>s</w:t>
      </w:r>
      <w:r w:rsidR="00783491" w:rsidRPr="00783491">
        <w:rPr>
          <w:bCs/>
          <w:i w:val="0"/>
          <w:iCs w:val="0"/>
        </w:rPr>
        <w:t xml:space="preserve"> géologique</w:t>
      </w:r>
      <w:r w:rsidR="00783491">
        <w:rPr>
          <w:bCs/>
          <w:i w:val="0"/>
          <w:iCs w:val="0"/>
        </w:rPr>
        <w:t>s</w:t>
      </w:r>
      <w:r w:rsidR="00783491" w:rsidRPr="00783491">
        <w:rPr>
          <w:bCs/>
          <w:i w:val="0"/>
          <w:iCs w:val="0"/>
        </w:rPr>
        <w:t xml:space="preserve"> de dioxyde de carbone</w:t>
      </w:r>
      <w:r w:rsidRPr="007D0C25">
        <w:rPr>
          <w:bCs/>
          <w:i w:val="0"/>
          <w:iCs w:val="0"/>
        </w:rPr>
        <w:t xml:space="preserve"> </w:t>
      </w:r>
      <w:r w:rsidR="00783491">
        <w:rPr>
          <w:bCs/>
          <w:i w:val="0"/>
          <w:iCs w:val="0"/>
        </w:rPr>
        <w:t xml:space="preserve">et </w:t>
      </w:r>
      <w:r w:rsidRPr="007D0C25">
        <w:rPr>
          <w:bCs/>
          <w:i w:val="0"/>
          <w:iCs w:val="0"/>
        </w:rPr>
        <w:t>les éoliennes terrestres. Dans un contexte différent,</w:t>
      </w:r>
      <w:r w:rsidR="000D0508">
        <w:rPr>
          <w:bCs/>
          <w:i w:val="0"/>
          <w:iCs w:val="0"/>
        </w:rPr>
        <w:t xml:space="preserve"> un opérateur, appelé</w:t>
      </w:r>
      <w:r w:rsidRPr="007D0C25">
        <w:rPr>
          <w:bCs/>
          <w:i w:val="0"/>
          <w:iCs w:val="0"/>
        </w:rPr>
        <w:t xml:space="preserve"> </w:t>
      </w:r>
      <w:r w:rsidR="000D0508">
        <w:rPr>
          <w:bCs/>
          <w:i w:val="0"/>
          <w:iCs w:val="0"/>
        </w:rPr>
        <w:t>« </w:t>
      </w:r>
      <w:r w:rsidRPr="007D0C25">
        <w:rPr>
          <w:bCs/>
          <w:i w:val="0"/>
          <w:iCs w:val="0"/>
        </w:rPr>
        <w:t>tiers demandeur</w:t>
      </w:r>
      <w:r w:rsidR="000D0508">
        <w:rPr>
          <w:bCs/>
          <w:i w:val="0"/>
          <w:iCs w:val="0"/>
        </w:rPr>
        <w:t> »,</w:t>
      </w:r>
      <w:r w:rsidRPr="007D0C25">
        <w:rPr>
          <w:bCs/>
          <w:i w:val="0"/>
          <w:iCs w:val="0"/>
        </w:rPr>
        <w:t xml:space="preserve"> qui souhaite</w:t>
      </w:r>
      <w:r w:rsidR="000D0508">
        <w:rPr>
          <w:bCs/>
          <w:i w:val="0"/>
          <w:iCs w:val="0"/>
        </w:rPr>
        <w:t>rait</w:t>
      </w:r>
      <w:r w:rsidRPr="007D0C25">
        <w:rPr>
          <w:bCs/>
          <w:i w:val="0"/>
          <w:iCs w:val="0"/>
        </w:rPr>
        <w:t xml:space="preserve"> réaliser la mise en sécurité et la réhabilitation </w:t>
      </w:r>
      <w:r w:rsidR="000D0508">
        <w:rPr>
          <w:bCs/>
          <w:i w:val="0"/>
          <w:iCs w:val="0"/>
        </w:rPr>
        <w:t xml:space="preserve">d’un ancien site industriel </w:t>
      </w:r>
      <w:r w:rsidRPr="007D0C25">
        <w:rPr>
          <w:bCs/>
          <w:i w:val="0"/>
          <w:iCs w:val="0"/>
        </w:rPr>
        <w:t>en lieu et place d</w:t>
      </w:r>
      <w:r w:rsidR="000D0508">
        <w:rPr>
          <w:bCs/>
          <w:i w:val="0"/>
          <w:iCs w:val="0"/>
        </w:rPr>
        <w:t>e son</w:t>
      </w:r>
      <w:r w:rsidRPr="007D0C25">
        <w:rPr>
          <w:bCs/>
          <w:i w:val="0"/>
          <w:iCs w:val="0"/>
        </w:rPr>
        <w:t xml:space="preserve"> exploitant est également soumis</w:t>
      </w:r>
      <w:r w:rsidR="000D0508" w:rsidRPr="007D0C25">
        <w:rPr>
          <w:bCs/>
          <w:i w:val="0"/>
          <w:iCs w:val="0"/>
        </w:rPr>
        <w:t>, en application de l’article L.</w:t>
      </w:r>
      <w:r w:rsidR="000D0508">
        <w:rPr>
          <w:bCs/>
          <w:i w:val="0"/>
          <w:iCs w:val="0"/>
        </w:rPr>
        <w:t> </w:t>
      </w:r>
      <w:r w:rsidR="000D0508" w:rsidRPr="007D0C25">
        <w:rPr>
          <w:bCs/>
          <w:i w:val="0"/>
          <w:iCs w:val="0"/>
        </w:rPr>
        <w:t>512-211</w:t>
      </w:r>
      <w:r w:rsidR="000D0508">
        <w:rPr>
          <w:bCs/>
          <w:i w:val="0"/>
          <w:iCs w:val="0"/>
        </w:rPr>
        <w:t xml:space="preserve"> du code de l’environnement</w:t>
      </w:r>
      <w:r w:rsidR="000D0508" w:rsidRPr="007D0C25">
        <w:rPr>
          <w:bCs/>
          <w:i w:val="0"/>
          <w:iCs w:val="0"/>
        </w:rPr>
        <w:t>,</w:t>
      </w:r>
      <w:r w:rsidRPr="007D0C25">
        <w:rPr>
          <w:bCs/>
          <w:i w:val="0"/>
          <w:iCs w:val="0"/>
        </w:rPr>
        <w:t xml:space="preserve"> à l’obligation de constitution de garanties financières. </w:t>
      </w:r>
      <w:r w:rsidR="00783491">
        <w:rPr>
          <w:bCs/>
          <w:i w:val="0"/>
          <w:iCs w:val="0"/>
        </w:rPr>
        <w:t>Dans chaque cas de figure</w:t>
      </w:r>
      <w:r w:rsidRPr="007D0C25">
        <w:rPr>
          <w:bCs/>
          <w:i w:val="0"/>
          <w:iCs w:val="0"/>
        </w:rPr>
        <w:t xml:space="preserve">, les garanties financières sont constituées pour couvrir des actions bien précises, </w:t>
      </w:r>
      <w:r w:rsidR="000D0508">
        <w:rPr>
          <w:bCs/>
          <w:i w:val="0"/>
          <w:iCs w:val="0"/>
        </w:rPr>
        <w:t xml:space="preserve">telles que l’évacuation des déchets, la mise en sécurité du site, </w:t>
      </w:r>
      <w:r w:rsidR="001E4349">
        <w:rPr>
          <w:bCs/>
          <w:i w:val="0"/>
          <w:iCs w:val="0"/>
        </w:rPr>
        <w:t xml:space="preserve">le démontage de certains équipements, </w:t>
      </w:r>
      <w:r w:rsidR="000D0508">
        <w:rPr>
          <w:bCs/>
          <w:i w:val="0"/>
          <w:iCs w:val="0"/>
        </w:rPr>
        <w:t>etc.</w:t>
      </w:r>
      <w:r w:rsidRPr="007D0C25">
        <w:rPr>
          <w:bCs/>
          <w:i w:val="0"/>
          <w:iCs w:val="0"/>
        </w:rPr>
        <w:t xml:space="preserve"> lorsque ces actions ne sont pas mises en œuvre par leur responsable (exploitant ou tiers demandeur).</w:t>
      </w:r>
    </w:p>
    <w:p w14:paraId="0F5DCF48" w14:textId="7D456320" w:rsidR="007D0C25" w:rsidRDefault="000D0508" w:rsidP="003049DF">
      <w:pPr>
        <w:pStyle w:val="western"/>
        <w:spacing w:line="276" w:lineRule="auto"/>
        <w:rPr>
          <w:bCs/>
          <w:i w:val="0"/>
          <w:iCs w:val="0"/>
        </w:rPr>
      </w:pPr>
      <w:r>
        <w:rPr>
          <w:bCs/>
          <w:i w:val="0"/>
          <w:iCs w:val="0"/>
        </w:rPr>
        <w:t>Cependant, le code de l’environnement ne précise pas à ce jour la procédure à mettre en œuvre l</w:t>
      </w:r>
      <w:r w:rsidR="007D0C25" w:rsidRPr="007D0C25">
        <w:rPr>
          <w:bCs/>
          <w:i w:val="0"/>
          <w:iCs w:val="0"/>
        </w:rPr>
        <w:t xml:space="preserve">orsqu’il est nécessaire d’appeler ces garanties financières, à la suite d’une absence de mise en œuvre de ces actions. </w:t>
      </w:r>
      <w:r>
        <w:rPr>
          <w:bCs/>
          <w:i w:val="0"/>
          <w:iCs w:val="0"/>
        </w:rPr>
        <w:t>Cette situation rend plus difficile le recouvrement effectif de ces sommes, et donc la mise en sécurité et la réhabilitation des sites industriels.</w:t>
      </w:r>
    </w:p>
    <w:p w14:paraId="7EB1651E" w14:textId="4CAC67D4" w:rsidR="001E4349" w:rsidRDefault="001E4349" w:rsidP="001E4349">
      <w:pPr>
        <w:pStyle w:val="western"/>
        <w:spacing w:line="276" w:lineRule="auto"/>
        <w:rPr>
          <w:bCs/>
          <w:i w:val="0"/>
          <w:iCs w:val="0"/>
        </w:rPr>
      </w:pPr>
      <w:r w:rsidRPr="003049DF">
        <w:rPr>
          <w:b/>
          <w:i w:val="0"/>
          <w:iCs w:val="0"/>
        </w:rPr>
        <w:t>L’article 5</w:t>
      </w:r>
      <w:r>
        <w:rPr>
          <w:bCs/>
          <w:i w:val="0"/>
          <w:iCs w:val="0"/>
        </w:rPr>
        <w:t xml:space="preserve"> définit les modalités d’accès aux sommes ainsi garanties </w:t>
      </w:r>
      <w:r w:rsidRPr="00783491">
        <w:rPr>
          <w:bCs/>
          <w:i w:val="0"/>
          <w:iCs w:val="0"/>
        </w:rPr>
        <w:t>en cas de non-exécution des dispositions relatives aux garanties financières</w:t>
      </w:r>
      <w:r>
        <w:rPr>
          <w:bCs/>
          <w:i w:val="0"/>
          <w:iCs w:val="0"/>
        </w:rPr>
        <w:t xml:space="preserve"> pour chacun des cas suivants</w:t>
      </w:r>
      <w:r w:rsidRPr="007D0C25">
        <w:rPr>
          <w:bCs/>
          <w:i w:val="0"/>
          <w:iCs w:val="0"/>
        </w:rPr>
        <w:t xml:space="preserve"> : installations de stockage de déchets, carrières, installations Seveso</w:t>
      </w:r>
      <w:r>
        <w:rPr>
          <w:bCs/>
          <w:i w:val="0"/>
          <w:iCs w:val="0"/>
        </w:rPr>
        <w:t xml:space="preserve">, </w:t>
      </w:r>
      <w:r w:rsidR="00654EFE" w:rsidRPr="003E21D6">
        <w:rPr>
          <w:bCs/>
          <w:i w:val="0"/>
          <w:iCs w:val="0"/>
        </w:rPr>
        <w:t>stockage</w:t>
      </w:r>
      <w:r w:rsidR="00654EFE">
        <w:rPr>
          <w:bCs/>
          <w:i w:val="0"/>
          <w:iCs w:val="0"/>
        </w:rPr>
        <w:t>s</w:t>
      </w:r>
      <w:r w:rsidR="00654EFE" w:rsidRPr="003E21D6">
        <w:rPr>
          <w:bCs/>
          <w:i w:val="0"/>
          <w:iCs w:val="0"/>
        </w:rPr>
        <w:t xml:space="preserve"> géologiques</w:t>
      </w:r>
      <w:r w:rsidRPr="003E21D6">
        <w:rPr>
          <w:bCs/>
          <w:i w:val="0"/>
          <w:iCs w:val="0"/>
        </w:rPr>
        <w:t xml:space="preserve"> de dioxyde de carbone</w:t>
      </w:r>
      <w:r w:rsidRPr="007D0C25">
        <w:rPr>
          <w:bCs/>
          <w:i w:val="0"/>
          <w:iCs w:val="0"/>
        </w:rPr>
        <w:t xml:space="preserve"> </w:t>
      </w:r>
      <w:r>
        <w:rPr>
          <w:bCs/>
          <w:i w:val="0"/>
          <w:iCs w:val="0"/>
        </w:rPr>
        <w:t>(</w:t>
      </w:r>
      <w:r w:rsidRPr="007D0C25">
        <w:rPr>
          <w:bCs/>
          <w:i w:val="0"/>
          <w:iCs w:val="0"/>
        </w:rPr>
        <w:t>article L.</w:t>
      </w:r>
      <w:r>
        <w:rPr>
          <w:bCs/>
          <w:i w:val="0"/>
          <w:iCs w:val="0"/>
        </w:rPr>
        <w:t> </w:t>
      </w:r>
      <w:r w:rsidRPr="007D0C25">
        <w:rPr>
          <w:bCs/>
          <w:i w:val="0"/>
          <w:iCs w:val="0"/>
        </w:rPr>
        <w:t>516-1</w:t>
      </w:r>
      <w:r>
        <w:rPr>
          <w:bCs/>
          <w:i w:val="0"/>
          <w:iCs w:val="0"/>
        </w:rPr>
        <w:t>)</w:t>
      </w:r>
      <w:r w:rsidRPr="007D0C25">
        <w:rPr>
          <w:bCs/>
          <w:i w:val="0"/>
          <w:iCs w:val="0"/>
        </w:rPr>
        <w:t>, éoliennes terrestres (article L.</w:t>
      </w:r>
      <w:r>
        <w:rPr>
          <w:bCs/>
          <w:i w:val="0"/>
          <w:iCs w:val="0"/>
        </w:rPr>
        <w:t> </w:t>
      </w:r>
      <w:r w:rsidRPr="007D0C25">
        <w:rPr>
          <w:bCs/>
          <w:i w:val="0"/>
          <w:iCs w:val="0"/>
        </w:rPr>
        <w:t>515-46) et tiers demandeurs (article L.</w:t>
      </w:r>
      <w:r>
        <w:rPr>
          <w:bCs/>
          <w:i w:val="0"/>
          <w:iCs w:val="0"/>
        </w:rPr>
        <w:t> </w:t>
      </w:r>
      <w:r w:rsidRPr="007D0C25">
        <w:rPr>
          <w:bCs/>
          <w:i w:val="0"/>
          <w:iCs w:val="0"/>
        </w:rPr>
        <w:t xml:space="preserve">512-21). </w:t>
      </w:r>
    </w:p>
    <w:p w14:paraId="76811AD1" w14:textId="7DFF75F7" w:rsidR="001E4349" w:rsidRDefault="001E4349" w:rsidP="001E4349">
      <w:pPr>
        <w:pStyle w:val="western"/>
        <w:spacing w:line="276" w:lineRule="auto"/>
        <w:rPr>
          <w:bCs/>
          <w:i w:val="0"/>
          <w:iCs w:val="0"/>
        </w:rPr>
      </w:pPr>
      <w:r w:rsidRPr="007D0C25">
        <w:rPr>
          <w:bCs/>
          <w:i w:val="0"/>
          <w:iCs w:val="0"/>
        </w:rPr>
        <w:t xml:space="preserve">La procédure proposée s’inspire très directement </w:t>
      </w:r>
      <w:r>
        <w:rPr>
          <w:bCs/>
          <w:i w:val="0"/>
          <w:iCs w:val="0"/>
        </w:rPr>
        <w:t>de dispositions similaires existant dans le code de l’environnement</w:t>
      </w:r>
      <w:r w:rsidRPr="007D0C25">
        <w:rPr>
          <w:bCs/>
          <w:i w:val="0"/>
          <w:iCs w:val="0"/>
        </w:rPr>
        <w:t>.</w:t>
      </w:r>
    </w:p>
    <w:p w14:paraId="51EECBEB" w14:textId="77777777" w:rsidR="001E4349" w:rsidRDefault="001E4349" w:rsidP="001E4349">
      <w:pPr>
        <w:spacing w:line="276" w:lineRule="auto"/>
        <w:jc w:val="both"/>
        <w:rPr>
          <w:bCs/>
        </w:rPr>
      </w:pPr>
      <w:r>
        <w:rPr>
          <w:bCs/>
        </w:rPr>
        <w:t>Les articles R. 512-80 (garanties financières du tiers demandeur), R. 515-102 (garanties financières des éoliennes terrestres) et R. 516-3 (garanties financières applicables à certaines catégories d’ICPE listées à l’article R. 516-1) du même code sont modifiés afin de définir des m</w:t>
      </w:r>
      <w:r w:rsidRPr="00B6670E">
        <w:rPr>
          <w:bCs/>
        </w:rPr>
        <w:t>odalités d'appel des sommes consignées en cas de non-exécution des dispositions relatives aux garanties financières</w:t>
      </w:r>
      <w:r>
        <w:rPr>
          <w:bCs/>
        </w:rPr>
        <w:t>. Cette définition facilitera la mise en œuvre de cette procédure.</w:t>
      </w:r>
    </w:p>
    <w:p w14:paraId="5111EA49" w14:textId="77777777" w:rsidR="001E4349" w:rsidRDefault="001E4349" w:rsidP="001E4349">
      <w:pPr>
        <w:spacing w:line="276" w:lineRule="auto"/>
        <w:jc w:val="both"/>
        <w:rPr>
          <w:bCs/>
        </w:rPr>
      </w:pPr>
      <w:r>
        <w:rPr>
          <w:bCs/>
        </w:rPr>
        <w:t>Ces modalités sont définies de façon cohérente avec l’article R. 171-4, modifié dans le cadre du décret du 6 juillet 2024 précité. Par ailleurs, la rédaction des trois articles modifiés est homogénéisée par souci de cohérence.</w:t>
      </w:r>
    </w:p>
    <w:p w14:paraId="3755CC49" w14:textId="77777777" w:rsidR="001E4349" w:rsidRDefault="001E4349" w:rsidP="001E4349">
      <w:pPr>
        <w:spacing w:line="276" w:lineRule="auto"/>
        <w:jc w:val="both"/>
        <w:rPr>
          <w:bCs/>
        </w:rPr>
      </w:pPr>
      <w:r>
        <w:rPr>
          <w:bCs/>
        </w:rPr>
        <w:t>Ces modalités d’appel des sommes consignées sont les suivantes.</w:t>
      </w:r>
    </w:p>
    <w:p w14:paraId="718AD738" w14:textId="77777777" w:rsidR="001E4349" w:rsidRPr="002200BD" w:rsidRDefault="001E4349" w:rsidP="001E4349">
      <w:pPr>
        <w:pStyle w:val="Paragraphedeliste"/>
        <w:numPr>
          <w:ilvl w:val="0"/>
          <w:numId w:val="5"/>
        </w:numPr>
        <w:spacing w:line="276" w:lineRule="auto"/>
        <w:ind w:left="284" w:hanging="142"/>
        <w:jc w:val="both"/>
        <w:rPr>
          <w:bCs/>
        </w:rPr>
      </w:pPr>
      <w:r>
        <w:rPr>
          <w:bCs/>
        </w:rPr>
        <w:t>l</w:t>
      </w:r>
      <w:r w:rsidRPr="002200BD">
        <w:rPr>
          <w:bCs/>
        </w:rPr>
        <w:t xml:space="preserve">e préfet met en œuvre les garanties financières en cas de non-exécution des opérations qu’elles </w:t>
      </w:r>
      <w:r>
        <w:rPr>
          <w:bCs/>
        </w:rPr>
        <w:t>couvrent</w:t>
      </w:r>
      <w:r w:rsidRPr="002200BD">
        <w:rPr>
          <w:bCs/>
        </w:rPr>
        <w:t>, ou en cas de liquidation judiciaire, ou encore en cas de disparition du responsable de la mise en œuvre de ces opérations</w:t>
      </w:r>
      <w:r>
        <w:rPr>
          <w:bCs/>
        </w:rPr>
        <w:t> ;</w:t>
      </w:r>
    </w:p>
    <w:p w14:paraId="766F8337" w14:textId="77777777" w:rsidR="001E4349" w:rsidRPr="002200BD" w:rsidRDefault="001E4349" w:rsidP="001E4349">
      <w:pPr>
        <w:pStyle w:val="Paragraphedeliste"/>
        <w:numPr>
          <w:ilvl w:val="0"/>
          <w:numId w:val="5"/>
        </w:numPr>
        <w:spacing w:line="276" w:lineRule="auto"/>
        <w:ind w:left="284" w:hanging="142"/>
        <w:jc w:val="both"/>
        <w:rPr>
          <w:bCs/>
        </w:rPr>
      </w:pPr>
      <w:r>
        <w:rPr>
          <w:bCs/>
        </w:rPr>
        <w:t>l</w:t>
      </w:r>
      <w:r w:rsidRPr="002200BD">
        <w:rPr>
          <w:bCs/>
        </w:rPr>
        <w:t>orsque les garanties financières ne sont pas constituées auprès de la Caisse des dépôts et consignation (CDC), le préfet les appelle dans un premier temps puis ordonne au garant de consigner les sommes appelées auprès de la CDC</w:t>
      </w:r>
      <w:r>
        <w:rPr>
          <w:bCs/>
        </w:rPr>
        <w:t> ;</w:t>
      </w:r>
    </w:p>
    <w:p w14:paraId="2F09C932" w14:textId="77777777" w:rsidR="001E4349" w:rsidRDefault="001E4349" w:rsidP="001E4349">
      <w:pPr>
        <w:pStyle w:val="Paragraphedeliste"/>
        <w:numPr>
          <w:ilvl w:val="0"/>
          <w:numId w:val="5"/>
        </w:numPr>
        <w:spacing w:line="276" w:lineRule="auto"/>
        <w:ind w:left="284" w:hanging="142"/>
        <w:jc w:val="both"/>
        <w:rPr>
          <w:bCs/>
        </w:rPr>
      </w:pPr>
      <w:r>
        <w:rPr>
          <w:bCs/>
        </w:rPr>
        <w:t>l</w:t>
      </w:r>
      <w:r w:rsidRPr="002200BD">
        <w:rPr>
          <w:bCs/>
        </w:rPr>
        <w:t>es sommes consignées peuvent être utilisées</w:t>
      </w:r>
      <w:r>
        <w:rPr>
          <w:bCs/>
        </w:rPr>
        <w:t xml:space="preserve"> pour régler les dépenses engagées pour la réalisation des opérations couvertes par les garanties financières ;</w:t>
      </w:r>
    </w:p>
    <w:p w14:paraId="25785284" w14:textId="77777777" w:rsidR="001E4349" w:rsidRDefault="001E4349" w:rsidP="001E4349">
      <w:pPr>
        <w:pStyle w:val="Paragraphedeliste"/>
        <w:numPr>
          <w:ilvl w:val="0"/>
          <w:numId w:val="5"/>
        </w:numPr>
        <w:spacing w:line="276" w:lineRule="auto"/>
        <w:ind w:left="284" w:hanging="142"/>
        <w:jc w:val="both"/>
        <w:rPr>
          <w:bCs/>
        </w:rPr>
      </w:pPr>
      <w:r>
        <w:rPr>
          <w:bCs/>
        </w:rPr>
        <w:t>ces sommes consignées peuvent bénéficier au liquidateur judiciaire ou à toute autre personne ayant réalisé ces opérations à la demande de l’autorité administrative ou du liquidateur judiciaire ;</w:t>
      </w:r>
    </w:p>
    <w:p w14:paraId="14025325" w14:textId="4C5D7A4B" w:rsidR="001E4349" w:rsidRDefault="001E4349" w:rsidP="001E4349">
      <w:pPr>
        <w:pStyle w:val="Paragraphedeliste"/>
        <w:numPr>
          <w:ilvl w:val="0"/>
          <w:numId w:val="5"/>
        </w:numPr>
        <w:spacing w:line="276" w:lineRule="auto"/>
        <w:ind w:left="284" w:hanging="142"/>
        <w:jc w:val="both"/>
        <w:rPr>
          <w:bCs/>
        </w:rPr>
      </w:pPr>
      <w:r>
        <w:rPr>
          <w:bCs/>
        </w:rPr>
        <w:t>pour bénéficier de ces sommes consignées, il est nécessaire de produire un état des dépenses réalisées et les justificatifs correspondants. Ces éléments sont appréciés par l’autorité administrative, qui prend un arrêté fixant le montant des sommes à déconsigner et désignant leur bénéficiaire ;</w:t>
      </w:r>
    </w:p>
    <w:p w14:paraId="383C66F8" w14:textId="36AF397F" w:rsidR="001E4349" w:rsidRDefault="001E4349" w:rsidP="001E4349">
      <w:pPr>
        <w:pStyle w:val="Paragraphedeliste"/>
        <w:numPr>
          <w:ilvl w:val="0"/>
          <w:numId w:val="5"/>
        </w:numPr>
        <w:spacing w:line="276" w:lineRule="auto"/>
        <w:ind w:left="284" w:hanging="142"/>
        <w:jc w:val="both"/>
        <w:rPr>
          <w:bCs/>
        </w:rPr>
      </w:pPr>
      <w:r>
        <w:rPr>
          <w:bCs/>
        </w:rPr>
        <w:t>la CDC procède à la déconsignation des sommes correspondantes et les verse au bénéficiaire.</w:t>
      </w:r>
    </w:p>
    <w:p w14:paraId="5BBEA673" w14:textId="77777777" w:rsidR="001E4349" w:rsidRDefault="001E4349" w:rsidP="003049DF">
      <w:pPr>
        <w:pStyle w:val="western"/>
        <w:spacing w:line="276" w:lineRule="auto"/>
        <w:rPr>
          <w:bCs/>
          <w:i w:val="0"/>
          <w:iCs w:val="0"/>
        </w:rPr>
      </w:pPr>
    </w:p>
    <w:p w14:paraId="2F9EBF5E" w14:textId="01E44B24" w:rsidR="00554CF4" w:rsidRPr="00783491" w:rsidRDefault="00554CF4" w:rsidP="003049DF">
      <w:pPr>
        <w:spacing w:line="276" w:lineRule="auto"/>
        <w:jc w:val="both"/>
        <w:rPr>
          <w:bCs/>
          <w:i/>
          <w:iCs/>
        </w:rPr>
      </w:pPr>
      <w:r w:rsidRPr="00783491">
        <w:rPr>
          <w:bCs/>
          <w:i/>
          <w:iCs/>
        </w:rPr>
        <w:t>4/ Intégration dans différents textes de l’étude prévue à l’art</w:t>
      </w:r>
      <w:r w:rsidR="003E21D6">
        <w:rPr>
          <w:bCs/>
          <w:i/>
          <w:iCs/>
        </w:rPr>
        <w:t>icle</w:t>
      </w:r>
      <w:r w:rsidRPr="00783491">
        <w:rPr>
          <w:bCs/>
          <w:i/>
          <w:iCs/>
        </w:rPr>
        <w:t xml:space="preserve"> 27 du </w:t>
      </w:r>
      <w:bookmarkStart w:id="0" w:name="_Hlk198559533"/>
      <w:r w:rsidR="003E21D6">
        <w:rPr>
          <w:bCs/>
          <w:i/>
          <w:iCs/>
        </w:rPr>
        <w:t>r</w:t>
      </w:r>
      <w:r w:rsidRPr="00783491">
        <w:rPr>
          <w:bCs/>
          <w:i/>
          <w:iCs/>
        </w:rPr>
        <w:t>èglement</w:t>
      </w:r>
      <w:r w:rsidR="003049DF">
        <w:rPr>
          <w:bCs/>
          <w:i/>
          <w:iCs/>
        </w:rPr>
        <w:t xml:space="preserve"> e</w:t>
      </w:r>
      <w:r w:rsidRPr="00783491">
        <w:rPr>
          <w:bCs/>
          <w:i/>
          <w:iCs/>
        </w:rPr>
        <w:t xml:space="preserve">uropéen </w:t>
      </w:r>
      <w:bookmarkEnd w:id="0"/>
      <w:r w:rsidR="003E21D6">
        <w:rPr>
          <w:bCs/>
          <w:i/>
          <w:iCs/>
        </w:rPr>
        <w:t>sur les</w:t>
      </w:r>
      <w:r w:rsidRPr="00783491">
        <w:rPr>
          <w:bCs/>
          <w:i/>
          <w:iCs/>
        </w:rPr>
        <w:t xml:space="preserve"> matières premières critique</w:t>
      </w:r>
      <w:r w:rsidR="00033C1F" w:rsidRPr="00783491">
        <w:rPr>
          <w:bCs/>
          <w:i/>
          <w:iCs/>
        </w:rPr>
        <w:t>s</w:t>
      </w:r>
    </w:p>
    <w:p w14:paraId="5CCBE667" w14:textId="63A67CC7" w:rsidR="00554CF4" w:rsidRDefault="00554CF4" w:rsidP="003049DF">
      <w:pPr>
        <w:pStyle w:val="western"/>
        <w:spacing w:line="276" w:lineRule="auto"/>
        <w:rPr>
          <w:bCs/>
          <w:i w:val="0"/>
          <w:iCs w:val="0"/>
        </w:rPr>
      </w:pPr>
      <w:r>
        <w:rPr>
          <w:bCs/>
          <w:i w:val="0"/>
          <w:iCs w:val="0"/>
        </w:rPr>
        <w:t xml:space="preserve">Le </w:t>
      </w:r>
      <w:r w:rsidR="003E21D6" w:rsidRPr="003E21D6">
        <w:rPr>
          <w:bCs/>
          <w:i w:val="0"/>
          <w:iCs w:val="0"/>
        </w:rPr>
        <w:t xml:space="preserve">règlement (UE) 2024/1252 du Parlement européen et du Conseil du 11 avril 2024 établissant un cadre visant à garantir un approvisionnement sûr et durable en matières premières critiques </w:t>
      </w:r>
      <w:r w:rsidRPr="00554CF4">
        <w:rPr>
          <w:bCs/>
          <w:i w:val="0"/>
          <w:iCs w:val="0"/>
        </w:rPr>
        <w:t xml:space="preserve">comprend, à son article 27, des dispositions </w:t>
      </w:r>
      <w:bookmarkStart w:id="1" w:name="_Hlk215823959"/>
      <w:r w:rsidRPr="00554CF4">
        <w:rPr>
          <w:bCs/>
          <w:i w:val="0"/>
          <w:iCs w:val="0"/>
        </w:rPr>
        <w:t>visant à mieux connaître la teneur en matières premières critiques des déchets d’extraction sur les sites en exploitation et</w:t>
      </w:r>
      <w:r>
        <w:rPr>
          <w:bCs/>
          <w:i w:val="0"/>
          <w:iCs w:val="0"/>
        </w:rPr>
        <w:t xml:space="preserve"> prévoit</w:t>
      </w:r>
      <w:r w:rsidRPr="00554CF4">
        <w:rPr>
          <w:bCs/>
          <w:i w:val="0"/>
          <w:iCs w:val="0"/>
        </w:rPr>
        <w:t>, le cas échéant, la réalisation d’une étude d’évaluation économique préliminaire concernant leurs possibilités de valorisation</w:t>
      </w:r>
      <w:bookmarkEnd w:id="1"/>
      <w:r w:rsidR="00FB32C9">
        <w:rPr>
          <w:bCs/>
          <w:i w:val="0"/>
          <w:iCs w:val="0"/>
        </w:rPr>
        <w:t>, a</w:t>
      </w:r>
      <w:r w:rsidR="00FB32C9" w:rsidRPr="00FB32C9">
        <w:rPr>
          <w:bCs/>
          <w:i w:val="0"/>
          <w:iCs w:val="0"/>
        </w:rPr>
        <w:t>u plus tard le 24 novembre 2026,</w:t>
      </w:r>
      <w:r w:rsidRPr="00554CF4">
        <w:rPr>
          <w:bCs/>
          <w:i w:val="0"/>
          <w:iCs w:val="0"/>
        </w:rPr>
        <w:t>.</w:t>
      </w:r>
      <w:r>
        <w:rPr>
          <w:bCs/>
          <w:i w:val="0"/>
          <w:iCs w:val="0"/>
        </w:rPr>
        <w:t xml:space="preserve"> </w:t>
      </w:r>
    </w:p>
    <w:p w14:paraId="4EA68AC3" w14:textId="66D7EFFD" w:rsidR="00554CF4" w:rsidRDefault="00554CF4" w:rsidP="003049DF">
      <w:pPr>
        <w:pStyle w:val="western"/>
        <w:spacing w:line="276" w:lineRule="auto"/>
        <w:rPr>
          <w:bCs/>
          <w:i w:val="0"/>
          <w:iCs w:val="0"/>
        </w:rPr>
      </w:pPr>
      <w:r w:rsidRPr="00554CF4">
        <w:rPr>
          <w:bCs/>
          <w:i w:val="0"/>
          <w:iCs w:val="0"/>
        </w:rPr>
        <w:t>Cette étude concerne les sites qui accueillent des installations classées sous la rubrique</w:t>
      </w:r>
      <w:r w:rsidR="003E21D6">
        <w:rPr>
          <w:bCs/>
          <w:i w:val="0"/>
          <w:iCs w:val="0"/>
        </w:rPr>
        <w:t xml:space="preserve"> de la nomenclature des installations classées pour la protection de l’environnement (ICPE)</w:t>
      </w:r>
      <w:r w:rsidRPr="00554CF4">
        <w:rPr>
          <w:bCs/>
          <w:i w:val="0"/>
          <w:iCs w:val="0"/>
        </w:rPr>
        <w:t xml:space="preserve"> 2720</w:t>
      </w:r>
      <w:r w:rsidR="003E21D6">
        <w:rPr>
          <w:bCs/>
          <w:i w:val="0"/>
          <w:iCs w:val="0"/>
        </w:rPr>
        <w:t>-</w:t>
      </w:r>
      <w:r w:rsidRPr="00554CF4">
        <w:rPr>
          <w:bCs/>
          <w:i w:val="0"/>
          <w:iCs w:val="0"/>
        </w:rPr>
        <w:t>1 et 2</w:t>
      </w:r>
      <w:r w:rsidR="003E21D6">
        <w:rPr>
          <w:rStyle w:val="Appelnotedebasdep"/>
          <w:bCs/>
          <w:i w:val="0"/>
          <w:iCs w:val="0"/>
        </w:rPr>
        <w:footnoteReference w:id="1"/>
      </w:r>
      <w:r w:rsidR="00033C1F">
        <w:rPr>
          <w:bCs/>
          <w:i w:val="0"/>
          <w:iCs w:val="0"/>
        </w:rPr>
        <w:t>,</w:t>
      </w:r>
      <w:r w:rsidRPr="00554CF4">
        <w:rPr>
          <w:bCs/>
          <w:i w:val="0"/>
          <w:iCs w:val="0"/>
        </w:rPr>
        <w:t xml:space="preserve"> </w:t>
      </w:r>
      <w:r w:rsidR="003E21D6">
        <w:rPr>
          <w:bCs/>
          <w:i w:val="0"/>
          <w:iCs w:val="0"/>
        </w:rPr>
        <w:t>ainsi que</w:t>
      </w:r>
      <w:r w:rsidRPr="00554CF4">
        <w:rPr>
          <w:bCs/>
          <w:i w:val="0"/>
          <w:iCs w:val="0"/>
        </w:rPr>
        <w:t xml:space="preserve"> les carrières et mines incluant des installations de gestion (IGD) de déchets d’extraction inertes pour lesquels un plan de gestion des déchets (PGD) doit être établi au titre de l’article 5 de la directive </w:t>
      </w:r>
      <w:r w:rsidR="003E21D6">
        <w:rPr>
          <w:bCs/>
          <w:i w:val="0"/>
          <w:iCs w:val="0"/>
        </w:rPr>
        <w:t xml:space="preserve">relative aux </w:t>
      </w:r>
      <w:r w:rsidR="003E21D6" w:rsidRPr="003E21D6">
        <w:rPr>
          <w:bCs/>
          <w:i w:val="0"/>
          <w:iCs w:val="0"/>
        </w:rPr>
        <w:t>déchets de l</w:t>
      </w:r>
      <w:r w:rsidR="003E21D6">
        <w:rPr>
          <w:bCs/>
          <w:i w:val="0"/>
          <w:iCs w:val="0"/>
        </w:rPr>
        <w:t>’</w:t>
      </w:r>
      <w:r w:rsidR="003E21D6" w:rsidRPr="003E21D6">
        <w:rPr>
          <w:bCs/>
          <w:i w:val="0"/>
          <w:iCs w:val="0"/>
        </w:rPr>
        <w:t>industrie extractive</w:t>
      </w:r>
      <w:r w:rsidR="003E21D6">
        <w:rPr>
          <w:bCs/>
          <w:i w:val="0"/>
          <w:iCs w:val="0"/>
        </w:rPr>
        <w:t xml:space="preserve"> (DDIE) du 15 mars 2006</w:t>
      </w:r>
      <w:r w:rsidR="003E21D6">
        <w:rPr>
          <w:rStyle w:val="Appelnotedebasdep"/>
          <w:bCs/>
          <w:i w:val="0"/>
          <w:iCs w:val="0"/>
        </w:rPr>
        <w:footnoteReference w:id="2"/>
      </w:r>
      <w:r w:rsidRPr="00554CF4">
        <w:rPr>
          <w:bCs/>
          <w:i w:val="0"/>
          <w:iCs w:val="0"/>
        </w:rPr>
        <w:t>.</w:t>
      </w:r>
    </w:p>
    <w:p w14:paraId="6F83BA9E" w14:textId="66263C18" w:rsidR="00554CF4" w:rsidRDefault="00554CF4" w:rsidP="003049DF">
      <w:pPr>
        <w:pStyle w:val="western"/>
        <w:spacing w:line="276" w:lineRule="auto"/>
        <w:rPr>
          <w:bCs/>
          <w:i w:val="0"/>
          <w:iCs w:val="0"/>
        </w:rPr>
      </w:pPr>
      <w:r w:rsidRPr="00554CF4">
        <w:rPr>
          <w:bCs/>
          <w:i w:val="0"/>
          <w:iCs w:val="0"/>
        </w:rPr>
        <w:t>Les exploitants peuvent être exemptés de cette obligation à condition de démontrer, avec un degré élevé de certitude, que les déchets d’extraction ne contiennent pas de matières premières critiques techniquement valorisables.</w:t>
      </w:r>
    </w:p>
    <w:p w14:paraId="31BF73F0" w14:textId="26F36076" w:rsidR="003049DF" w:rsidRDefault="003049DF" w:rsidP="003049DF">
      <w:pPr>
        <w:pStyle w:val="western"/>
        <w:spacing w:line="276" w:lineRule="auto"/>
        <w:rPr>
          <w:bCs/>
          <w:i w:val="0"/>
          <w:iCs w:val="0"/>
        </w:rPr>
      </w:pPr>
      <w:r>
        <w:rPr>
          <w:bCs/>
          <w:i w:val="0"/>
          <w:iCs w:val="0"/>
        </w:rPr>
        <w:t>Les articles 6 et 7 du projet de décret et le projet d’arrêté</w:t>
      </w:r>
      <w:r w:rsidR="001E4349">
        <w:rPr>
          <w:bCs/>
          <w:i w:val="0"/>
          <w:iCs w:val="0"/>
        </w:rPr>
        <w:t xml:space="preserve"> soumis à la présente consultation</w:t>
      </w:r>
      <w:r>
        <w:rPr>
          <w:bCs/>
          <w:i w:val="0"/>
          <w:iCs w:val="0"/>
        </w:rPr>
        <w:t xml:space="preserve"> visent à</w:t>
      </w:r>
      <w:r w:rsidR="003E21D6">
        <w:rPr>
          <w:bCs/>
          <w:i w:val="0"/>
          <w:iCs w:val="0"/>
        </w:rPr>
        <w:t xml:space="preserve"> faciliter la mise en œuvre, par l’ensemble des parties prenantes concernées, des dispositions prévues </w:t>
      </w:r>
      <w:r>
        <w:rPr>
          <w:bCs/>
          <w:i w:val="0"/>
          <w:iCs w:val="0"/>
        </w:rPr>
        <w:t>à l’</w:t>
      </w:r>
      <w:r w:rsidR="003E21D6">
        <w:rPr>
          <w:bCs/>
          <w:i w:val="0"/>
          <w:iCs w:val="0"/>
        </w:rPr>
        <w:t>article 27</w:t>
      </w:r>
      <w:r>
        <w:rPr>
          <w:bCs/>
          <w:i w:val="0"/>
          <w:iCs w:val="0"/>
        </w:rPr>
        <w:t xml:space="preserve"> </w:t>
      </w:r>
      <w:r w:rsidRPr="003049DF">
        <w:rPr>
          <w:bCs/>
          <w:i w:val="0"/>
          <w:iCs w:val="0"/>
        </w:rPr>
        <w:t>règlement européen sur les matières premières critiques</w:t>
      </w:r>
      <w:r w:rsidR="003E21D6">
        <w:rPr>
          <w:bCs/>
          <w:i w:val="0"/>
          <w:iCs w:val="0"/>
        </w:rPr>
        <w:t xml:space="preserve">. </w:t>
      </w:r>
    </w:p>
    <w:p w14:paraId="0A6A34B7" w14:textId="2E71CCB1" w:rsidR="003049DF" w:rsidRDefault="003049DF" w:rsidP="003049DF">
      <w:pPr>
        <w:spacing w:after="120" w:line="276" w:lineRule="auto"/>
        <w:jc w:val="both"/>
      </w:pPr>
      <w:r w:rsidRPr="003049DF">
        <w:rPr>
          <w:b/>
        </w:rPr>
        <w:t>L’article 6</w:t>
      </w:r>
      <w:r>
        <w:rPr>
          <w:bCs/>
          <w:i/>
          <w:iCs/>
        </w:rPr>
        <w:t xml:space="preserve"> </w:t>
      </w:r>
      <w:r w:rsidRPr="003049DF">
        <w:rPr>
          <w:bCs/>
        </w:rPr>
        <w:t>modifie</w:t>
      </w:r>
      <w:r>
        <w:rPr>
          <w:bCs/>
          <w:i/>
          <w:iCs/>
        </w:rPr>
        <w:t xml:space="preserve"> </w:t>
      </w:r>
      <w:r>
        <w:rPr>
          <w:bCs/>
        </w:rPr>
        <w:t xml:space="preserve">la nomenclature </w:t>
      </w:r>
      <w:r w:rsidRPr="00B87ED2">
        <w:rPr>
          <w:bCs/>
        </w:rPr>
        <w:t>des installations classées pour la protection de l’environnement</w:t>
      </w:r>
      <w:r>
        <w:rPr>
          <w:bCs/>
        </w:rPr>
        <w:t xml:space="preserve"> (ICPE) afin</w:t>
      </w:r>
      <w:r w:rsidRPr="00B87ED2">
        <w:t xml:space="preserve"> </w:t>
      </w:r>
      <w:r>
        <w:t>d’</w:t>
      </w:r>
      <w:r w:rsidRPr="00B87ED2">
        <w:t xml:space="preserve">encadrer les activités d’exploitation de dépôts de résidus miniers qui, à ce jour, ne sont régies ni par le code de l’environnement ni par le code minier. </w:t>
      </w:r>
    </w:p>
    <w:p w14:paraId="2774FD11" w14:textId="11033AEE" w:rsidR="003049DF" w:rsidRPr="005B07F9" w:rsidRDefault="003049DF" w:rsidP="003049DF">
      <w:pPr>
        <w:spacing w:before="120" w:after="120" w:line="276" w:lineRule="auto"/>
        <w:jc w:val="both"/>
      </w:pPr>
      <w:r w:rsidRPr="005B07F9">
        <w:t>Une précédente réforme du code minier intervenue en 1977 (loi n° 77-620) a posé le principe que les haldes</w:t>
      </w:r>
      <w:r>
        <w:t xml:space="preserve"> et</w:t>
      </w:r>
      <w:r w:rsidRPr="005B07F9">
        <w:t xml:space="preserve"> les terrils de mines sont exploités sous le régime des carrières</w:t>
      </w:r>
      <w:r>
        <w:t xml:space="preserve"> (et donc des ICPE)</w:t>
      </w:r>
      <w:r w:rsidRPr="005B07F9">
        <w:t xml:space="preserve">, sauf exception précisée par le décret n° 79-1109 du 20 décembre 1979 (les haldes et terrils concernés par cette exception sont seulement ceux qui proviennent des mines et appartiennent au titulaire d’un titre minier qui veut les réemployer soit pour l’exploitation de sa mine, soit pour en extraire à nouveau des produits de mines). </w:t>
      </w:r>
    </w:p>
    <w:p w14:paraId="79B8F2E9" w14:textId="7F0AD807" w:rsidR="003049DF" w:rsidRDefault="003049DF" w:rsidP="003049DF">
      <w:pPr>
        <w:spacing w:after="120" w:line="276" w:lineRule="auto"/>
        <w:jc w:val="both"/>
      </w:pPr>
      <w:r w:rsidRPr="005B07F9">
        <w:t xml:space="preserve">L’intitulé de la rubrique 2510-4 </w:t>
      </w:r>
      <w:r>
        <w:t xml:space="preserve">de la nomenclature des ICPE reflète à ce jour cet équilibre, avec un encadrement </w:t>
      </w:r>
      <w:r w:rsidR="001E4349">
        <w:t xml:space="preserve">général </w:t>
      </w:r>
      <w:r>
        <w:t xml:space="preserve">par le régime des carrières et </w:t>
      </w:r>
      <w:r w:rsidRPr="005B07F9">
        <w:t xml:space="preserve">une exception très cadrée </w:t>
      </w:r>
      <w:r>
        <w:t>régie par le</w:t>
      </w:r>
      <w:r w:rsidRPr="005B07F9">
        <w:t xml:space="preserve"> régime des mines. </w:t>
      </w:r>
    </w:p>
    <w:p w14:paraId="501D7B4C" w14:textId="0A3BB83E" w:rsidR="003049DF" w:rsidRDefault="003049DF" w:rsidP="003049DF">
      <w:pPr>
        <w:spacing w:after="120" w:line="276" w:lineRule="auto"/>
        <w:jc w:val="both"/>
      </w:pPr>
      <w:r w:rsidRPr="005B07F9">
        <w:t xml:space="preserve">Si le code minier et son décret d’application traitent des « haldes et terrils de mine » depuis 1977, ils n’ont pas défini cette expression. </w:t>
      </w:r>
      <w:r w:rsidR="00AD7C4B">
        <w:t>Afin d’assurer la bonne application du règlement européen sur les matières premières critiques, il est</w:t>
      </w:r>
      <w:r w:rsidRPr="005B07F9">
        <w:t xml:space="preserve"> donc nécessaire d’élargir le champ d’application de la rubrique 2510-4 et d’encadrer les activités d’exploitation de dépôts de résidus miniers qui, à ce jour, ne sont régies ni par le code de l’environnement ni par le code minier. </w:t>
      </w:r>
    </w:p>
    <w:p w14:paraId="160FE4BC" w14:textId="77777777" w:rsidR="003049DF" w:rsidRPr="005B07F9" w:rsidRDefault="003049DF" w:rsidP="003049DF">
      <w:pPr>
        <w:spacing w:after="120" w:line="276" w:lineRule="auto"/>
        <w:jc w:val="both"/>
      </w:pPr>
      <w:r w:rsidRPr="005B07F9">
        <w:t>Cet élargissement est d’autant plus nécessaire que les dispositions de l’article 27 poussent à l’émergence d’activités de recherche et d’exploitation de matières premières critiques (substances de mines) au sein de stockages de déchets miniers.</w:t>
      </w:r>
    </w:p>
    <w:p w14:paraId="7AC6B6C4" w14:textId="1C3D5DE6" w:rsidR="003049DF" w:rsidRPr="005B07F9" w:rsidRDefault="003049DF" w:rsidP="003049DF">
      <w:pPr>
        <w:spacing w:after="120" w:line="276" w:lineRule="auto"/>
        <w:jc w:val="both"/>
      </w:pPr>
      <w:r>
        <w:t xml:space="preserve">L’article 6 permet également d’adapter </w:t>
      </w:r>
      <w:r w:rsidR="00FB32C9">
        <w:t xml:space="preserve">la rubrique 2510-4 pour </w:t>
      </w:r>
      <w:r w:rsidR="00AD7C4B">
        <w:t>améliorer sa lisibilité.</w:t>
      </w:r>
    </w:p>
    <w:p w14:paraId="267DDA3A" w14:textId="6CCB0E45" w:rsidR="005B07F9" w:rsidRDefault="00FB32C9" w:rsidP="003049DF">
      <w:pPr>
        <w:pStyle w:val="western"/>
        <w:spacing w:line="276" w:lineRule="auto"/>
        <w:rPr>
          <w:bCs/>
          <w:i w:val="0"/>
          <w:iCs w:val="0"/>
          <w:color w:val="auto"/>
        </w:rPr>
      </w:pPr>
      <w:r w:rsidRPr="00FB32C9">
        <w:rPr>
          <w:b/>
          <w:i w:val="0"/>
          <w:iCs w:val="0"/>
        </w:rPr>
        <w:t>L’article 7</w:t>
      </w:r>
      <w:r>
        <w:rPr>
          <w:bCs/>
          <w:i w:val="0"/>
          <w:iCs w:val="0"/>
        </w:rPr>
        <w:t xml:space="preserve"> modifie l’a</w:t>
      </w:r>
      <w:r w:rsidR="00484F06" w:rsidRPr="00FB32C9">
        <w:rPr>
          <w:bCs/>
          <w:i w:val="0"/>
          <w:iCs w:val="0"/>
        </w:rPr>
        <w:t>rticle D</w:t>
      </w:r>
      <w:r>
        <w:rPr>
          <w:bCs/>
          <w:i w:val="0"/>
          <w:iCs w:val="0"/>
        </w:rPr>
        <w:t xml:space="preserve">. </w:t>
      </w:r>
      <w:r w:rsidR="00484F06" w:rsidRPr="00FB32C9">
        <w:rPr>
          <w:bCs/>
          <w:i w:val="0"/>
          <w:iCs w:val="0"/>
        </w:rPr>
        <w:t xml:space="preserve">181-15-2 </w:t>
      </w:r>
      <w:r>
        <w:rPr>
          <w:bCs/>
          <w:i w:val="0"/>
          <w:iCs w:val="0"/>
        </w:rPr>
        <w:t xml:space="preserve">du code de l’environnement – relatif au dossier d’autorisation environnementale d’une installation classée pour la protection de l’environnement (ICPE) – </w:t>
      </w:r>
      <w:r w:rsidR="00484F06" w:rsidRPr="00FB32C9">
        <w:rPr>
          <w:bCs/>
          <w:i w:val="0"/>
          <w:iCs w:val="0"/>
        </w:rPr>
        <w:t>afin d’y introduire l’étude d’évaluation économique préliminaire relative aux possibilités de valorisation des matières premières critiques issues des déchets d’extraction</w:t>
      </w:r>
      <w:r w:rsidR="005B07F9" w:rsidRPr="00FB32C9">
        <w:rPr>
          <w:bCs/>
          <w:i w:val="0"/>
          <w:iCs w:val="0"/>
        </w:rPr>
        <w:t xml:space="preserve"> </w:t>
      </w:r>
      <w:r w:rsidR="005B07F9" w:rsidRPr="00FB32C9">
        <w:rPr>
          <w:bCs/>
          <w:i w:val="0"/>
          <w:iCs w:val="0"/>
          <w:color w:val="auto"/>
        </w:rPr>
        <w:t xml:space="preserve">exigée dans les formes et les limites prévues à l’article 27 du règlement </w:t>
      </w:r>
      <w:r w:rsidR="00AD7C4B">
        <w:rPr>
          <w:bCs/>
          <w:i w:val="0"/>
          <w:iCs w:val="0"/>
          <w:color w:val="auto"/>
        </w:rPr>
        <w:t>sur les matières premières critiques</w:t>
      </w:r>
      <w:r w:rsidR="005B07F9" w:rsidRPr="00FB32C9">
        <w:rPr>
          <w:bCs/>
          <w:i w:val="0"/>
          <w:iCs w:val="0"/>
          <w:color w:val="auto"/>
        </w:rPr>
        <w:t>, ou le document justifiant de l’absence de matières premières critiques techniquement valorisables dans les déchets d’extraction, lorsque l’exploitant souhaite bénéficier de l’exemption prévue au même article 27.</w:t>
      </w:r>
    </w:p>
    <w:p w14:paraId="0F9A9BDD" w14:textId="4319DC1F" w:rsidR="00080656" w:rsidRDefault="00FB32C9" w:rsidP="00FB32C9">
      <w:pPr>
        <w:pStyle w:val="western"/>
        <w:spacing w:line="276" w:lineRule="auto"/>
        <w:rPr>
          <w:bCs/>
          <w:i w:val="0"/>
          <w:iCs w:val="0"/>
        </w:rPr>
      </w:pPr>
      <w:r>
        <w:rPr>
          <w:bCs/>
          <w:i w:val="0"/>
          <w:iCs w:val="0"/>
          <w:color w:val="auto"/>
        </w:rPr>
        <w:t>Il procède au même ajustement à l’article 5 du d</w:t>
      </w:r>
      <w:r w:rsidR="00080656" w:rsidRPr="00FB32C9">
        <w:rPr>
          <w:bCs/>
          <w:i w:val="0"/>
          <w:iCs w:val="0"/>
        </w:rPr>
        <w:t xml:space="preserve">écret n° 2010-1394 du 12 novembre 2010 relatif aux prescriptions applicables à certaines exploitations de mines et aux installations de gestion de déchets inertes et des terres non polluées résultant de leur </w:t>
      </w:r>
      <w:r w:rsidR="005E0196" w:rsidRPr="00FB32C9">
        <w:rPr>
          <w:bCs/>
          <w:i w:val="0"/>
          <w:iCs w:val="0"/>
        </w:rPr>
        <w:t>fonctionnement</w:t>
      </w:r>
      <w:r w:rsidR="00FC63AC" w:rsidRPr="005E0196">
        <w:rPr>
          <w:bCs/>
          <w:i w:val="0"/>
          <w:iCs w:val="0"/>
        </w:rPr>
        <w:t>.</w:t>
      </w:r>
      <w:r w:rsidR="00FC63AC">
        <w:rPr>
          <w:bCs/>
          <w:i w:val="0"/>
          <w:iCs w:val="0"/>
        </w:rPr>
        <w:t xml:space="preserve"> </w:t>
      </w:r>
      <w:r>
        <w:rPr>
          <w:bCs/>
          <w:i w:val="0"/>
          <w:iCs w:val="0"/>
        </w:rPr>
        <w:t>Il corrige par ailleurs des références au code minier (à l’article 1</w:t>
      </w:r>
      <w:r w:rsidRPr="00FB32C9">
        <w:rPr>
          <w:bCs/>
          <w:i w:val="0"/>
          <w:iCs w:val="0"/>
          <w:vertAlign w:val="superscript"/>
        </w:rPr>
        <w:t>er</w:t>
      </w:r>
      <w:r>
        <w:rPr>
          <w:bCs/>
          <w:i w:val="0"/>
          <w:iCs w:val="0"/>
        </w:rPr>
        <w:t xml:space="preserve">) </w:t>
      </w:r>
      <w:r w:rsidR="00FC63AC">
        <w:rPr>
          <w:bCs/>
          <w:i w:val="0"/>
          <w:iCs w:val="0"/>
        </w:rPr>
        <w:t xml:space="preserve">et </w:t>
      </w:r>
      <w:r>
        <w:rPr>
          <w:rFonts w:eastAsiaTheme="minorHAnsi"/>
          <w:bCs/>
          <w:i w:val="0"/>
          <w:iCs w:val="0"/>
          <w:lang w:eastAsia="en-US"/>
        </w:rPr>
        <w:t xml:space="preserve">supprime un paragraphe </w:t>
      </w:r>
      <w:r w:rsidR="00080656" w:rsidRPr="00FB32C9">
        <w:rPr>
          <w:bCs/>
          <w:i w:val="0"/>
          <w:iCs w:val="0"/>
        </w:rPr>
        <w:t xml:space="preserve">qui apparait </w:t>
      </w:r>
      <w:r w:rsidR="00AD7C4B">
        <w:rPr>
          <w:bCs/>
          <w:i w:val="0"/>
          <w:iCs w:val="0"/>
        </w:rPr>
        <w:t xml:space="preserve">de manière redondante </w:t>
      </w:r>
      <w:r w:rsidR="00080656" w:rsidRPr="00FB32C9">
        <w:rPr>
          <w:bCs/>
          <w:i w:val="0"/>
          <w:iCs w:val="0"/>
        </w:rPr>
        <w:t>dans les articles</w:t>
      </w:r>
      <w:r w:rsidR="0077537A">
        <w:rPr>
          <w:bCs/>
          <w:i w:val="0"/>
          <w:iCs w:val="0"/>
        </w:rPr>
        <w:t xml:space="preserve"> </w:t>
      </w:r>
      <w:r w:rsidR="00080656" w:rsidRPr="00FB32C9">
        <w:rPr>
          <w:bCs/>
          <w:i w:val="0"/>
          <w:iCs w:val="0"/>
        </w:rPr>
        <w:t>1</w:t>
      </w:r>
      <w:r w:rsidRPr="00FB32C9">
        <w:rPr>
          <w:bCs/>
          <w:i w:val="0"/>
          <w:iCs w:val="0"/>
          <w:vertAlign w:val="superscript"/>
        </w:rPr>
        <w:t>er</w:t>
      </w:r>
      <w:r w:rsidR="00080656" w:rsidRPr="00FB32C9">
        <w:rPr>
          <w:bCs/>
          <w:i w:val="0"/>
          <w:iCs w:val="0"/>
        </w:rPr>
        <w:t xml:space="preserve"> et 2</w:t>
      </w:r>
      <w:r w:rsidRPr="00FB32C9">
        <w:rPr>
          <w:bCs/>
          <w:i w:val="0"/>
          <w:iCs w:val="0"/>
        </w:rPr>
        <w:t>.</w:t>
      </w:r>
    </w:p>
    <w:p w14:paraId="3B25C259" w14:textId="12C72974" w:rsidR="00FB32C9" w:rsidRDefault="00FB32C9" w:rsidP="0077537A">
      <w:pPr>
        <w:pStyle w:val="western"/>
        <w:spacing w:line="276" w:lineRule="auto"/>
        <w:rPr>
          <w:bCs/>
          <w:i w:val="0"/>
          <w:iCs w:val="0"/>
        </w:rPr>
      </w:pPr>
      <w:r>
        <w:rPr>
          <w:bCs/>
          <w:i w:val="0"/>
          <w:iCs w:val="0"/>
        </w:rPr>
        <w:t>Il est prévu une entrée en vigueur de ces dispositions le 1</w:t>
      </w:r>
      <w:r w:rsidRPr="00FB32C9">
        <w:rPr>
          <w:bCs/>
          <w:i w:val="0"/>
          <w:iCs w:val="0"/>
          <w:vertAlign w:val="superscript"/>
        </w:rPr>
        <w:t>er</w:t>
      </w:r>
      <w:r>
        <w:rPr>
          <w:bCs/>
          <w:i w:val="0"/>
          <w:iCs w:val="0"/>
        </w:rPr>
        <w:t xml:space="preserve"> juillet 2026 : à compter de cette date, </w:t>
      </w:r>
      <w:r w:rsidR="0077537A">
        <w:rPr>
          <w:bCs/>
          <w:i w:val="0"/>
          <w:iCs w:val="0"/>
        </w:rPr>
        <w:t xml:space="preserve">tout dossier d’autorisation </w:t>
      </w:r>
      <w:r w:rsidR="008D74C8">
        <w:rPr>
          <w:bCs/>
          <w:i w:val="0"/>
          <w:iCs w:val="0"/>
        </w:rPr>
        <w:t xml:space="preserve">concernant un site accueillant une IGD </w:t>
      </w:r>
      <w:r w:rsidR="0077537A">
        <w:rPr>
          <w:bCs/>
          <w:i w:val="0"/>
          <w:iCs w:val="0"/>
        </w:rPr>
        <w:t>devra comprendre l’étude prévue par l’article 27 du règlement européen (</w:t>
      </w:r>
      <w:r w:rsidR="0077537A" w:rsidRPr="0077537A">
        <w:rPr>
          <w:bCs/>
          <w:i w:val="0"/>
          <w:iCs w:val="0"/>
        </w:rPr>
        <w:t>ou le document justifiant de l’absence de matières premières critiques techniquement valorisable dans les déchets d’extraction et du degré élevé de certitude de cette démonstration</w:t>
      </w:r>
      <w:r w:rsidR="0077537A">
        <w:rPr>
          <w:bCs/>
          <w:i w:val="0"/>
          <w:iCs w:val="0"/>
        </w:rPr>
        <w:t>). Pour les installations assujetties à cette obligation,</w:t>
      </w:r>
      <w:r w:rsidR="0077537A" w:rsidRPr="0077537A">
        <w:rPr>
          <w:bCs/>
          <w:i w:val="0"/>
          <w:iCs w:val="0"/>
        </w:rPr>
        <w:t xml:space="preserve"> </w:t>
      </w:r>
      <w:r w:rsidR="0077537A">
        <w:rPr>
          <w:bCs/>
          <w:i w:val="0"/>
          <w:iCs w:val="0"/>
        </w:rPr>
        <w:t>autorisées</w:t>
      </w:r>
      <w:r w:rsidR="0077537A" w:rsidRPr="0077537A">
        <w:rPr>
          <w:bCs/>
          <w:i w:val="0"/>
          <w:iCs w:val="0"/>
        </w:rPr>
        <w:t xml:space="preserve"> avant le 1</w:t>
      </w:r>
      <w:r w:rsidR="0077537A" w:rsidRPr="0077537A">
        <w:rPr>
          <w:bCs/>
          <w:i w:val="0"/>
          <w:iCs w:val="0"/>
          <w:vertAlign w:val="superscript"/>
        </w:rPr>
        <w:t>er</w:t>
      </w:r>
      <w:r w:rsidR="0077537A">
        <w:rPr>
          <w:bCs/>
          <w:i w:val="0"/>
          <w:iCs w:val="0"/>
        </w:rPr>
        <w:t xml:space="preserve"> </w:t>
      </w:r>
      <w:r w:rsidR="0077537A" w:rsidRPr="0077537A">
        <w:rPr>
          <w:bCs/>
          <w:i w:val="0"/>
          <w:iCs w:val="0"/>
        </w:rPr>
        <w:t>juillet 202</w:t>
      </w:r>
      <w:r w:rsidR="0077537A">
        <w:rPr>
          <w:bCs/>
          <w:i w:val="0"/>
          <w:iCs w:val="0"/>
        </w:rPr>
        <w:t>6</w:t>
      </w:r>
      <w:r w:rsidR="0077537A" w:rsidRPr="0077537A">
        <w:rPr>
          <w:bCs/>
          <w:i w:val="0"/>
          <w:iCs w:val="0"/>
        </w:rPr>
        <w:t xml:space="preserve"> ou dont le dossier d’autorisation a été déposé avant cette date, </w:t>
      </w:r>
      <w:r w:rsidR="0077537A">
        <w:rPr>
          <w:bCs/>
          <w:i w:val="0"/>
          <w:iCs w:val="0"/>
        </w:rPr>
        <w:t xml:space="preserve">l’exploitant devra </w:t>
      </w:r>
      <w:r w:rsidR="0077537A" w:rsidRPr="0077537A">
        <w:rPr>
          <w:bCs/>
          <w:i w:val="0"/>
          <w:iCs w:val="0"/>
        </w:rPr>
        <w:t>transmet</w:t>
      </w:r>
      <w:r w:rsidR="0077537A">
        <w:rPr>
          <w:bCs/>
          <w:i w:val="0"/>
          <w:iCs w:val="0"/>
        </w:rPr>
        <w:t>tre</w:t>
      </w:r>
      <w:r w:rsidR="0077537A" w:rsidRPr="0077537A">
        <w:rPr>
          <w:bCs/>
          <w:i w:val="0"/>
          <w:iCs w:val="0"/>
        </w:rPr>
        <w:t xml:space="preserve"> au préfet l’étude </w:t>
      </w:r>
      <w:r w:rsidR="0077537A">
        <w:rPr>
          <w:bCs/>
          <w:i w:val="0"/>
          <w:iCs w:val="0"/>
        </w:rPr>
        <w:t>(</w:t>
      </w:r>
      <w:r w:rsidR="0077537A" w:rsidRPr="0077537A">
        <w:rPr>
          <w:bCs/>
          <w:i w:val="0"/>
          <w:iCs w:val="0"/>
        </w:rPr>
        <w:t>ou le document justifiant de l’absence de matières premières critiques</w:t>
      </w:r>
      <w:r w:rsidR="0077537A">
        <w:rPr>
          <w:bCs/>
          <w:i w:val="0"/>
          <w:iCs w:val="0"/>
        </w:rPr>
        <w:t xml:space="preserve">) </w:t>
      </w:r>
      <w:r w:rsidR="0077537A" w:rsidRPr="0077537A">
        <w:rPr>
          <w:bCs/>
          <w:i w:val="0"/>
          <w:iCs w:val="0"/>
        </w:rPr>
        <w:t>au plus tard le 24 novembre 2026.</w:t>
      </w:r>
    </w:p>
    <w:p w14:paraId="4DFA06F3" w14:textId="07762830" w:rsidR="005545E1" w:rsidRPr="00C26025" w:rsidRDefault="0077537A" w:rsidP="00623096">
      <w:pPr>
        <w:pStyle w:val="western"/>
        <w:spacing w:line="276" w:lineRule="auto"/>
        <w:rPr>
          <w:kern w:val="24"/>
        </w:rPr>
      </w:pPr>
      <w:r>
        <w:rPr>
          <w:bCs/>
          <w:i w:val="0"/>
          <w:iCs w:val="0"/>
        </w:rPr>
        <w:t xml:space="preserve">Le </w:t>
      </w:r>
      <w:r w:rsidRPr="0077537A">
        <w:rPr>
          <w:b/>
          <w:i w:val="0"/>
          <w:iCs w:val="0"/>
        </w:rPr>
        <w:t>projet d’arrêté</w:t>
      </w:r>
      <w:r>
        <w:rPr>
          <w:bCs/>
          <w:i w:val="0"/>
          <w:iCs w:val="0"/>
        </w:rPr>
        <w:t xml:space="preserve"> prévoit des modifications similaires dans l’arrêté du 22 septembre 1994 relatif aux exploitations de carrières et dans l’arrêté du 19 avril 2010 relatif à la gestion des déchets des industries extractives</w:t>
      </w:r>
      <w:r w:rsidR="00623096">
        <w:rPr>
          <w:bCs/>
          <w:i w:val="0"/>
          <w:iCs w:val="0"/>
        </w:rPr>
        <w:t xml:space="preserve"> (qui </w:t>
      </w:r>
      <w:r w:rsidR="00623096" w:rsidRPr="00623096">
        <w:rPr>
          <w:bCs/>
          <w:i w:val="0"/>
          <w:iCs w:val="0"/>
        </w:rPr>
        <w:t xml:space="preserve">fixe les prescriptions techniques minimales applicables </w:t>
      </w:r>
      <w:r w:rsidR="00623096">
        <w:rPr>
          <w:bCs/>
          <w:i w:val="0"/>
          <w:iCs w:val="0"/>
        </w:rPr>
        <w:t xml:space="preserve">aux </w:t>
      </w:r>
      <w:r w:rsidR="00623096" w:rsidRPr="00623096">
        <w:rPr>
          <w:bCs/>
          <w:i w:val="0"/>
          <w:iCs w:val="0"/>
        </w:rPr>
        <w:t>stockages de déchets d'extraction solides, liquides, en solution ou en suspension relevant de la rubrique n° 2720 de la nomenclature des installations classées</w:t>
      </w:r>
      <w:r w:rsidR="002B7299">
        <w:rPr>
          <w:bCs/>
          <w:i w:val="0"/>
          <w:iCs w:val="0"/>
        </w:rPr>
        <w:t xml:space="preserve">, ainsi </w:t>
      </w:r>
      <w:r w:rsidR="002B7299" w:rsidRPr="002B7299">
        <w:rPr>
          <w:bCs/>
          <w:i w:val="0"/>
          <w:iCs w:val="0"/>
        </w:rPr>
        <w:t>les prescriptions relatives à la prévention des accidents</w:t>
      </w:r>
      <w:r w:rsidR="00623096">
        <w:rPr>
          <w:bCs/>
          <w:i w:val="0"/>
          <w:iCs w:val="0"/>
        </w:rPr>
        <w:t>),</w:t>
      </w:r>
      <w:r w:rsidR="008B58F3">
        <w:rPr>
          <w:bCs/>
          <w:i w:val="0"/>
          <w:iCs w:val="0"/>
        </w:rPr>
        <w:t xml:space="preserve"> </w:t>
      </w:r>
      <w:r>
        <w:rPr>
          <w:bCs/>
          <w:i w:val="0"/>
          <w:iCs w:val="0"/>
        </w:rPr>
        <w:t>avec les mêmes dispositions transitoires. Il procède par ailleurs à</w:t>
      </w:r>
      <w:r w:rsidR="00C26025" w:rsidRPr="00FC0F6F">
        <w:rPr>
          <w:kern w:val="24"/>
        </w:rPr>
        <w:t xml:space="preserve"> </w:t>
      </w:r>
      <w:r w:rsidR="00C26025" w:rsidRPr="0077537A">
        <w:rPr>
          <w:i w:val="0"/>
          <w:iCs w:val="0"/>
          <w:kern w:val="24"/>
        </w:rPr>
        <w:t xml:space="preserve">quelques </w:t>
      </w:r>
      <w:r w:rsidRPr="0077537A">
        <w:rPr>
          <w:i w:val="0"/>
          <w:iCs w:val="0"/>
          <w:kern w:val="24"/>
        </w:rPr>
        <w:t>corrections</w:t>
      </w:r>
      <w:r w:rsidR="00FC0F6F" w:rsidRPr="0077537A">
        <w:rPr>
          <w:i w:val="0"/>
          <w:iCs w:val="0"/>
          <w:kern w:val="24"/>
        </w:rPr>
        <w:t xml:space="preserve"> </w:t>
      </w:r>
      <w:r w:rsidR="005545E1" w:rsidRPr="0077537A">
        <w:rPr>
          <w:i w:val="0"/>
          <w:iCs w:val="0"/>
          <w:kern w:val="24"/>
        </w:rPr>
        <w:t>rédaction</w:t>
      </w:r>
      <w:r w:rsidR="00FC0F6F" w:rsidRPr="0077537A">
        <w:rPr>
          <w:i w:val="0"/>
          <w:iCs w:val="0"/>
          <w:kern w:val="24"/>
        </w:rPr>
        <w:t>nel</w:t>
      </w:r>
      <w:r w:rsidRPr="0077537A">
        <w:rPr>
          <w:i w:val="0"/>
          <w:iCs w:val="0"/>
          <w:kern w:val="24"/>
        </w:rPr>
        <w:t>les</w:t>
      </w:r>
      <w:r w:rsidR="005545E1" w:rsidRPr="0077537A">
        <w:rPr>
          <w:i w:val="0"/>
          <w:iCs w:val="0"/>
          <w:kern w:val="24"/>
        </w:rPr>
        <w:t xml:space="preserve"> (articles 1, 6, 10, 11, 12, 15</w:t>
      </w:r>
      <w:r w:rsidR="00FC0F6F" w:rsidRPr="0077537A">
        <w:rPr>
          <w:i w:val="0"/>
          <w:iCs w:val="0"/>
          <w:kern w:val="24"/>
        </w:rPr>
        <w:t>,</w:t>
      </w:r>
      <w:r w:rsidR="005545E1" w:rsidRPr="0077537A">
        <w:rPr>
          <w:i w:val="0"/>
          <w:iCs w:val="0"/>
          <w:kern w:val="24"/>
        </w:rPr>
        <w:t xml:space="preserve"> 18</w:t>
      </w:r>
      <w:r w:rsidR="00FC0F6F" w:rsidRPr="0077537A">
        <w:rPr>
          <w:i w:val="0"/>
          <w:iCs w:val="0"/>
          <w:kern w:val="24"/>
        </w:rPr>
        <w:t xml:space="preserve"> et 24</w:t>
      </w:r>
      <w:r w:rsidRPr="0077537A">
        <w:rPr>
          <w:i w:val="0"/>
          <w:iCs w:val="0"/>
          <w:kern w:val="24"/>
        </w:rPr>
        <w:t xml:space="preserve"> de l’arrêté du 22 septembre 1994</w:t>
      </w:r>
      <w:r w:rsidR="005545E1" w:rsidRPr="0077537A">
        <w:rPr>
          <w:i w:val="0"/>
          <w:iCs w:val="0"/>
          <w:kern w:val="24"/>
        </w:rPr>
        <w:t xml:space="preserve">), </w:t>
      </w:r>
      <w:r w:rsidR="00FC0F6F" w:rsidRPr="0077537A">
        <w:rPr>
          <w:i w:val="0"/>
          <w:iCs w:val="0"/>
          <w:kern w:val="24"/>
        </w:rPr>
        <w:t xml:space="preserve">met </w:t>
      </w:r>
      <w:r w:rsidR="005545E1" w:rsidRPr="0077537A">
        <w:rPr>
          <w:i w:val="0"/>
          <w:iCs w:val="0"/>
          <w:kern w:val="24"/>
        </w:rPr>
        <w:t xml:space="preserve">à jour </w:t>
      </w:r>
      <w:r w:rsidR="00FC0F6F" w:rsidRPr="0077537A">
        <w:rPr>
          <w:i w:val="0"/>
          <w:iCs w:val="0"/>
          <w:kern w:val="24"/>
        </w:rPr>
        <w:t>un</w:t>
      </w:r>
      <w:r w:rsidR="005545E1" w:rsidRPr="0077537A">
        <w:rPr>
          <w:i w:val="0"/>
          <w:iCs w:val="0"/>
          <w:kern w:val="24"/>
        </w:rPr>
        <w:t xml:space="preserve"> renvoi </w:t>
      </w:r>
      <w:r w:rsidR="00FC0F6F" w:rsidRPr="0077537A">
        <w:rPr>
          <w:i w:val="0"/>
          <w:iCs w:val="0"/>
          <w:kern w:val="24"/>
        </w:rPr>
        <w:t xml:space="preserve">à un article </w:t>
      </w:r>
      <w:r w:rsidR="005545E1" w:rsidRPr="0077537A">
        <w:rPr>
          <w:i w:val="0"/>
          <w:iCs w:val="0"/>
          <w:kern w:val="24"/>
        </w:rPr>
        <w:t>code de l’environnement</w:t>
      </w:r>
      <w:r w:rsidRPr="0077537A">
        <w:rPr>
          <w:i w:val="0"/>
          <w:iCs w:val="0"/>
          <w:kern w:val="24"/>
        </w:rPr>
        <w:t xml:space="preserve"> </w:t>
      </w:r>
      <w:r w:rsidR="00FC0F6F" w:rsidRPr="0077537A">
        <w:rPr>
          <w:i w:val="0"/>
          <w:iCs w:val="0"/>
          <w:kern w:val="24"/>
        </w:rPr>
        <w:t>(article 11</w:t>
      </w:r>
      <w:r w:rsidRPr="0077537A">
        <w:rPr>
          <w:i w:val="0"/>
          <w:iCs w:val="0"/>
          <w:kern w:val="24"/>
        </w:rPr>
        <w:t xml:space="preserve"> du même arrêté</w:t>
      </w:r>
      <w:r w:rsidR="00FC0F6F" w:rsidRPr="0077537A">
        <w:rPr>
          <w:i w:val="0"/>
          <w:iCs w:val="0"/>
          <w:kern w:val="24"/>
        </w:rPr>
        <w:t>)</w:t>
      </w:r>
      <w:r w:rsidR="005545E1" w:rsidRPr="0077537A">
        <w:rPr>
          <w:i w:val="0"/>
          <w:iCs w:val="0"/>
          <w:kern w:val="24"/>
        </w:rPr>
        <w:t xml:space="preserve">, </w:t>
      </w:r>
      <w:r w:rsidR="00FC0F6F" w:rsidRPr="0077537A">
        <w:rPr>
          <w:i w:val="0"/>
          <w:iCs w:val="0"/>
          <w:kern w:val="24"/>
        </w:rPr>
        <w:t xml:space="preserve">et prend </w:t>
      </w:r>
      <w:r w:rsidR="005545E1" w:rsidRPr="0077537A">
        <w:rPr>
          <w:i w:val="0"/>
          <w:iCs w:val="0"/>
          <w:kern w:val="24"/>
        </w:rPr>
        <w:t xml:space="preserve">en compte </w:t>
      </w:r>
      <w:r w:rsidR="00FC0F6F" w:rsidRPr="0077537A">
        <w:rPr>
          <w:i w:val="0"/>
          <w:iCs w:val="0"/>
          <w:kern w:val="24"/>
        </w:rPr>
        <w:t xml:space="preserve">des </w:t>
      </w:r>
      <w:r w:rsidR="005545E1" w:rsidRPr="0077537A">
        <w:rPr>
          <w:i w:val="0"/>
          <w:iCs w:val="0"/>
          <w:kern w:val="24"/>
        </w:rPr>
        <w:t>évolutions normatives d</w:t>
      </w:r>
      <w:r w:rsidR="00FC0F6F" w:rsidRPr="0077537A">
        <w:rPr>
          <w:i w:val="0"/>
          <w:iCs w:val="0"/>
          <w:kern w:val="24"/>
        </w:rPr>
        <w:t xml:space="preserve">ans le </w:t>
      </w:r>
      <w:r w:rsidR="005545E1" w:rsidRPr="0077537A">
        <w:rPr>
          <w:i w:val="0"/>
          <w:iCs w:val="0"/>
          <w:kern w:val="24"/>
        </w:rPr>
        <w:t>domaine analytique (article 18 et annexe 1</w:t>
      </w:r>
      <w:r w:rsidRPr="0077537A">
        <w:rPr>
          <w:i w:val="0"/>
          <w:iCs w:val="0"/>
          <w:kern w:val="24"/>
        </w:rPr>
        <w:t xml:space="preserve"> du même arrêté</w:t>
      </w:r>
      <w:r w:rsidR="005545E1" w:rsidRPr="0077537A">
        <w:rPr>
          <w:i w:val="0"/>
          <w:iCs w:val="0"/>
          <w:kern w:val="24"/>
        </w:rPr>
        <w:t>).</w:t>
      </w:r>
    </w:p>
    <w:p w14:paraId="11E196FF" w14:textId="77777777" w:rsidR="00FC0F6F" w:rsidRDefault="00FC0F6F" w:rsidP="003049DF">
      <w:pPr>
        <w:spacing w:line="276" w:lineRule="auto"/>
        <w:jc w:val="both"/>
        <w:rPr>
          <w:b/>
          <w:i/>
          <w:iCs/>
        </w:rPr>
      </w:pPr>
    </w:p>
    <w:p w14:paraId="439CE886" w14:textId="77777777" w:rsidR="005545E1" w:rsidRPr="005545E1" w:rsidRDefault="005545E1" w:rsidP="003049DF">
      <w:pPr>
        <w:spacing w:line="276" w:lineRule="auto"/>
        <w:jc w:val="both"/>
        <w:rPr>
          <w:b/>
          <w:i/>
          <w:iCs/>
        </w:rPr>
      </w:pPr>
    </w:p>
    <w:sectPr w:rsidR="005545E1" w:rsidRPr="005545E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AE65" w14:textId="77777777" w:rsidR="00FC1890" w:rsidRDefault="00FC1890" w:rsidP="0084002B">
      <w:pPr>
        <w:spacing w:after="0" w:line="240" w:lineRule="auto"/>
      </w:pPr>
      <w:r>
        <w:separator/>
      </w:r>
    </w:p>
  </w:endnote>
  <w:endnote w:type="continuationSeparator" w:id="0">
    <w:p w14:paraId="0CAB3270" w14:textId="77777777" w:rsidR="00FC1890" w:rsidRDefault="00FC1890" w:rsidP="0084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285061"/>
      <w:docPartObj>
        <w:docPartGallery w:val="Page Numbers (Bottom of Page)"/>
        <w:docPartUnique/>
      </w:docPartObj>
    </w:sdtPr>
    <w:sdtEndPr/>
    <w:sdtContent>
      <w:p w14:paraId="38B3639F" w14:textId="3AE0BBF2" w:rsidR="00150CB5" w:rsidRDefault="00150CB5">
        <w:pPr>
          <w:pStyle w:val="Pieddepage"/>
          <w:jc w:val="center"/>
        </w:pPr>
        <w:r>
          <w:fldChar w:fldCharType="begin"/>
        </w:r>
        <w:r>
          <w:instrText>PAGE   \* MERGEFORMAT</w:instrText>
        </w:r>
        <w:r>
          <w:fldChar w:fldCharType="separate"/>
        </w:r>
        <w:r>
          <w:t>2</w:t>
        </w:r>
        <w:r>
          <w:fldChar w:fldCharType="end"/>
        </w:r>
      </w:p>
    </w:sdtContent>
  </w:sdt>
  <w:p w14:paraId="249B53B6" w14:textId="77777777" w:rsidR="00150CB5" w:rsidRDefault="00150C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8045" w14:textId="77777777" w:rsidR="00FC1890" w:rsidRDefault="00FC1890" w:rsidP="0084002B">
      <w:pPr>
        <w:spacing w:after="0" w:line="240" w:lineRule="auto"/>
      </w:pPr>
      <w:r>
        <w:separator/>
      </w:r>
    </w:p>
  </w:footnote>
  <w:footnote w:type="continuationSeparator" w:id="0">
    <w:p w14:paraId="44DD4AB3" w14:textId="77777777" w:rsidR="00FC1890" w:rsidRDefault="00FC1890" w:rsidP="0084002B">
      <w:pPr>
        <w:spacing w:after="0" w:line="240" w:lineRule="auto"/>
      </w:pPr>
      <w:r>
        <w:continuationSeparator/>
      </w:r>
    </w:p>
  </w:footnote>
  <w:footnote w:id="1">
    <w:p w14:paraId="0013FAA7" w14:textId="11BEE1C3" w:rsidR="003E21D6" w:rsidRDefault="003E21D6" w:rsidP="003E21D6">
      <w:pPr>
        <w:pStyle w:val="Notedebasdepage"/>
      </w:pPr>
      <w:r>
        <w:rPr>
          <w:rStyle w:val="Appelnotedebasdep"/>
        </w:rPr>
        <w:footnoteRef/>
      </w:r>
      <w:r>
        <w:t xml:space="preserve"> Installations de stockage de déchets résultant de la prospection, de l’extraction, du traitement et du stockage de ressources minérales ainsi que de l’exploitation de carrières (site choisi pour y accumuler ou déposer des déchets solides, liquides, en solution ou en suspension), que ces installations portent sur des déchets dangereux (2720-1) ou des déchets non dangereux non inertes (2720-2).</w:t>
      </w:r>
    </w:p>
  </w:footnote>
  <w:footnote w:id="2">
    <w:p w14:paraId="763F41F9" w14:textId="29287FE3" w:rsidR="003E21D6" w:rsidRDefault="003E21D6">
      <w:pPr>
        <w:pStyle w:val="Notedebasdepage"/>
      </w:pPr>
      <w:r>
        <w:rPr>
          <w:rStyle w:val="Appelnotedebasdep"/>
        </w:rPr>
        <w:footnoteRef/>
      </w:r>
      <w:r>
        <w:t xml:space="preserve"> </w:t>
      </w:r>
      <w:r w:rsidRPr="003E21D6">
        <w:t>Directive 2006/21/CE du Parlement européen et du Conseil du 15 mars 2006 concernant la gestion des déchets de l'industrie extractive et modifiant la directive 2004/35/CE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01E1"/>
    <w:multiLevelType w:val="multilevel"/>
    <w:tmpl w:val="91B2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571"/>
    <w:multiLevelType w:val="hybridMultilevel"/>
    <w:tmpl w:val="129648CA"/>
    <w:lvl w:ilvl="0" w:tplc="C61E0E54">
      <w:numFmt w:val="bullet"/>
      <w:lvlText w:val="•"/>
      <w:lvlJc w:val="left"/>
      <w:pPr>
        <w:ind w:left="706" w:hanging="564"/>
      </w:pPr>
      <w:rPr>
        <w:rFonts w:ascii="Times New Roman" w:eastAsiaTheme="minorHAnsi" w:hAnsi="Times New Roman"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37BC6F7F"/>
    <w:multiLevelType w:val="hybridMultilevel"/>
    <w:tmpl w:val="3FA2BAF0"/>
    <w:lvl w:ilvl="0" w:tplc="7CE6F4CC">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EA34EC"/>
    <w:multiLevelType w:val="hybridMultilevel"/>
    <w:tmpl w:val="0E38CE0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56362070"/>
    <w:multiLevelType w:val="hybridMultilevel"/>
    <w:tmpl w:val="5C8A8060"/>
    <w:lvl w:ilvl="0" w:tplc="68B2D5C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3F7578"/>
    <w:multiLevelType w:val="hybridMultilevel"/>
    <w:tmpl w:val="7FB00190"/>
    <w:lvl w:ilvl="0" w:tplc="E092001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193BAC"/>
    <w:multiLevelType w:val="hybridMultilevel"/>
    <w:tmpl w:val="B6A4246A"/>
    <w:lvl w:ilvl="0" w:tplc="68B2D5C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1C3A6F"/>
    <w:multiLevelType w:val="multilevel"/>
    <w:tmpl w:val="E83E486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6A643C6A"/>
    <w:multiLevelType w:val="hybridMultilevel"/>
    <w:tmpl w:val="CC381670"/>
    <w:lvl w:ilvl="0" w:tplc="7CE6F4CC">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C51D8D"/>
    <w:multiLevelType w:val="hybridMultilevel"/>
    <w:tmpl w:val="BDE691F2"/>
    <w:lvl w:ilvl="0" w:tplc="C61E0E54">
      <w:numFmt w:val="bullet"/>
      <w:lvlText w:val="•"/>
      <w:lvlJc w:val="left"/>
      <w:pPr>
        <w:ind w:left="706" w:hanging="564"/>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135E91"/>
    <w:multiLevelType w:val="hybridMultilevel"/>
    <w:tmpl w:val="54A22DA4"/>
    <w:lvl w:ilvl="0" w:tplc="C61E0E54">
      <w:numFmt w:val="bullet"/>
      <w:lvlText w:val="•"/>
      <w:lvlJc w:val="left"/>
      <w:pPr>
        <w:ind w:left="706" w:hanging="564"/>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AA1D7A"/>
    <w:multiLevelType w:val="multilevel"/>
    <w:tmpl w:val="EA94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5"/>
  </w:num>
  <w:num w:numId="4">
    <w:abstractNumId w:val="6"/>
  </w:num>
  <w:num w:numId="5">
    <w:abstractNumId w:val="4"/>
  </w:num>
  <w:num w:numId="6">
    <w:abstractNumId w:val="7"/>
  </w:num>
  <w:num w:numId="7">
    <w:abstractNumId w:val="8"/>
  </w:num>
  <w:num w:numId="8">
    <w:abstractNumId w:val="2"/>
  </w:num>
  <w:num w:numId="9">
    <w:abstractNumId w:val="3"/>
  </w:num>
  <w:num w:numId="10">
    <w:abstractNumId w:val="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7B"/>
    <w:rsid w:val="00033C1F"/>
    <w:rsid w:val="000659BA"/>
    <w:rsid w:val="00080625"/>
    <w:rsid w:val="00080656"/>
    <w:rsid w:val="0008655A"/>
    <w:rsid w:val="000A3C0E"/>
    <w:rsid w:val="000C6468"/>
    <w:rsid w:val="000D0508"/>
    <w:rsid w:val="00134146"/>
    <w:rsid w:val="00150812"/>
    <w:rsid w:val="00150CB5"/>
    <w:rsid w:val="001E4349"/>
    <w:rsid w:val="001E4919"/>
    <w:rsid w:val="002200BD"/>
    <w:rsid w:val="002B7299"/>
    <w:rsid w:val="002D5D53"/>
    <w:rsid w:val="002F0095"/>
    <w:rsid w:val="002F5BDB"/>
    <w:rsid w:val="003049DF"/>
    <w:rsid w:val="0031663C"/>
    <w:rsid w:val="003336D1"/>
    <w:rsid w:val="0034064D"/>
    <w:rsid w:val="003510CD"/>
    <w:rsid w:val="003A703F"/>
    <w:rsid w:val="003E21D6"/>
    <w:rsid w:val="003E28CD"/>
    <w:rsid w:val="00411B12"/>
    <w:rsid w:val="004223CB"/>
    <w:rsid w:val="00484F06"/>
    <w:rsid w:val="00506916"/>
    <w:rsid w:val="005545E1"/>
    <w:rsid w:val="00554CF4"/>
    <w:rsid w:val="00564162"/>
    <w:rsid w:val="00580D4A"/>
    <w:rsid w:val="005B07F9"/>
    <w:rsid w:val="005E0196"/>
    <w:rsid w:val="00606664"/>
    <w:rsid w:val="00623096"/>
    <w:rsid w:val="0065228A"/>
    <w:rsid w:val="00654EFE"/>
    <w:rsid w:val="006572B9"/>
    <w:rsid w:val="006A4503"/>
    <w:rsid w:val="006D2F10"/>
    <w:rsid w:val="007357B9"/>
    <w:rsid w:val="007463B9"/>
    <w:rsid w:val="0077537A"/>
    <w:rsid w:val="00782C60"/>
    <w:rsid w:val="00783491"/>
    <w:rsid w:val="007D0C25"/>
    <w:rsid w:val="0082103E"/>
    <w:rsid w:val="0084002B"/>
    <w:rsid w:val="008713C9"/>
    <w:rsid w:val="008B58F3"/>
    <w:rsid w:val="008D19A6"/>
    <w:rsid w:val="008D74C8"/>
    <w:rsid w:val="008F7206"/>
    <w:rsid w:val="00950AD1"/>
    <w:rsid w:val="00961E40"/>
    <w:rsid w:val="009722C2"/>
    <w:rsid w:val="00A32206"/>
    <w:rsid w:val="00A61AAB"/>
    <w:rsid w:val="00A8260C"/>
    <w:rsid w:val="00AD7C4B"/>
    <w:rsid w:val="00AF6BC2"/>
    <w:rsid w:val="00B25A87"/>
    <w:rsid w:val="00B6670E"/>
    <w:rsid w:val="00B87ED2"/>
    <w:rsid w:val="00BA09AA"/>
    <w:rsid w:val="00BA65FA"/>
    <w:rsid w:val="00BB228A"/>
    <w:rsid w:val="00BB5143"/>
    <w:rsid w:val="00BE0092"/>
    <w:rsid w:val="00BF3B64"/>
    <w:rsid w:val="00C11075"/>
    <w:rsid w:val="00C25490"/>
    <w:rsid w:val="00C26025"/>
    <w:rsid w:val="00C3676A"/>
    <w:rsid w:val="00C42426"/>
    <w:rsid w:val="00C76997"/>
    <w:rsid w:val="00C84F9C"/>
    <w:rsid w:val="00CC494F"/>
    <w:rsid w:val="00CD177B"/>
    <w:rsid w:val="00CD4E35"/>
    <w:rsid w:val="00CE696E"/>
    <w:rsid w:val="00CF2C70"/>
    <w:rsid w:val="00D05011"/>
    <w:rsid w:val="00D74B41"/>
    <w:rsid w:val="00DF5581"/>
    <w:rsid w:val="00E02224"/>
    <w:rsid w:val="00EE3AE8"/>
    <w:rsid w:val="00EF1A26"/>
    <w:rsid w:val="00EF224E"/>
    <w:rsid w:val="00F3727D"/>
    <w:rsid w:val="00F63E13"/>
    <w:rsid w:val="00F87F43"/>
    <w:rsid w:val="00FA593F"/>
    <w:rsid w:val="00FB32C9"/>
    <w:rsid w:val="00FC0F6F"/>
    <w:rsid w:val="00FC1890"/>
    <w:rsid w:val="00FC63AC"/>
    <w:rsid w:val="00FE1493"/>
    <w:rsid w:val="00FF11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1819"/>
  <w15:chartTrackingRefBased/>
  <w15:docId w15:val="{84C206AE-5E22-4635-AF3B-7E96B2D1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28A"/>
  </w:style>
  <w:style w:type="paragraph" w:styleId="Titre1">
    <w:name w:val="heading 1"/>
    <w:basedOn w:val="Normal"/>
    <w:next w:val="Normal"/>
    <w:link w:val="Titre1Car"/>
    <w:uiPriority w:val="9"/>
    <w:qFormat/>
    <w:rsid w:val="00C42426"/>
    <w:pPr>
      <w:keepNext/>
      <w:keepLines/>
      <w:numPr>
        <w:numId w:val="6"/>
      </w:numPr>
      <w:spacing w:before="240" w:after="240"/>
      <w:ind w:left="431" w:hanging="431"/>
      <w:jc w:val="both"/>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42426"/>
    <w:pPr>
      <w:keepNext/>
      <w:keepLines/>
      <w:numPr>
        <w:ilvl w:val="1"/>
        <w:numId w:val="6"/>
      </w:numPr>
      <w:spacing w:before="40" w:after="240"/>
      <w:jc w:val="both"/>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C42426"/>
    <w:pPr>
      <w:keepNext/>
      <w:keepLines/>
      <w:numPr>
        <w:ilvl w:val="2"/>
        <w:numId w:val="6"/>
      </w:numPr>
      <w:spacing w:before="40" w:after="0"/>
      <w:jc w:val="both"/>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C42426"/>
    <w:pPr>
      <w:keepNext/>
      <w:keepLines/>
      <w:numPr>
        <w:ilvl w:val="3"/>
        <w:numId w:val="6"/>
      </w:numPr>
      <w:spacing w:before="40" w:after="0"/>
      <w:jc w:val="both"/>
      <w:outlineLvl w:val="3"/>
    </w:pPr>
    <w:rPr>
      <w:rFonts w:asciiTheme="majorHAnsi" w:eastAsiaTheme="majorEastAsia" w:hAnsiTheme="majorHAnsi" w:cstheme="majorBidi"/>
      <w:i/>
      <w:iCs/>
      <w:color w:val="2E74B5" w:themeColor="accent1" w:themeShade="BF"/>
      <w:sz w:val="22"/>
      <w:szCs w:val="22"/>
    </w:rPr>
  </w:style>
  <w:style w:type="paragraph" w:styleId="Titre5">
    <w:name w:val="heading 5"/>
    <w:basedOn w:val="Normal"/>
    <w:next w:val="Normal"/>
    <w:link w:val="Titre5Car"/>
    <w:uiPriority w:val="9"/>
    <w:semiHidden/>
    <w:unhideWhenUsed/>
    <w:qFormat/>
    <w:rsid w:val="00C42426"/>
    <w:pPr>
      <w:keepNext/>
      <w:keepLines/>
      <w:numPr>
        <w:ilvl w:val="4"/>
        <w:numId w:val="6"/>
      </w:numPr>
      <w:spacing w:before="40" w:after="0"/>
      <w:jc w:val="both"/>
      <w:outlineLvl w:val="4"/>
    </w:pPr>
    <w:rPr>
      <w:rFonts w:asciiTheme="majorHAnsi" w:eastAsiaTheme="majorEastAsia" w:hAnsiTheme="majorHAnsi" w:cstheme="majorBidi"/>
      <w:color w:val="2E74B5" w:themeColor="accent1" w:themeShade="BF"/>
      <w:sz w:val="22"/>
      <w:szCs w:val="22"/>
    </w:rPr>
  </w:style>
  <w:style w:type="paragraph" w:styleId="Titre6">
    <w:name w:val="heading 6"/>
    <w:basedOn w:val="Normal"/>
    <w:next w:val="Normal"/>
    <w:link w:val="Titre6Car"/>
    <w:uiPriority w:val="9"/>
    <w:semiHidden/>
    <w:unhideWhenUsed/>
    <w:qFormat/>
    <w:rsid w:val="00C42426"/>
    <w:pPr>
      <w:keepNext/>
      <w:keepLines/>
      <w:numPr>
        <w:ilvl w:val="5"/>
        <w:numId w:val="6"/>
      </w:numPr>
      <w:spacing w:before="40" w:after="0"/>
      <w:jc w:val="both"/>
      <w:outlineLvl w:val="5"/>
    </w:pPr>
    <w:rPr>
      <w:rFonts w:asciiTheme="majorHAnsi" w:eastAsiaTheme="majorEastAsia" w:hAnsiTheme="majorHAnsi" w:cstheme="majorBidi"/>
      <w:color w:val="1F4D78" w:themeColor="accent1" w:themeShade="7F"/>
      <w:sz w:val="22"/>
      <w:szCs w:val="22"/>
    </w:rPr>
  </w:style>
  <w:style w:type="paragraph" w:styleId="Titre7">
    <w:name w:val="heading 7"/>
    <w:basedOn w:val="Normal"/>
    <w:next w:val="Normal"/>
    <w:link w:val="Titre7Car"/>
    <w:uiPriority w:val="9"/>
    <w:semiHidden/>
    <w:unhideWhenUsed/>
    <w:qFormat/>
    <w:rsid w:val="00C42426"/>
    <w:pPr>
      <w:keepNext/>
      <w:keepLines/>
      <w:numPr>
        <w:ilvl w:val="6"/>
        <w:numId w:val="6"/>
      </w:numPr>
      <w:spacing w:before="40" w:after="0"/>
      <w:jc w:val="both"/>
      <w:outlineLvl w:val="6"/>
    </w:pPr>
    <w:rPr>
      <w:rFonts w:asciiTheme="majorHAnsi" w:eastAsiaTheme="majorEastAsia" w:hAnsiTheme="majorHAnsi" w:cstheme="majorBidi"/>
      <w:i/>
      <w:iCs/>
      <w:color w:val="1F4D78" w:themeColor="accent1" w:themeShade="7F"/>
      <w:sz w:val="22"/>
      <w:szCs w:val="22"/>
    </w:rPr>
  </w:style>
  <w:style w:type="paragraph" w:styleId="Titre8">
    <w:name w:val="heading 8"/>
    <w:basedOn w:val="Normal"/>
    <w:next w:val="Normal"/>
    <w:link w:val="Titre8Car"/>
    <w:uiPriority w:val="9"/>
    <w:semiHidden/>
    <w:unhideWhenUsed/>
    <w:qFormat/>
    <w:rsid w:val="00C42426"/>
    <w:pPr>
      <w:keepNext/>
      <w:keepLines/>
      <w:numPr>
        <w:ilvl w:val="7"/>
        <w:numId w:val="6"/>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42426"/>
    <w:pPr>
      <w:keepNext/>
      <w:keepLines/>
      <w:numPr>
        <w:ilvl w:val="8"/>
        <w:numId w:val="6"/>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D177B"/>
    <w:pPr>
      <w:spacing w:before="100" w:beforeAutospacing="1" w:after="100" w:afterAutospacing="1" w:line="240" w:lineRule="auto"/>
      <w:jc w:val="both"/>
    </w:pPr>
    <w:rPr>
      <w:rFonts w:eastAsia="Times New Roman"/>
      <w:lang w:eastAsia="fr-FR"/>
    </w:rPr>
  </w:style>
  <w:style w:type="paragraph" w:customStyle="1" w:styleId="western">
    <w:name w:val="western"/>
    <w:basedOn w:val="Normal"/>
    <w:rsid w:val="00CD177B"/>
    <w:pPr>
      <w:spacing w:before="100" w:beforeAutospacing="1" w:after="100" w:afterAutospacing="1" w:line="240" w:lineRule="auto"/>
      <w:jc w:val="both"/>
    </w:pPr>
    <w:rPr>
      <w:rFonts w:eastAsia="Times New Roman"/>
      <w:i/>
      <w:iCs/>
      <w:lang w:eastAsia="fr-FR"/>
    </w:rPr>
  </w:style>
  <w:style w:type="paragraph" w:styleId="Paragraphedeliste">
    <w:name w:val="List Paragraph"/>
    <w:basedOn w:val="Normal"/>
    <w:uiPriority w:val="34"/>
    <w:qFormat/>
    <w:rsid w:val="00961E40"/>
    <w:pPr>
      <w:ind w:left="720"/>
      <w:contextualSpacing/>
    </w:pPr>
  </w:style>
  <w:style w:type="paragraph" w:styleId="Notedebasdepage">
    <w:name w:val="footnote text"/>
    <w:basedOn w:val="Normal"/>
    <w:link w:val="NotedebasdepageCar"/>
    <w:uiPriority w:val="99"/>
    <w:unhideWhenUsed/>
    <w:rsid w:val="0084002B"/>
    <w:pPr>
      <w:spacing w:after="0" w:line="240" w:lineRule="auto"/>
    </w:pPr>
    <w:rPr>
      <w:sz w:val="20"/>
      <w:szCs w:val="20"/>
    </w:rPr>
  </w:style>
  <w:style w:type="character" w:customStyle="1" w:styleId="NotedebasdepageCar">
    <w:name w:val="Note de bas de page Car"/>
    <w:basedOn w:val="Policepardfaut"/>
    <w:link w:val="Notedebasdepage"/>
    <w:uiPriority w:val="99"/>
    <w:rsid w:val="0084002B"/>
    <w:rPr>
      <w:sz w:val="20"/>
      <w:szCs w:val="20"/>
    </w:rPr>
  </w:style>
  <w:style w:type="character" w:styleId="Appelnotedebasdep">
    <w:name w:val="footnote reference"/>
    <w:basedOn w:val="Policepardfaut"/>
    <w:uiPriority w:val="99"/>
    <w:semiHidden/>
    <w:unhideWhenUsed/>
    <w:rsid w:val="0084002B"/>
    <w:rPr>
      <w:vertAlign w:val="superscript"/>
    </w:rPr>
  </w:style>
  <w:style w:type="paragraph" w:styleId="Textedebulles">
    <w:name w:val="Balloon Text"/>
    <w:basedOn w:val="Normal"/>
    <w:link w:val="TextedebullesCar"/>
    <w:uiPriority w:val="99"/>
    <w:semiHidden/>
    <w:unhideWhenUsed/>
    <w:rsid w:val="008400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002B"/>
    <w:rPr>
      <w:rFonts w:ascii="Segoe UI" w:hAnsi="Segoe UI" w:cs="Segoe UI"/>
      <w:sz w:val="18"/>
      <w:szCs w:val="18"/>
    </w:rPr>
  </w:style>
  <w:style w:type="character" w:styleId="Marquedecommentaire">
    <w:name w:val="annotation reference"/>
    <w:basedOn w:val="Policepardfaut"/>
    <w:uiPriority w:val="99"/>
    <w:semiHidden/>
    <w:unhideWhenUsed/>
    <w:rsid w:val="006572B9"/>
    <w:rPr>
      <w:sz w:val="16"/>
      <w:szCs w:val="16"/>
    </w:rPr>
  </w:style>
  <w:style w:type="paragraph" w:styleId="Commentaire">
    <w:name w:val="annotation text"/>
    <w:basedOn w:val="Normal"/>
    <w:link w:val="CommentaireCar"/>
    <w:uiPriority w:val="99"/>
    <w:semiHidden/>
    <w:unhideWhenUsed/>
    <w:rsid w:val="006572B9"/>
    <w:pPr>
      <w:spacing w:line="240" w:lineRule="auto"/>
    </w:pPr>
    <w:rPr>
      <w:sz w:val="20"/>
      <w:szCs w:val="20"/>
    </w:rPr>
  </w:style>
  <w:style w:type="character" w:customStyle="1" w:styleId="CommentaireCar">
    <w:name w:val="Commentaire Car"/>
    <w:basedOn w:val="Policepardfaut"/>
    <w:link w:val="Commentaire"/>
    <w:uiPriority w:val="99"/>
    <w:semiHidden/>
    <w:rsid w:val="006572B9"/>
    <w:rPr>
      <w:sz w:val="20"/>
      <w:szCs w:val="20"/>
    </w:rPr>
  </w:style>
  <w:style w:type="paragraph" w:styleId="Objetducommentaire">
    <w:name w:val="annotation subject"/>
    <w:basedOn w:val="Commentaire"/>
    <w:next w:val="Commentaire"/>
    <w:link w:val="ObjetducommentaireCar"/>
    <w:uiPriority w:val="99"/>
    <w:semiHidden/>
    <w:unhideWhenUsed/>
    <w:rsid w:val="006572B9"/>
    <w:rPr>
      <w:b/>
      <w:bCs/>
    </w:rPr>
  </w:style>
  <w:style w:type="character" w:customStyle="1" w:styleId="ObjetducommentaireCar">
    <w:name w:val="Objet du commentaire Car"/>
    <w:basedOn w:val="CommentaireCar"/>
    <w:link w:val="Objetducommentaire"/>
    <w:uiPriority w:val="99"/>
    <w:semiHidden/>
    <w:rsid w:val="006572B9"/>
    <w:rPr>
      <w:b/>
      <w:bCs/>
      <w:sz w:val="20"/>
      <w:szCs w:val="20"/>
    </w:rPr>
  </w:style>
  <w:style w:type="character" w:customStyle="1" w:styleId="Titre1Car">
    <w:name w:val="Titre 1 Car"/>
    <w:basedOn w:val="Policepardfaut"/>
    <w:link w:val="Titre1"/>
    <w:uiPriority w:val="9"/>
    <w:rsid w:val="00C4242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C42426"/>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C42426"/>
    <w:rPr>
      <w:rFonts w:asciiTheme="majorHAnsi" w:eastAsiaTheme="majorEastAsia" w:hAnsiTheme="majorHAnsi" w:cstheme="majorBidi"/>
      <w:color w:val="1F4D78" w:themeColor="accent1" w:themeShade="7F"/>
    </w:rPr>
  </w:style>
  <w:style w:type="character" w:customStyle="1" w:styleId="Titre4Car">
    <w:name w:val="Titre 4 Car"/>
    <w:basedOn w:val="Policepardfaut"/>
    <w:link w:val="Titre4"/>
    <w:uiPriority w:val="9"/>
    <w:semiHidden/>
    <w:rsid w:val="00C42426"/>
    <w:rPr>
      <w:rFonts w:asciiTheme="majorHAnsi" w:eastAsiaTheme="majorEastAsia" w:hAnsiTheme="majorHAnsi" w:cstheme="majorBidi"/>
      <w:i/>
      <w:iCs/>
      <w:color w:val="2E74B5" w:themeColor="accent1" w:themeShade="BF"/>
      <w:sz w:val="22"/>
      <w:szCs w:val="22"/>
    </w:rPr>
  </w:style>
  <w:style w:type="character" w:customStyle="1" w:styleId="Titre5Car">
    <w:name w:val="Titre 5 Car"/>
    <w:basedOn w:val="Policepardfaut"/>
    <w:link w:val="Titre5"/>
    <w:uiPriority w:val="9"/>
    <w:semiHidden/>
    <w:rsid w:val="00C42426"/>
    <w:rPr>
      <w:rFonts w:asciiTheme="majorHAnsi" w:eastAsiaTheme="majorEastAsia" w:hAnsiTheme="majorHAnsi" w:cstheme="majorBidi"/>
      <w:color w:val="2E74B5" w:themeColor="accent1" w:themeShade="BF"/>
      <w:sz w:val="22"/>
      <w:szCs w:val="22"/>
    </w:rPr>
  </w:style>
  <w:style w:type="character" w:customStyle="1" w:styleId="Titre6Car">
    <w:name w:val="Titre 6 Car"/>
    <w:basedOn w:val="Policepardfaut"/>
    <w:link w:val="Titre6"/>
    <w:uiPriority w:val="9"/>
    <w:semiHidden/>
    <w:rsid w:val="00C42426"/>
    <w:rPr>
      <w:rFonts w:asciiTheme="majorHAnsi" w:eastAsiaTheme="majorEastAsia" w:hAnsiTheme="majorHAnsi" w:cstheme="majorBidi"/>
      <w:color w:val="1F4D78" w:themeColor="accent1" w:themeShade="7F"/>
      <w:sz w:val="22"/>
      <w:szCs w:val="22"/>
    </w:rPr>
  </w:style>
  <w:style w:type="character" w:customStyle="1" w:styleId="Titre7Car">
    <w:name w:val="Titre 7 Car"/>
    <w:basedOn w:val="Policepardfaut"/>
    <w:link w:val="Titre7"/>
    <w:uiPriority w:val="9"/>
    <w:semiHidden/>
    <w:rsid w:val="00C42426"/>
    <w:rPr>
      <w:rFonts w:asciiTheme="majorHAnsi" w:eastAsiaTheme="majorEastAsia" w:hAnsiTheme="majorHAnsi" w:cstheme="majorBidi"/>
      <w:i/>
      <w:iCs/>
      <w:color w:val="1F4D78" w:themeColor="accent1" w:themeShade="7F"/>
      <w:sz w:val="22"/>
      <w:szCs w:val="22"/>
    </w:rPr>
  </w:style>
  <w:style w:type="character" w:customStyle="1" w:styleId="Titre8Car">
    <w:name w:val="Titre 8 Car"/>
    <w:basedOn w:val="Policepardfaut"/>
    <w:link w:val="Titre8"/>
    <w:uiPriority w:val="9"/>
    <w:semiHidden/>
    <w:rsid w:val="00C4242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42426"/>
    <w:rPr>
      <w:rFonts w:asciiTheme="majorHAnsi" w:eastAsiaTheme="majorEastAsia" w:hAnsiTheme="majorHAnsi" w:cstheme="majorBidi"/>
      <w:i/>
      <w:iCs/>
      <w:color w:val="272727" w:themeColor="text1" w:themeTint="D8"/>
      <w:sz w:val="21"/>
      <w:szCs w:val="21"/>
    </w:rPr>
  </w:style>
  <w:style w:type="paragraph" w:customStyle="1" w:styleId="TableContents">
    <w:name w:val="Table Contents"/>
    <w:basedOn w:val="Normal"/>
    <w:uiPriority w:val="99"/>
    <w:rsid w:val="007463B9"/>
    <w:pPr>
      <w:suppressLineNumbers/>
      <w:suppressAutoHyphens/>
      <w:autoSpaceDN w:val="0"/>
      <w:spacing w:after="0" w:line="240" w:lineRule="auto"/>
      <w:textAlignment w:val="baseline"/>
    </w:pPr>
    <w:rPr>
      <w:rFonts w:ascii="Liberation Serif" w:eastAsia="NSimSun" w:hAnsi="Liberation Serif" w:cs="Arial"/>
      <w:color w:val="auto"/>
      <w:kern w:val="3"/>
      <w:lang w:eastAsia="zh-CN" w:bidi="hi-IN"/>
    </w:rPr>
  </w:style>
  <w:style w:type="character" w:customStyle="1" w:styleId="Texteinsr">
    <w:name w:val="Texte inséré"/>
    <w:unhideWhenUsed/>
    <w:qFormat/>
    <w:rsid w:val="00D05011"/>
    <w:rPr>
      <w:rFonts w:ascii="Calibri" w:hAnsi="Calibri"/>
      <w:b/>
      <w:color w:val="4472C4"/>
      <w:sz w:val="22"/>
      <w:szCs w:val="22"/>
      <w:u w:val="single"/>
    </w:rPr>
  </w:style>
  <w:style w:type="character" w:customStyle="1" w:styleId="Texte">
    <w:name w:val="Texte"/>
    <w:unhideWhenUsed/>
    <w:qFormat/>
    <w:rsid w:val="00EF224E"/>
    <w:rPr>
      <w:rFonts w:ascii="Calibri" w:hAnsi="Calibri"/>
      <w:sz w:val="22"/>
      <w:szCs w:val="22"/>
    </w:rPr>
  </w:style>
  <w:style w:type="character" w:customStyle="1" w:styleId="Titretableau">
    <w:name w:val="Titre tableau"/>
    <w:unhideWhenUsed/>
    <w:qFormat/>
    <w:rsid w:val="00080625"/>
    <w:rPr>
      <w:rFonts w:ascii="Calibri" w:hAnsi="Calibri"/>
      <w:b/>
      <w:sz w:val="22"/>
      <w:szCs w:val="22"/>
    </w:rPr>
  </w:style>
  <w:style w:type="character" w:styleId="Lienhypertexte">
    <w:name w:val="Hyperlink"/>
    <w:basedOn w:val="Policepardfaut"/>
    <w:uiPriority w:val="99"/>
    <w:unhideWhenUsed/>
    <w:rsid w:val="00FC63AC"/>
    <w:rPr>
      <w:color w:val="0563C1" w:themeColor="hyperlink"/>
      <w:u w:val="single"/>
    </w:rPr>
  </w:style>
  <w:style w:type="character" w:styleId="Mentionnonrsolue">
    <w:name w:val="Unresolved Mention"/>
    <w:basedOn w:val="Policepardfaut"/>
    <w:uiPriority w:val="99"/>
    <w:semiHidden/>
    <w:unhideWhenUsed/>
    <w:rsid w:val="00FC63AC"/>
    <w:rPr>
      <w:color w:val="605E5C"/>
      <w:shd w:val="clear" w:color="auto" w:fill="E1DFDD"/>
    </w:rPr>
  </w:style>
  <w:style w:type="paragraph" w:styleId="En-tte">
    <w:name w:val="header"/>
    <w:basedOn w:val="Normal"/>
    <w:link w:val="En-tteCar"/>
    <w:uiPriority w:val="99"/>
    <w:unhideWhenUsed/>
    <w:rsid w:val="00150CB5"/>
    <w:pPr>
      <w:tabs>
        <w:tab w:val="center" w:pos="4536"/>
        <w:tab w:val="right" w:pos="9072"/>
      </w:tabs>
      <w:spacing w:after="0" w:line="240" w:lineRule="auto"/>
    </w:pPr>
  </w:style>
  <w:style w:type="character" w:customStyle="1" w:styleId="En-tteCar">
    <w:name w:val="En-tête Car"/>
    <w:basedOn w:val="Policepardfaut"/>
    <w:link w:val="En-tte"/>
    <w:uiPriority w:val="99"/>
    <w:rsid w:val="00150CB5"/>
  </w:style>
  <w:style w:type="paragraph" w:styleId="Pieddepage">
    <w:name w:val="footer"/>
    <w:basedOn w:val="Normal"/>
    <w:link w:val="PieddepageCar"/>
    <w:uiPriority w:val="99"/>
    <w:unhideWhenUsed/>
    <w:rsid w:val="00150C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5701">
      <w:bodyDiv w:val="1"/>
      <w:marLeft w:val="0"/>
      <w:marRight w:val="0"/>
      <w:marTop w:val="0"/>
      <w:marBottom w:val="0"/>
      <w:divBdr>
        <w:top w:val="none" w:sz="0" w:space="0" w:color="auto"/>
        <w:left w:val="none" w:sz="0" w:space="0" w:color="auto"/>
        <w:bottom w:val="none" w:sz="0" w:space="0" w:color="auto"/>
        <w:right w:val="none" w:sz="0" w:space="0" w:color="auto"/>
      </w:divBdr>
    </w:div>
    <w:div w:id="482434747">
      <w:bodyDiv w:val="1"/>
      <w:marLeft w:val="0"/>
      <w:marRight w:val="0"/>
      <w:marTop w:val="0"/>
      <w:marBottom w:val="0"/>
      <w:divBdr>
        <w:top w:val="none" w:sz="0" w:space="0" w:color="auto"/>
        <w:left w:val="none" w:sz="0" w:space="0" w:color="auto"/>
        <w:bottom w:val="none" w:sz="0" w:space="0" w:color="auto"/>
        <w:right w:val="none" w:sz="0" w:space="0" w:color="auto"/>
      </w:divBdr>
    </w:div>
    <w:div w:id="577712255">
      <w:bodyDiv w:val="1"/>
      <w:marLeft w:val="0"/>
      <w:marRight w:val="0"/>
      <w:marTop w:val="0"/>
      <w:marBottom w:val="0"/>
      <w:divBdr>
        <w:top w:val="none" w:sz="0" w:space="0" w:color="auto"/>
        <w:left w:val="none" w:sz="0" w:space="0" w:color="auto"/>
        <w:bottom w:val="none" w:sz="0" w:space="0" w:color="auto"/>
        <w:right w:val="none" w:sz="0" w:space="0" w:color="auto"/>
      </w:divBdr>
    </w:div>
    <w:div w:id="876359217">
      <w:bodyDiv w:val="1"/>
      <w:marLeft w:val="0"/>
      <w:marRight w:val="0"/>
      <w:marTop w:val="0"/>
      <w:marBottom w:val="0"/>
      <w:divBdr>
        <w:top w:val="none" w:sz="0" w:space="0" w:color="auto"/>
        <w:left w:val="none" w:sz="0" w:space="0" w:color="auto"/>
        <w:bottom w:val="none" w:sz="0" w:space="0" w:color="auto"/>
        <w:right w:val="none" w:sz="0" w:space="0" w:color="auto"/>
      </w:divBdr>
    </w:div>
    <w:div w:id="917909769">
      <w:bodyDiv w:val="1"/>
      <w:marLeft w:val="0"/>
      <w:marRight w:val="0"/>
      <w:marTop w:val="0"/>
      <w:marBottom w:val="0"/>
      <w:divBdr>
        <w:top w:val="none" w:sz="0" w:space="0" w:color="auto"/>
        <w:left w:val="none" w:sz="0" w:space="0" w:color="auto"/>
        <w:bottom w:val="none" w:sz="0" w:space="0" w:color="auto"/>
        <w:right w:val="none" w:sz="0" w:space="0" w:color="auto"/>
      </w:divBdr>
    </w:div>
    <w:div w:id="185322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26E8C-D9DA-4C82-85F0-0634D5AA2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2418</Words>
  <Characters>13302</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ESCURE Henri</dc:creator>
  <cp:keywords/>
  <dc:description/>
  <cp:lastModifiedBy>EB</cp:lastModifiedBy>
  <cp:revision>7</cp:revision>
  <dcterms:created xsi:type="dcterms:W3CDTF">2025-12-09T18:04:00Z</dcterms:created>
  <dcterms:modified xsi:type="dcterms:W3CDTF">2026-01-08T08:43:00Z</dcterms:modified>
</cp:coreProperties>
</file>