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73" w:rsidRDefault="005E6C73">
      <w:pPr>
        <w:jc w:val="both"/>
        <w:rPr>
          <w:rFonts w:ascii="Times New Roman" w:hAnsi="Times New Roman"/>
          <w:sz w:val="28"/>
          <w:szCs w:val="28"/>
        </w:rPr>
      </w:pPr>
    </w:p>
    <w:p w:rsidR="00B72683" w:rsidRDefault="00B72683">
      <w:pPr>
        <w:jc w:val="both"/>
        <w:rPr>
          <w:rFonts w:ascii="Times New Roman" w:hAnsi="Times New Roman"/>
          <w:sz w:val="28"/>
          <w:szCs w:val="28"/>
        </w:rPr>
      </w:pPr>
    </w:p>
    <w:p w:rsidR="00B72683" w:rsidRPr="00753095" w:rsidRDefault="00B72683" w:rsidP="00B72683">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Pr>
          <w:rFonts w:ascii="Times New Roman" w:hAnsi="Times New Roman"/>
          <w:b/>
          <w:sz w:val="28"/>
          <w:szCs w:val="28"/>
        </w:rPr>
        <w:t>Part</w:t>
      </w:r>
      <w:r w:rsidRPr="00753095">
        <w:rPr>
          <w:rFonts w:ascii="Times New Roman" w:hAnsi="Times New Roman"/>
          <w:b/>
          <w:bCs/>
          <w:sz w:val="28"/>
          <w:szCs w:val="28"/>
        </w:rPr>
        <w:t>i</w:t>
      </w:r>
      <w:r>
        <w:rPr>
          <w:rFonts w:ascii="Times New Roman" w:hAnsi="Times New Roman"/>
          <w:b/>
          <w:bCs/>
          <w:sz w:val="28"/>
          <w:szCs w:val="28"/>
        </w:rPr>
        <w:t>cipation du public – Motifs de la décision</w:t>
      </w:r>
    </w:p>
    <w:p w:rsidR="00B72683" w:rsidRPr="00BD60D5" w:rsidRDefault="00B72683">
      <w:pPr>
        <w:jc w:val="both"/>
        <w:rPr>
          <w:rFonts w:ascii="Times New Roman" w:hAnsi="Times New Roman"/>
          <w:sz w:val="28"/>
          <w:szCs w:val="28"/>
        </w:rPr>
      </w:pPr>
    </w:p>
    <w:p w:rsidR="0099624A" w:rsidRPr="00753095" w:rsidRDefault="00A45A07" w:rsidP="005B4EB6">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r>
        <w:rPr>
          <w:rFonts w:ascii="Times New Roman" w:hAnsi="Times New Roman"/>
          <w:b/>
          <w:sz w:val="28"/>
          <w:szCs w:val="28"/>
        </w:rPr>
        <w:t xml:space="preserve">Motifs </w:t>
      </w:r>
      <w:r w:rsidR="003575B6">
        <w:rPr>
          <w:rFonts w:ascii="Times New Roman" w:hAnsi="Times New Roman"/>
          <w:b/>
          <w:sz w:val="28"/>
          <w:szCs w:val="28"/>
        </w:rPr>
        <w:t>du projet d’arrêté portant définition, répartition et modalités de gestion du quota d’anguille européenne (Anguilla anguilla) de moins de 12 centimètres pour la campagne de pêche 2014-2015</w:t>
      </w:r>
    </w:p>
    <w:p w:rsidR="00753095" w:rsidRPr="00753095" w:rsidRDefault="005B4EB6" w:rsidP="00547FD8">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Pr>
          <w:rFonts w:ascii="Times New Roman" w:hAnsi="Times New Roman"/>
          <w:b/>
          <w:sz w:val="28"/>
          <w:szCs w:val="28"/>
        </w:rPr>
        <w:t>Projet s</w:t>
      </w:r>
      <w:r w:rsidR="00753095" w:rsidRPr="00753095">
        <w:rPr>
          <w:rFonts w:ascii="Times New Roman" w:hAnsi="Times New Roman"/>
          <w:b/>
          <w:sz w:val="28"/>
          <w:szCs w:val="28"/>
        </w:rPr>
        <w:t>oumi</w:t>
      </w:r>
      <w:r w:rsidR="003575B6">
        <w:rPr>
          <w:rFonts w:ascii="Times New Roman" w:hAnsi="Times New Roman"/>
          <w:b/>
          <w:sz w:val="28"/>
          <w:szCs w:val="28"/>
        </w:rPr>
        <w:t>s à participation du public du 23 septembre au 14 octobre 2014</w:t>
      </w:r>
      <w:r w:rsidR="00753095" w:rsidRPr="00753095">
        <w:rPr>
          <w:rFonts w:ascii="Times New Roman" w:hAnsi="Times New Roman"/>
          <w:b/>
          <w:bCs/>
          <w:sz w:val="28"/>
          <w:szCs w:val="28"/>
        </w:rPr>
        <w:t xml:space="preserve"> sur le site du ministère de l'Ecologie, du Développement Durable et de l'Energie</w:t>
      </w:r>
    </w:p>
    <w:p w:rsidR="00510E95" w:rsidRPr="00BD60D5" w:rsidRDefault="00510E95" w:rsidP="00F94C66">
      <w:pPr>
        <w:jc w:val="both"/>
        <w:rPr>
          <w:rFonts w:ascii="Times New Roman" w:hAnsi="Times New Roman"/>
          <w:sz w:val="28"/>
          <w:szCs w:val="28"/>
        </w:rPr>
      </w:pPr>
    </w:p>
    <w:p w:rsidR="008674F5" w:rsidRDefault="008674F5" w:rsidP="00547FD8">
      <w:pPr>
        <w:jc w:val="both"/>
        <w:rPr>
          <w:b/>
          <w:bCs/>
          <w:sz w:val="22"/>
          <w:szCs w:val="22"/>
        </w:rPr>
      </w:pPr>
    </w:p>
    <w:p w:rsidR="003575B6" w:rsidRPr="003575B6" w:rsidRDefault="003575B6" w:rsidP="003575B6">
      <w:pPr>
        <w:pStyle w:val="NormalWeb"/>
        <w:ind w:firstLine="709"/>
        <w:jc w:val="both"/>
        <w:rPr>
          <w:sz w:val="28"/>
          <w:szCs w:val="28"/>
        </w:rPr>
      </w:pPr>
      <w:r>
        <w:rPr>
          <w:bCs/>
        </w:rPr>
        <w:t>Le projet d’arrêté prévoit de fixer le quota d’anguille de moins de 12 centimètres destiné à la consommation à 30 tonnes. Cette valeur est inférieure à la valeur la</w:t>
      </w:r>
      <w:r>
        <w:rPr>
          <w:bCs/>
        </w:rPr>
        <w:t xml:space="preserve"> plus</w:t>
      </w:r>
      <w:r>
        <w:rPr>
          <w:bCs/>
        </w:rPr>
        <w:t xml:space="preserve"> basse fournie par l’avis du Comité scientifique du 10 juillet 2014 concernant la valeur du quota consommation permettant d’atteindre l’objectif de réduction de 60% de la mortalité par pêche avec une probabilité de 75%.</w:t>
      </w:r>
    </w:p>
    <w:p w:rsidR="003575B6" w:rsidRDefault="003575B6" w:rsidP="003575B6">
      <w:pPr>
        <w:pStyle w:val="NormalWeb"/>
        <w:spacing w:after="0"/>
        <w:jc w:val="both"/>
        <w:rPr>
          <w:bCs/>
        </w:rPr>
      </w:pPr>
      <w:r>
        <w:rPr>
          <w:bCs/>
        </w:rPr>
        <w:t>Le quota d’anguille de moins de 12 centimètres destiné au repeuplement est porté en conséquence à 45 tonnes ; dans le respect de la clé de répartition du quota total imposée par l’article 7 du règlement 1100/2007 (CE) du 18 septembre 2007 instituant des mesures de reconstitution du stock d’anguilles : soit 60% destinées au quota repeuplement et 40% destinées au quota consommation.</w:t>
      </w:r>
    </w:p>
    <w:p w:rsidR="003575B6" w:rsidRDefault="003575B6" w:rsidP="003575B6">
      <w:pPr>
        <w:pStyle w:val="NormalWeb"/>
        <w:spacing w:after="0"/>
        <w:jc w:val="both"/>
        <w:rPr>
          <w:bCs/>
        </w:rPr>
      </w:pPr>
      <w:r>
        <w:rPr>
          <w:bCs/>
        </w:rPr>
        <w:t>Au regard de l’amélioration continue des indices de recrutement de civelle récents, de l’effet des quotas instaurés lors des précédentes campagnes de pêche et de la baisse substantielle de la mortalité par pêche induite ; les niveaux de quotas consommation et repeuplement fixés dans le projet d’arrêté permettent pleinement de concilier les objectifs prévus par le plan de gestion de l’anguille national approuvé par décision de la Commission Européenne en date du 15 février 2010, à savoir d’un côté le maintien d’une filière de pêche professionnelle de l’anguille viable et de l’autre l’atteinte des objectifs de reconstitution du stock d’anguilles auxquels participe pleinement l’instauration de quotas de captures sur l’anguille de moins de 12 centimètres. .</w:t>
      </w:r>
    </w:p>
    <w:p w:rsidR="003575B6" w:rsidRDefault="003575B6" w:rsidP="003575B6">
      <w:pPr>
        <w:pStyle w:val="NormalWeb"/>
        <w:spacing w:after="0"/>
        <w:jc w:val="both"/>
        <w:rPr>
          <w:bCs/>
        </w:rPr>
      </w:pPr>
      <w:r>
        <w:rPr>
          <w:bCs/>
        </w:rPr>
        <w:t>Ces niveaux de quota consommation et repeuplement tiennent compte de l’avis du comité socio-économique en date du 2 septembre 2014.</w:t>
      </w:r>
    </w:p>
    <w:p w:rsidR="003575B6" w:rsidRDefault="003575B6" w:rsidP="003575B6">
      <w:pPr>
        <w:pStyle w:val="NormalWeb"/>
        <w:spacing w:after="0"/>
        <w:jc w:val="both"/>
        <w:rPr>
          <w:bCs/>
        </w:rPr>
      </w:pPr>
    </w:p>
    <w:p w:rsidR="003575B6" w:rsidRDefault="003575B6" w:rsidP="003575B6">
      <w:pPr>
        <w:pStyle w:val="NormalWeb"/>
        <w:spacing w:after="0"/>
        <w:jc w:val="both"/>
        <w:rPr>
          <w:bCs/>
        </w:rPr>
      </w:pPr>
      <w:r>
        <w:rPr>
          <w:bCs/>
        </w:rPr>
        <w:t>Compte tenu de ces motifs le projet d’arrêté peut être adopté en l’état.</w:t>
      </w:r>
    </w:p>
    <w:p w:rsidR="00753095" w:rsidRPr="00753095" w:rsidRDefault="00753095" w:rsidP="00547FD8">
      <w:pPr>
        <w:jc w:val="both"/>
        <w:rPr>
          <w:rFonts w:ascii="Times New Roman" w:hAnsi="Times New Roman"/>
        </w:rPr>
      </w:pPr>
    </w:p>
    <w:sectPr w:rsidR="00753095" w:rsidRPr="00753095" w:rsidSect="009E7A3F">
      <w:headerReference w:type="default" r:id="rId7"/>
      <w:pgSz w:w="11905" w:h="16837"/>
      <w:pgMar w:top="1134"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44F" w:rsidRDefault="00BE444F">
      <w:r>
        <w:separator/>
      </w:r>
    </w:p>
  </w:endnote>
  <w:endnote w:type="continuationSeparator" w:id="1">
    <w:p w:rsidR="00BE444F" w:rsidRDefault="00BE44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44F" w:rsidRDefault="00BE444F">
      <w:r>
        <w:separator/>
      </w:r>
    </w:p>
  </w:footnote>
  <w:footnote w:type="continuationSeparator" w:id="1">
    <w:p w:rsidR="00BE444F" w:rsidRDefault="00BE4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683" w:rsidRDefault="003575B6" w:rsidP="00122E7D">
    <w:pPr>
      <w:jc w:val="center"/>
      <w:rPr>
        <w:rFonts w:ascii="Arial" w:hAnsi="Arial" w:cs="Arial"/>
      </w:rPr>
    </w:pPr>
    <w:r>
      <w:rPr>
        <w:rFonts w:ascii="Arial" w:hAnsi="Arial" w:cs="Arial"/>
        <w:noProof/>
      </w:rPr>
      <w:drawing>
        <wp:anchor distT="0" distB="0" distL="114935" distR="114935" simplePos="0" relativeHeight="251657728" behindDoc="1" locked="0" layoutInCell="1" allowOverlap="1">
          <wp:simplePos x="0" y="0"/>
          <wp:positionH relativeFrom="page">
            <wp:align>center</wp:align>
          </wp:positionH>
          <wp:positionV relativeFrom="page">
            <wp:posOffset>215900</wp:posOffset>
          </wp:positionV>
          <wp:extent cx="1075055" cy="64643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75055" cy="646430"/>
                  </a:xfrm>
                  <a:prstGeom prst="rect">
                    <a:avLst/>
                  </a:prstGeom>
                  <a:solidFill>
                    <a:srgbClr val="FFFFFF"/>
                  </a:solidFill>
                  <a:ln w="9525">
                    <a:noFill/>
                    <a:miter lim="800000"/>
                    <a:headEnd/>
                    <a:tailEnd/>
                  </a:ln>
                </pic:spPr>
              </pic:pic>
            </a:graphicData>
          </a:graphic>
        </wp:anchor>
      </w:drawing>
    </w:r>
  </w:p>
  <w:p w:rsidR="00B72683" w:rsidRDefault="00B72683" w:rsidP="00122E7D">
    <w:pPr>
      <w:jc w:val="center"/>
      <w:rPr>
        <w:rFonts w:ascii="Arial" w:hAnsi="Arial" w:cs="Arial"/>
      </w:rPr>
    </w:pPr>
  </w:p>
  <w:p w:rsidR="00B72683" w:rsidRDefault="00B72683" w:rsidP="00122E7D">
    <w:pPr>
      <w:jc w:val="center"/>
      <w:rPr>
        <w:rFonts w:ascii="Arial" w:hAnsi="Arial" w:cs="Arial"/>
      </w:rPr>
    </w:pPr>
  </w:p>
  <w:p w:rsidR="00B72683" w:rsidRPr="00EF78A3" w:rsidRDefault="00B72683" w:rsidP="00B72683">
    <w:pPr>
      <w:pStyle w:val="m-BlocTitre"/>
      <w:rPr>
        <w:rFonts w:ascii="Arial" w:hAnsi="Arial" w:cs="Arial"/>
        <w:color w:val="808080"/>
        <w:szCs w:val="22"/>
      </w:rPr>
    </w:pPr>
    <w:r w:rsidRPr="00EF78A3">
      <w:rPr>
        <w:rFonts w:ascii="Arial" w:hAnsi="Arial" w:cs="Arial"/>
        <w:color w:val="808080"/>
        <w:szCs w:val="22"/>
      </w:rPr>
      <w:t>MINISTÈRE DE L’ÉCOLOGIE, DU DÉVELOPPEMENT DURABLE</w:t>
    </w:r>
  </w:p>
  <w:p w:rsidR="00B72683" w:rsidRPr="00EF78A3" w:rsidRDefault="00B72683" w:rsidP="00B72683">
    <w:pPr>
      <w:jc w:val="center"/>
      <w:rPr>
        <w:rFonts w:ascii="Arial" w:hAnsi="Arial" w:cs="Arial"/>
        <w:color w:val="808080"/>
        <w:sz w:val="22"/>
        <w:szCs w:val="22"/>
      </w:rPr>
    </w:pPr>
    <w:r w:rsidRPr="00EF78A3">
      <w:rPr>
        <w:rFonts w:ascii="Arial" w:hAnsi="Arial" w:cs="Arial"/>
        <w:color w:val="808080"/>
        <w:sz w:val="22"/>
        <w:szCs w:val="22"/>
      </w:rPr>
      <w:t>ET DE L'ÉNERGIE</w:t>
    </w:r>
  </w:p>
  <w:p w:rsidR="00B72683" w:rsidRDefault="00B72683" w:rsidP="00122E7D">
    <w:pPr>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20947DBD"/>
    <w:multiLevelType w:val="hybridMultilevel"/>
    <w:tmpl w:val="1E98F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87326C"/>
    <w:multiLevelType w:val="hybridMultilevel"/>
    <w:tmpl w:val="E4BCBAB2"/>
    <w:lvl w:ilvl="0" w:tplc="8FE4C9D8">
      <w:start w:val="14"/>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nsid w:val="24143CC3"/>
    <w:multiLevelType w:val="hybridMultilevel"/>
    <w:tmpl w:val="A042AA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72744B3"/>
    <w:multiLevelType w:val="hybridMultilevel"/>
    <w:tmpl w:val="88E8951E"/>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2BB86EA7"/>
    <w:multiLevelType w:val="hybridMultilevel"/>
    <w:tmpl w:val="9AA660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C7662C5"/>
    <w:multiLevelType w:val="hybridMultilevel"/>
    <w:tmpl w:val="F9E426A6"/>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312A4B28"/>
    <w:multiLevelType w:val="hybridMultilevel"/>
    <w:tmpl w:val="0002CC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1E0286A"/>
    <w:multiLevelType w:val="hybridMultilevel"/>
    <w:tmpl w:val="63424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A50734"/>
    <w:multiLevelType w:val="hybridMultilevel"/>
    <w:tmpl w:val="20A4A608"/>
    <w:lvl w:ilvl="0" w:tplc="EDC2F3A8">
      <w:numFmt w:val="bullet"/>
      <w:lvlText w:val="-"/>
      <w:lvlJc w:val="left"/>
      <w:pPr>
        <w:tabs>
          <w:tab w:val="num" w:pos="720"/>
        </w:tabs>
        <w:ind w:left="720" w:hanging="360"/>
      </w:pPr>
      <w:rPr>
        <w:rFonts w:ascii="Liberation Sans" w:eastAsia="Times New Roman"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B9B4394"/>
    <w:multiLevelType w:val="hybridMultilevel"/>
    <w:tmpl w:val="EC5C18C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nsid w:val="63F919B2"/>
    <w:multiLevelType w:val="hybridMultilevel"/>
    <w:tmpl w:val="CAF6F102"/>
    <w:lvl w:ilvl="0" w:tplc="441EAB0E">
      <w:numFmt w:val="bullet"/>
      <w:lvlText w:val="-"/>
      <w:lvlJc w:val="left"/>
      <w:pPr>
        <w:tabs>
          <w:tab w:val="num" w:pos="1065"/>
        </w:tabs>
        <w:ind w:left="1065" w:hanging="360"/>
      </w:pPr>
      <w:rPr>
        <w:rFonts w:ascii="Times New Roman" w:eastAsia="Calibri"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nsid w:val="67945FB1"/>
    <w:multiLevelType w:val="hybridMultilevel"/>
    <w:tmpl w:val="68CCEC94"/>
    <w:lvl w:ilvl="0" w:tplc="F67A69DA">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A6E2E14"/>
    <w:multiLevelType w:val="hybridMultilevel"/>
    <w:tmpl w:val="E04AF868"/>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6">
    <w:nsid w:val="7BEA178C"/>
    <w:multiLevelType w:val="hybridMultilevel"/>
    <w:tmpl w:val="A5B0FA6C"/>
    <w:lvl w:ilvl="0" w:tplc="7B722526">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D160D2F"/>
    <w:multiLevelType w:val="multilevel"/>
    <w:tmpl w:val="F66E62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17"/>
  </w:num>
  <w:num w:numId="4">
    <w:abstractNumId w:val="12"/>
  </w:num>
  <w:num w:numId="5">
    <w:abstractNumId w:val="4"/>
  </w:num>
  <w:num w:numId="6">
    <w:abstractNumId w:val="15"/>
  </w:num>
  <w:num w:numId="7">
    <w:abstractNumId w:val="7"/>
  </w:num>
  <w:num w:numId="8">
    <w:abstractNumId w:val="5"/>
  </w:num>
  <w:num w:numId="9">
    <w:abstractNumId w:val="13"/>
  </w:num>
  <w:num w:numId="10">
    <w:abstractNumId w:val="8"/>
  </w:num>
  <w:num w:numId="11">
    <w:abstractNumId w:val="6"/>
  </w:num>
  <w:num w:numId="12">
    <w:abstractNumId w:val="2"/>
  </w:num>
  <w:num w:numId="13">
    <w:abstractNumId w:val="3"/>
  </w:num>
  <w:num w:numId="14">
    <w:abstractNumId w:val="10"/>
  </w:num>
  <w:num w:numId="15">
    <w:abstractNumId w:val="11"/>
  </w:num>
  <w:num w:numId="16">
    <w:abstractNumId w:val="9"/>
  </w:num>
  <w:num w:numId="17">
    <w:abstractNumId w:val="1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compat>
  <w:rsids>
    <w:rsidRoot w:val="004034EB"/>
    <w:rsid w:val="00023E20"/>
    <w:rsid w:val="000528C9"/>
    <w:rsid w:val="00082039"/>
    <w:rsid w:val="000B6B52"/>
    <w:rsid w:val="000D04B3"/>
    <w:rsid w:val="00122E7D"/>
    <w:rsid w:val="00126778"/>
    <w:rsid w:val="00126A1D"/>
    <w:rsid w:val="0013593F"/>
    <w:rsid w:val="00140B3F"/>
    <w:rsid w:val="0016222A"/>
    <w:rsid w:val="001D2584"/>
    <w:rsid w:val="0020523B"/>
    <w:rsid w:val="00222E31"/>
    <w:rsid w:val="00266B8E"/>
    <w:rsid w:val="00275957"/>
    <w:rsid w:val="00281134"/>
    <w:rsid w:val="00296B18"/>
    <w:rsid w:val="002B3509"/>
    <w:rsid w:val="002B7329"/>
    <w:rsid w:val="002D76F4"/>
    <w:rsid w:val="00321F08"/>
    <w:rsid w:val="0035456D"/>
    <w:rsid w:val="003558DA"/>
    <w:rsid w:val="003575B6"/>
    <w:rsid w:val="003750F3"/>
    <w:rsid w:val="003C6A4A"/>
    <w:rsid w:val="003D0D61"/>
    <w:rsid w:val="004034EB"/>
    <w:rsid w:val="00421098"/>
    <w:rsid w:val="00446860"/>
    <w:rsid w:val="00464BA7"/>
    <w:rsid w:val="004730E6"/>
    <w:rsid w:val="00474C68"/>
    <w:rsid w:val="0048486A"/>
    <w:rsid w:val="004B09A9"/>
    <w:rsid w:val="004F3228"/>
    <w:rsid w:val="00501855"/>
    <w:rsid w:val="00510E95"/>
    <w:rsid w:val="0052690E"/>
    <w:rsid w:val="00547FD8"/>
    <w:rsid w:val="00560C13"/>
    <w:rsid w:val="005745EE"/>
    <w:rsid w:val="00575FDC"/>
    <w:rsid w:val="00595AAF"/>
    <w:rsid w:val="005B4EB6"/>
    <w:rsid w:val="005C0D5D"/>
    <w:rsid w:val="005D4EAD"/>
    <w:rsid w:val="005E6C73"/>
    <w:rsid w:val="005F5514"/>
    <w:rsid w:val="006114FB"/>
    <w:rsid w:val="00627BA2"/>
    <w:rsid w:val="0063381B"/>
    <w:rsid w:val="006349E2"/>
    <w:rsid w:val="006515C4"/>
    <w:rsid w:val="00654304"/>
    <w:rsid w:val="006548E8"/>
    <w:rsid w:val="00656044"/>
    <w:rsid w:val="00660E30"/>
    <w:rsid w:val="00667C96"/>
    <w:rsid w:val="006712A8"/>
    <w:rsid w:val="00672108"/>
    <w:rsid w:val="006763C0"/>
    <w:rsid w:val="00684411"/>
    <w:rsid w:val="00684BAB"/>
    <w:rsid w:val="006A4795"/>
    <w:rsid w:val="006B3B74"/>
    <w:rsid w:val="00717118"/>
    <w:rsid w:val="00731D59"/>
    <w:rsid w:val="00731F42"/>
    <w:rsid w:val="0073746D"/>
    <w:rsid w:val="00753095"/>
    <w:rsid w:val="0075676E"/>
    <w:rsid w:val="00773A4F"/>
    <w:rsid w:val="00783F5E"/>
    <w:rsid w:val="007B03D7"/>
    <w:rsid w:val="007C5964"/>
    <w:rsid w:val="007F1B4F"/>
    <w:rsid w:val="007F7956"/>
    <w:rsid w:val="00802C0C"/>
    <w:rsid w:val="008209A3"/>
    <w:rsid w:val="00823C08"/>
    <w:rsid w:val="0082566F"/>
    <w:rsid w:val="00836BA8"/>
    <w:rsid w:val="0085566A"/>
    <w:rsid w:val="00864EAF"/>
    <w:rsid w:val="008674F5"/>
    <w:rsid w:val="0087327A"/>
    <w:rsid w:val="0088545A"/>
    <w:rsid w:val="008968D2"/>
    <w:rsid w:val="008A3C24"/>
    <w:rsid w:val="008C239E"/>
    <w:rsid w:val="00903954"/>
    <w:rsid w:val="00916F81"/>
    <w:rsid w:val="00922079"/>
    <w:rsid w:val="0093282F"/>
    <w:rsid w:val="0096103D"/>
    <w:rsid w:val="00992A22"/>
    <w:rsid w:val="00993427"/>
    <w:rsid w:val="0099624A"/>
    <w:rsid w:val="009A4A60"/>
    <w:rsid w:val="009E7A3F"/>
    <w:rsid w:val="00A02F10"/>
    <w:rsid w:val="00A032A0"/>
    <w:rsid w:val="00A400F3"/>
    <w:rsid w:val="00A41C5B"/>
    <w:rsid w:val="00A45460"/>
    <w:rsid w:val="00A45A07"/>
    <w:rsid w:val="00A45D90"/>
    <w:rsid w:val="00A5308F"/>
    <w:rsid w:val="00A57EE9"/>
    <w:rsid w:val="00A63C6F"/>
    <w:rsid w:val="00AB40FC"/>
    <w:rsid w:val="00AB7973"/>
    <w:rsid w:val="00AC5F25"/>
    <w:rsid w:val="00AD2EEC"/>
    <w:rsid w:val="00AE3A2A"/>
    <w:rsid w:val="00AE3BEF"/>
    <w:rsid w:val="00AE47E8"/>
    <w:rsid w:val="00B10F07"/>
    <w:rsid w:val="00B72683"/>
    <w:rsid w:val="00B759E7"/>
    <w:rsid w:val="00B81B1F"/>
    <w:rsid w:val="00BC4651"/>
    <w:rsid w:val="00BC722A"/>
    <w:rsid w:val="00BD60D5"/>
    <w:rsid w:val="00BE444F"/>
    <w:rsid w:val="00C05D38"/>
    <w:rsid w:val="00C2707B"/>
    <w:rsid w:val="00C47643"/>
    <w:rsid w:val="00C57DDC"/>
    <w:rsid w:val="00C93C37"/>
    <w:rsid w:val="00CD6E80"/>
    <w:rsid w:val="00CE0235"/>
    <w:rsid w:val="00CF4682"/>
    <w:rsid w:val="00CF5A6F"/>
    <w:rsid w:val="00D16322"/>
    <w:rsid w:val="00D265AA"/>
    <w:rsid w:val="00D6076E"/>
    <w:rsid w:val="00D90B40"/>
    <w:rsid w:val="00D97A82"/>
    <w:rsid w:val="00D97E42"/>
    <w:rsid w:val="00DC4A9A"/>
    <w:rsid w:val="00DD057D"/>
    <w:rsid w:val="00DF11BB"/>
    <w:rsid w:val="00DF3FF6"/>
    <w:rsid w:val="00E1130E"/>
    <w:rsid w:val="00E14B5F"/>
    <w:rsid w:val="00E27B3F"/>
    <w:rsid w:val="00E32F43"/>
    <w:rsid w:val="00E5150B"/>
    <w:rsid w:val="00E63F2F"/>
    <w:rsid w:val="00E70C2C"/>
    <w:rsid w:val="00E83783"/>
    <w:rsid w:val="00EB0E53"/>
    <w:rsid w:val="00EC4B2F"/>
    <w:rsid w:val="00ED1ED8"/>
    <w:rsid w:val="00F1386E"/>
    <w:rsid w:val="00F379AA"/>
    <w:rsid w:val="00F51371"/>
    <w:rsid w:val="00F81A54"/>
    <w:rsid w:val="00F94C66"/>
    <w:rsid w:val="00FA1A71"/>
    <w:rsid w:val="00FB0AB6"/>
    <w:rsid w:val="00FD65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C08"/>
    <w:pPr>
      <w:widowControl w:val="0"/>
      <w:suppressAutoHyphens/>
    </w:pPr>
    <w:rPr>
      <w:rFonts w:ascii="Liberation Sans" w:eastAsia="Arial Unicode MS" w:hAnsi="Liberation Sans"/>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sid w:val="00823C08"/>
    <w:rPr>
      <w:rFonts w:ascii="OpenSymbol" w:eastAsia="Times New Roman" w:hAnsi="OpenSymbol"/>
    </w:rPr>
  </w:style>
  <w:style w:type="paragraph" w:customStyle="1" w:styleId="Titre1">
    <w:name w:val="Titre1"/>
    <w:basedOn w:val="Normal"/>
    <w:next w:val="Corpsdetexte"/>
    <w:rsid w:val="00823C08"/>
    <w:pPr>
      <w:keepNext/>
      <w:spacing w:before="240" w:after="120"/>
    </w:pPr>
    <w:rPr>
      <w:rFonts w:eastAsia="MS Mincho" w:cs="Tahoma"/>
      <w:sz w:val="28"/>
      <w:szCs w:val="28"/>
    </w:rPr>
  </w:style>
  <w:style w:type="paragraph" w:styleId="Corpsdetexte">
    <w:name w:val="Body Text"/>
    <w:basedOn w:val="Normal"/>
    <w:link w:val="CorpsdetexteCar"/>
    <w:uiPriority w:val="99"/>
    <w:rsid w:val="00823C08"/>
    <w:pPr>
      <w:spacing w:after="120"/>
    </w:pPr>
  </w:style>
  <w:style w:type="character" w:customStyle="1" w:styleId="CorpsdetexteCar">
    <w:name w:val="Corps de texte Car"/>
    <w:basedOn w:val="Policepardfaut"/>
    <w:link w:val="Corpsdetexte"/>
    <w:uiPriority w:val="99"/>
    <w:semiHidden/>
    <w:rsid w:val="00F33395"/>
    <w:rPr>
      <w:rFonts w:ascii="Liberation Sans" w:eastAsia="Arial Unicode MS" w:hAnsi="Liberation Sans"/>
      <w:kern w:val="1"/>
      <w:sz w:val="24"/>
      <w:szCs w:val="24"/>
    </w:rPr>
  </w:style>
  <w:style w:type="paragraph" w:styleId="Liste">
    <w:name w:val="List"/>
    <w:basedOn w:val="Corpsdetexte"/>
    <w:uiPriority w:val="99"/>
    <w:rsid w:val="00823C08"/>
    <w:rPr>
      <w:rFonts w:cs="Tahoma"/>
    </w:rPr>
  </w:style>
  <w:style w:type="paragraph" w:customStyle="1" w:styleId="Lgende1">
    <w:name w:val="Légende1"/>
    <w:basedOn w:val="Normal"/>
    <w:rsid w:val="00823C08"/>
    <w:pPr>
      <w:suppressLineNumbers/>
      <w:spacing w:before="120" w:after="120"/>
    </w:pPr>
    <w:rPr>
      <w:rFonts w:cs="Tahoma"/>
      <w:i/>
      <w:iCs/>
    </w:rPr>
  </w:style>
  <w:style w:type="paragraph" w:customStyle="1" w:styleId="Index">
    <w:name w:val="Index"/>
    <w:basedOn w:val="Normal"/>
    <w:rsid w:val="00823C08"/>
    <w:pPr>
      <w:suppressLineNumbers/>
    </w:pPr>
    <w:rPr>
      <w:rFonts w:cs="Tahoma"/>
    </w:rPr>
  </w:style>
  <w:style w:type="paragraph" w:styleId="En-tte">
    <w:name w:val="header"/>
    <w:basedOn w:val="Normal"/>
    <w:link w:val="En-tteCar"/>
    <w:uiPriority w:val="99"/>
    <w:rsid w:val="002B7329"/>
    <w:pPr>
      <w:tabs>
        <w:tab w:val="center" w:pos="4536"/>
        <w:tab w:val="right" w:pos="9072"/>
      </w:tabs>
    </w:pPr>
  </w:style>
  <w:style w:type="character" w:customStyle="1" w:styleId="En-tteCar">
    <w:name w:val="En-tête Car"/>
    <w:basedOn w:val="Policepardfaut"/>
    <w:link w:val="En-tte"/>
    <w:uiPriority w:val="99"/>
    <w:semiHidden/>
    <w:rsid w:val="00F33395"/>
    <w:rPr>
      <w:rFonts w:ascii="Liberation Sans" w:eastAsia="Arial Unicode MS" w:hAnsi="Liberation Sans"/>
      <w:kern w:val="1"/>
      <w:sz w:val="24"/>
      <w:szCs w:val="24"/>
    </w:rPr>
  </w:style>
  <w:style w:type="paragraph" w:styleId="Pieddepage">
    <w:name w:val="footer"/>
    <w:basedOn w:val="Normal"/>
    <w:link w:val="PieddepageCar"/>
    <w:uiPriority w:val="99"/>
    <w:rsid w:val="002B7329"/>
    <w:pPr>
      <w:tabs>
        <w:tab w:val="center" w:pos="4536"/>
        <w:tab w:val="right" w:pos="9072"/>
      </w:tabs>
    </w:pPr>
  </w:style>
  <w:style w:type="character" w:customStyle="1" w:styleId="PieddepageCar">
    <w:name w:val="Pied de page Car"/>
    <w:basedOn w:val="Policepardfaut"/>
    <w:link w:val="Pieddepage"/>
    <w:uiPriority w:val="99"/>
    <w:semiHidden/>
    <w:rsid w:val="00F33395"/>
    <w:rPr>
      <w:rFonts w:ascii="Liberation Sans" w:eastAsia="Arial Unicode MS" w:hAnsi="Liberation Sans"/>
      <w:kern w:val="1"/>
      <w:sz w:val="24"/>
      <w:szCs w:val="24"/>
    </w:rPr>
  </w:style>
  <w:style w:type="paragraph" w:styleId="Notedebasdepage">
    <w:name w:val="footnote text"/>
    <w:basedOn w:val="Normal"/>
    <w:link w:val="NotedebasdepageCar"/>
    <w:rsid w:val="00903954"/>
    <w:rPr>
      <w:sz w:val="20"/>
      <w:szCs w:val="20"/>
    </w:rPr>
  </w:style>
  <w:style w:type="character" w:customStyle="1" w:styleId="NotedebasdepageCar">
    <w:name w:val="Note de bas de page Car"/>
    <w:basedOn w:val="Policepardfaut"/>
    <w:link w:val="Notedebasdepage"/>
    <w:rsid w:val="00F33395"/>
    <w:rPr>
      <w:rFonts w:ascii="Liberation Sans" w:eastAsia="Arial Unicode MS" w:hAnsi="Liberation Sans"/>
      <w:kern w:val="1"/>
    </w:rPr>
  </w:style>
  <w:style w:type="character" w:styleId="Appelnotedebasdep">
    <w:name w:val="footnote reference"/>
    <w:basedOn w:val="Policepardfaut"/>
    <w:rsid w:val="00903954"/>
    <w:rPr>
      <w:rFonts w:cs="Times New Roman"/>
      <w:vertAlign w:val="superscript"/>
    </w:rPr>
  </w:style>
  <w:style w:type="character" w:styleId="Lienhypertexte">
    <w:name w:val="Hyperlink"/>
    <w:basedOn w:val="Policepardfaut"/>
    <w:rsid w:val="00547FD8"/>
    <w:rPr>
      <w:color w:val="0000FF"/>
      <w:u w:val="single"/>
    </w:rPr>
  </w:style>
  <w:style w:type="paragraph" w:styleId="Paragraphedeliste">
    <w:name w:val="List Paragraph"/>
    <w:basedOn w:val="Normal"/>
    <w:qFormat/>
    <w:rsid w:val="0099624A"/>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NormalWeb">
    <w:name w:val="Normal (Web)"/>
    <w:basedOn w:val="Normal"/>
    <w:rsid w:val="00753095"/>
    <w:pPr>
      <w:widowControl/>
      <w:suppressAutoHyphens w:val="0"/>
      <w:spacing w:before="100" w:beforeAutospacing="1" w:after="119"/>
    </w:pPr>
    <w:rPr>
      <w:rFonts w:ascii="Times New Roman" w:eastAsia="Times New Roman" w:hAnsi="Times New Roman"/>
      <w:kern w:val="0"/>
    </w:rPr>
  </w:style>
  <w:style w:type="paragraph" w:customStyle="1" w:styleId="m-BlocTitre">
    <w:name w:val="m-BlocTitre"/>
    <w:basedOn w:val="Normal"/>
    <w:rsid w:val="00B72683"/>
    <w:pPr>
      <w:widowControl/>
      <w:ind w:hanging="340"/>
      <w:jc w:val="center"/>
    </w:pPr>
    <w:rPr>
      <w:rFonts w:ascii="Liberation Serif" w:eastAsia="Times New Roman" w:hAnsi="Liberation Serif"/>
      <w:color w:val="4C4C4C"/>
      <w:kern w:val="0"/>
      <w:sz w:val="22"/>
      <w:lang w:eastAsia="ar-SA"/>
    </w:rPr>
  </w:style>
</w:styles>
</file>

<file path=word/webSettings.xml><?xml version="1.0" encoding="utf-8"?>
<w:webSettings xmlns:r="http://schemas.openxmlformats.org/officeDocument/2006/relationships" xmlns:w="http://schemas.openxmlformats.org/wordprocessingml/2006/main">
  <w:divs>
    <w:div w:id="435097895">
      <w:bodyDiv w:val="1"/>
      <w:marLeft w:val="0"/>
      <w:marRight w:val="0"/>
      <w:marTop w:val="0"/>
      <w:marBottom w:val="0"/>
      <w:divBdr>
        <w:top w:val="none" w:sz="0" w:space="0" w:color="auto"/>
        <w:left w:val="none" w:sz="0" w:space="0" w:color="auto"/>
        <w:bottom w:val="none" w:sz="0" w:space="0" w:color="auto"/>
        <w:right w:val="none" w:sz="0" w:space="0" w:color="auto"/>
      </w:divBdr>
    </w:div>
    <w:div w:id="602957470">
      <w:bodyDiv w:val="1"/>
      <w:marLeft w:val="0"/>
      <w:marRight w:val="0"/>
      <w:marTop w:val="0"/>
      <w:marBottom w:val="0"/>
      <w:divBdr>
        <w:top w:val="none" w:sz="0" w:space="0" w:color="auto"/>
        <w:left w:val="none" w:sz="0" w:space="0" w:color="auto"/>
        <w:bottom w:val="none" w:sz="0" w:space="0" w:color="auto"/>
        <w:right w:val="none" w:sz="0" w:space="0" w:color="auto"/>
      </w:divBdr>
    </w:div>
    <w:div w:id="649142412">
      <w:bodyDiv w:val="1"/>
      <w:marLeft w:val="0"/>
      <w:marRight w:val="0"/>
      <w:marTop w:val="0"/>
      <w:marBottom w:val="0"/>
      <w:divBdr>
        <w:top w:val="none" w:sz="0" w:space="0" w:color="auto"/>
        <w:left w:val="none" w:sz="0" w:space="0" w:color="auto"/>
        <w:bottom w:val="none" w:sz="0" w:space="0" w:color="auto"/>
        <w:right w:val="none" w:sz="0" w:space="0" w:color="auto"/>
      </w:divBdr>
    </w:div>
    <w:div w:id="1463574968">
      <w:bodyDiv w:val="1"/>
      <w:marLeft w:val="0"/>
      <w:marRight w:val="0"/>
      <w:marTop w:val="0"/>
      <w:marBottom w:val="0"/>
      <w:divBdr>
        <w:top w:val="none" w:sz="0" w:space="0" w:color="auto"/>
        <w:left w:val="none" w:sz="0" w:space="0" w:color="auto"/>
        <w:bottom w:val="none" w:sz="0" w:space="0" w:color="auto"/>
        <w:right w:val="none" w:sz="0" w:space="0" w:color="auto"/>
      </w:divBdr>
    </w:div>
    <w:div w:id="1587760555">
      <w:bodyDiv w:val="1"/>
      <w:marLeft w:val="0"/>
      <w:marRight w:val="0"/>
      <w:marTop w:val="0"/>
      <w:marBottom w:val="0"/>
      <w:divBdr>
        <w:top w:val="none" w:sz="0" w:space="0" w:color="auto"/>
        <w:left w:val="none" w:sz="0" w:space="0" w:color="auto"/>
        <w:bottom w:val="none" w:sz="0" w:space="0" w:color="auto"/>
        <w:right w:val="none" w:sz="0" w:space="0" w:color="auto"/>
      </w:divBdr>
    </w:div>
    <w:div w:id="1609697511">
      <w:bodyDiv w:val="1"/>
      <w:marLeft w:val="0"/>
      <w:marRight w:val="0"/>
      <w:marTop w:val="0"/>
      <w:marBottom w:val="0"/>
      <w:divBdr>
        <w:top w:val="none" w:sz="0" w:space="0" w:color="auto"/>
        <w:left w:val="none" w:sz="0" w:space="0" w:color="auto"/>
        <w:bottom w:val="none" w:sz="0" w:space="0" w:color="auto"/>
        <w:right w:val="none" w:sz="0" w:space="0" w:color="auto"/>
      </w:divBdr>
    </w:div>
    <w:div w:id="19863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FICHE</vt:lpstr>
    </vt:vector>
  </TitlesOfParts>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dc:title>
  <dc:creator>Gorodetska</dc:creator>
  <cp:lastModifiedBy>MEDDE</cp:lastModifiedBy>
  <cp:revision>2</cp:revision>
  <cp:lastPrinted>2012-08-21T12:59:00Z</cp:lastPrinted>
  <dcterms:created xsi:type="dcterms:W3CDTF">2014-10-15T09:24:00Z</dcterms:created>
  <dcterms:modified xsi:type="dcterms:W3CDTF">2014-10-15T09:24:00Z</dcterms:modified>
</cp:coreProperties>
</file>