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B5" w:rsidRDefault="00F65BB9">
      <w:pPr>
        <w:pageBreakBefore/>
        <w:divId w:val="1507400949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2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200"/>
        <w:gridCol w:w="1215"/>
      </w:tblGrid>
      <w:tr w:rsidR="002553B5">
        <w:trPr>
          <w:divId w:val="65584465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553B5" w:rsidRDefault="00F65B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RÉPUBLIQUE FRANÇAISE</w:t>
            </w:r>
          </w:p>
        </w:tc>
      </w:tr>
      <w:tr w:rsidR="002553B5">
        <w:trPr>
          <w:divId w:val="655844652"/>
          <w:tblCellSpacing w:w="15" w:type="dxa"/>
        </w:trPr>
        <w:tc>
          <w:tcPr>
            <w:tcW w:w="0" w:type="auto"/>
            <w:vAlign w:val="center"/>
            <w:hideMark/>
          </w:tcPr>
          <w:p w:rsidR="002553B5" w:rsidRDefault="002553B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553B5" w:rsidRDefault="002553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53B5" w:rsidRDefault="002553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53B5">
        <w:trPr>
          <w:divId w:val="65584465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553B5" w:rsidRDefault="00F65BB9" w:rsidP="001827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Ministère </w:t>
            </w:r>
            <w:r w:rsidR="001827A2">
              <w:rPr>
                <w:rFonts w:eastAsia="Times New Roman"/>
              </w:rPr>
              <w:t>de la transition</w:t>
            </w:r>
            <w:r w:rsidR="001827A2">
              <w:rPr>
                <w:rFonts w:eastAsia="Times New Roman"/>
              </w:rPr>
              <w:br/>
              <w:t>écologique et solidaire</w:t>
            </w:r>
          </w:p>
        </w:tc>
      </w:tr>
      <w:tr w:rsidR="002553B5">
        <w:trPr>
          <w:divId w:val="655844652"/>
          <w:tblCellSpacing w:w="15" w:type="dxa"/>
        </w:trPr>
        <w:tc>
          <w:tcPr>
            <w:tcW w:w="0" w:type="auto"/>
            <w:vAlign w:val="center"/>
            <w:hideMark/>
          </w:tcPr>
          <w:p w:rsidR="002553B5" w:rsidRDefault="002553B5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553B5" w:rsidRDefault="002553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53B5" w:rsidRDefault="002553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553B5" w:rsidRDefault="00F65BB9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Arrêté du </w:t>
      </w:r>
    </w:p>
    <w:p w:rsidR="002553B5" w:rsidRDefault="00F65BB9">
      <w:pPr>
        <w:pStyle w:val="NormalWeb"/>
        <w:jc w:val="center"/>
        <w:rPr>
          <w:b/>
          <w:bCs/>
        </w:rPr>
      </w:pPr>
      <w:proofErr w:type="gramStart"/>
      <w:r>
        <w:rPr>
          <w:b/>
          <w:bCs/>
        </w:rPr>
        <w:t>portant</w:t>
      </w:r>
      <w:proofErr w:type="gramEnd"/>
      <w:r>
        <w:rPr>
          <w:b/>
          <w:bCs/>
        </w:rPr>
        <w:t xml:space="preserve"> désignation du site </w:t>
      </w:r>
      <w:proofErr w:type="spellStart"/>
      <w:r>
        <w:rPr>
          <w:b/>
          <w:bCs/>
        </w:rPr>
        <w:t>Natura</w:t>
      </w:r>
      <w:proofErr w:type="spellEnd"/>
      <w:r>
        <w:rPr>
          <w:b/>
          <w:bCs/>
        </w:rPr>
        <w:t xml:space="preserve"> 2000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Lacs et rivières à loutres</w:t>
      </w:r>
    </w:p>
    <w:p w:rsidR="002553B5" w:rsidRDefault="00F65BB9">
      <w:pPr>
        <w:pStyle w:val="NormalWeb"/>
        <w:jc w:val="center"/>
      </w:pPr>
      <w:r>
        <w:t>(</w:t>
      </w:r>
      <w:proofErr w:type="gramStart"/>
      <w:r>
        <w:t>zone</w:t>
      </w:r>
      <w:proofErr w:type="gramEnd"/>
      <w:r>
        <w:t xml:space="preserve"> spéciale de conservation)</w:t>
      </w:r>
    </w:p>
    <w:p w:rsidR="002553B5" w:rsidRDefault="00F65BB9">
      <w:pPr>
        <w:pStyle w:val="NormalWeb"/>
        <w:jc w:val="center"/>
      </w:pPr>
      <w:r>
        <w:t xml:space="preserve">NOR </w:t>
      </w:r>
      <w:r w:rsidRPr="00CF3938">
        <w:rPr>
          <w:color w:val="000000" w:themeColor="text1"/>
        </w:rPr>
        <w:t xml:space="preserve">: </w:t>
      </w:r>
      <w:r w:rsidR="00CF3938" w:rsidRPr="00CF3938">
        <w:rPr>
          <w:color w:val="000000" w:themeColor="text1"/>
        </w:rPr>
        <w:t>TREL1914341A</w:t>
      </w:r>
    </w:p>
    <w:p w:rsidR="002553B5" w:rsidRDefault="002553B5">
      <w:pPr>
        <w:spacing w:after="240"/>
        <w:rPr>
          <w:rFonts w:eastAsia="Times New Roman"/>
        </w:rPr>
      </w:pPr>
    </w:p>
    <w:p w:rsidR="002553B5" w:rsidRDefault="00F65BB9">
      <w:pPr>
        <w:pStyle w:val="NormalWeb"/>
        <w:ind w:firstLine="300"/>
        <w:jc w:val="both"/>
        <w:divId w:val="1297492271"/>
        <w:rPr>
          <w:b/>
          <w:bCs/>
        </w:rPr>
      </w:pPr>
      <w:r>
        <w:rPr>
          <w:b/>
          <w:bCs/>
        </w:rPr>
        <w:t>Le ministre d'État, ministre de la transition écologique et solidaire,</w:t>
      </w:r>
    </w:p>
    <w:p w:rsidR="002553B5" w:rsidRDefault="00F65BB9">
      <w:pPr>
        <w:pStyle w:val="NormalWeb"/>
        <w:ind w:firstLine="300"/>
        <w:jc w:val="both"/>
        <w:divId w:val="1297492271"/>
      </w:pPr>
      <w:r>
        <w:t>Vu la directive 92/43/CEE du Conseil du 21 mai 1992 modifiée concernant la conservation des habitats naturels ainsi que de la faune et de la flore sauvages, notamment ses articles 3 et 4 et ses annexes I et II;</w:t>
      </w:r>
    </w:p>
    <w:p w:rsidR="002553B5" w:rsidRDefault="00F65BB9">
      <w:pPr>
        <w:pStyle w:val="NormalWeb"/>
        <w:ind w:firstLine="300"/>
        <w:jc w:val="both"/>
        <w:divId w:val="1297492271"/>
      </w:pPr>
      <w:r>
        <w:t xml:space="preserve">Vu la décision </w:t>
      </w:r>
      <w:r w:rsidR="00CF3938">
        <w:t>de la Commission européenne du 14</w:t>
      </w:r>
      <w:r>
        <w:t xml:space="preserve"> </w:t>
      </w:r>
      <w:r w:rsidR="00CF3938">
        <w:t>décembre 2018</w:t>
      </w:r>
      <w:r>
        <w:t xml:space="preserve"> arrêtant, en application de la directive 92/43/CEE du Conseil du 21 mai 1992, la liste des sites d'importance communautaire pour la région biogéographique continentale ;</w:t>
      </w:r>
    </w:p>
    <w:p w:rsidR="002553B5" w:rsidRDefault="00F65BB9">
      <w:pPr>
        <w:pStyle w:val="NormalWeb"/>
        <w:ind w:firstLine="300"/>
        <w:jc w:val="both"/>
        <w:divId w:val="1297492271"/>
      </w:pPr>
      <w:r>
        <w:t>Vu le code de l'environnement, notamment le I et le III de l'article L. 414-1, et les articles R. 414-1, R. 414-3, R. 414-4, R. 414-6 et R. 414-7 ;</w:t>
      </w:r>
    </w:p>
    <w:p w:rsidR="002553B5" w:rsidRDefault="00F65BB9">
      <w:pPr>
        <w:pStyle w:val="NormalWeb"/>
        <w:ind w:firstLine="300"/>
        <w:jc w:val="both"/>
        <w:divId w:val="1297492271"/>
      </w:pPr>
      <w:r>
        <w:t xml:space="preserve">Vu l'arrêté du 16 novembre 2001 modifié relatif à la liste des types d'habitats naturels et des espèces de faune et de flore sauvages qui peuvent justifier la désignation de zones spéciales de conservation au titre du réseau écologique européen </w:t>
      </w:r>
      <w:proofErr w:type="spellStart"/>
      <w:r>
        <w:t>Natura</w:t>
      </w:r>
      <w:proofErr w:type="spellEnd"/>
      <w:r>
        <w:t xml:space="preserve"> 2000 ;</w:t>
      </w:r>
    </w:p>
    <w:p w:rsidR="002553B5" w:rsidRDefault="00F65BB9">
      <w:pPr>
        <w:pStyle w:val="NormalWeb"/>
        <w:ind w:firstLine="300"/>
        <w:jc w:val="both"/>
        <w:divId w:val="1297492271"/>
      </w:pPr>
      <w:r>
        <w:t>Vu les avis des communes et des établissements publics de coopération intercommunale concernés,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Arrête :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Article 1er</w:t>
      </w:r>
    </w:p>
    <w:p w:rsidR="002553B5" w:rsidRDefault="00F65BB9">
      <w:pPr>
        <w:jc w:val="both"/>
        <w:rPr>
          <w:rFonts w:eastAsia="Times New Roman"/>
        </w:rPr>
      </w:pPr>
      <w:r>
        <w:rPr>
          <w:rFonts w:eastAsia="Times New Roman"/>
        </w:rPr>
        <w:t xml:space="preserve">Est désigné sous l'appellation « site </w:t>
      </w:r>
      <w:proofErr w:type="spellStart"/>
      <w:r>
        <w:rPr>
          <w:rFonts w:eastAsia="Times New Roman"/>
        </w:rPr>
        <w:t>Natura</w:t>
      </w:r>
      <w:proofErr w:type="spellEnd"/>
      <w:r>
        <w:rPr>
          <w:rFonts w:eastAsia="Times New Roman"/>
        </w:rPr>
        <w:t xml:space="preserve"> 2000 Lacs et rivières à loutres » (zone spéciale de conservation FR8301095</w:t>
      </w:r>
      <w:r w:rsidR="00CF3938">
        <w:rPr>
          <w:rFonts w:eastAsia="Times New Roman"/>
        </w:rPr>
        <w:t>)</w:t>
      </w:r>
      <w:r>
        <w:rPr>
          <w:rFonts w:eastAsia="Times New Roman"/>
        </w:rPr>
        <w:t xml:space="preserve"> l'espace délimité sur la carte d'assemblage </w:t>
      </w:r>
      <w:r w:rsidRPr="00F84375">
        <w:rPr>
          <w:rFonts w:eastAsia="Times New Roman"/>
          <w:color w:val="000000" w:themeColor="text1"/>
        </w:rPr>
        <w:t xml:space="preserve">au </w:t>
      </w:r>
      <w:r w:rsidR="00CF3938" w:rsidRPr="00F84375">
        <w:rPr>
          <w:rFonts w:eastAsia="Times New Roman"/>
          <w:color w:val="000000" w:themeColor="text1"/>
        </w:rPr>
        <w:t>1/450 000</w:t>
      </w:r>
      <w:r w:rsidRPr="00F84375">
        <w:rPr>
          <w:rFonts w:eastAsia="Times New Roman"/>
          <w:color w:val="000000" w:themeColor="text1"/>
        </w:rPr>
        <w:t xml:space="preserve"> et les </w:t>
      </w:r>
      <w:r w:rsidR="00CF3938" w:rsidRPr="00F84375">
        <w:rPr>
          <w:rFonts w:eastAsia="Times New Roman"/>
          <w:color w:val="000000" w:themeColor="text1"/>
        </w:rPr>
        <w:t>34</w:t>
      </w:r>
      <w:r w:rsidRPr="00F84375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</w:rPr>
        <w:t>cartes au 1/25 000 ci-jointes,</w:t>
      </w:r>
      <w:r w:rsidR="00CF3938">
        <w:rPr>
          <w:rFonts w:eastAsia="Times New Roman"/>
        </w:rPr>
        <w:t xml:space="preserve"> et</w:t>
      </w:r>
      <w:r>
        <w:rPr>
          <w:rFonts w:eastAsia="Times New Roman"/>
        </w:rPr>
        <w:t xml:space="preserve"> qui </w:t>
      </w:r>
      <w:r w:rsidR="00CF3938">
        <w:rPr>
          <w:rFonts w:eastAsia="Times New Roman"/>
        </w:rPr>
        <w:t>s</w:t>
      </w:r>
      <w:r>
        <w:rPr>
          <w:rFonts w:eastAsia="Times New Roman"/>
        </w:rPr>
        <w:t xml:space="preserve">'étend : </w:t>
      </w:r>
    </w:p>
    <w:p w:rsidR="002553B5" w:rsidRDefault="00F65BB9">
      <w:pPr>
        <w:jc w:val="both"/>
        <w:divId w:val="1930113221"/>
        <w:rPr>
          <w:rFonts w:eastAsia="Times New Roman"/>
        </w:rPr>
      </w:pPr>
      <w:r>
        <w:rPr>
          <w:rFonts w:eastAsia="Times New Roman"/>
        </w:rPr>
        <w:lastRenderedPageBreak/>
        <w:t>Dans le département du Cantal :</w:t>
      </w:r>
    </w:p>
    <w:p w:rsidR="002553B5" w:rsidRDefault="00F65BB9">
      <w:pPr>
        <w:ind w:hanging="180"/>
        <w:jc w:val="both"/>
        <w:divId w:val="352001556"/>
        <w:rPr>
          <w:rFonts w:eastAsia="Times New Roman"/>
        </w:rPr>
      </w:pPr>
      <w:r>
        <w:rPr>
          <w:rFonts w:eastAsia="Times New Roman"/>
        </w:rPr>
        <w:t xml:space="preserve">- sur une partie du territoire des communes suivantes : Beaulieu, </w:t>
      </w:r>
      <w:proofErr w:type="spellStart"/>
      <w:r>
        <w:rPr>
          <w:rFonts w:eastAsia="Times New Roman"/>
        </w:rPr>
        <w:t>Champagnac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Lanobre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Madic</w:t>
      </w:r>
      <w:proofErr w:type="spellEnd"/>
      <w:r>
        <w:rPr>
          <w:rFonts w:eastAsia="Times New Roman"/>
        </w:rPr>
        <w:t>, Saint-Pierre.</w:t>
      </w:r>
    </w:p>
    <w:p w:rsidR="002553B5" w:rsidRDefault="00F65BB9">
      <w:pPr>
        <w:jc w:val="both"/>
        <w:divId w:val="774911618"/>
        <w:rPr>
          <w:rFonts w:eastAsia="Times New Roman"/>
        </w:rPr>
      </w:pPr>
      <w:r>
        <w:rPr>
          <w:rFonts w:eastAsia="Times New Roman"/>
        </w:rPr>
        <w:t>Dans le département du Puy-de-Dôme :</w:t>
      </w:r>
    </w:p>
    <w:p w:rsidR="002553B5" w:rsidRDefault="00F65BB9">
      <w:pPr>
        <w:ind w:hanging="180"/>
        <w:jc w:val="both"/>
        <w:divId w:val="93980910"/>
        <w:rPr>
          <w:rFonts w:eastAsia="Times New Roman"/>
        </w:rPr>
      </w:pPr>
      <w:r>
        <w:rPr>
          <w:rFonts w:eastAsia="Times New Roman"/>
        </w:rPr>
        <w:t xml:space="preserve">- sur une partie du territoire des communes suivantes : </w:t>
      </w:r>
      <w:proofErr w:type="spellStart"/>
      <w:r>
        <w:rPr>
          <w:rFonts w:eastAsia="Times New Roman"/>
        </w:rPr>
        <w:t>Avèze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Bourboule</w:t>
      </w:r>
      <w:proofErr w:type="spellEnd"/>
      <w:r w:rsidR="00EF573A">
        <w:rPr>
          <w:rFonts w:eastAsia="Times New Roman"/>
        </w:rPr>
        <w:t xml:space="preserve"> (La)</w:t>
      </w:r>
      <w:r>
        <w:rPr>
          <w:rFonts w:eastAsia="Times New Roman"/>
        </w:rPr>
        <w:t xml:space="preserve">, Bourg-Lastic, Briffons, </w:t>
      </w:r>
      <w:proofErr w:type="spellStart"/>
      <w:r>
        <w:rPr>
          <w:rFonts w:eastAsia="Times New Roman"/>
        </w:rPr>
        <w:t>Fernoël</w:t>
      </w:r>
      <w:proofErr w:type="spellEnd"/>
      <w:r>
        <w:rPr>
          <w:rFonts w:eastAsia="Times New Roman"/>
        </w:rPr>
        <w:t xml:space="preserve">, Giat, </w:t>
      </w:r>
      <w:proofErr w:type="spellStart"/>
      <w:r>
        <w:rPr>
          <w:rFonts w:eastAsia="Times New Roman"/>
        </w:rPr>
        <w:t>Lastic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Messeix</w:t>
      </w:r>
      <w:proofErr w:type="spellEnd"/>
      <w:r>
        <w:rPr>
          <w:rFonts w:eastAsia="Times New Roman"/>
        </w:rPr>
        <w:t>, Mont-Dore, Murat-le-</w:t>
      </w:r>
      <w:proofErr w:type="spellStart"/>
      <w:r>
        <w:rPr>
          <w:rFonts w:eastAsia="Times New Roman"/>
        </w:rPr>
        <w:t>Quaire</w:t>
      </w:r>
      <w:proofErr w:type="spellEnd"/>
      <w:r>
        <w:rPr>
          <w:rFonts w:eastAsia="Times New Roman"/>
        </w:rPr>
        <w:t>, Saint-Germain-près-</w:t>
      </w:r>
      <w:proofErr w:type="spellStart"/>
      <w:r>
        <w:rPr>
          <w:rFonts w:eastAsia="Times New Roman"/>
        </w:rPr>
        <w:t>Herment</w:t>
      </w:r>
      <w:proofErr w:type="spellEnd"/>
      <w:r>
        <w:rPr>
          <w:rFonts w:eastAsia="Times New Roman"/>
        </w:rPr>
        <w:t>, Saint-Julien-Puy-</w:t>
      </w:r>
      <w:proofErr w:type="spellStart"/>
      <w:r>
        <w:rPr>
          <w:rFonts w:eastAsia="Times New Roman"/>
        </w:rPr>
        <w:t>Lavèze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Saint-Sauves-d'Auvergne</w:t>
      </w:r>
      <w:proofErr w:type="spellEnd"/>
      <w:r>
        <w:rPr>
          <w:rFonts w:eastAsia="Times New Roman"/>
        </w:rPr>
        <w:t xml:space="preserve">, Saint-Sulpice, </w:t>
      </w:r>
      <w:proofErr w:type="spellStart"/>
      <w:r>
        <w:rPr>
          <w:rFonts w:eastAsia="Times New Roman"/>
        </w:rPr>
        <w:t>Savennes</w:t>
      </w:r>
      <w:proofErr w:type="spellEnd"/>
      <w:r>
        <w:rPr>
          <w:rFonts w:eastAsia="Times New Roman"/>
        </w:rPr>
        <w:t xml:space="preserve">, Singles, </w:t>
      </w:r>
      <w:proofErr w:type="spellStart"/>
      <w:r>
        <w:rPr>
          <w:rFonts w:eastAsia="Times New Roman"/>
        </w:rPr>
        <w:t>Verneugheol</w:t>
      </w:r>
      <w:proofErr w:type="spellEnd"/>
      <w:r>
        <w:rPr>
          <w:rFonts w:eastAsia="Times New Roman"/>
        </w:rPr>
        <w:t>.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Article 2</w:t>
      </w:r>
      <w:bookmarkStart w:id="0" w:name="_GoBack"/>
      <w:bookmarkEnd w:id="0"/>
    </w:p>
    <w:p w:rsidR="002553B5" w:rsidRDefault="00F65BB9">
      <w:pPr>
        <w:pStyle w:val="NormalWeb"/>
        <w:jc w:val="both"/>
      </w:pPr>
      <w:r>
        <w:t xml:space="preserve">La liste des types d'habitats naturels et des espèces de faune et flore sauvages justifiant la désignation du site </w:t>
      </w:r>
      <w:proofErr w:type="spellStart"/>
      <w:r>
        <w:t>Natura</w:t>
      </w:r>
      <w:proofErr w:type="spellEnd"/>
      <w:r>
        <w:t xml:space="preserve"> 2000 Lacs et rivières à loutres figure en annexe au présent arrêté.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Article 3</w:t>
      </w:r>
    </w:p>
    <w:p w:rsidR="002553B5" w:rsidRDefault="00F65BB9">
      <w:pPr>
        <w:pStyle w:val="NormalWeb"/>
        <w:jc w:val="both"/>
      </w:pPr>
      <w:r>
        <w:t>Les cartes</w:t>
      </w:r>
      <w:r w:rsidR="008F3C20">
        <w:t xml:space="preserve"> visée</w:t>
      </w:r>
      <w:r>
        <w:t>s à l'article 1</w:t>
      </w:r>
      <w:r>
        <w:rPr>
          <w:vertAlign w:val="superscript"/>
        </w:rPr>
        <w:t>er</w:t>
      </w:r>
      <w:r>
        <w:t xml:space="preserve"> ainsi que la liste des types d'habitats naturels et des espèces de faune et de flore sauvages visée à l'article 2 peuvent être consultées aux préfectures du Cantal et du Puy-de-Dôme, dans les mairies des communes situées dans le périmètre du site, à la direction régionale de l'environnement et de l'aménageme</w:t>
      </w:r>
      <w:r w:rsidR="008F3C20">
        <w:t>nt et du logement d'Auvergne-Rhô</w:t>
      </w:r>
      <w:r>
        <w:t xml:space="preserve">ne-Alpes, ainsi qu'à la direction de l'eau et de la biodiversité du ministère </w:t>
      </w:r>
      <w:r w:rsidR="008F3C20">
        <w:t>de la transition écologique et solidaire.</w:t>
      </w:r>
    </w:p>
    <w:p w:rsidR="002553B5" w:rsidRDefault="00F65BB9">
      <w:pPr>
        <w:pStyle w:val="NormalWeb"/>
        <w:jc w:val="both"/>
      </w:pPr>
      <w:r>
        <w:t>Elles sont également consultables et téléchargeables sur le</w:t>
      </w:r>
      <w:r w:rsidR="008F3C20">
        <w:t>s</w:t>
      </w:r>
      <w:r>
        <w:t xml:space="preserve"> site</w:t>
      </w:r>
      <w:r w:rsidR="008F3C20">
        <w:t>s du Bulletin officiel du ministère de la transition écologique et solidaire (</w:t>
      </w:r>
      <w:hyperlink r:id="rId4" w:history="1">
        <w:r w:rsidR="008F3C20" w:rsidRPr="00784CC8">
          <w:rPr>
            <w:rStyle w:val="Lienhypertexte"/>
          </w:rPr>
          <w:t>https://www.bulletin-officiel.developpement-durable.gouv.fr/recherche</w:t>
        </w:r>
      </w:hyperlink>
      <w:r w:rsidR="008F3C20">
        <w:t>) et</w:t>
      </w:r>
      <w:r>
        <w:t xml:space="preserve"> de l'inventaire national du pat</w:t>
      </w:r>
      <w:r w:rsidR="008F3C20">
        <w:t>rimoine naturel hébergé par le M</w:t>
      </w:r>
      <w:r>
        <w:t>uséum national d'</w:t>
      </w:r>
      <w:r w:rsidR="008F3C20">
        <w:t>h</w:t>
      </w:r>
      <w:r>
        <w:t xml:space="preserve">istoire naturelle </w:t>
      </w:r>
      <w:r w:rsidR="008F3C20">
        <w:t>(</w:t>
      </w:r>
      <w:r>
        <w:t>https://inpn.mnhn.fr/accueil/r</w:t>
      </w:r>
      <w:r w:rsidR="008F3C20">
        <w:t>echerche-de-donnees/natura2000).</w:t>
      </w:r>
    </w:p>
    <w:p w:rsidR="002553B5" w:rsidRDefault="00F65BB9">
      <w:pPr>
        <w:pStyle w:val="NormalWeb"/>
        <w:jc w:val="center"/>
        <w:rPr>
          <w:b/>
          <w:bCs/>
        </w:rPr>
      </w:pPr>
      <w:r>
        <w:rPr>
          <w:b/>
          <w:bCs/>
        </w:rPr>
        <w:t>Article 4</w:t>
      </w:r>
    </w:p>
    <w:p w:rsidR="009B469A" w:rsidRDefault="00F65BB9" w:rsidP="009B469A">
      <w:pPr>
        <w:pStyle w:val="NormalWeb"/>
        <w:jc w:val="both"/>
      </w:pPr>
      <w:r>
        <w:t>Le directeur de l'eau et de la biodiversité e</w:t>
      </w:r>
      <w:r w:rsidR="009B469A">
        <w:t>st</w:t>
      </w:r>
      <w:r>
        <w:t xml:space="preserve"> chargé de l'exécution du présent arrêté, qui sera publié au </w:t>
      </w:r>
      <w:r>
        <w:rPr>
          <w:i/>
          <w:iCs/>
        </w:rPr>
        <w:t>Journal officiel</w:t>
      </w:r>
      <w:r>
        <w:t xml:space="preserve"> de la République française. </w:t>
      </w:r>
    </w:p>
    <w:p w:rsidR="009B469A" w:rsidRDefault="009B469A" w:rsidP="009B469A">
      <w:pPr>
        <w:pStyle w:val="NormalWeb"/>
        <w:spacing w:before="0" w:beforeAutospacing="0" w:after="0" w:afterAutospacing="0"/>
        <w:jc w:val="both"/>
      </w:pPr>
    </w:p>
    <w:p w:rsidR="009B469A" w:rsidRDefault="009B469A" w:rsidP="009B469A">
      <w:pPr>
        <w:pStyle w:val="NormalWeb"/>
        <w:spacing w:before="0" w:beforeAutospacing="0" w:after="0" w:afterAutospacing="0"/>
        <w:jc w:val="both"/>
      </w:pPr>
    </w:p>
    <w:p w:rsidR="002553B5" w:rsidRPr="009B469A" w:rsidRDefault="00F65BB9" w:rsidP="009B469A">
      <w:pPr>
        <w:pStyle w:val="NormalWeb"/>
        <w:spacing w:before="0" w:beforeAutospacing="0" w:after="0" w:afterAutospacing="0"/>
        <w:jc w:val="both"/>
      </w:pPr>
      <w:r>
        <w:rPr>
          <w:rFonts w:eastAsia="Times New Roman"/>
        </w:rPr>
        <w:t xml:space="preserve">Fait le </w:t>
      </w:r>
    </w:p>
    <w:p w:rsidR="009B469A" w:rsidRDefault="009B469A" w:rsidP="009B469A">
      <w:pPr>
        <w:jc w:val="both"/>
        <w:divId w:val="828979406"/>
        <w:rPr>
          <w:rFonts w:eastAsia="Times New Roman"/>
        </w:rPr>
      </w:pPr>
    </w:p>
    <w:p w:rsidR="009B469A" w:rsidRDefault="009B469A" w:rsidP="009B469A">
      <w:pPr>
        <w:jc w:val="both"/>
        <w:divId w:val="828979406"/>
        <w:rPr>
          <w:rFonts w:eastAsia="Times New Roman"/>
        </w:rPr>
      </w:pPr>
    </w:p>
    <w:p w:rsidR="002553B5" w:rsidRDefault="00F65BB9" w:rsidP="009B469A">
      <w:pPr>
        <w:jc w:val="both"/>
        <w:divId w:val="1094664526"/>
        <w:rPr>
          <w:rFonts w:eastAsia="Times New Roman"/>
        </w:rPr>
      </w:pPr>
      <w:r>
        <w:rPr>
          <w:rFonts w:eastAsia="Times New Roman"/>
        </w:rPr>
        <w:t xml:space="preserve">Le ministre d'État, </w:t>
      </w:r>
    </w:p>
    <w:p w:rsidR="002553B5" w:rsidRDefault="00F65BB9" w:rsidP="009B469A">
      <w:pPr>
        <w:jc w:val="both"/>
        <w:divId w:val="1755545338"/>
        <w:rPr>
          <w:rFonts w:eastAsia="Times New Roman"/>
        </w:rPr>
      </w:pPr>
      <w:proofErr w:type="gramStart"/>
      <w:r>
        <w:rPr>
          <w:rFonts w:eastAsia="Times New Roman"/>
        </w:rPr>
        <w:t>ministre</w:t>
      </w:r>
      <w:proofErr w:type="gramEnd"/>
      <w:r>
        <w:rPr>
          <w:rFonts w:eastAsia="Times New Roman"/>
        </w:rPr>
        <w:t xml:space="preserve"> de la transition écologique et solidaire,</w:t>
      </w:r>
    </w:p>
    <w:p w:rsidR="002553B5" w:rsidRDefault="009B469A" w:rsidP="009B469A">
      <w:pPr>
        <w:jc w:val="both"/>
        <w:divId w:val="1826583936"/>
        <w:rPr>
          <w:rFonts w:eastAsia="Times New Roman"/>
        </w:rPr>
      </w:pPr>
      <w:r>
        <w:rPr>
          <w:rFonts w:eastAsia="Times New Roman"/>
        </w:rPr>
        <w:t>Pour le</w:t>
      </w:r>
      <w:r w:rsidR="00F65BB9">
        <w:rPr>
          <w:rFonts w:eastAsia="Times New Roman"/>
        </w:rPr>
        <w:t xml:space="preserve"> ministre et par délégation :</w:t>
      </w:r>
    </w:p>
    <w:p w:rsidR="009B469A" w:rsidRDefault="00F65BB9" w:rsidP="009B469A">
      <w:pPr>
        <w:jc w:val="both"/>
        <w:divId w:val="1635600925"/>
        <w:rPr>
          <w:rFonts w:eastAsia="Times New Roman"/>
        </w:rPr>
      </w:pPr>
      <w:r>
        <w:rPr>
          <w:rFonts w:eastAsia="Times New Roman"/>
        </w:rPr>
        <w:t>Le directeur de l'eau et de la biodiversité,</w:t>
      </w: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9B469A" w:rsidRDefault="009B469A" w:rsidP="009B469A">
      <w:pPr>
        <w:jc w:val="both"/>
        <w:divId w:val="1635600925"/>
        <w:rPr>
          <w:rFonts w:eastAsia="Times New Roman"/>
        </w:rPr>
      </w:pPr>
    </w:p>
    <w:p w:rsidR="002553B5" w:rsidRPr="009B469A" w:rsidRDefault="00F65BB9" w:rsidP="009B469A">
      <w:pPr>
        <w:jc w:val="both"/>
        <w:divId w:val="1635600925"/>
        <w:rPr>
          <w:rFonts w:eastAsia="Times New Roman"/>
        </w:rPr>
      </w:pPr>
      <w:r>
        <w:t>T. VATIN</w:t>
      </w:r>
    </w:p>
    <w:sectPr w:rsidR="002553B5" w:rsidRPr="009B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B9"/>
    <w:rsid w:val="001827A2"/>
    <w:rsid w:val="002553B5"/>
    <w:rsid w:val="00844B56"/>
    <w:rsid w:val="008F3C20"/>
    <w:rsid w:val="009B469A"/>
    <w:rsid w:val="00CF3938"/>
    <w:rsid w:val="00DA7F22"/>
    <w:rsid w:val="00EF573A"/>
    <w:rsid w:val="00F65BB9"/>
    <w:rsid w:val="00F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3DA9F"/>
  <w15:chartTrackingRefBased/>
  <w15:docId w15:val="{C454B306-A498-4F8B-861C-126403BC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F3C2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4B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B5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1618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221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lletin-officiel.developpement-durable.gouv.fr/recherc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506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Céleste</dc:creator>
  <cp:keywords/>
  <dc:description/>
  <cp:lastModifiedBy>GIL Céleste</cp:lastModifiedBy>
  <cp:revision>8</cp:revision>
  <cp:lastPrinted>2019-05-16T12:59:00Z</cp:lastPrinted>
  <dcterms:created xsi:type="dcterms:W3CDTF">2019-05-16T12:19:00Z</dcterms:created>
  <dcterms:modified xsi:type="dcterms:W3CDTF">2019-05-21T13:11:00Z</dcterms:modified>
</cp:coreProperties>
</file>