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</w:rPr>
      </w:pPr>
      <w:r>
        <w:rPr>
          <w:b/>
          <w:sz w:val="26"/>
          <w:szCs w:val="26"/>
        </w:rPr>
        <w:t>Annexe</w:t>
      </w:r>
    </w:p>
    <w:p>
      <w:pPr>
        <w:pStyle w:val="Corpsdetexte"/>
        <w:jc w:val="center"/>
        <w:rPr>
          <w:b/>
          <w:b/>
        </w:rPr>
      </w:pPr>
      <w:r>
        <w:rPr>
          <w:b/>
          <w:sz w:val="26"/>
          <w:szCs w:val="26"/>
        </w:rPr>
        <w:t>à l'arrêté de désignation du site Natura 2000</w:t>
        <w:br/>
        <w:t>FR 7200664 Coteaux calcaires de la vallée de la Dordogne</w:t>
        <w:br/>
        <w:t>(zone spéciale de conservation)</w:t>
      </w:r>
    </w:p>
    <w:p>
      <w:pPr>
        <w:pStyle w:val="Corpsdetexte"/>
        <w:jc w:val="center"/>
        <w:rPr>
          <w:b/>
          <w:b/>
        </w:rPr>
      </w:pPr>
      <w:r>
        <w:rPr>
          <w:b/>
          <w:sz w:val="26"/>
          <w:szCs w:val="26"/>
        </w:rPr>
        <w:t>Liste des types d'habitats naturels et des espèces de faune et de flore sauvages justifiant la désignation du site</w:t>
      </w:r>
    </w:p>
    <w:p>
      <w:pPr>
        <w:pStyle w:val="Corpsdetexte"/>
        <w:rPr>
          <w:u w:val="single"/>
        </w:rPr>
      </w:pPr>
      <w:r>
        <w:rPr>
          <w:u w:val="single"/>
        </w:rPr>
        <w:t xml:space="preserve">1 - Liste des habitats naturels justifiant la désignation du site et figurant en annexe de l’arrêté du 16 novembre 2001 modifié </w:t>
      </w:r>
    </w:p>
    <w:tbl>
      <w:tblPr>
        <w:tblW w:w="1020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4"/>
        <w:gridCol w:w="407"/>
        <w:gridCol w:w="8674"/>
      </w:tblGrid>
      <w:tr>
        <w:trPr/>
        <w:tc>
          <w:tcPr>
            <w:tcW w:w="112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5130</w:t>
            </w:r>
          </w:p>
        </w:tc>
        <w:tc>
          <w:tcPr>
            <w:tcW w:w="407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 xml:space="preserve">Formations à </w:t>
            </w:r>
            <w:r>
              <w:rPr>
                <w:i/>
                <w:iCs/>
              </w:rPr>
              <w:t>Juniperus communis</w:t>
            </w:r>
            <w:r>
              <w:rPr/>
              <w:t xml:space="preserve"> sur landes ou pelouses calcaires</w:t>
            </w:r>
          </w:p>
        </w:tc>
      </w:tr>
      <w:tr>
        <w:trPr/>
        <w:tc>
          <w:tcPr>
            <w:tcW w:w="112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6210</w:t>
            </w:r>
          </w:p>
        </w:tc>
        <w:tc>
          <w:tcPr>
            <w:tcW w:w="407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 xml:space="preserve">Pelouses sèches semi-naturelles et faciès d'embuissonnement sur calcaires </w:t>
            </w:r>
            <w:r>
              <w:rPr>
                <w:i/>
                <w:iCs/>
              </w:rPr>
              <w:t>(Festuco-Brometalia)</w:t>
            </w:r>
            <w:r>
              <w:rPr/>
              <w:t xml:space="preserve"> (* sites d'orchidées remarquables)</w:t>
            </w:r>
          </w:p>
        </w:tc>
      </w:tr>
      <w:tr>
        <w:trPr/>
        <w:tc>
          <w:tcPr>
            <w:tcW w:w="112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8210</w:t>
            </w:r>
          </w:p>
        </w:tc>
        <w:tc>
          <w:tcPr>
            <w:tcW w:w="407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Pentes rocheuses calcaires avec végétation chasmophytique</w:t>
            </w:r>
          </w:p>
        </w:tc>
      </w:tr>
      <w:tr>
        <w:trPr/>
        <w:tc>
          <w:tcPr>
            <w:tcW w:w="112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8310</w:t>
            </w:r>
          </w:p>
        </w:tc>
        <w:tc>
          <w:tcPr>
            <w:tcW w:w="407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Grottes non exploitées par le tourisme</w:t>
            </w:r>
          </w:p>
        </w:tc>
      </w:tr>
      <w:tr>
        <w:trPr/>
        <w:tc>
          <w:tcPr>
            <w:tcW w:w="112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9340</w:t>
            </w:r>
          </w:p>
        </w:tc>
        <w:tc>
          <w:tcPr>
            <w:tcW w:w="407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674" w:type="dxa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 xml:space="preserve">Forêts à </w:t>
            </w:r>
            <w:r>
              <w:rPr>
                <w:i/>
                <w:iCs/>
              </w:rPr>
              <w:t>Quercus ilex</w:t>
            </w:r>
            <w:r>
              <w:rPr/>
              <w:t xml:space="preserve"> et </w:t>
            </w:r>
            <w:r>
              <w:rPr>
                <w:i/>
                <w:iCs/>
              </w:rPr>
              <w:t>Quercus rotundifolia</w:t>
            </w:r>
          </w:p>
        </w:tc>
      </w:tr>
    </w:tbl>
    <w:p>
      <w:pPr>
        <w:pStyle w:val="Corpsdetexte"/>
        <w:rPr>
          <w:u w:val="single"/>
        </w:rPr>
      </w:pPr>
      <w:r>
        <w:rPr>
          <w:u w:val="single"/>
        </w:rPr>
      </w:r>
    </w:p>
    <w:p>
      <w:pPr>
        <w:pStyle w:val="Corpsdetexte"/>
        <w:rPr>
          <w:u w:val="single"/>
        </w:rPr>
      </w:pPr>
      <w:r>
        <w:rPr>
          <w:u w:val="single"/>
        </w:rPr>
        <w:t>2 - Liste des espèces de faune et flore sauvages justifiant la désignation du site et figurant en annexe de l’arrêté du 16 novembre 2001 modifié</w:t>
      </w:r>
    </w:p>
    <w:tbl>
      <w:tblPr>
        <w:tblW w:w="674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67"/>
        <w:gridCol w:w="2903"/>
        <w:gridCol w:w="2902"/>
      </w:tblGrid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Amphibiens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Aucune espèce mentionnée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Invertébrés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Aucune espèce mentionnée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Mammifères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1303</w:t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Petit rhinolophe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Rhinolophus hipposideros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1304</w:t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/>
              <w:t>Grand rhinolophe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Rhinolophus ferrumequinum</w:t>
            </w:r>
          </w:p>
        </w:tc>
      </w:tr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Plantes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Aucune espèce mentionnée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nudetableau"/>
              <w:spacing w:before="0" w:after="283"/>
              <w:rPr>
                <w:u w:val="single"/>
              </w:rPr>
            </w:pPr>
            <w:r>
              <w:rPr/>
            </w:r>
          </w:p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Poissons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Aucune espèce mentionnée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46" w:type="dxa"/>
            <w:gridSpan w:val="4"/>
            <w:tcBorders/>
            <w:shd w:fill="auto" w:val="clear"/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u w:val="single"/>
              </w:rPr>
              <w:t>Reptiles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7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03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/>
            </w:pPr>
            <w:r>
              <w:rPr>
                <w:i/>
              </w:rPr>
              <w:t>Aucune espèce mentionnée</w:t>
            </w:r>
          </w:p>
        </w:tc>
        <w:tc>
          <w:tcPr>
            <w:tcW w:w="2902" w:type="dxa"/>
            <w:tcBorders/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detableau"/>
              <w:spacing w:before="0" w:after="28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Corpsdetexte"/>
        <w:rPr/>
      </w:pPr>
      <w:r>
        <w:rPr/>
        <w:t> </w:t>
      </w:r>
    </w:p>
    <w:p>
      <w:pPr>
        <w:pStyle w:val="Corpsdetexte"/>
        <w:rPr/>
      </w:pPr>
      <w:r>
        <w:rPr/>
        <w:br/>
        <w:br/>
      </w:r>
    </w:p>
    <w:p>
      <w:pPr>
        <w:pStyle w:val="Corpsdetexte"/>
        <w:spacing w:before="0" w:after="0"/>
        <w:ind w:left="0" w:right="0" w:hanging="0"/>
        <w:rPr/>
      </w:pPr>
      <w:r>
        <w:rPr/>
        <w:t xml:space="preserve">Fait le </w:t>
      </w:r>
    </w:p>
    <w:p>
      <w:pPr>
        <w:pStyle w:val="Corpsdetexte"/>
        <w:rPr/>
      </w:pPr>
      <w:r>
        <w:rPr/>
        <w:br/>
        <w:br/>
      </w:r>
    </w:p>
    <w:p>
      <w:pPr>
        <w:pStyle w:val="Corpsdetexte"/>
        <w:spacing w:lineRule="auto" w:line="240" w:before="0" w:after="0"/>
        <w:rPr/>
      </w:pPr>
      <w:r>
        <w:rPr/>
        <w:t xml:space="preserve">Le ministère d’État, ministère de la transition </w:t>
      </w:r>
    </w:p>
    <w:p>
      <w:pPr>
        <w:pStyle w:val="Corpsdetexte"/>
        <w:spacing w:lineRule="auto" w:line="240" w:before="0" w:after="55"/>
        <w:rPr/>
      </w:pPr>
      <w:r>
        <w:rPr/>
        <w:t>écologique et solidaire,</w:t>
      </w:r>
    </w:p>
    <w:p>
      <w:pPr>
        <w:pStyle w:val="Corpsdetexte"/>
        <w:spacing w:lineRule="auto" w:line="240" w:before="0" w:after="0"/>
        <w:rPr/>
      </w:pPr>
      <w:r>
        <w:rPr/>
        <w:t xml:space="preserve">Pour le ministre et par délégation : </w:t>
      </w:r>
    </w:p>
    <w:p>
      <w:pPr>
        <w:pStyle w:val="Corpsdetexte"/>
        <w:spacing w:lineRule="auto" w:line="240"/>
        <w:rPr/>
      </w:pPr>
      <w:r>
        <w:rPr/>
        <w:t>Le directeur de l’eau et de la biodiversité,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before="0" w:after="283"/>
        <w:ind w:left="0" w:right="0" w:hanging="0"/>
        <w:rPr/>
      </w:pPr>
      <w:r>
        <w:rPr/>
        <w:t xml:space="preserve">Thierry VATIN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swiss"/>
    <w:pitch w:val="variable"/>
  </w:font>
  <w:font w:name="Albany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1">
    <w:name w:val="Titre 1"/>
    <w:basedOn w:val="Titre"/>
    <w:pPr/>
    <w:rPr>
      <w:rFonts w:ascii="Thorndale" w:hAnsi="Thorndale"/>
      <w:b/>
      <w:bCs/>
      <w:sz w:val="48"/>
      <w:szCs w:val="44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LienInternet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Corps de texte"/>
    <w:basedOn w:val="Normal"/>
    <w:pPr>
      <w:spacing w:before="0" w:after="283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gnehorizontale">
    <w:name w:val="Ligne horizontale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xpditeur">
    <w:name w:val="Expéditeur"/>
    <w:basedOn w:val="Normal"/>
    <w:pPr/>
    <w:rPr>
      <w:i/>
    </w:rPr>
  </w:style>
  <w:style w:type="paragraph" w:styleId="Contenudetableau">
    <w:name w:val="Contenu de tableau"/>
    <w:basedOn w:val="Corpsdetexte"/>
    <w:qFormat/>
    <w:pPr/>
    <w:rPr/>
  </w:style>
  <w:style w:type="paragraph" w:styleId="Pieddepage">
    <w:name w:val="Pied de page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Entte">
    <w:name w:val="En-tête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Application>LibreOffice/5.0.6.3.0$Windows_x86 LibreOffice_project/fe46e5b82646505d0acf84e14cef05527e401d3b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cp:lastModifiedBy>Ouahiba Gillet</cp:lastModifiedBy>
  <dcterms:modified xsi:type="dcterms:W3CDTF">2018-07-05T16:21:12Z</dcterms:modified>
  <cp:revision>3</cp:revision>
</cp:coreProperties>
</file>