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ED34" w14:textId="77777777" w:rsidR="00F61CC7" w:rsidRPr="00F61CC7" w:rsidRDefault="00F61CC7" w:rsidP="00A915DA">
      <w:pPr>
        <w:widowControl/>
        <w:autoSpaceDE/>
        <w:spacing w:before="0" w:after="0" w:line="276" w:lineRule="auto"/>
        <w:jc w:val="center"/>
        <w:rPr>
          <w:rFonts w:ascii="Times New Roman" w:hAnsi="Times New Roman" w:cs="Times New Roman"/>
          <w:sz w:val="36"/>
        </w:rPr>
      </w:pPr>
      <w:r w:rsidRPr="00F61CC7">
        <w:rPr>
          <w:rFonts w:ascii="Times New Roman" w:hAnsi="Times New Roman" w:cs="Times New Roman"/>
          <w:sz w:val="36"/>
        </w:rPr>
        <w:t>Note de présentation à destination du public</w:t>
      </w:r>
    </w:p>
    <w:p w14:paraId="7CC395DD" w14:textId="77777777" w:rsidR="00F61CC7" w:rsidRPr="00F61CC7" w:rsidRDefault="00F61CC7" w:rsidP="00A915DA">
      <w:pPr>
        <w:widowControl/>
        <w:autoSpaceDE/>
        <w:spacing w:before="0"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9288283" w14:textId="77777777" w:rsidR="00F61CC7" w:rsidRDefault="00F61CC7" w:rsidP="00A915DA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311C9B0" w14:textId="759B12AE" w:rsidR="001C4FB8" w:rsidRPr="001C4FB8" w:rsidRDefault="001C4FB8" w:rsidP="00A915DA">
      <w:pPr>
        <w:pStyle w:val="NormalWeb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C4FB8">
        <w:rPr>
          <w:rFonts w:ascii="Arial" w:hAnsi="Arial" w:cs="Arial"/>
          <w:b/>
          <w:bCs/>
          <w:sz w:val="22"/>
          <w:szCs w:val="22"/>
        </w:rPr>
        <w:t xml:space="preserve">Descriptif rapide : </w:t>
      </w:r>
    </w:p>
    <w:p w14:paraId="47F5B60A" w14:textId="18F89A04" w:rsidR="000E3594" w:rsidRDefault="001C4FB8" w:rsidP="00A915DA">
      <w:pPr>
        <w:widowControl/>
        <w:autoSpaceDE/>
        <w:spacing w:before="0" w:after="60" w:line="276" w:lineRule="auto"/>
        <w:jc w:val="both"/>
        <w:rPr>
          <w:szCs w:val="22"/>
        </w:rPr>
      </w:pPr>
      <w:r w:rsidRPr="001C4FB8">
        <w:rPr>
          <w:szCs w:val="22"/>
        </w:rPr>
        <w:t xml:space="preserve">Ce projet d’arrêté ministériel </w:t>
      </w:r>
      <w:r w:rsidR="001423E9">
        <w:rPr>
          <w:szCs w:val="22"/>
        </w:rPr>
        <w:t xml:space="preserve">vise à </w:t>
      </w:r>
      <w:r w:rsidRPr="001C4FB8">
        <w:rPr>
          <w:szCs w:val="22"/>
        </w:rPr>
        <w:t>accorde</w:t>
      </w:r>
      <w:r w:rsidR="001423E9">
        <w:rPr>
          <w:szCs w:val="22"/>
        </w:rPr>
        <w:t>r</w:t>
      </w:r>
      <w:r w:rsidRPr="001C4FB8">
        <w:rPr>
          <w:szCs w:val="22"/>
        </w:rPr>
        <w:t xml:space="preserve"> une dérogation à l’interdiction d’addition de radionucléides, énoncée à </w:t>
      </w:r>
      <w:hyperlink r:id="rId4" w:history="1">
        <w:r w:rsidRPr="001423E9">
          <w:rPr>
            <w:rStyle w:val="Lienhypertexte"/>
            <w:szCs w:val="22"/>
          </w:rPr>
          <w:t>l’article R. 1333-2 du code de la santé publique</w:t>
        </w:r>
      </w:hyperlink>
      <w:r w:rsidRPr="001C4FB8">
        <w:rPr>
          <w:szCs w:val="22"/>
        </w:rPr>
        <w:t>.</w:t>
      </w:r>
    </w:p>
    <w:p w14:paraId="2CF0115D" w14:textId="26D57827" w:rsidR="00742ADC" w:rsidRDefault="001423E9" w:rsidP="00A915DA">
      <w:pPr>
        <w:widowControl/>
        <w:autoSpaceDE/>
        <w:spacing w:before="0" w:after="60" w:line="276" w:lineRule="auto"/>
        <w:jc w:val="both"/>
        <w:rPr>
          <w:szCs w:val="22"/>
        </w:rPr>
      </w:pPr>
      <w:r w:rsidRPr="00742ADC">
        <w:rPr>
          <w:szCs w:val="22"/>
        </w:rPr>
        <w:t>L’article R. 1333-2 du code de la santé publique</w:t>
      </w:r>
      <w:r w:rsidRPr="00742ADC" w:rsidDel="001423E9">
        <w:rPr>
          <w:szCs w:val="22"/>
        </w:rPr>
        <w:t xml:space="preserve"> </w:t>
      </w:r>
      <w:r w:rsidR="001C4FB8" w:rsidRPr="00742ADC">
        <w:rPr>
          <w:szCs w:val="22"/>
        </w:rPr>
        <w:t>interdit</w:t>
      </w:r>
      <w:r w:rsidRPr="00742ADC">
        <w:rPr>
          <w:szCs w:val="22"/>
        </w:rPr>
        <w:t>,</w:t>
      </w:r>
      <w:r w:rsidR="001C4FB8" w:rsidRPr="00742ADC">
        <w:rPr>
          <w:szCs w:val="22"/>
        </w:rPr>
        <w:t xml:space="preserve"> dans la fabrication de biens de consommation</w:t>
      </w:r>
      <w:r w:rsidRPr="00742ADC">
        <w:rPr>
          <w:szCs w:val="22"/>
        </w:rPr>
        <w:t>,</w:t>
      </w:r>
      <w:r w:rsidR="001C4FB8" w:rsidRPr="00742ADC">
        <w:rPr>
          <w:szCs w:val="22"/>
        </w:rPr>
        <w:t xml:space="preserve"> tout ajout de radionucléides, en plus de ceux naturellement présents.</w:t>
      </w:r>
      <w:r w:rsidR="00EA7647" w:rsidRPr="00A915DA">
        <w:rPr>
          <w:color w:val="000000"/>
          <w:szCs w:val="22"/>
          <w:shd w:val="clear" w:color="auto" w:fill="FFFFFF"/>
        </w:rPr>
        <w:t xml:space="preserve"> </w:t>
      </w:r>
      <w:r w:rsidR="00742ADC" w:rsidRPr="00742ADC">
        <w:rPr>
          <w:color w:val="000000"/>
          <w:szCs w:val="22"/>
          <w:shd w:val="clear" w:color="auto" w:fill="FFFFFF"/>
        </w:rPr>
        <w:t>Conformément au principe de justification prévu aux ar</w:t>
      </w:r>
      <w:r w:rsidR="00742ADC">
        <w:rPr>
          <w:color w:val="000000"/>
          <w:szCs w:val="22"/>
          <w:shd w:val="clear" w:color="auto" w:fill="FFFFFF"/>
        </w:rPr>
        <w:t xml:space="preserve">ticles </w:t>
      </w:r>
      <w:hyperlink r:id="rId5" w:anchor="LEGISCTA000032044833" w:history="1">
        <w:r w:rsidR="00742ADC" w:rsidRPr="00742ADC">
          <w:rPr>
            <w:rStyle w:val="Lienhypertexte"/>
            <w:szCs w:val="22"/>
            <w:shd w:val="clear" w:color="auto" w:fill="FFFFFF"/>
          </w:rPr>
          <w:t>L.1333-3 et L.1333-4 du code de la santé publique</w:t>
        </w:r>
      </w:hyperlink>
      <w:r w:rsidR="00742ADC" w:rsidRPr="00742ADC">
        <w:rPr>
          <w:color w:val="000000"/>
          <w:szCs w:val="22"/>
          <w:shd w:val="clear" w:color="auto" w:fill="FFFFFF"/>
        </w:rPr>
        <w:t xml:space="preserve">, certains procédés exposant des personnes aux rayonnements ionisants peuvent être réglementés ou interdits par voie réglementaire lorsqu’ils présentent peu d’avantages ou lorsque leurs effets nocifs sont jugés trop </w:t>
      </w:r>
      <w:r w:rsidR="00742ADC">
        <w:rPr>
          <w:szCs w:val="22"/>
        </w:rPr>
        <w:t>i</w:t>
      </w:r>
      <w:r w:rsidR="00742ADC" w:rsidRPr="00742ADC">
        <w:rPr>
          <w:color w:val="000000"/>
          <w:szCs w:val="22"/>
          <w:shd w:val="clear" w:color="auto" w:fill="FFFFFF"/>
        </w:rPr>
        <w:t>mportants</w:t>
      </w:r>
      <w:r w:rsidR="00742ADC">
        <w:rPr>
          <w:color w:val="000000"/>
          <w:szCs w:val="22"/>
          <w:shd w:val="clear" w:color="auto" w:fill="FFFFFF"/>
        </w:rPr>
        <w:t>.</w:t>
      </w:r>
      <w:r w:rsidR="00742ADC" w:rsidRPr="001C4FB8">
        <w:rPr>
          <w:szCs w:val="22"/>
        </w:rPr>
        <w:t xml:space="preserve"> </w:t>
      </w:r>
    </w:p>
    <w:p w14:paraId="66D9CF7B" w14:textId="1A93A365" w:rsidR="001C4FB8" w:rsidRDefault="00742ADC" w:rsidP="00A915DA">
      <w:pPr>
        <w:widowControl/>
        <w:autoSpaceDE/>
        <w:spacing w:before="0" w:after="60" w:line="276" w:lineRule="auto"/>
        <w:jc w:val="both"/>
        <w:rPr>
          <w:szCs w:val="22"/>
        </w:rPr>
      </w:pPr>
      <w:r w:rsidRPr="001C4FB8">
        <w:rPr>
          <w:szCs w:val="22"/>
        </w:rPr>
        <w:t>Toutefois</w:t>
      </w:r>
      <w:r w:rsidR="001C4FB8" w:rsidRPr="001C4FB8">
        <w:rPr>
          <w:szCs w:val="22"/>
        </w:rPr>
        <w:t xml:space="preserve">, </w:t>
      </w:r>
      <w:hyperlink r:id="rId6" w:history="1">
        <w:r w:rsidR="001C4FB8" w:rsidRPr="00C467FF">
          <w:rPr>
            <w:rStyle w:val="Lienhypertexte"/>
            <w:szCs w:val="22"/>
          </w:rPr>
          <w:t>l’article R. 1333-4</w:t>
        </w:r>
        <w:r w:rsidR="001423E9" w:rsidRPr="00C467FF">
          <w:rPr>
            <w:rStyle w:val="Lienhypertexte"/>
            <w:szCs w:val="22"/>
          </w:rPr>
          <w:t xml:space="preserve"> du même code</w:t>
        </w:r>
      </w:hyperlink>
      <w:r w:rsidR="001C4FB8" w:rsidRPr="001C4FB8">
        <w:rPr>
          <w:szCs w:val="22"/>
        </w:rPr>
        <w:t xml:space="preserve"> prévoit qu</w:t>
      </w:r>
      <w:r w:rsidR="001C4FB8">
        <w:rPr>
          <w:szCs w:val="22"/>
        </w:rPr>
        <w:t>e</w:t>
      </w:r>
      <w:r w:rsidR="001C4FB8" w:rsidRPr="001C4FB8">
        <w:rPr>
          <w:szCs w:val="22"/>
        </w:rPr>
        <w:t xml:space="preserve"> des dérogations aux interdictions d'addition de radionucléides peuvent, si elles sont justifiées par les avantages qu'elles procurent au regard des risques sanitaires qu'elles peuvent présenter, être accordées par arrêté</w:t>
      </w:r>
      <w:r w:rsidR="001C4FB8">
        <w:rPr>
          <w:szCs w:val="22"/>
        </w:rPr>
        <w:t xml:space="preserve"> des ministres compétents</w:t>
      </w:r>
      <w:r w:rsidR="001C4FB8" w:rsidRPr="001C4FB8">
        <w:rPr>
          <w:szCs w:val="22"/>
        </w:rPr>
        <w:t>.</w:t>
      </w:r>
    </w:p>
    <w:p w14:paraId="5863D411" w14:textId="77777777" w:rsidR="00B46BFE" w:rsidRDefault="00B46BFE" w:rsidP="00A915DA">
      <w:pPr>
        <w:widowControl/>
        <w:autoSpaceDE/>
        <w:spacing w:before="0" w:after="60" w:line="276" w:lineRule="auto"/>
        <w:jc w:val="both"/>
        <w:rPr>
          <w:szCs w:val="22"/>
        </w:rPr>
      </w:pPr>
    </w:p>
    <w:p w14:paraId="072F2BC4" w14:textId="77777777" w:rsidR="001C4FB8" w:rsidRPr="001C4FB8" w:rsidRDefault="001C4FB8" w:rsidP="00A915DA">
      <w:pPr>
        <w:spacing w:line="276" w:lineRule="auto"/>
        <w:jc w:val="both"/>
        <w:rPr>
          <w:b/>
          <w:bCs/>
          <w:szCs w:val="22"/>
        </w:rPr>
      </w:pPr>
      <w:r w:rsidRPr="001C4FB8">
        <w:rPr>
          <w:b/>
          <w:bCs/>
          <w:szCs w:val="22"/>
        </w:rPr>
        <w:t>Les objectifs :</w:t>
      </w:r>
    </w:p>
    <w:p w14:paraId="37AEB0A1" w14:textId="158D53F5" w:rsidR="001C4FB8" w:rsidRDefault="00117EF8" w:rsidP="00A915DA">
      <w:pPr>
        <w:widowControl/>
        <w:autoSpaceDE/>
        <w:spacing w:before="0" w:after="60" w:line="276" w:lineRule="auto"/>
        <w:jc w:val="both"/>
        <w:rPr>
          <w:szCs w:val="22"/>
        </w:rPr>
      </w:pPr>
      <w:r w:rsidRPr="00117EF8">
        <w:rPr>
          <w:szCs w:val="22"/>
        </w:rPr>
        <w:t xml:space="preserve">Les études ont montré que l’utilisation de substances radioactives dans les lampes à décharge </w:t>
      </w:r>
      <w:proofErr w:type="gramStart"/>
      <w:r w:rsidRPr="00117EF8">
        <w:rPr>
          <w:szCs w:val="22"/>
        </w:rPr>
        <w:t>présente</w:t>
      </w:r>
      <w:proofErr w:type="gramEnd"/>
      <w:r w:rsidRPr="00117EF8">
        <w:rPr>
          <w:szCs w:val="22"/>
        </w:rPr>
        <w:t xml:space="preserve"> un risque </w:t>
      </w:r>
      <w:r w:rsidR="00286928">
        <w:rPr>
          <w:szCs w:val="22"/>
        </w:rPr>
        <w:t xml:space="preserve">négligeable </w:t>
      </w:r>
      <w:r w:rsidRPr="00117EF8">
        <w:rPr>
          <w:szCs w:val="22"/>
        </w:rPr>
        <w:t>pour la santé.</w:t>
      </w:r>
      <w:r>
        <w:rPr>
          <w:szCs w:val="22"/>
        </w:rPr>
        <w:t xml:space="preserve"> Aussi,</w:t>
      </w:r>
      <w:r w:rsidR="00286928">
        <w:rPr>
          <w:szCs w:val="22"/>
        </w:rPr>
        <w:t xml:space="preserve"> l</w:t>
      </w:r>
      <w:r w:rsidR="001C4FB8" w:rsidRPr="001C4FB8">
        <w:rPr>
          <w:szCs w:val="22"/>
        </w:rPr>
        <w:t>’objectif</w:t>
      </w:r>
      <w:r w:rsidR="00C467FF">
        <w:rPr>
          <w:szCs w:val="22"/>
        </w:rPr>
        <w:t xml:space="preserve"> du présent projet d’arrêté</w:t>
      </w:r>
      <w:r w:rsidR="001C4FB8" w:rsidRPr="001C4FB8">
        <w:rPr>
          <w:szCs w:val="22"/>
        </w:rPr>
        <w:t xml:space="preserve"> est d</w:t>
      </w:r>
      <w:r w:rsidR="000E3594">
        <w:rPr>
          <w:szCs w:val="22"/>
        </w:rPr>
        <w:t>e renouveler l’autorisation de</w:t>
      </w:r>
      <w:r w:rsidR="001C4FB8" w:rsidRPr="001C4FB8">
        <w:rPr>
          <w:szCs w:val="22"/>
        </w:rPr>
        <w:t xml:space="preserve"> mise sur le marché en France de lampes à décharge contenant des substances radioactives. Les lampes à décharge </w:t>
      </w:r>
      <w:r w:rsidR="00C467FF">
        <w:rPr>
          <w:szCs w:val="22"/>
        </w:rPr>
        <w:t xml:space="preserve">sont des lampes à </w:t>
      </w:r>
      <w:r w:rsidR="001C4FB8" w:rsidRPr="001C4FB8">
        <w:rPr>
          <w:szCs w:val="22"/>
        </w:rPr>
        <w:t>très haute intensité lumineuse, principalement utilisées dans les phares automobiles (lampes au xénon)</w:t>
      </w:r>
      <w:r w:rsidR="007650F1">
        <w:rPr>
          <w:szCs w:val="22"/>
        </w:rPr>
        <w:t>, dans</w:t>
      </w:r>
      <w:r w:rsidR="001C4FB8" w:rsidRPr="001C4FB8">
        <w:rPr>
          <w:szCs w:val="22"/>
        </w:rPr>
        <w:t xml:space="preserve"> l’éclairage de </w:t>
      </w:r>
      <w:r w:rsidR="007650F1">
        <w:rPr>
          <w:szCs w:val="22"/>
        </w:rPr>
        <w:t xml:space="preserve">bâtiments </w:t>
      </w:r>
      <w:r w:rsidR="001C4FB8" w:rsidRPr="001C4FB8">
        <w:rPr>
          <w:szCs w:val="22"/>
        </w:rPr>
        <w:t>commerc</w:t>
      </w:r>
      <w:r w:rsidR="007650F1">
        <w:rPr>
          <w:szCs w:val="22"/>
        </w:rPr>
        <w:t>iaux, i</w:t>
      </w:r>
      <w:r w:rsidR="001C4FB8" w:rsidRPr="001C4FB8">
        <w:rPr>
          <w:szCs w:val="22"/>
        </w:rPr>
        <w:t>ndustrie</w:t>
      </w:r>
      <w:r w:rsidR="007650F1">
        <w:rPr>
          <w:szCs w:val="22"/>
        </w:rPr>
        <w:t>l</w:t>
      </w:r>
      <w:r w:rsidR="001C4FB8" w:rsidRPr="001C4FB8">
        <w:rPr>
          <w:szCs w:val="22"/>
        </w:rPr>
        <w:t>s</w:t>
      </w:r>
      <w:r w:rsidR="007650F1">
        <w:rPr>
          <w:szCs w:val="22"/>
        </w:rPr>
        <w:t xml:space="preserve"> ou</w:t>
      </w:r>
      <w:r w:rsidR="001C4FB8" w:rsidRPr="001C4FB8">
        <w:rPr>
          <w:szCs w:val="22"/>
        </w:rPr>
        <w:t xml:space="preserve"> publics, d’espaces extérieurs (panneaux publicitaires, monuments, stades), d</w:t>
      </w:r>
      <w:r w:rsidR="007650F1">
        <w:rPr>
          <w:szCs w:val="22"/>
        </w:rPr>
        <w:t>e projections s</w:t>
      </w:r>
      <w:r w:rsidR="001C4FB8" w:rsidRPr="001C4FB8">
        <w:rPr>
          <w:szCs w:val="22"/>
        </w:rPr>
        <w:t>c</w:t>
      </w:r>
      <w:r w:rsidR="007650F1">
        <w:rPr>
          <w:szCs w:val="22"/>
        </w:rPr>
        <w:t>éniques</w:t>
      </w:r>
      <w:r w:rsidR="001C4FB8" w:rsidRPr="001C4FB8">
        <w:rPr>
          <w:szCs w:val="22"/>
        </w:rPr>
        <w:t xml:space="preserve"> </w:t>
      </w:r>
      <w:r w:rsidR="007650F1">
        <w:rPr>
          <w:szCs w:val="22"/>
        </w:rPr>
        <w:t>et</w:t>
      </w:r>
      <w:r w:rsidR="001C4FB8" w:rsidRPr="001C4FB8">
        <w:rPr>
          <w:szCs w:val="22"/>
        </w:rPr>
        <w:t xml:space="preserve"> dans certaines applications industrielles (reprographie, lithographie).</w:t>
      </w:r>
    </w:p>
    <w:p w14:paraId="23821098" w14:textId="77777777" w:rsidR="001C4FB8" w:rsidRPr="001C4FB8" w:rsidRDefault="001C4FB8" w:rsidP="00A915DA">
      <w:pPr>
        <w:spacing w:line="276" w:lineRule="auto"/>
        <w:jc w:val="both"/>
        <w:rPr>
          <w:szCs w:val="22"/>
        </w:rPr>
      </w:pPr>
    </w:p>
    <w:p w14:paraId="56902AC6" w14:textId="77777777" w:rsidR="001C4FB8" w:rsidRPr="001C4FB8" w:rsidRDefault="001C4FB8" w:rsidP="00A915DA">
      <w:pPr>
        <w:spacing w:line="276" w:lineRule="auto"/>
        <w:jc w:val="both"/>
        <w:rPr>
          <w:szCs w:val="22"/>
        </w:rPr>
      </w:pPr>
      <w:r w:rsidRPr="001C4FB8">
        <w:rPr>
          <w:b/>
          <w:bCs/>
          <w:szCs w:val="22"/>
        </w:rPr>
        <w:t>Les dispositions</w:t>
      </w:r>
      <w:r w:rsidRPr="001C4FB8">
        <w:rPr>
          <w:szCs w:val="22"/>
        </w:rPr>
        <w:t> :</w:t>
      </w:r>
    </w:p>
    <w:p w14:paraId="1A096337" w14:textId="50115D86" w:rsidR="007650F1" w:rsidRDefault="00C467FF" w:rsidP="00A915DA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Le présent arrêté reprend l’ensemble des dispositions du </w:t>
      </w:r>
      <w:r w:rsidR="00114B32">
        <w:rPr>
          <w:szCs w:val="22"/>
        </w:rPr>
        <w:t xml:space="preserve">précédent </w:t>
      </w:r>
      <w:r w:rsidR="007650F1">
        <w:rPr>
          <w:szCs w:val="22"/>
        </w:rPr>
        <w:t>arrêté</w:t>
      </w:r>
      <w:r w:rsidR="00114B32">
        <w:rPr>
          <w:szCs w:val="22"/>
        </w:rPr>
        <w:t xml:space="preserve"> de dérogation</w:t>
      </w:r>
      <w:r>
        <w:rPr>
          <w:szCs w:val="22"/>
        </w:rPr>
        <w:t>, à l’exception de l’article 4, lequel a été modifié</w:t>
      </w:r>
      <w:r w:rsidR="00114B32">
        <w:rPr>
          <w:szCs w:val="22"/>
        </w:rPr>
        <w:t xml:space="preserve">. </w:t>
      </w:r>
      <w:r>
        <w:rPr>
          <w:szCs w:val="22"/>
        </w:rPr>
        <w:t xml:space="preserve">Cet article </w:t>
      </w:r>
      <w:r w:rsidR="00114B32">
        <w:rPr>
          <w:szCs w:val="22"/>
        </w:rPr>
        <w:t xml:space="preserve">impose un bilan </w:t>
      </w:r>
      <w:r w:rsidR="00114B32" w:rsidRPr="00114B32">
        <w:rPr>
          <w:szCs w:val="22"/>
        </w:rPr>
        <w:t>de l’utilisation des lampes à décharges pour l’éclairage public et pour l'éclairage automobile</w:t>
      </w:r>
      <w:r w:rsidR="00114B32">
        <w:rPr>
          <w:szCs w:val="22"/>
        </w:rPr>
        <w:t xml:space="preserve">, </w:t>
      </w:r>
      <w:r w:rsidR="00114B32" w:rsidRPr="00114B32">
        <w:rPr>
          <w:szCs w:val="22"/>
        </w:rPr>
        <w:t>au plus tard deux ans après la publication d</w:t>
      </w:r>
      <w:r>
        <w:rPr>
          <w:szCs w:val="22"/>
        </w:rPr>
        <w:t xml:space="preserve">u présent </w:t>
      </w:r>
      <w:r w:rsidR="00114B32" w:rsidRPr="00114B32">
        <w:rPr>
          <w:szCs w:val="22"/>
        </w:rPr>
        <w:t>arrêté</w:t>
      </w:r>
      <w:r w:rsidR="00114B32">
        <w:rPr>
          <w:szCs w:val="22"/>
        </w:rPr>
        <w:t xml:space="preserve">. Il </w:t>
      </w:r>
      <w:r>
        <w:rPr>
          <w:szCs w:val="22"/>
        </w:rPr>
        <w:t xml:space="preserve">doit ainsi </w:t>
      </w:r>
      <w:r w:rsidR="00114B32">
        <w:rPr>
          <w:szCs w:val="22"/>
        </w:rPr>
        <w:t>permettre d’évaluer plus précisément l’avancement du processus de remplacement de ces lampes à décharge par d’autres technologies, afin de cibler les éventuels besoins d’accompagnement.</w:t>
      </w:r>
    </w:p>
    <w:p w14:paraId="56A53278" w14:textId="77777777" w:rsidR="00C467FF" w:rsidRDefault="00C467FF" w:rsidP="00A915DA">
      <w:pPr>
        <w:spacing w:line="276" w:lineRule="auto"/>
        <w:jc w:val="both"/>
        <w:rPr>
          <w:szCs w:val="22"/>
        </w:rPr>
      </w:pPr>
    </w:p>
    <w:p w14:paraId="2F03F4A6" w14:textId="77777777" w:rsidR="00C467FF" w:rsidRPr="001C4FB8" w:rsidRDefault="00C467FF" w:rsidP="00A915DA">
      <w:pPr>
        <w:spacing w:line="276" w:lineRule="auto"/>
        <w:jc w:val="both"/>
        <w:rPr>
          <w:b/>
          <w:bCs/>
          <w:szCs w:val="22"/>
        </w:rPr>
      </w:pPr>
      <w:r w:rsidRPr="001C4FB8">
        <w:rPr>
          <w:b/>
          <w:bCs/>
          <w:szCs w:val="22"/>
        </w:rPr>
        <w:t>Le</w:t>
      </w:r>
      <w:r>
        <w:rPr>
          <w:b/>
          <w:bCs/>
          <w:szCs w:val="22"/>
        </w:rPr>
        <w:t xml:space="preserve">s consultations </w:t>
      </w:r>
      <w:r w:rsidRPr="001C4FB8">
        <w:rPr>
          <w:b/>
          <w:bCs/>
          <w:szCs w:val="22"/>
        </w:rPr>
        <w:t>:</w:t>
      </w:r>
    </w:p>
    <w:p w14:paraId="45CD6304" w14:textId="407C8623" w:rsidR="00C467FF" w:rsidRPr="001C4FB8" w:rsidRDefault="00C467FF" w:rsidP="00A915DA">
      <w:pPr>
        <w:widowControl/>
        <w:autoSpaceDE/>
        <w:spacing w:before="0" w:after="0" w:line="276" w:lineRule="auto"/>
        <w:jc w:val="both"/>
        <w:rPr>
          <w:szCs w:val="22"/>
        </w:rPr>
      </w:pPr>
      <w:r w:rsidRPr="001C4FB8">
        <w:rPr>
          <w:szCs w:val="22"/>
        </w:rPr>
        <w:t>Cette consultation est réalisée en application de l’article L. 131-1 du code des relations entre le public et l’administration</w:t>
      </w:r>
      <w:r>
        <w:rPr>
          <w:szCs w:val="22"/>
        </w:rPr>
        <w:t>, par l</w:t>
      </w:r>
      <w:r w:rsidRPr="001C4FB8">
        <w:rPr>
          <w:rStyle w:val="Policepardfaut1"/>
          <w:iCs/>
          <w:szCs w:val="22"/>
        </w:rPr>
        <w:t xml:space="preserve">a ministre de la </w:t>
      </w:r>
      <w:r w:rsidR="006C31CE">
        <w:rPr>
          <w:rStyle w:val="Policepardfaut1"/>
          <w:iCs/>
          <w:szCs w:val="22"/>
        </w:rPr>
        <w:t>S</w:t>
      </w:r>
      <w:r w:rsidRPr="001C4FB8">
        <w:rPr>
          <w:rStyle w:val="Policepardfaut1"/>
          <w:iCs/>
          <w:szCs w:val="22"/>
        </w:rPr>
        <w:t xml:space="preserve">anté, des familles, de l’autonomie et des personnes handicapées et le ministre des </w:t>
      </w:r>
      <w:r w:rsidR="006C31CE">
        <w:rPr>
          <w:rStyle w:val="Policepardfaut1"/>
          <w:iCs/>
          <w:szCs w:val="22"/>
        </w:rPr>
        <w:t>P</w:t>
      </w:r>
      <w:r w:rsidRPr="001C4FB8">
        <w:rPr>
          <w:rStyle w:val="Policepardfaut1"/>
          <w:iCs/>
          <w:szCs w:val="22"/>
        </w:rPr>
        <w:t>etites et moyennes entreprises, du commerce, de l'artisanat, du tourisme et du pouvoir d'achat</w:t>
      </w:r>
      <w:r>
        <w:rPr>
          <w:rStyle w:val="Policepardfaut1"/>
          <w:iCs/>
          <w:szCs w:val="22"/>
        </w:rPr>
        <w:t>.</w:t>
      </w:r>
    </w:p>
    <w:p w14:paraId="735C6635" w14:textId="22E95475" w:rsidR="00C467FF" w:rsidRPr="000E3594" w:rsidRDefault="00C467FF" w:rsidP="00A915DA">
      <w:pPr>
        <w:widowControl/>
        <w:autoSpaceDE/>
        <w:spacing w:before="0" w:after="0" w:line="276" w:lineRule="auto"/>
        <w:jc w:val="both"/>
        <w:rPr>
          <w:szCs w:val="22"/>
        </w:rPr>
      </w:pPr>
      <w:r w:rsidRPr="000E3594">
        <w:rPr>
          <w:szCs w:val="22"/>
        </w:rPr>
        <w:t>L'</w:t>
      </w:r>
      <w:r>
        <w:rPr>
          <w:szCs w:val="22"/>
        </w:rPr>
        <w:t>Autorité de sûreté nucléaire et de radioprotection (</w:t>
      </w:r>
      <w:r w:rsidRPr="000E3594">
        <w:rPr>
          <w:szCs w:val="22"/>
        </w:rPr>
        <w:t>ASNR</w:t>
      </w:r>
      <w:r>
        <w:rPr>
          <w:szCs w:val="22"/>
        </w:rPr>
        <w:t>)</w:t>
      </w:r>
      <w:r w:rsidRPr="000E3594">
        <w:rPr>
          <w:szCs w:val="22"/>
        </w:rPr>
        <w:t xml:space="preserve"> a confirmé son avis favorable du 25 novembre 2019</w:t>
      </w:r>
      <w:r>
        <w:rPr>
          <w:szCs w:val="22"/>
        </w:rPr>
        <w:t xml:space="preserve"> concernant la précédente demande de dérogation des fabricants de lampes</w:t>
      </w:r>
      <w:r w:rsidRPr="000E3594">
        <w:rPr>
          <w:szCs w:val="22"/>
        </w:rPr>
        <w:t xml:space="preserve"> est toujours valable</w:t>
      </w:r>
      <w:r>
        <w:rPr>
          <w:szCs w:val="22"/>
        </w:rPr>
        <w:t>.</w:t>
      </w:r>
    </w:p>
    <w:p w14:paraId="3AC9E801" w14:textId="60EC8C07" w:rsidR="00C467FF" w:rsidRPr="001C4FB8" w:rsidRDefault="00C467FF" w:rsidP="00A915DA">
      <w:pPr>
        <w:widowControl/>
        <w:autoSpaceDE/>
        <w:spacing w:before="0" w:after="0" w:line="276" w:lineRule="auto"/>
        <w:jc w:val="both"/>
        <w:rPr>
          <w:szCs w:val="22"/>
        </w:rPr>
      </w:pPr>
      <w:r>
        <w:rPr>
          <w:szCs w:val="22"/>
        </w:rPr>
        <w:lastRenderedPageBreak/>
        <w:t>L</w:t>
      </w:r>
      <w:r w:rsidRPr="000E3594">
        <w:rPr>
          <w:szCs w:val="22"/>
        </w:rPr>
        <w:t xml:space="preserve">e </w:t>
      </w:r>
      <w:r>
        <w:rPr>
          <w:szCs w:val="22"/>
        </w:rPr>
        <w:t>Haut conseil de la santé publique (</w:t>
      </w:r>
      <w:r w:rsidRPr="000E3594">
        <w:rPr>
          <w:szCs w:val="22"/>
        </w:rPr>
        <w:t>HCSP</w:t>
      </w:r>
      <w:r>
        <w:rPr>
          <w:szCs w:val="22"/>
        </w:rPr>
        <w:t>)</w:t>
      </w:r>
      <w:r w:rsidRPr="000E3594">
        <w:rPr>
          <w:szCs w:val="22"/>
        </w:rPr>
        <w:t xml:space="preserve"> </w:t>
      </w:r>
      <w:r>
        <w:rPr>
          <w:szCs w:val="22"/>
        </w:rPr>
        <w:t xml:space="preserve">a </w:t>
      </w:r>
      <w:r w:rsidR="006C31CE">
        <w:rPr>
          <w:szCs w:val="22"/>
        </w:rPr>
        <w:t xml:space="preserve">également </w:t>
      </w:r>
      <w:r>
        <w:rPr>
          <w:szCs w:val="22"/>
        </w:rPr>
        <w:t>transmis</w:t>
      </w:r>
      <w:r w:rsidRPr="000E3594">
        <w:rPr>
          <w:szCs w:val="22"/>
        </w:rPr>
        <w:t xml:space="preserve"> un avis favorable à </w:t>
      </w:r>
      <w:r>
        <w:rPr>
          <w:szCs w:val="22"/>
        </w:rPr>
        <w:t xml:space="preserve">cette nouvelle </w:t>
      </w:r>
      <w:r w:rsidRPr="000E3594">
        <w:rPr>
          <w:szCs w:val="22"/>
        </w:rPr>
        <w:t xml:space="preserve">demande de dérogation, tout en formulant </w:t>
      </w:r>
      <w:r w:rsidR="00742ADC">
        <w:rPr>
          <w:szCs w:val="22"/>
        </w:rPr>
        <w:t>des</w:t>
      </w:r>
      <w:r w:rsidRPr="000E3594">
        <w:rPr>
          <w:szCs w:val="22"/>
        </w:rPr>
        <w:t xml:space="preserve"> recommandations</w:t>
      </w:r>
      <w:r w:rsidR="00742ADC">
        <w:rPr>
          <w:szCs w:val="22"/>
        </w:rPr>
        <w:t xml:space="preserve"> qui ont été reprise</w:t>
      </w:r>
      <w:r w:rsidR="00F874A8">
        <w:rPr>
          <w:szCs w:val="22"/>
        </w:rPr>
        <w:t>s</w:t>
      </w:r>
      <w:r w:rsidR="00742ADC">
        <w:rPr>
          <w:szCs w:val="22"/>
        </w:rPr>
        <w:t xml:space="preserve"> dans </w:t>
      </w:r>
      <w:r w:rsidRPr="000E3594">
        <w:rPr>
          <w:szCs w:val="22"/>
        </w:rPr>
        <w:t>la formulation du projet d’arrêté</w:t>
      </w:r>
      <w:r w:rsidR="00117EF8">
        <w:rPr>
          <w:szCs w:val="22"/>
        </w:rPr>
        <w:t xml:space="preserve"> qui est proposé</w:t>
      </w:r>
      <w:r w:rsidRPr="000E3594">
        <w:rPr>
          <w:szCs w:val="22"/>
        </w:rPr>
        <w:t>.</w:t>
      </w:r>
    </w:p>
    <w:p w14:paraId="3DC22615" w14:textId="77777777" w:rsidR="00C467FF" w:rsidRDefault="00C467FF" w:rsidP="00A915DA">
      <w:pPr>
        <w:spacing w:line="276" w:lineRule="auto"/>
        <w:jc w:val="both"/>
        <w:rPr>
          <w:szCs w:val="22"/>
        </w:rPr>
      </w:pPr>
    </w:p>
    <w:sectPr w:rsidR="00C46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B8"/>
    <w:rsid w:val="000546EE"/>
    <w:rsid w:val="000E3594"/>
    <w:rsid w:val="00114B32"/>
    <w:rsid w:val="00117EF8"/>
    <w:rsid w:val="001423E9"/>
    <w:rsid w:val="00160044"/>
    <w:rsid w:val="00163E07"/>
    <w:rsid w:val="001C4FB8"/>
    <w:rsid w:val="00286928"/>
    <w:rsid w:val="0068369D"/>
    <w:rsid w:val="006C31CE"/>
    <w:rsid w:val="00742ADC"/>
    <w:rsid w:val="007650F1"/>
    <w:rsid w:val="009B4CDE"/>
    <w:rsid w:val="00A35F63"/>
    <w:rsid w:val="00A915DA"/>
    <w:rsid w:val="00B46BFE"/>
    <w:rsid w:val="00C467FF"/>
    <w:rsid w:val="00CC6BDF"/>
    <w:rsid w:val="00EA7647"/>
    <w:rsid w:val="00F61CC7"/>
    <w:rsid w:val="00F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BB5E"/>
  <w15:chartTrackingRefBased/>
  <w15:docId w15:val="{0D829C1E-9222-4257-951A-CB6772B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B8"/>
    <w:pPr>
      <w:widowControl w:val="0"/>
      <w:suppressAutoHyphens/>
      <w:autoSpaceDE w:val="0"/>
      <w:spacing w:before="100" w:after="100" w:line="240" w:lineRule="auto"/>
    </w:pPr>
    <w:rPr>
      <w:rFonts w:ascii="Arial" w:eastAsia="Times New Roman" w:hAnsi="Arial" w:cs="Arial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1C4FB8"/>
  </w:style>
  <w:style w:type="paragraph" w:styleId="NormalWeb">
    <w:name w:val="Normal (Web)"/>
    <w:basedOn w:val="Normal"/>
    <w:uiPriority w:val="99"/>
    <w:rsid w:val="001C4FB8"/>
    <w:pPr>
      <w:widowControl/>
      <w:autoSpaceDE/>
    </w:pPr>
    <w:rPr>
      <w:rFonts w:ascii="Times New Roman" w:hAnsi="Times New Roman" w:cs="Times New Roman"/>
      <w:sz w:val="24"/>
    </w:rPr>
  </w:style>
  <w:style w:type="character" w:styleId="Accentuation">
    <w:name w:val="Emphasis"/>
    <w:uiPriority w:val="20"/>
    <w:qFormat/>
    <w:rsid w:val="001C4FB8"/>
    <w:rPr>
      <w:i/>
      <w:iCs/>
    </w:rPr>
  </w:style>
  <w:style w:type="character" w:styleId="Marquedecommentaire">
    <w:name w:val="annotation reference"/>
    <w:uiPriority w:val="99"/>
    <w:semiHidden/>
    <w:unhideWhenUsed/>
    <w:rsid w:val="001C4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4F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4FB8"/>
    <w:rPr>
      <w:rFonts w:ascii="Arial" w:eastAsia="Times New Roman" w:hAnsi="Arial" w:cs="Arial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50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50F1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1C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CC7"/>
    <w:rPr>
      <w:rFonts w:ascii="Segoe UI" w:eastAsia="Times New Roman" w:hAnsi="Segoe UI" w:cs="Segoe UI"/>
      <w:sz w:val="18"/>
      <w:szCs w:val="18"/>
      <w:lang w:eastAsia="zh-CN"/>
    </w:rPr>
  </w:style>
  <w:style w:type="paragraph" w:styleId="Rvision">
    <w:name w:val="Revision"/>
    <w:hidden/>
    <w:uiPriority w:val="99"/>
    <w:semiHidden/>
    <w:rsid w:val="001423E9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sid w:val="001423E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42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codes/article_lc/LEGIARTI000037016804/" TargetMode="External"/><Relationship Id="rId5" Type="http://schemas.openxmlformats.org/officeDocument/2006/relationships/hyperlink" Target="https://www.legifrance.gouv.fr/codes/section_lc/LEGITEXT000006072665/LEGISCTA000032010445/" TargetMode="External"/><Relationship Id="rId4" Type="http://schemas.openxmlformats.org/officeDocument/2006/relationships/hyperlink" Target="https://www.legifrance.gouv.fr/codes/article_lc/LEGIARTI000037016814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LEGRIS Alexandra</dc:creator>
  <cp:keywords/>
  <dc:description/>
  <cp:lastModifiedBy>EB</cp:lastModifiedBy>
  <cp:revision>5</cp:revision>
  <dcterms:created xsi:type="dcterms:W3CDTF">2025-11-25T16:19:00Z</dcterms:created>
  <dcterms:modified xsi:type="dcterms:W3CDTF">2025-11-26T09:22:00Z</dcterms:modified>
</cp:coreProperties>
</file>