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BA69" w14:textId="77777777" w:rsidR="00CD177B" w:rsidRDefault="00CD177B" w:rsidP="002F5BDB">
      <w:pPr>
        <w:pStyle w:val="NormalWeb"/>
        <w:jc w:val="center"/>
      </w:pPr>
      <w:r>
        <w:rPr>
          <w:b/>
          <w:bCs/>
          <w:sz w:val="36"/>
          <w:szCs w:val="36"/>
        </w:rPr>
        <w:t>Note de présentation à destination du public</w:t>
      </w:r>
    </w:p>
    <w:p w14:paraId="5C2A3A7D" w14:textId="77777777" w:rsidR="009722C2" w:rsidRDefault="009722C2" w:rsidP="002F5BDB">
      <w:pPr>
        <w:pStyle w:val="western"/>
        <w:jc w:val="center"/>
        <w:rPr>
          <w:b/>
          <w:bCs/>
          <w:i w:val="0"/>
          <w:iCs w:val="0"/>
          <w:sz w:val="30"/>
          <w:szCs w:val="30"/>
        </w:rPr>
      </w:pPr>
    </w:p>
    <w:p w14:paraId="5B12C046" w14:textId="77777777" w:rsidR="009722C2" w:rsidRDefault="009722C2" w:rsidP="009722C2">
      <w:pPr>
        <w:jc w:val="both"/>
        <w:rPr>
          <w:b/>
          <w:bCs/>
          <w:u w:val="single"/>
        </w:rPr>
      </w:pPr>
      <w:r w:rsidRPr="00753260">
        <w:rPr>
          <w:b/>
          <w:bCs/>
          <w:u w:val="single"/>
        </w:rPr>
        <w:t>Titre du texte</w:t>
      </w:r>
      <w:r>
        <w:rPr>
          <w:b/>
          <w:bCs/>
          <w:u w:val="single"/>
        </w:rPr>
        <w:t> :</w:t>
      </w:r>
    </w:p>
    <w:p w14:paraId="0564BFA9" w14:textId="1A887767" w:rsidR="009D76B1" w:rsidRDefault="002D190E" w:rsidP="00CD177B">
      <w:pPr>
        <w:pStyle w:val="western"/>
        <w:rPr>
          <w:rFonts w:eastAsiaTheme="minorHAnsi"/>
          <w:bCs/>
          <w:iCs w:val="0"/>
          <w:lang w:eastAsia="en-US"/>
        </w:rPr>
      </w:pPr>
      <w:r w:rsidRPr="002D190E">
        <w:rPr>
          <w:rFonts w:eastAsiaTheme="minorHAnsi"/>
          <w:bCs/>
          <w:iCs w:val="0"/>
          <w:lang w:eastAsia="en-US"/>
        </w:rPr>
        <w:t>Arrêté modifiant</w:t>
      </w:r>
      <w:r w:rsidR="003C15FC">
        <w:rPr>
          <w:rFonts w:eastAsiaTheme="minorHAnsi"/>
          <w:bCs/>
          <w:iCs w:val="0"/>
          <w:lang w:eastAsia="en-US"/>
        </w:rPr>
        <w:t xml:space="preserve"> l’arrêté du 4 octobre 2010</w:t>
      </w:r>
      <w:r w:rsidRPr="002D190E">
        <w:rPr>
          <w:rFonts w:eastAsiaTheme="minorHAnsi"/>
          <w:bCs/>
          <w:iCs w:val="0"/>
          <w:lang w:eastAsia="en-US"/>
        </w:rPr>
        <w:t xml:space="preserve"> </w:t>
      </w:r>
      <w:r w:rsidR="006F18EA" w:rsidRPr="006F18EA">
        <w:rPr>
          <w:rFonts w:eastAsiaTheme="minorHAnsi"/>
          <w:bCs/>
          <w:iCs w:val="0"/>
          <w:lang w:eastAsia="en-US"/>
        </w:rPr>
        <w:t>relatif à la prévention des risques accidentels au sein des installations classées pour la protection de l'environnement soumises à autorisation</w:t>
      </w:r>
    </w:p>
    <w:p w14:paraId="796728B9" w14:textId="46D8C75B" w:rsidR="00CD177B" w:rsidRPr="009722C2" w:rsidRDefault="009722C2" w:rsidP="00CD177B">
      <w:pPr>
        <w:pStyle w:val="western"/>
        <w:rPr>
          <w:b/>
          <w:i w:val="0"/>
          <w:iCs w:val="0"/>
          <w:u w:val="single"/>
        </w:rPr>
      </w:pPr>
      <w:r w:rsidRPr="009722C2">
        <w:rPr>
          <w:b/>
          <w:i w:val="0"/>
          <w:iCs w:val="0"/>
          <w:u w:val="single"/>
        </w:rPr>
        <w:t>Texte :</w:t>
      </w:r>
    </w:p>
    <w:p w14:paraId="0592459C" w14:textId="7857371B" w:rsidR="00CD177B" w:rsidRPr="00B039B3" w:rsidRDefault="002F0095" w:rsidP="00F87F43">
      <w:pPr>
        <w:jc w:val="both"/>
        <w:rPr>
          <w:i/>
          <w:iCs/>
        </w:rPr>
      </w:pPr>
      <w:r w:rsidRPr="002D190E">
        <w:t>L</w:t>
      </w:r>
      <w:r w:rsidR="00CD177B" w:rsidRPr="002D190E">
        <w:t xml:space="preserve">e projet de texte, </w:t>
      </w:r>
      <w:r w:rsidR="00CD177B" w:rsidRPr="00B039B3">
        <w:t>qui se</w:t>
      </w:r>
      <w:r w:rsidR="003510CD" w:rsidRPr="00B039B3">
        <w:t xml:space="preserve">ra </w:t>
      </w:r>
      <w:r w:rsidR="00CD177B" w:rsidRPr="00B039B3">
        <w:t xml:space="preserve">soumis au Conseil supérieur de la prévention des risques technologiques (CSPRT) du </w:t>
      </w:r>
      <w:r w:rsidR="006F18EA" w:rsidRPr="00B039B3">
        <w:rPr>
          <w:iCs/>
        </w:rPr>
        <w:t>14 octobre 202</w:t>
      </w:r>
      <w:r w:rsidR="0002522A" w:rsidRPr="00B039B3">
        <w:rPr>
          <w:iCs/>
        </w:rPr>
        <w:t>5</w:t>
      </w:r>
      <w:r w:rsidR="007159E7">
        <w:rPr>
          <w:iCs/>
        </w:rPr>
        <w:t>,</w:t>
      </w:r>
      <w:r w:rsidR="00CD177B" w:rsidRPr="00B039B3">
        <w:t xml:space="preserve"> </w:t>
      </w:r>
      <w:r w:rsidR="003510CD" w:rsidRPr="00B039B3">
        <w:t xml:space="preserve">est disponible. Vous pouvez consulter ce projet </w:t>
      </w:r>
      <w:r w:rsidR="00CD177B" w:rsidRPr="00B039B3">
        <w:t xml:space="preserve">de texte et faire part de vos observations, via le lien en bas de page « Déposer votre commentaire », du </w:t>
      </w:r>
      <w:r w:rsidR="00E83567">
        <w:t>17</w:t>
      </w:r>
      <w:r w:rsidR="00E8656A" w:rsidRPr="00B039B3">
        <w:t xml:space="preserve"> septembre au </w:t>
      </w:r>
      <w:r w:rsidR="00E83567">
        <w:t>7</w:t>
      </w:r>
      <w:r w:rsidR="00E8656A" w:rsidRPr="00B039B3">
        <w:t xml:space="preserve"> octobre</w:t>
      </w:r>
      <w:r w:rsidR="002D190E" w:rsidRPr="00B039B3">
        <w:t xml:space="preserve"> </w:t>
      </w:r>
      <w:r w:rsidR="00E83567">
        <w:t xml:space="preserve">2025 </w:t>
      </w:r>
      <w:r w:rsidR="003510CD" w:rsidRPr="00B039B3">
        <w:t>inclus</w:t>
      </w:r>
      <w:r w:rsidR="00CD177B" w:rsidRPr="00B039B3">
        <w:t>.</w:t>
      </w:r>
    </w:p>
    <w:p w14:paraId="578523A6" w14:textId="596B9B3A" w:rsidR="00CD177B" w:rsidRPr="00B039B3" w:rsidRDefault="009722C2" w:rsidP="009722C2">
      <w:pPr>
        <w:jc w:val="both"/>
      </w:pPr>
      <w:r w:rsidRPr="00B039B3">
        <w:t>Cette consultation publique est réalisée en application de l’article L.</w:t>
      </w:r>
      <w:r w:rsidR="00622AC3" w:rsidRPr="00B039B3">
        <w:t> </w:t>
      </w:r>
      <w:r w:rsidRPr="00B039B3">
        <w:t>123-19-1 du code de l’environnement pour la mise en œuvre du principe de participation du public aux décisions publiques ayant une incidence sur l’environnement prévu à l’article 7 de la Charte de l’environnement.</w:t>
      </w:r>
    </w:p>
    <w:p w14:paraId="29B57711" w14:textId="1A0E8F54" w:rsidR="00CD177B" w:rsidRDefault="00CD177B" w:rsidP="00F87F43">
      <w:pPr>
        <w:pStyle w:val="western"/>
        <w:rPr>
          <w:b/>
          <w:i w:val="0"/>
          <w:iCs w:val="0"/>
          <w:u w:val="single"/>
        </w:rPr>
      </w:pPr>
      <w:r w:rsidRPr="00B039B3">
        <w:rPr>
          <w:b/>
          <w:i w:val="0"/>
          <w:iCs w:val="0"/>
          <w:u w:val="single"/>
        </w:rPr>
        <w:t>Le contexte</w:t>
      </w:r>
      <w:r w:rsidR="009D76B1" w:rsidRPr="00B039B3">
        <w:rPr>
          <w:b/>
          <w:i w:val="0"/>
          <w:iCs w:val="0"/>
          <w:u w:val="single"/>
        </w:rPr>
        <w:t xml:space="preserve"> </w:t>
      </w:r>
      <w:r w:rsidR="002D190E" w:rsidRPr="00B039B3">
        <w:rPr>
          <w:b/>
          <w:i w:val="0"/>
          <w:iCs w:val="0"/>
          <w:u w:val="single"/>
        </w:rPr>
        <w:t>et les objectifs</w:t>
      </w:r>
      <w:r w:rsidR="009D76B1" w:rsidRPr="00B039B3">
        <w:rPr>
          <w:b/>
          <w:i w:val="0"/>
          <w:iCs w:val="0"/>
          <w:u w:val="single"/>
        </w:rPr>
        <w:t> </w:t>
      </w:r>
      <w:r w:rsidRPr="00B039B3">
        <w:rPr>
          <w:b/>
          <w:i w:val="0"/>
          <w:iCs w:val="0"/>
          <w:u w:val="single"/>
        </w:rPr>
        <w:t>:</w:t>
      </w:r>
    </w:p>
    <w:p w14:paraId="2A386D4A" w14:textId="30D42E82" w:rsidR="006F18EA" w:rsidRPr="006F18EA" w:rsidRDefault="006F18EA" w:rsidP="006F18EA">
      <w:pPr>
        <w:pStyle w:val="western"/>
        <w:rPr>
          <w:i w:val="0"/>
          <w:iCs w:val="0"/>
        </w:rPr>
      </w:pPr>
      <w:bookmarkStart w:id="0" w:name="_Hlk205277575"/>
      <w:r w:rsidRPr="006F18EA">
        <w:rPr>
          <w:i w:val="0"/>
          <w:iCs w:val="0"/>
        </w:rPr>
        <w:t xml:space="preserve">Le cahier des charges </w:t>
      </w:r>
      <w:r w:rsidR="002B580E">
        <w:rPr>
          <w:i w:val="0"/>
          <w:iCs w:val="0"/>
        </w:rPr>
        <w:t xml:space="preserve">établissant des dispositions pour les </w:t>
      </w:r>
      <w:r w:rsidRPr="006F18EA">
        <w:rPr>
          <w:i w:val="0"/>
          <w:iCs w:val="0"/>
        </w:rPr>
        <w:t xml:space="preserve">stockages d’alcool de bouche en usage dans les départements de Charente et Charente-Maritime, </w:t>
      </w:r>
      <w:r w:rsidR="002B580E">
        <w:rPr>
          <w:i w:val="0"/>
          <w:iCs w:val="0"/>
        </w:rPr>
        <w:t xml:space="preserve">élaboré par la profession </w:t>
      </w:r>
      <w:r w:rsidRPr="006F18EA">
        <w:rPr>
          <w:i w:val="0"/>
          <w:iCs w:val="0"/>
        </w:rPr>
        <w:t>en concertation avec les services d’incendie et de secours</w:t>
      </w:r>
      <w:r w:rsidR="002B580E">
        <w:rPr>
          <w:i w:val="0"/>
          <w:iCs w:val="0"/>
        </w:rPr>
        <w:t xml:space="preserve"> et la DREAL</w:t>
      </w:r>
      <w:r w:rsidRPr="006F18EA">
        <w:rPr>
          <w:i w:val="0"/>
          <w:iCs w:val="0"/>
        </w:rPr>
        <w:t xml:space="preserve">, comporte des dispositions spécifiques visant les chais de petites surfaces concernant en particulier le confinement interne </w:t>
      </w:r>
      <w:proofErr w:type="gramStart"/>
      <w:r w:rsidR="007159E7">
        <w:rPr>
          <w:i w:val="0"/>
          <w:iCs w:val="0"/>
        </w:rPr>
        <w:t>aux</w:t>
      </w:r>
      <w:proofErr w:type="gramEnd"/>
      <w:r w:rsidR="007159E7">
        <w:rPr>
          <w:i w:val="0"/>
          <w:iCs w:val="0"/>
        </w:rPr>
        <w:t xml:space="preserve"> bâtiments de stockage </w:t>
      </w:r>
      <w:r w:rsidRPr="006F18EA">
        <w:rPr>
          <w:i w:val="0"/>
          <w:iCs w:val="0"/>
        </w:rPr>
        <w:t>des alcools épandus et eaux d</w:t>
      </w:r>
      <w:r w:rsidR="007159E7">
        <w:rPr>
          <w:i w:val="0"/>
          <w:iCs w:val="0"/>
        </w:rPr>
        <w:t>’extinction d’un incendie</w:t>
      </w:r>
      <w:r w:rsidRPr="006F18EA">
        <w:rPr>
          <w:i w:val="0"/>
          <w:iCs w:val="0"/>
        </w:rPr>
        <w:t>.</w:t>
      </w:r>
    </w:p>
    <w:p w14:paraId="0EDE4940" w14:textId="57090DC3" w:rsidR="00E8656A" w:rsidRDefault="006F18EA" w:rsidP="006F18EA">
      <w:pPr>
        <w:pStyle w:val="western"/>
        <w:rPr>
          <w:i w:val="0"/>
          <w:iCs w:val="0"/>
        </w:rPr>
      </w:pPr>
      <w:r w:rsidRPr="006F18EA">
        <w:rPr>
          <w:i w:val="0"/>
          <w:iCs w:val="0"/>
        </w:rPr>
        <w:t xml:space="preserve">Pour tenir compte de ces spécificités qui font consensus, le projet de texte propose d’introduire une possibilité de dérogation </w:t>
      </w:r>
      <w:r w:rsidR="00AF200B">
        <w:rPr>
          <w:i w:val="0"/>
          <w:iCs w:val="0"/>
        </w:rPr>
        <w:t xml:space="preserve">par le préfet </w:t>
      </w:r>
      <w:r w:rsidRPr="006F18EA">
        <w:rPr>
          <w:i w:val="0"/>
          <w:iCs w:val="0"/>
        </w:rPr>
        <w:t>à l’arrêté du 4 octobre 2010 pour les chais d’alcool de bouche d’une surface inférieure à 500 m</w:t>
      </w:r>
      <w:r w:rsidRPr="00630D94">
        <w:rPr>
          <w:i w:val="0"/>
          <w:iCs w:val="0"/>
          <w:vertAlign w:val="superscript"/>
        </w:rPr>
        <w:t>2</w:t>
      </w:r>
      <w:r w:rsidRPr="006F18EA">
        <w:rPr>
          <w:i w:val="0"/>
          <w:iCs w:val="0"/>
        </w:rPr>
        <w:t>. Elle vise à leur permettre, après avis favorable du service d’incendie et de secours, de disposer de bassin</w:t>
      </w:r>
      <w:r w:rsidR="007159E7">
        <w:rPr>
          <w:i w:val="0"/>
          <w:iCs w:val="0"/>
        </w:rPr>
        <w:t>s</w:t>
      </w:r>
      <w:r w:rsidRPr="006F18EA">
        <w:rPr>
          <w:i w:val="0"/>
          <w:iCs w:val="0"/>
        </w:rPr>
        <w:t xml:space="preserve"> de confinement des eaux incendie interne</w:t>
      </w:r>
      <w:r w:rsidR="007159E7">
        <w:rPr>
          <w:i w:val="0"/>
          <w:iCs w:val="0"/>
        </w:rPr>
        <w:t>s</w:t>
      </w:r>
      <w:r w:rsidRPr="006F18EA">
        <w:rPr>
          <w:i w:val="0"/>
          <w:iCs w:val="0"/>
        </w:rPr>
        <w:t xml:space="preserve"> même pour une quantité de matières dangereuses stockées supérieure à 2 m</w:t>
      </w:r>
      <w:r w:rsidRPr="006F18EA">
        <w:rPr>
          <w:i w:val="0"/>
          <w:iCs w:val="0"/>
          <w:vertAlign w:val="superscript"/>
        </w:rPr>
        <w:t>3</w:t>
      </w:r>
      <w:r w:rsidRPr="006F18EA">
        <w:rPr>
          <w:i w:val="0"/>
          <w:iCs w:val="0"/>
        </w:rPr>
        <w:t>.</w:t>
      </w:r>
      <w:r w:rsidR="00E8656A">
        <w:rPr>
          <w:i w:val="0"/>
          <w:iCs w:val="0"/>
        </w:rPr>
        <w:t xml:space="preserve"> Le projet vient également préciser des modalités d’application spécifique</w:t>
      </w:r>
      <w:r w:rsidR="007159E7">
        <w:rPr>
          <w:i w:val="0"/>
          <w:iCs w:val="0"/>
        </w:rPr>
        <w:t>s</w:t>
      </w:r>
      <w:r w:rsidR="00E8656A">
        <w:rPr>
          <w:i w:val="0"/>
          <w:iCs w:val="0"/>
        </w:rPr>
        <w:t xml:space="preserve"> </w:t>
      </w:r>
      <w:r w:rsidR="00E8656A" w:rsidRPr="00E8656A">
        <w:rPr>
          <w:i w:val="0"/>
          <w:iCs w:val="0"/>
        </w:rPr>
        <w:t>au cas d</w:t>
      </w:r>
      <w:r w:rsidR="007159E7">
        <w:rPr>
          <w:i w:val="0"/>
          <w:iCs w:val="0"/>
        </w:rPr>
        <w:t>’</w:t>
      </w:r>
      <w:r w:rsidR="00E8656A" w:rsidRPr="00E8656A">
        <w:rPr>
          <w:i w:val="0"/>
          <w:iCs w:val="0"/>
        </w:rPr>
        <w:t xml:space="preserve">extension de sites préalablement </w:t>
      </w:r>
      <w:r w:rsidR="00FE6E4D">
        <w:rPr>
          <w:i w:val="0"/>
          <w:iCs w:val="0"/>
        </w:rPr>
        <w:t xml:space="preserve">soumis </w:t>
      </w:r>
      <w:r w:rsidR="00E8656A" w:rsidRPr="00E8656A">
        <w:rPr>
          <w:i w:val="0"/>
          <w:iCs w:val="0"/>
        </w:rPr>
        <w:t xml:space="preserve">à déclaration, lorsque les </w:t>
      </w:r>
      <w:r w:rsidR="00E8656A">
        <w:rPr>
          <w:i w:val="0"/>
          <w:iCs w:val="0"/>
        </w:rPr>
        <w:t>chais préexistants ne sont pas modifiés.</w:t>
      </w:r>
    </w:p>
    <w:bookmarkEnd w:id="0"/>
    <w:p w14:paraId="68BE070E" w14:textId="0C09F698" w:rsidR="002D190E" w:rsidRDefault="002D190E" w:rsidP="00BA029A">
      <w:pPr>
        <w:pStyle w:val="western"/>
        <w:rPr>
          <w:b/>
          <w:u w:val="single"/>
        </w:rPr>
      </w:pPr>
      <w:r>
        <w:rPr>
          <w:b/>
          <w:u w:val="single"/>
        </w:rPr>
        <w:br w:type="page"/>
      </w:r>
    </w:p>
    <w:p w14:paraId="5D2185DE" w14:textId="77777777" w:rsidR="00CD177B" w:rsidRPr="00F87F43" w:rsidRDefault="00CD177B" w:rsidP="00F87F43">
      <w:pPr>
        <w:pStyle w:val="western"/>
        <w:rPr>
          <w:b/>
        </w:rPr>
      </w:pPr>
      <w:r w:rsidRPr="00F87F43">
        <w:rPr>
          <w:b/>
          <w:i w:val="0"/>
          <w:iCs w:val="0"/>
          <w:u w:val="single"/>
        </w:rPr>
        <w:lastRenderedPageBreak/>
        <w:t>Les dispositions</w:t>
      </w:r>
      <w:r w:rsidRPr="00F87F43">
        <w:rPr>
          <w:b/>
          <w:i w:val="0"/>
          <w:iCs w:val="0"/>
        </w:rPr>
        <w:t> :</w:t>
      </w:r>
    </w:p>
    <w:p w14:paraId="76C175E5" w14:textId="542CB6DB" w:rsidR="00E75A04" w:rsidRDefault="006F18EA" w:rsidP="006F18EA">
      <w:pPr>
        <w:jc w:val="both"/>
      </w:pPr>
      <w:bookmarkStart w:id="1" w:name="_Hlk205277592"/>
      <w:r>
        <w:t>Le projet d’arrêté modificatif introduit à l’arrêté du 4 octobre 2010 relatif à la prévention des risques accidentels au sein des installations classées pour la protection de l’environnement soumises à autorisation les dispositions suivantes :</w:t>
      </w:r>
    </w:p>
    <w:p w14:paraId="526FDCE1" w14:textId="7BBE023A" w:rsidR="00E8656A" w:rsidRDefault="002B580E" w:rsidP="005D0266">
      <w:pPr>
        <w:pStyle w:val="Paragraphedeliste"/>
        <w:numPr>
          <w:ilvl w:val="0"/>
          <w:numId w:val="7"/>
        </w:numPr>
        <w:jc w:val="both"/>
      </w:pPr>
      <w:bookmarkStart w:id="2" w:name="_Hlk207873290"/>
      <w:proofErr w:type="gramStart"/>
      <w:r>
        <w:t>une</w:t>
      </w:r>
      <w:proofErr w:type="gramEnd"/>
      <w:r>
        <w:t xml:space="preserve"> disposition visant à définir les conditions d’applications spécifiques des dispositions de l’article 26 bis au cas d</w:t>
      </w:r>
      <w:r w:rsidR="007159E7">
        <w:t>’</w:t>
      </w:r>
      <w:r>
        <w:t>extension de</w:t>
      </w:r>
      <w:r w:rsidRPr="00E8656A">
        <w:t xml:space="preserve"> sites préalablement</w:t>
      </w:r>
      <w:r w:rsidR="007159E7">
        <w:t xml:space="preserve"> soumis</w:t>
      </w:r>
      <w:r w:rsidRPr="00E8656A">
        <w:t xml:space="preserve"> à déclaration, </w:t>
      </w:r>
      <w:r>
        <w:t>lorsque les installations existantes ne sont pas modifiées ;</w:t>
      </w:r>
    </w:p>
    <w:bookmarkEnd w:id="2"/>
    <w:p w14:paraId="01FF7C16" w14:textId="37EB1BDB" w:rsidR="006F18EA" w:rsidRDefault="006F18EA" w:rsidP="006F18EA">
      <w:pPr>
        <w:pStyle w:val="Paragraphedeliste"/>
        <w:numPr>
          <w:ilvl w:val="0"/>
          <w:numId w:val="7"/>
        </w:numPr>
        <w:jc w:val="both"/>
      </w:pPr>
      <w:proofErr w:type="gramStart"/>
      <w:r>
        <w:t>une</w:t>
      </w:r>
      <w:proofErr w:type="gramEnd"/>
      <w:r>
        <w:t xml:space="preserve"> définition à l’article 24</w:t>
      </w:r>
      <w:r w:rsidR="00785BB7">
        <w:t xml:space="preserve"> </w:t>
      </w:r>
      <w:r>
        <w:t>bis, de manière à expliciter les installations visées par la notion de « chais » ;</w:t>
      </w:r>
    </w:p>
    <w:bookmarkEnd w:id="1"/>
    <w:p w14:paraId="47362047" w14:textId="000B0BA0" w:rsidR="00E8656A" w:rsidRDefault="006F18EA" w:rsidP="006F18EA">
      <w:pPr>
        <w:pStyle w:val="Paragraphedeliste"/>
        <w:numPr>
          <w:ilvl w:val="0"/>
          <w:numId w:val="7"/>
        </w:numPr>
        <w:jc w:val="both"/>
      </w:pPr>
      <w:proofErr w:type="gramStart"/>
      <w:r w:rsidRPr="006F18EA">
        <w:t>une</w:t>
      </w:r>
      <w:proofErr w:type="gramEnd"/>
      <w:r w:rsidRPr="006F18EA">
        <w:t xml:space="preserve"> disposition visant à créer les conditions de dérogations spécifiques. Cette possibilité de dérogation vise uniquement l’obligation de disposer d’un dispositif externe de confinement des eaux incendie et ne concerne que les chais d’alcool de bouche d’une surface inférieure à 500</w:t>
      </w:r>
      <w:r w:rsidR="00A4745A">
        <w:t> </w:t>
      </w:r>
      <w:r w:rsidRPr="006F18EA">
        <w:t>m². L’obligation de disposer d’un dispositif permettant le confinement des eaux susceptibles d’être polluées en cas d’incendie est quan</w:t>
      </w:r>
      <w:r w:rsidR="00B562A8">
        <w:t>t</w:t>
      </w:r>
      <w:r w:rsidRPr="006F18EA">
        <w:t xml:space="preserve"> </w:t>
      </w:r>
      <w:r w:rsidR="00B562A8">
        <w:t xml:space="preserve">à </w:t>
      </w:r>
      <w:r w:rsidRPr="006F18EA">
        <w:t>elle maintenue</w:t>
      </w:r>
      <w:r w:rsidR="007159E7">
        <w:t xml:space="preserve"> et son dimensionnement est précisé par le projet d’arrêté</w:t>
      </w:r>
      <w:r w:rsidR="002B580E">
        <w:t>.</w:t>
      </w:r>
    </w:p>
    <w:p w14:paraId="1B4A6A62" w14:textId="340044F7" w:rsidR="006F18EA" w:rsidRDefault="006F18EA" w:rsidP="00E8656A">
      <w:pPr>
        <w:jc w:val="both"/>
      </w:pPr>
    </w:p>
    <w:sectPr w:rsidR="006F18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5588" w14:textId="77777777" w:rsidR="0084002B" w:rsidRDefault="0084002B" w:rsidP="0084002B">
      <w:pPr>
        <w:spacing w:after="0" w:line="240" w:lineRule="auto"/>
      </w:pPr>
      <w:r>
        <w:separator/>
      </w:r>
    </w:p>
  </w:endnote>
  <w:endnote w:type="continuationSeparator" w:id="0">
    <w:p w14:paraId="17D95E15" w14:textId="77777777" w:rsidR="0084002B" w:rsidRDefault="0084002B" w:rsidP="0084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3AE7" w14:textId="77777777" w:rsidR="0084002B" w:rsidRDefault="0084002B" w:rsidP="0084002B">
      <w:pPr>
        <w:spacing w:after="0" w:line="240" w:lineRule="auto"/>
      </w:pPr>
      <w:r>
        <w:separator/>
      </w:r>
    </w:p>
  </w:footnote>
  <w:footnote w:type="continuationSeparator" w:id="0">
    <w:p w14:paraId="1455191D" w14:textId="77777777" w:rsidR="0084002B" w:rsidRDefault="0084002B" w:rsidP="00840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023"/>
    <w:multiLevelType w:val="hybridMultilevel"/>
    <w:tmpl w:val="CADCE9AC"/>
    <w:lvl w:ilvl="0" w:tplc="3306FD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EA2029D"/>
    <w:multiLevelType w:val="hybridMultilevel"/>
    <w:tmpl w:val="9588F676"/>
    <w:lvl w:ilvl="0" w:tplc="AF7826D4">
      <w:start w:val="1"/>
      <w:numFmt w:val="lowerRoman"/>
      <w:pStyle w:val="Titre3"/>
      <w:lvlText w:val="%1)"/>
      <w:lvlJc w:val="left"/>
      <w:pPr>
        <w:ind w:left="1080" w:firstLine="20"/>
      </w:pPr>
      <w:rPr>
        <w:i w:val="0"/>
      </w:rPr>
    </w:lvl>
    <w:lvl w:ilvl="1" w:tplc="040C0019">
      <w:start w:val="1"/>
      <w:numFmt w:val="lowerLetter"/>
      <w:lvlText w:val="%2."/>
      <w:lvlJc w:val="left"/>
      <w:pPr>
        <w:ind w:left="2900" w:hanging="360"/>
      </w:pPr>
    </w:lvl>
    <w:lvl w:ilvl="2" w:tplc="040C001B">
      <w:start w:val="1"/>
      <w:numFmt w:val="lowerRoman"/>
      <w:lvlText w:val="%3."/>
      <w:lvlJc w:val="right"/>
      <w:pPr>
        <w:ind w:left="3620" w:hanging="180"/>
      </w:pPr>
    </w:lvl>
    <w:lvl w:ilvl="3" w:tplc="040C000F">
      <w:start w:val="1"/>
      <w:numFmt w:val="decimal"/>
      <w:lvlText w:val="%4."/>
      <w:lvlJc w:val="left"/>
      <w:pPr>
        <w:ind w:left="4340" w:hanging="360"/>
      </w:pPr>
    </w:lvl>
    <w:lvl w:ilvl="4" w:tplc="040C0019">
      <w:start w:val="1"/>
      <w:numFmt w:val="lowerLetter"/>
      <w:lvlText w:val="%5."/>
      <w:lvlJc w:val="left"/>
      <w:pPr>
        <w:ind w:left="5060" w:hanging="360"/>
      </w:pPr>
    </w:lvl>
    <w:lvl w:ilvl="5" w:tplc="040C001B">
      <w:start w:val="1"/>
      <w:numFmt w:val="lowerRoman"/>
      <w:lvlText w:val="%6."/>
      <w:lvlJc w:val="right"/>
      <w:pPr>
        <w:ind w:left="5780" w:hanging="180"/>
      </w:pPr>
    </w:lvl>
    <w:lvl w:ilvl="6" w:tplc="040C000F">
      <w:start w:val="1"/>
      <w:numFmt w:val="decimal"/>
      <w:lvlText w:val="%7."/>
      <w:lvlJc w:val="left"/>
      <w:pPr>
        <w:ind w:left="6500" w:hanging="360"/>
      </w:pPr>
    </w:lvl>
    <w:lvl w:ilvl="7" w:tplc="040C0019">
      <w:start w:val="1"/>
      <w:numFmt w:val="lowerLetter"/>
      <w:lvlText w:val="%8."/>
      <w:lvlJc w:val="left"/>
      <w:pPr>
        <w:ind w:left="7220" w:hanging="360"/>
      </w:pPr>
    </w:lvl>
    <w:lvl w:ilvl="8" w:tplc="040C001B">
      <w:start w:val="1"/>
      <w:numFmt w:val="lowerRoman"/>
      <w:lvlText w:val="%9."/>
      <w:lvlJc w:val="right"/>
      <w:pPr>
        <w:ind w:left="7940" w:hanging="180"/>
      </w:pPr>
    </w:lvl>
  </w:abstractNum>
  <w:abstractNum w:abstractNumId="2" w15:restartNumberingAfterBreak="0">
    <w:nsid w:val="151753FF"/>
    <w:multiLevelType w:val="hybridMultilevel"/>
    <w:tmpl w:val="4A32EB8E"/>
    <w:lvl w:ilvl="0" w:tplc="3306FD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E701E1"/>
    <w:multiLevelType w:val="multilevel"/>
    <w:tmpl w:val="91B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37DD9"/>
    <w:multiLevelType w:val="hybridMultilevel"/>
    <w:tmpl w:val="F77E5A68"/>
    <w:lvl w:ilvl="0" w:tplc="DDF459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521782"/>
    <w:multiLevelType w:val="hybridMultilevel"/>
    <w:tmpl w:val="8050E1D0"/>
    <w:lvl w:ilvl="0" w:tplc="E3E0C176">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3F7578"/>
    <w:multiLevelType w:val="hybridMultilevel"/>
    <w:tmpl w:val="7FB00190"/>
    <w:lvl w:ilvl="0" w:tplc="E092001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AA1D7A"/>
    <w:multiLevelType w:val="multilevel"/>
    <w:tmpl w:val="EA9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7B"/>
    <w:rsid w:val="0002522A"/>
    <w:rsid w:val="000659BA"/>
    <w:rsid w:val="0008655A"/>
    <w:rsid w:val="002552C3"/>
    <w:rsid w:val="002A0471"/>
    <w:rsid w:val="002B580E"/>
    <w:rsid w:val="002D190E"/>
    <w:rsid w:val="002D5D53"/>
    <w:rsid w:val="002F0095"/>
    <w:rsid w:val="002F37FF"/>
    <w:rsid w:val="002F5BDB"/>
    <w:rsid w:val="003336D1"/>
    <w:rsid w:val="003510CD"/>
    <w:rsid w:val="003A703F"/>
    <w:rsid w:val="003C15FC"/>
    <w:rsid w:val="003E28CD"/>
    <w:rsid w:val="00411B12"/>
    <w:rsid w:val="0041743B"/>
    <w:rsid w:val="004708F6"/>
    <w:rsid w:val="00487CC2"/>
    <w:rsid w:val="00506916"/>
    <w:rsid w:val="0055446F"/>
    <w:rsid w:val="005B3E4C"/>
    <w:rsid w:val="005D0266"/>
    <w:rsid w:val="00606664"/>
    <w:rsid w:val="00622AC3"/>
    <w:rsid w:val="00630D94"/>
    <w:rsid w:val="00673671"/>
    <w:rsid w:val="006A4503"/>
    <w:rsid w:val="006F18EA"/>
    <w:rsid w:val="007159E7"/>
    <w:rsid w:val="007227DC"/>
    <w:rsid w:val="007315B6"/>
    <w:rsid w:val="007357B9"/>
    <w:rsid w:val="00782C60"/>
    <w:rsid w:val="00785BB7"/>
    <w:rsid w:val="0084002B"/>
    <w:rsid w:val="008713C9"/>
    <w:rsid w:val="008D19A6"/>
    <w:rsid w:val="008D2EEA"/>
    <w:rsid w:val="00950AD1"/>
    <w:rsid w:val="00961E40"/>
    <w:rsid w:val="009722C2"/>
    <w:rsid w:val="009D76B1"/>
    <w:rsid w:val="00A4745A"/>
    <w:rsid w:val="00A61AAB"/>
    <w:rsid w:val="00A8260C"/>
    <w:rsid w:val="00AF200B"/>
    <w:rsid w:val="00B039B3"/>
    <w:rsid w:val="00B562A8"/>
    <w:rsid w:val="00BA029A"/>
    <w:rsid w:val="00BF3B64"/>
    <w:rsid w:val="00C155C0"/>
    <w:rsid w:val="00C25490"/>
    <w:rsid w:val="00C3676A"/>
    <w:rsid w:val="00CC494F"/>
    <w:rsid w:val="00CD177B"/>
    <w:rsid w:val="00CF2C70"/>
    <w:rsid w:val="00E75A04"/>
    <w:rsid w:val="00E83567"/>
    <w:rsid w:val="00E8656A"/>
    <w:rsid w:val="00F3727D"/>
    <w:rsid w:val="00F87F43"/>
    <w:rsid w:val="00FE1493"/>
    <w:rsid w:val="00FE6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FAEC"/>
  <w15:chartTrackingRefBased/>
  <w15:docId w15:val="{84C206AE-5E22-4635-AF3B-7E96B2D1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BA"/>
  </w:style>
  <w:style w:type="paragraph" w:styleId="Titre3">
    <w:name w:val="heading 3"/>
    <w:basedOn w:val="Normal"/>
    <w:next w:val="Normal"/>
    <w:link w:val="Titre3Car"/>
    <w:unhideWhenUsed/>
    <w:qFormat/>
    <w:rsid w:val="002D190E"/>
    <w:pPr>
      <w:numPr>
        <w:numId w:val="4"/>
      </w:numPr>
      <w:suppressAutoHyphens/>
      <w:spacing w:before="120" w:after="120" w:line="240" w:lineRule="auto"/>
      <w:jc w:val="both"/>
      <w:outlineLvl w:val="2"/>
    </w:pPr>
    <w:rPr>
      <w:rFonts w:eastAsia="Times New Roman"/>
      <w:i/>
      <w:color w:val="auto"/>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D177B"/>
    <w:pPr>
      <w:spacing w:before="100" w:beforeAutospacing="1" w:after="100" w:afterAutospacing="1" w:line="240" w:lineRule="auto"/>
      <w:jc w:val="both"/>
    </w:pPr>
    <w:rPr>
      <w:rFonts w:eastAsia="Times New Roman"/>
      <w:lang w:eastAsia="fr-FR"/>
    </w:rPr>
  </w:style>
  <w:style w:type="paragraph" w:customStyle="1" w:styleId="western">
    <w:name w:val="western"/>
    <w:basedOn w:val="Normal"/>
    <w:rsid w:val="00CD177B"/>
    <w:pPr>
      <w:spacing w:before="100" w:beforeAutospacing="1" w:after="100" w:afterAutospacing="1" w:line="240" w:lineRule="auto"/>
      <w:jc w:val="both"/>
    </w:pPr>
    <w:rPr>
      <w:rFonts w:eastAsia="Times New Roman"/>
      <w:i/>
      <w:iCs/>
      <w:lang w:eastAsia="fr-FR"/>
    </w:rPr>
  </w:style>
  <w:style w:type="paragraph" w:styleId="Paragraphedeliste">
    <w:name w:val="List Paragraph"/>
    <w:basedOn w:val="Normal"/>
    <w:uiPriority w:val="34"/>
    <w:qFormat/>
    <w:rsid w:val="00961E40"/>
    <w:pPr>
      <w:ind w:left="720"/>
      <w:contextualSpacing/>
    </w:pPr>
  </w:style>
  <w:style w:type="paragraph" w:styleId="Notedebasdepage">
    <w:name w:val="footnote text"/>
    <w:basedOn w:val="Normal"/>
    <w:link w:val="NotedebasdepageCar"/>
    <w:uiPriority w:val="99"/>
    <w:semiHidden/>
    <w:unhideWhenUsed/>
    <w:rsid w:val="008400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002B"/>
    <w:rPr>
      <w:sz w:val="20"/>
      <w:szCs w:val="20"/>
    </w:rPr>
  </w:style>
  <w:style w:type="character" w:styleId="Appelnotedebasdep">
    <w:name w:val="footnote reference"/>
    <w:basedOn w:val="Policepardfaut"/>
    <w:uiPriority w:val="99"/>
    <w:semiHidden/>
    <w:unhideWhenUsed/>
    <w:rsid w:val="0084002B"/>
    <w:rPr>
      <w:vertAlign w:val="superscript"/>
    </w:rPr>
  </w:style>
  <w:style w:type="paragraph" w:styleId="Textedebulles">
    <w:name w:val="Balloon Text"/>
    <w:basedOn w:val="Normal"/>
    <w:link w:val="TextedebullesCar"/>
    <w:uiPriority w:val="99"/>
    <w:semiHidden/>
    <w:unhideWhenUsed/>
    <w:rsid w:val="008400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002B"/>
    <w:rPr>
      <w:rFonts w:ascii="Segoe UI" w:hAnsi="Segoe UI" w:cs="Segoe UI"/>
      <w:sz w:val="18"/>
      <w:szCs w:val="18"/>
    </w:rPr>
  </w:style>
  <w:style w:type="character" w:customStyle="1" w:styleId="Titre3Car">
    <w:name w:val="Titre 3 Car"/>
    <w:basedOn w:val="Policepardfaut"/>
    <w:link w:val="Titre3"/>
    <w:rsid w:val="002D190E"/>
    <w:rPr>
      <w:rFonts w:eastAsia="Times New Roman"/>
      <w:i/>
      <w:color w:val="auto"/>
      <w:lang w:eastAsia="zh-CN"/>
    </w:rPr>
  </w:style>
  <w:style w:type="character" w:styleId="Marquedecommentaire">
    <w:name w:val="annotation reference"/>
    <w:basedOn w:val="Policepardfaut"/>
    <w:uiPriority w:val="99"/>
    <w:semiHidden/>
    <w:unhideWhenUsed/>
    <w:rsid w:val="009D76B1"/>
    <w:rPr>
      <w:sz w:val="16"/>
      <w:szCs w:val="16"/>
    </w:rPr>
  </w:style>
  <w:style w:type="paragraph" w:styleId="Commentaire">
    <w:name w:val="annotation text"/>
    <w:basedOn w:val="Normal"/>
    <w:link w:val="CommentaireCar"/>
    <w:uiPriority w:val="99"/>
    <w:semiHidden/>
    <w:unhideWhenUsed/>
    <w:rsid w:val="009D76B1"/>
    <w:pPr>
      <w:spacing w:line="240" w:lineRule="auto"/>
    </w:pPr>
    <w:rPr>
      <w:sz w:val="20"/>
      <w:szCs w:val="20"/>
    </w:rPr>
  </w:style>
  <w:style w:type="character" w:customStyle="1" w:styleId="CommentaireCar">
    <w:name w:val="Commentaire Car"/>
    <w:basedOn w:val="Policepardfaut"/>
    <w:link w:val="Commentaire"/>
    <w:uiPriority w:val="99"/>
    <w:semiHidden/>
    <w:rsid w:val="009D76B1"/>
    <w:rPr>
      <w:sz w:val="20"/>
      <w:szCs w:val="20"/>
    </w:rPr>
  </w:style>
  <w:style w:type="paragraph" w:styleId="Objetducommentaire">
    <w:name w:val="annotation subject"/>
    <w:basedOn w:val="Commentaire"/>
    <w:next w:val="Commentaire"/>
    <w:link w:val="ObjetducommentaireCar"/>
    <w:uiPriority w:val="99"/>
    <w:semiHidden/>
    <w:unhideWhenUsed/>
    <w:rsid w:val="009D76B1"/>
    <w:rPr>
      <w:b/>
      <w:bCs/>
    </w:rPr>
  </w:style>
  <w:style w:type="character" w:customStyle="1" w:styleId="ObjetducommentaireCar">
    <w:name w:val="Objet du commentaire Car"/>
    <w:basedOn w:val="CommentaireCar"/>
    <w:link w:val="Objetducommentaire"/>
    <w:uiPriority w:val="99"/>
    <w:semiHidden/>
    <w:rsid w:val="009D7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59217">
      <w:bodyDiv w:val="1"/>
      <w:marLeft w:val="0"/>
      <w:marRight w:val="0"/>
      <w:marTop w:val="0"/>
      <w:marBottom w:val="0"/>
      <w:divBdr>
        <w:top w:val="none" w:sz="0" w:space="0" w:color="auto"/>
        <w:left w:val="none" w:sz="0" w:space="0" w:color="auto"/>
        <w:bottom w:val="none" w:sz="0" w:space="0" w:color="auto"/>
        <w:right w:val="none" w:sz="0" w:space="0" w:color="auto"/>
      </w:divBdr>
    </w:div>
    <w:div w:id="124159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4D0F-1516-413F-9C8E-F166B163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ESCURE Henri</dc:creator>
  <cp:keywords/>
  <dc:description/>
  <cp:lastModifiedBy>EB</cp:lastModifiedBy>
  <cp:revision>4</cp:revision>
  <dcterms:created xsi:type="dcterms:W3CDTF">2025-09-05T13:57:00Z</dcterms:created>
  <dcterms:modified xsi:type="dcterms:W3CDTF">2025-09-11T08:17:00Z</dcterms:modified>
</cp:coreProperties>
</file>