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5F33" w14:textId="77777777" w:rsidR="00B23507" w:rsidRDefault="009A4985" w:rsidP="002F3E99">
      <w:pPr>
        <w:pStyle w:val="Titre"/>
      </w:pPr>
      <w:r>
        <w:t>Arrêté modifiant plusieurs arrêtés relatifs aux stockages de liquides inflammables</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28" w:type="dxa"/>
          <w:right w:w="85" w:type="dxa"/>
        </w:tblCellMar>
        <w:tblLook w:val="04A0" w:firstRow="1" w:lastRow="0" w:firstColumn="1" w:lastColumn="0" w:noHBand="0" w:noVBand="1"/>
      </w:tblPr>
      <w:tblGrid>
        <w:gridCol w:w="6150"/>
        <w:gridCol w:w="6150"/>
        <w:gridCol w:w="3040"/>
      </w:tblGrid>
      <w:tr w:rsidR="00B23507" w14:paraId="2367E984" w14:textId="77777777" w:rsidTr="00D83B73">
        <w:trPr>
          <w:tblHeader/>
          <w:jc w:val="center"/>
        </w:trPr>
        <w:tc>
          <w:tcPr>
            <w:tcW w:w="6150" w:type="dxa"/>
          </w:tcPr>
          <w:p w14:paraId="5C28FE11" w14:textId="77777777" w:rsidR="00B23507" w:rsidRDefault="009A4985" w:rsidP="00E34E8D">
            <w:pPr>
              <w:jc w:val="both"/>
            </w:pPr>
            <w:r>
              <w:rPr>
                <w:rStyle w:val="Titretableau"/>
              </w:rPr>
              <w:t>Texte initial</w:t>
            </w:r>
          </w:p>
        </w:tc>
        <w:tc>
          <w:tcPr>
            <w:tcW w:w="6150" w:type="dxa"/>
          </w:tcPr>
          <w:p w14:paraId="2BA7CA83" w14:textId="77777777" w:rsidR="00B23507" w:rsidRDefault="009A4985" w:rsidP="00E34E8D">
            <w:pPr>
              <w:jc w:val="both"/>
            </w:pPr>
            <w:r>
              <w:rPr>
                <w:rStyle w:val="Titretableau"/>
              </w:rPr>
              <w:t>Texte consolidé</w:t>
            </w:r>
          </w:p>
        </w:tc>
        <w:tc>
          <w:tcPr>
            <w:tcW w:w="3040" w:type="dxa"/>
          </w:tcPr>
          <w:p w14:paraId="5F10D27D" w14:textId="77777777" w:rsidR="00B23507" w:rsidRDefault="009A4985" w:rsidP="00E34E8D">
            <w:pPr>
              <w:jc w:val="both"/>
            </w:pPr>
            <w:r>
              <w:rPr>
                <w:rStyle w:val="Titretableau"/>
              </w:rPr>
              <w:t>Commentaires</w:t>
            </w:r>
          </w:p>
        </w:tc>
      </w:tr>
      <w:tr w:rsidR="000B52F8" w14:paraId="26A3C126" w14:textId="77777777" w:rsidTr="000B52F8">
        <w:trPr>
          <w:jc w:val="center"/>
        </w:trPr>
        <w:tc>
          <w:tcPr>
            <w:tcW w:w="15340" w:type="dxa"/>
            <w:gridSpan w:val="3"/>
            <w:tcBorders>
              <w:top w:val="nil"/>
            </w:tcBorders>
            <w:shd w:val="clear" w:color="auto" w:fill="D9E2F3" w:themeFill="accent5" w:themeFillTint="33"/>
          </w:tcPr>
          <w:p w14:paraId="64763A34" w14:textId="77777777" w:rsidR="000B52F8" w:rsidRDefault="000B52F8" w:rsidP="005A501E">
            <w:pPr>
              <w:jc w:val="both"/>
            </w:pPr>
            <w:r>
              <w:rPr>
                <w:rStyle w:val="Titretableau"/>
              </w:rPr>
              <w:t>Arrêté du 24 septembre 2020 relatif au stockage en récipients mobiles de liquides inflammables, exploités au sein d'une installation classée pour la protection de l'environnement soumise à autorisation</w:t>
            </w:r>
          </w:p>
        </w:tc>
      </w:tr>
      <w:tr w:rsidR="002F3E99" w14:paraId="1CC4C40F" w14:textId="77777777" w:rsidTr="005A501E">
        <w:trPr>
          <w:jc w:val="center"/>
        </w:trPr>
        <w:tc>
          <w:tcPr>
            <w:tcW w:w="6150" w:type="dxa"/>
          </w:tcPr>
          <w:p w14:paraId="733583A0" w14:textId="77777777" w:rsidR="002F3E99" w:rsidRDefault="002F3E99" w:rsidP="005A501E">
            <w:pPr>
              <w:jc w:val="both"/>
            </w:pPr>
            <w:r>
              <w:rPr>
                <w:rStyle w:val="Titretableau"/>
              </w:rPr>
              <w:t>Article I.1</w:t>
            </w:r>
          </w:p>
          <w:p w14:paraId="67079380" w14:textId="77777777" w:rsidR="002F3E99" w:rsidRDefault="002F3E99" w:rsidP="005A501E">
            <w:pPr>
              <w:jc w:val="both"/>
            </w:pPr>
            <w:r>
              <w:rPr>
                <w:rStyle w:val="Texte"/>
              </w:rPr>
              <w:t xml:space="preserve">III. - Pour les installations relevant du I, les dispositions du présent arrêté sont applicables à l'ensemble des stockages en récipients mobiles de liquides de mention de danger H224, H225 et H226, liquides de points éclair compris entre 60 et 93 °C et déchets liquides inflammables catégorisés HP3 présents au sein </w:t>
            </w:r>
            <w:r w:rsidRPr="00DA262A">
              <w:rPr>
                <w:rStyle w:val="Texte"/>
                <w:color w:val="FF0000"/>
              </w:rPr>
              <w:t xml:space="preserve">au sein </w:t>
            </w:r>
            <w:r>
              <w:rPr>
                <w:rStyle w:val="Texte"/>
              </w:rPr>
              <w:t>de l'ensemble des installations réglementées par l'arrêté préfectoral d'autorisation.</w:t>
            </w:r>
          </w:p>
          <w:p w14:paraId="28B27170" w14:textId="77777777" w:rsidR="002F3E99" w:rsidRDefault="002F3E99" w:rsidP="005A501E">
            <w:pPr>
              <w:jc w:val="both"/>
            </w:pPr>
          </w:p>
        </w:tc>
        <w:tc>
          <w:tcPr>
            <w:tcW w:w="6150" w:type="dxa"/>
          </w:tcPr>
          <w:p w14:paraId="60B6AAA8" w14:textId="77777777" w:rsidR="002F3E99" w:rsidRDefault="002F3E99" w:rsidP="005A501E">
            <w:pPr>
              <w:jc w:val="both"/>
            </w:pPr>
            <w:r>
              <w:rPr>
                <w:rStyle w:val="Titretableau"/>
              </w:rPr>
              <w:t>Article I.1</w:t>
            </w:r>
          </w:p>
          <w:p w14:paraId="5ABDC81F" w14:textId="56A3266D" w:rsidR="002F3E99" w:rsidRDefault="002F3E99" w:rsidP="005A501E">
            <w:pPr>
              <w:jc w:val="both"/>
            </w:pPr>
            <w:r>
              <w:rPr>
                <w:rStyle w:val="Texte"/>
              </w:rPr>
              <w:t xml:space="preserve">III. - Pour les installations relevant du I, les dispositions du présent arrêté sont applicables à l'ensemble des stockages en récipients mobiles de liquides de mention de danger H224, H225 et H226, liquides de points éclair compris entre 60 et 93 °C, </w:t>
            </w:r>
            <w:r w:rsidRPr="00D33182">
              <w:rPr>
                <w:rStyle w:val="Texte"/>
                <w:color w:val="0070C0"/>
              </w:rPr>
              <w:t xml:space="preserve">à l'exception de ceux ayant donné des résultats négatifs à une épreuve de combustion entretenue reconnue par le ministre </w:t>
            </w:r>
            <w:r w:rsidR="001A16E3">
              <w:rPr>
                <w:rStyle w:val="Texte"/>
                <w:color w:val="0070C0"/>
              </w:rPr>
              <w:t>chargé</w:t>
            </w:r>
            <w:r w:rsidR="00DB3918">
              <w:rPr>
                <w:rStyle w:val="Texte"/>
                <w:color w:val="0070C0"/>
              </w:rPr>
              <w:t xml:space="preserve"> des installations</w:t>
            </w:r>
            <w:r w:rsidRPr="00D33182">
              <w:rPr>
                <w:rStyle w:val="Texte"/>
                <w:color w:val="0070C0"/>
              </w:rPr>
              <w:t xml:space="preserve"> classées</w:t>
            </w:r>
            <w:r>
              <w:rPr>
                <w:rStyle w:val="Texte"/>
                <w:color w:val="0070C0"/>
              </w:rPr>
              <w:t>,</w:t>
            </w:r>
            <w:r>
              <w:rPr>
                <w:rStyle w:val="Texte"/>
              </w:rPr>
              <w:t xml:space="preserve"> et déchets liquides inflammables catégorisés HP3 présents au sein de l'ensemble des installations réglementées par l'arrêté préfectoral d'autorisation.</w:t>
            </w:r>
          </w:p>
        </w:tc>
        <w:tc>
          <w:tcPr>
            <w:tcW w:w="3040" w:type="dxa"/>
            <w:vMerge w:val="restart"/>
          </w:tcPr>
          <w:p w14:paraId="3DB325FA" w14:textId="0FC3DA21" w:rsidR="002F3E99" w:rsidRDefault="002F3E99" w:rsidP="005A501E">
            <w:pPr>
              <w:jc w:val="both"/>
            </w:pPr>
            <w:r>
              <w:t xml:space="preserve">Par cohérence avec CLP et la rubrique </w:t>
            </w:r>
            <w:r w:rsidR="001912C3">
              <w:t>n°</w:t>
            </w:r>
            <w:r>
              <w:t>1436, précision de l’exception pour les substances ayant données un résultat négatif à l’épreuve de combustion entretenue.</w:t>
            </w:r>
          </w:p>
        </w:tc>
      </w:tr>
      <w:tr w:rsidR="002F3E99" w14:paraId="1DF662FD" w14:textId="77777777" w:rsidTr="005A501E">
        <w:trPr>
          <w:jc w:val="center"/>
        </w:trPr>
        <w:tc>
          <w:tcPr>
            <w:tcW w:w="6150" w:type="dxa"/>
          </w:tcPr>
          <w:p w14:paraId="0DC9FDE9" w14:textId="7B594850" w:rsidR="002F3E99" w:rsidRDefault="002F3E99" w:rsidP="002F3E99">
            <w:pPr>
              <w:jc w:val="both"/>
            </w:pPr>
            <w:r>
              <w:rPr>
                <w:rStyle w:val="Titretableau"/>
              </w:rPr>
              <w:t>Article I.2</w:t>
            </w:r>
          </w:p>
          <w:p w14:paraId="652A32E6" w14:textId="2D8D67ED" w:rsidR="002F3E99" w:rsidRDefault="002F3E99" w:rsidP="005A501E">
            <w:pPr>
              <w:jc w:val="both"/>
              <w:rPr>
                <w:rStyle w:val="Titretableau"/>
              </w:rPr>
            </w:pPr>
            <w:r>
              <w:t>- liquides inflammables : liquides de mention de danger H224, H225 et H226, liquides de points éclair compris entre 60 et 93 °C et déchets liquides inflammables catégorisés HP3 ;</w:t>
            </w:r>
          </w:p>
        </w:tc>
        <w:tc>
          <w:tcPr>
            <w:tcW w:w="6150" w:type="dxa"/>
          </w:tcPr>
          <w:p w14:paraId="63896B27" w14:textId="77777777" w:rsidR="002F3E99" w:rsidRDefault="002F3E99" w:rsidP="002F3E99">
            <w:pPr>
              <w:jc w:val="both"/>
            </w:pPr>
            <w:r>
              <w:rPr>
                <w:rStyle w:val="Titretableau"/>
              </w:rPr>
              <w:t>Article I.2</w:t>
            </w:r>
          </w:p>
          <w:p w14:paraId="1EEF98FE" w14:textId="123E4055" w:rsidR="002F3E99" w:rsidRDefault="002F3E99" w:rsidP="002F3E99">
            <w:pPr>
              <w:jc w:val="both"/>
              <w:rPr>
                <w:rStyle w:val="Titretableau"/>
              </w:rPr>
            </w:pPr>
            <w:r>
              <w:t>- liquides inflammables : liquides de mention de danger H224, H225 et H226, liquides de points éclair compris entre 60 et 93 °C</w:t>
            </w:r>
            <w:r w:rsidRPr="00D33182">
              <w:rPr>
                <w:color w:val="0070C0"/>
              </w:rPr>
              <w:t xml:space="preserve"> </w:t>
            </w:r>
            <w:r w:rsidRPr="00D33182">
              <w:rPr>
                <w:rStyle w:val="Texte"/>
                <w:color w:val="0070C0"/>
              </w:rPr>
              <w:t xml:space="preserve">à l'exception de ceux ayant donné des résultats négatifs à une épreuve de combustion entretenue reconnue par le ministre </w:t>
            </w:r>
            <w:r w:rsidR="001A16E3">
              <w:rPr>
                <w:rStyle w:val="Texte"/>
                <w:color w:val="0070C0"/>
              </w:rPr>
              <w:t>chargé</w:t>
            </w:r>
            <w:r w:rsidRPr="00D33182">
              <w:rPr>
                <w:rStyle w:val="Texte"/>
                <w:color w:val="0070C0"/>
              </w:rPr>
              <w:t xml:space="preserve"> </w:t>
            </w:r>
            <w:r w:rsidR="00DB3918">
              <w:rPr>
                <w:rStyle w:val="Texte"/>
                <w:color w:val="0070C0"/>
              </w:rPr>
              <w:t xml:space="preserve">des installations </w:t>
            </w:r>
            <w:r w:rsidRPr="00D33182">
              <w:rPr>
                <w:rStyle w:val="Texte"/>
                <w:color w:val="0070C0"/>
              </w:rPr>
              <w:t>classées</w:t>
            </w:r>
            <w:r>
              <w:rPr>
                <w:rStyle w:val="Texte"/>
                <w:color w:val="0070C0"/>
              </w:rPr>
              <w:t>,</w:t>
            </w:r>
            <w:r>
              <w:rPr>
                <w:rStyle w:val="Texte"/>
              </w:rPr>
              <w:t xml:space="preserve"> </w:t>
            </w:r>
            <w:r>
              <w:t>et déchets liquides inflammables catégorisés HP3 ;</w:t>
            </w:r>
          </w:p>
        </w:tc>
        <w:tc>
          <w:tcPr>
            <w:tcW w:w="3040" w:type="dxa"/>
            <w:vMerge/>
          </w:tcPr>
          <w:p w14:paraId="68CD1047" w14:textId="77777777" w:rsidR="002F3E99" w:rsidRDefault="002F3E99" w:rsidP="005A501E">
            <w:pPr>
              <w:jc w:val="both"/>
            </w:pPr>
          </w:p>
        </w:tc>
      </w:tr>
      <w:tr w:rsidR="000B52F8" w14:paraId="41426BD0" w14:textId="77777777" w:rsidTr="005A501E">
        <w:trPr>
          <w:jc w:val="center"/>
        </w:trPr>
        <w:tc>
          <w:tcPr>
            <w:tcW w:w="6150" w:type="dxa"/>
          </w:tcPr>
          <w:p w14:paraId="43A23DEE" w14:textId="77777777" w:rsidR="000B52F8" w:rsidRDefault="000B52F8" w:rsidP="005A501E">
            <w:pPr>
              <w:jc w:val="both"/>
            </w:pPr>
            <w:r>
              <w:rPr>
                <w:rStyle w:val="Titretableau"/>
              </w:rPr>
              <w:t>Article III.14</w:t>
            </w:r>
          </w:p>
          <w:p w14:paraId="422E9C11" w14:textId="77777777" w:rsidR="000B52F8" w:rsidRDefault="000B52F8" w:rsidP="005A501E">
            <w:pPr>
              <w:jc w:val="both"/>
            </w:pPr>
            <w:r>
              <w:rPr>
                <w:rStyle w:val="Texte"/>
              </w:rPr>
              <w:t>IV. - La zone de collecte, le drainage, le dispositif d'extinction et la rétention déportée sont conçus, dimensionnés et construits afin de : […]</w:t>
            </w:r>
          </w:p>
          <w:p w14:paraId="11261265" w14:textId="77777777" w:rsidR="000B52F8" w:rsidRDefault="000B52F8" w:rsidP="005A501E">
            <w:pPr>
              <w:jc w:val="both"/>
            </w:pPr>
            <w:r>
              <w:rPr>
                <w:rStyle w:val="Texte"/>
              </w:rPr>
              <w:lastRenderedPageBreak/>
              <w:t xml:space="preserve">- éviter tout débordement de la rétention déportée. Une rétention déportée peut être commune a plusieurs stockages, le volume minimal de la rétention déportée est au moins égal au plus grand volume calculé en application des dispositions des articles </w:t>
            </w:r>
            <w:r w:rsidRPr="0018501F">
              <w:rPr>
                <w:rStyle w:val="Texte"/>
                <w:color w:val="FF0000"/>
              </w:rPr>
              <w:t>III-11</w:t>
            </w:r>
            <w:r>
              <w:rPr>
                <w:rStyle w:val="Texte"/>
              </w:rPr>
              <w:t>, III-12 et III-13 du présent arrêté pour chaque stockage associé ;</w:t>
            </w:r>
          </w:p>
        </w:tc>
        <w:tc>
          <w:tcPr>
            <w:tcW w:w="6150" w:type="dxa"/>
          </w:tcPr>
          <w:p w14:paraId="7C9C547A" w14:textId="77777777" w:rsidR="000B52F8" w:rsidRDefault="000B52F8" w:rsidP="005A501E">
            <w:pPr>
              <w:jc w:val="both"/>
            </w:pPr>
            <w:r>
              <w:rPr>
                <w:rStyle w:val="Titretableau"/>
              </w:rPr>
              <w:lastRenderedPageBreak/>
              <w:t>Article III.14</w:t>
            </w:r>
          </w:p>
          <w:p w14:paraId="1461B779" w14:textId="77777777" w:rsidR="000B52F8" w:rsidRDefault="000B52F8" w:rsidP="005A501E">
            <w:pPr>
              <w:jc w:val="both"/>
            </w:pPr>
            <w:r>
              <w:rPr>
                <w:rStyle w:val="Texte"/>
              </w:rPr>
              <w:t>IV. - La zone de collecte, le drainage, le dispositif d'extinction et la rétention déportée sont conçus, dimensionnés et construits afin de : […]</w:t>
            </w:r>
          </w:p>
          <w:p w14:paraId="3552948D" w14:textId="245B0A73" w:rsidR="000B52F8" w:rsidRDefault="000B52F8" w:rsidP="002F3E99">
            <w:pPr>
              <w:jc w:val="both"/>
            </w:pPr>
            <w:r>
              <w:rPr>
                <w:rStyle w:val="Texte"/>
              </w:rPr>
              <w:lastRenderedPageBreak/>
              <w:t>- éviter tout débordement de la rétention déportée. Une rétention déportée peut être commune a plusieurs stockages, le volume minimal de la rétention déportée est au moins égal au plus grand volume calculé en application des dispositions des articles III-12 et III-13 du présent arrêté pour chaque stockage associé ;</w:t>
            </w:r>
          </w:p>
        </w:tc>
        <w:tc>
          <w:tcPr>
            <w:tcW w:w="3040" w:type="dxa"/>
          </w:tcPr>
          <w:p w14:paraId="3C19B506" w14:textId="77777777" w:rsidR="000B52F8" w:rsidRDefault="000B52F8" w:rsidP="005A501E">
            <w:pPr>
              <w:jc w:val="both"/>
            </w:pPr>
            <w:r>
              <w:lastRenderedPageBreak/>
              <w:t>Suppression d’une référence inutile à un article</w:t>
            </w:r>
          </w:p>
        </w:tc>
      </w:tr>
      <w:tr w:rsidR="00E041DB" w14:paraId="34614EF8" w14:textId="77777777" w:rsidTr="005A501E">
        <w:trPr>
          <w:jc w:val="center"/>
        </w:trPr>
        <w:tc>
          <w:tcPr>
            <w:tcW w:w="6150" w:type="dxa"/>
          </w:tcPr>
          <w:p w14:paraId="11A1B94F" w14:textId="2C25072B" w:rsidR="00E041DB" w:rsidRDefault="00E041DB" w:rsidP="00E041DB">
            <w:pPr>
              <w:jc w:val="both"/>
              <w:rPr>
                <w:rStyle w:val="Titretableau"/>
              </w:rPr>
            </w:pPr>
            <w:r>
              <w:rPr>
                <w:rStyle w:val="Titretableau"/>
              </w:rPr>
              <w:t>Annexe 1. I</w:t>
            </w:r>
          </w:p>
          <w:tbl>
            <w:tblPr>
              <w:tblStyle w:val="Grilledutableau"/>
              <w:tblW w:w="6027" w:type="dxa"/>
              <w:tblLook w:val="04A0" w:firstRow="1" w:lastRow="0" w:firstColumn="1" w:lastColumn="0" w:noHBand="0" w:noVBand="1"/>
            </w:tblPr>
            <w:tblGrid>
              <w:gridCol w:w="1066"/>
              <w:gridCol w:w="4961"/>
            </w:tblGrid>
            <w:tr w:rsidR="00E041DB" w:rsidRPr="00FF1689" w14:paraId="235E05F4" w14:textId="77777777" w:rsidTr="008A6C44">
              <w:tc>
                <w:tcPr>
                  <w:tcW w:w="1066" w:type="dxa"/>
                </w:tcPr>
                <w:p w14:paraId="5084C79F"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10EB0651" w14:textId="77777777" w:rsidR="00E041DB" w:rsidRPr="00FF1689" w:rsidRDefault="00E041DB" w:rsidP="00E041DB">
                  <w:pPr>
                    <w:jc w:val="both"/>
                    <w:rPr>
                      <w:rStyle w:val="Titretableau"/>
                      <w:b w:val="0"/>
                    </w:rPr>
                  </w:pPr>
                </w:p>
              </w:tc>
            </w:tr>
            <w:tr w:rsidR="00E041DB" w:rsidRPr="00364EEF" w14:paraId="07692EF4" w14:textId="77777777" w:rsidTr="008A6C44">
              <w:tc>
                <w:tcPr>
                  <w:tcW w:w="1066" w:type="dxa"/>
                </w:tcPr>
                <w:p w14:paraId="691721C7" w14:textId="03D3F89A" w:rsidR="00E041DB" w:rsidRPr="00FF1689" w:rsidRDefault="00E041DB" w:rsidP="00E041DB">
                  <w:pPr>
                    <w:jc w:val="both"/>
                    <w:rPr>
                      <w:rStyle w:val="Titretableau"/>
                      <w:b w:val="0"/>
                    </w:rPr>
                  </w:pPr>
                  <w:r>
                    <w:rPr>
                      <w:rStyle w:val="Titretableau"/>
                      <w:b w:val="0"/>
                    </w:rPr>
                    <w:t>I</w:t>
                  </w:r>
                  <w:r>
                    <w:rPr>
                      <w:rStyle w:val="Titretableau"/>
                    </w:rPr>
                    <w:t>II.3</w:t>
                  </w:r>
                </w:p>
              </w:tc>
              <w:tc>
                <w:tcPr>
                  <w:tcW w:w="4961" w:type="dxa"/>
                </w:tcPr>
                <w:p w14:paraId="4A2EE0BC"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3777BBB7" w14:textId="0370702E" w:rsidR="00E041DB" w:rsidRPr="00364EEF" w:rsidRDefault="00E041DB" w:rsidP="00E041DB">
                  <w:pPr>
                    <w:jc w:val="both"/>
                    <w:rPr>
                      <w:rStyle w:val="Titretableau"/>
                      <w:b w:val="0"/>
                    </w:rPr>
                  </w:pPr>
                  <w:r w:rsidRPr="00E041DB">
                    <w:rPr>
                      <w:rStyle w:val="Titretableau"/>
                      <w:b w:val="0"/>
                    </w:rPr>
                    <w:t>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7615E338" w14:textId="77777777" w:rsidR="00E041DB" w:rsidRDefault="00E041DB" w:rsidP="005A501E">
            <w:pPr>
              <w:jc w:val="both"/>
              <w:rPr>
                <w:rStyle w:val="Titretableau"/>
              </w:rPr>
            </w:pPr>
          </w:p>
        </w:tc>
        <w:tc>
          <w:tcPr>
            <w:tcW w:w="6150" w:type="dxa"/>
          </w:tcPr>
          <w:p w14:paraId="044ED210" w14:textId="2390CD2C" w:rsidR="00E041DB" w:rsidRDefault="00E041DB" w:rsidP="00E041DB">
            <w:pPr>
              <w:jc w:val="both"/>
              <w:rPr>
                <w:rStyle w:val="Titretableau"/>
              </w:rPr>
            </w:pPr>
            <w:r>
              <w:rPr>
                <w:rStyle w:val="Titretableau"/>
              </w:rPr>
              <w:t>Annexe 1. I</w:t>
            </w:r>
          </w:p>
          <w:tbl>
            <w:tblPr>
              <w:tblStyle w:val="Grilledutableau"/>
              <w:tblW w:w="6027" w:type="dxa"/>
              <w:tblLook w:val="04A0" w:firstRow="1" w:lastRow="0" w:firstColumn="1" w:lastColumn="0" w:noHBand="0" w:noVBand="1"/>
            </w:tblPr>
            <w:tblGrid>
              <w:gridCol w:w="1066"/>
              <w:gridCol w:w="4961"/>
            </w:tblGrid>
            <w:tr w:rsidR="00E041DB" w:rsidRPr="00FF1689" w14:paraId="5F22B4F7" w14:textId="77777777" w:rsidTr="008A6C44">
              <w:tc>
                <w:tcPr>
                  <w:tcW w:w="1066" w:type="dxa"/>
                </w:tcPr>
                <w:p w14:paraId="693B0774"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1899CB8E" w14:textId="77777777" w:rsidR="00E041DB" w:rsidRPr="00FF1689" w:rsidRDefault="00E041DB" w:rsidP="00E041DB">
                  <w:pPr>
                    <w:jc w:val="both"/>
                    <w:rPr>
                      <w:rStyle w:val="Titretableau"/>
                      <w:b w:val="0"/>
                    </w:rPr>
                  </w:pPr>
                </w:p>
              </w:tc>
            </w:tr>
            <w:tr w:rsidR="00E041DB" w:rsidRPr="00364EEF" w14:paraId="0E221021" w14:textId="77777777" w:rsidTr="008A6C44">
              <w:tc>
                <w:tcPr>
                  <w:tcW w:w="1066" w:type="dxa"/>
                </w:tcPr>
                <w:p w14:paraId="3BDEDCA2" w14:textId="77777777" w:rsidR="00E041DB" w:rsidRDefault="00E041DB" w:rsidP="00E041DB">
                  <w:pPr>
                    <w:jc w:val="both"/>
                    <w:rPr>
                      <w:rStyle w:val="Titretableau"/>
                    </w:rPr>
                  </w:pPr>
                  <w:r>
                    <w:rPr>
                      <w:rStyle w:val="Titretableau"/>
                      <w:b w:val="0"/>
                    </w:rPr>
                    <w:t>I</w:t>
                  </w:r>
                  <w:r>
                    <w:rPr>
                      <w:rStyle w:val="Titretableau"/>
                    </w:rPr>
                    <w:t>II.</w:t>
                  </w:r>
                </w:p>
                <w:p w14:paraId="51855247" w14:textId="6FC2F469" w:rsidR="00E041DB" w:rsidRPr="00FF1689" w:rsidRDefault="00E041DB" w:rsidP="00E041DB">
                  <w:pPr>
                    <w:jc w:val="both"/>
                    <w:rPr>
                      <w:rStyle w:val="Titretableau"/>
                      <w:b w:val="0"/>
                    </w:rPr>
                  </w:pPr>
                  <w:r>
                    <w:rPr>
                      <w:rStyle w:val="Titretableau"/>
                    </w:rPr>
                    <w:t>3</w:t>
                  </w:r>
                </w:p>
              </w:tc>
              <w:tc>
                <w:tcPr>
                  <w:tcW w:w="4961" w:type="dxa"/>
                </w:tcPr>
                <w:p w14:paraId="26730379"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02B252E0" w14:textId="4F0B440E" w:rsidR="00E041DB" w:rsidRPr="00364EEF" w:rsidRDefault="00E041DB" w:rsidP="00E041DB">
                  <w:pPr>
                    <w:jc w:val="both"/>
                    <w:rPr>
                      <w:rStyle w:val="Titretableau"/>
                      <w:b w:val="0"/>
                    </w:rPr>
                  </w:pPr>
                  <w:r w:rsidRPr="00E041DB">
                    <w:rPr>
                      <w:rStyle w:val="Titretableau"/>
                      <w:b w:val="0"/>
                    </w:rPr>
                    <w:t>Néanmoins,</w:t>
                  </w:r>
                  <w:r w:rsidRPr="00DA262A">
                    <w:rPr>
                      <w:rStyle w:val="Titretableau"/>
                      <w:b w:val="0"/>
                      <w:color w:val="2E74B5" w:themeColor="accent1" w:themeShade="BF"/>
                    </w:rPr>
                    <w:t xml:space="preserve"> e</w:t>
                  </w:r>
                  <w:r w:rsidRPr="00DA262A">
                    <w:rPr>
                      <w:rStyle w:val="Titretableau"/>
                      <w:color w:val="2E74B5" w:themeColor="accent1" w:themeShade="BF"/>
                    </w:rPr>
                    <w:t xml:space="preserve">n </w:t>
                  </w:r>
                  <w:r w:rsidRPr="00E041DB">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40BAC777" w14:textId="77777777" w:rsidR="00E041DB" w:rsidRDefault="00E041DB" w:rsidP="005A501E">
            <w:pPr>
              <w:jc w:val="both"/>
              <w:rPr>
                <w:rStyle w:val="Titretableau"/>
              </w:rPr>
            </w:pPr>
          </w:p>
        </w:tc>
        <w:tc>
          <w:tcPr>
            <w:tcW w:w="3040" w:type="dxa"/>
          </w:tcPr>
          <w:p w14:paraId="5882FE44" w14:textId="173309C9" w:rsidR="00E041DB" w:rsidRDefault="00E041DB" w:rsidP="005A501E">
            <w:pPr>
              <w:jc w:val="both"/>
            </w:pPr>
            <w:r>
              <w:t>C</w:t>
            </w:r>
            <w:r w:rsidR="00FB377D">
              <w:t>orrection d’une c</w:t>
            </w:r>
            <w:r>
              <w:t>oquille</w:t>
            </w:r>
          </w:p>
        </w:tc>
      </w:tr>
      <w:tr w:rsidR="001A16E3" w14:paraId="2E2C9E27" w14:textId="77777777" w:rsidTr="001A16E3">
        <w:trPr>
          <w:trHeight w:val="1620"/>
          <w:jc w:val="center"/>
        </w:trPr>
        <w:tc>
          <w:tcPr>
            <w:tcW w:w="6150" w:type="dxa"/>
            <w:shd w:val="clear" w:color="auto" w:fill="auto"/>
          </w:tcPr>
          <w:p w14:paraId="41DB78C8" w14:textId="1D3DC60D" w:rsidR="001A16E3" w:rsidRDefault="001A16E3" w:rsidP="001A16E3">
            <w:pPr>
              <w:jc w:val="both"/>
              <w:rPr>
                <w:rStyle w:val="Titretableau"/>
              </w:rPr>
            </w:pPr>
            <w:r>
              <w:rPr>
                <w:rStyle w:val="Titretableau"/>
              </w:rPr>
              <w:t>Annexe 1. II</w:t>
            </w:r>
          </w:p>
          <w:tbl>
            <w:tblPr>
              <w:tblStyle w:val="Grilledutableau"/>
              <w:tblW w:w="6027" w:type="dxa"/>
              <w:tblLook w:val="04A0" w:firstRow="1" w:lastRow="0" w:firstColumn="1" w:lastColumn="0" w:noHBand="0" w:noVBand="1"/>
            </w:tblPr>
            <w:tblGrid>
              <w:gridCol w:w="1066"/>
              <w:gridCol w:w="4961"/>
            </w:tblGrid>
            <w:tr w:rsidR="001A16E3" w14:paraId="2BD2AFEB" w14:textId="77777777" w:rsidTr="0051536A">
              <w:tc>
                <w:tcPr>
                  <w:tcW w:w="1066" w:type="dxa"/>
                </w:tcPr>
                <w:p w14:paraId="1BB56A46" w14:textId="77777777" w:rsidR="001A16E3" w:rsidRPr="00FF1689" w:rsidRDefault="001A16E3" w:rsidP="001A16E3">
                  <w:pPr>
                    <w:jc w:val="both"/>
                    <w:rPr>
                      <w:rStyle w:val="Titretableau"/>
                      <w:b w:val="0"/>
                    </w:rPr>
                  </w:pPr>
                  <w:r w:rsidRPr="00FF1689">
                    <w:rPr>
                      <w:rStyle w:val="Titretableau"/>
                      <w:b w:val="0"/>
                    </w:rPr>
                    <w:t>Article concerné</w:t>
                  </w:r>
                </w:p>
              </w:tc>
              <w:tc>
                <w:tcPr>
                  <w:tcW w:w="4961" w:type="dxa"/>
                </w:tcPr>
                <w:p w14:paraId="19BABC33" w14:textId="77777777" w:rsidR="001A16E3" w:rsidRPr="00FF1689" w:rsidRDefault="001A16E3" w:rsidP="001A16E3">
                  <w:pPr>
                    <w:jc w:val="both"/>
                    <w:rPr>
                      <w:rStyle w:val="Titretableau"/>
                      <w:b w:val="0"/>
                    </w:rPr>
                  </w:pPr>
                </w:p>
              </w:tc>
            </w:tr>
            <w:tr w:rsidR="001A16E3" w14:paraId="06A407DD" w14:textId="77777777" w:rsidTr="0051536A">
              <w:tc>
                <w:tcPr>
                  <w:tcW w:w="1066" w:type="dxa"/>
                </w:tcPr>
                <w:p w14:paraId="4CB39779" w14:textId="77777777" w:rsidR="001A16E3" w:rsidRPr="00FF1689" w:rsidRDefault="001A16E3" w:rsidP="001A16E3">
                  <w:pPr>
                    <w:jc w:val="both"/>
                    <w:rPr>
                      <w:rStyle w:val="Titretableau"/>
                      <w:b w:val="0"/>
                    </w:rPr>
                  </w:pPr>
                  <w:r>
                    <w:rPr>
                      <w:rStyle w:val="Titretableau"/>
                      <w:b w:val="0"/>
                    </w:rPr>
                    <w:t>III.15 et III.</w:t>
                  </w:r>
                  <w:r w:rsidRPr="006C47E4">
                    <w:rPr>
                      <w:rStyle w:val="Titretableau"/>
                      <w:b w:val="0"/>
                      <w:color w:val="FF0000"/>
                    </w:rPr>
                    <w:t>15</w:t>
                  </w:r>
                </w:p>
              </w:tc>
              <w:tc>
                <w:tcPr>
                  <w:tcW w:w="4961" w:type="dxa"/>
                </w:tcPr>
                <w:p w14:paraId="20C6D347" w14:textId="77777777" w:rsidR="001A16E3" w:rsidRPr="00364EEF" w:rsidRDefault="001A16E3" w:rsidP="001A16E3">
                  <w:pPr>
                    <w:jc w:val="both"/>
                    <w:rPr>
                      <w:rStyle w:val="Titretableau"/>
                      <w:b w:val="0"/>
                    </w:rPr>
                  </w:pPr>
                </w:p>
              </w:tc>
            </w:tr>
          </w:tbl>
          <w:p w14:paraId="6A0F33CF" w14:textId="77777777" w:rsidR="001A16E3" w:rsidRDefault="001A16E3" w:rsidP="001A16E3">
            <w:pPr>
              <w:jc w:val="both"/>
              <w:rPr>
                <w:rStyle w:val="Titretableau"/>
              </w:rPr>
            </w:pPr>
          </w:p>
        </w:tc>
        <w:tc>
          <w:tcPr>
            <w:tcW w:w="6150" w:type="dxa"/>
            <w:shd w:val="clear" w:color="auto" w:fill="auto"/>
          </w:tcPr>
          <w:p w14:paraId="5DCE5E2F" w14:textId="5FC51527" w:rsidR="001A16E3" w:rsidRDefault="001A16E3" w:rsidP="001A16E3">
            <w:pPr>
              <w:jc w:val="both"/>
              <w:rPr>
                <w:rStyle w:val="Titretableau"/>
              </w:rPr>
            </w:pPr>
            <w:r>
              <w:rPr>
                <w:rStyle w:val="Titretableau"/>
              </w:rPr>
              <w:t>Annexe 1. II</w:t>
            </w:r>
          </w:p>
          <w:tbl>
            <w:tblPr>
              <w:tblStyle w:val="Grilledutableau"/>
              <w:tblW w:w="6027" w:type="dxa"/>
              <w:tblLook w:val="04A0" w:firstRow="1" w:lastRow="0" w:firstColumn="1" w:lastColumn="0" w:noHBand="0" w:noVBand="1"/>
            </w:tblPr>
            <w:tblGrid>
              <w:gridCol w:w="1066"/>
              <w:gridCol w:w="4961"/>
            </w:tblGrid>
            <w:tr w:rsidR="001A16E3" w14:paraId="3B105743" w14:textId="77777777" w:rsidTr="0051536A">
              <w:tc>
                <w:tcPr>
                  <w:tcW w:w="1066" w:type="dxa"/>
                </w:tcPr>
                <w:p w14:paraId="5100140E" w14:textId="77777777" w:rsidR="001A16E3" w:rsidRPr="00FF1689" w:rsidRDefault="001A16E3" w:rsidP="001A16E3">
                  <w:pPr>
                    <w:jc w:val="both"/>
                    <w:rPr>
                      <w:rStyle w:val="Titretableau"/>
                      <w:b w:val="0"/>
                    </w:rPr>
                  </w:pPr>
                  <w:r w:rsidRPr="00FF1689">
                    <w:rPr>
                      <w:rStyle w:val="Titretableau"/>
                      <w:b w:val="0"/>
                    </w:rPr>
                    <w:t>Article concerné</w:t>
                  </w:r>
                </w:p>
              </w:tc>
              <w:tc>
                <w:tcPr>
                  <w:tcW w:w="4961" w:type="dxa"/>
                </w:tcPr>
                <w:p w14:paraId="0B0E34E8" w14:textId="77777777" w:rsidR="001A16E3" w:rsidRPr="00FF1689" w:rsidRDefault="001A16E3" w:rsidP="001A16E3">
                  <w:pPr>
                    <w:jc w:val="both"/>
                    <w:rPr>
                      <w:rStyle w:val="Titretableau"/>
                      <w:b w:val="0"/>
                    </w:rPr>
                  </w:pPr>
                </w:p>
              </w:tc>
            </w:tr>
            <w:tr w:rsidR="001A16E3" w14:paraId="3831CA4D" w14:textId="77777777" w:rsidTr="0051536A">
              <w:tc>
                <w:tcPr>
                  <w:tcW w:w="1066" w:type="dxa"/>
                </w:tcPr>
                <w:p w14:paraId="7CF07AE8" w14:textId="77777777" w:rsidR="001A16E3" w:rsidRPr="00FF1689" w:rsidRDefault="001A16E3" w:rsidP="001A16E3">
                  <w:pPr>
                    <w:jc w:val="both"/>
                    <w:rPr>
                      <w:rStyle w:val="Titretableau"/>
                      <w:b w:val="0"/>
                    </w:rPr>
                  </w:pPr>
                  <w:r>
                    <w:rPr>
                      <w:rStyle w:val="Titretableau"/>
                      <w:b w:val="0"/>
                    </w:rPr>
                    <w:t>III.15 et III.</w:t>
                  </w:r>
                  <w:r w:rsidRPr="006C47E4">
                    <w:rPr>
                      <w:rStyle w:val="Titretableau"/>
                      <w:b w:val="0"/>
                      <w:color w:val="2E74B5" w:themeColor="accent1" w:themeShade="BF"/>
                    </w:rPr>
                    <w:t>16</w:t>
                  </w:r>
                </w:p>
              </w:tc>
              <w:tc>
                <w:tcPr>
                  <w:tcW w:w="4961" w:type="dxa"/>
                </w:tcPr>
                <w:p w14:paraId="30A800C1" w14:textId="77777777" w:rsidR="001A16E3" w:rsidRPr="00364EEF" w:rsidRDefault="001A16E3" w:rsidP="001A16E3">
                  <w:pPr>
                    <w:jc w:val="both"/>
                    <w:rPr>
                      <w:rStyle w:val="Titretableau"/>
                      <w:b w:val="0"/>
                    </w:rPr>
                  </w:pPr>
                </w:p>
              </w:tc>
            </w:tr>
          </w:tbl>
          <w:p w14:paraId="64436EA7" w14:textId="77777777" w:rsidR="001A16E3" w:rsidRDefault="001A16E3" w:rsidP="001A16E3">
            <w:pPr>
              <w:jc w:val="both"/>
              <w:rPr>
                <w:rStyle w:val="Titretableau"/>
              </w:rPr>
            </w:pPr>
          </w:p>
        </w:tc>
        <w:tc>
          <w:tcPr>
            <w:tcW w:w="3040" w:type="dxa"/>
            <w:shd w:val="clear" w:color="auto" w:fill="auto"/>
          </w:tcPr>
          <w:p w14:paraId="09F8F070" w14:textId="4FFAD8C4" w:rsidR="001A16E3" w:rsidRDefault="001A16E3" w:rsidP="001A16E3">
            <w:pPr>
              <w:jc w:val="both"/>
            </w:pPr>
            <w:r>
              <w:t>C</w:t>
            </w:r>
            <w:r w:rsidR="00FB377D">
              <w:t>orrection d’une c</w:t>
            </w:r>
            <w:r>
              <w:t>oquille</w:t>
            </w:r>
          </w:p>
        </w:tc>
      </w:tr>
      <w:tr w:rsidR="00E041DB" w14:paraId="2DD39B0C" w14:textId="77777777" w:rsidTr="00FA2B7E">
        <w:trPr>
          <w:trHeight w:val="681"/>
          <w:jc w:val="center"/>
        </w:trPr>
        <w:tc>
          <w:tcPr>
            <w:tcW w:w="6150" w:type="dxa"/>
            <w:shd w:val="clear" w:color="auto" w:fill="auto"/>
          </w:tcPr>
          <w:p w14:paraId="50211203" w14:textId="3EA3C763" w:rsidR="00E041DB" w:rsidRDefault="00E041DB" w:rsidP="00E041DB">
            <w:pPr>
              <w:jc w:val="both"/>
              <w:rPr>
                <w:rStyle w:val="Titretableau"/>
              </w:rPr>
            </w:pPr>
            <w:r>
              <w:rPr>
                <w:rStyle w:val="Titretableau"/>
              </w:rPr>
              <w:t>Annexe 2. I</w:t>
            </w:r>
          </w:p>
          <w:tbl>
            <w:tblPr>
              <w:tblStyle w:val="Grilledutableau"/>
              <w:tblW w:w="6027" w:type="dxa"/>
              <w:tblLook w:val="04A0" w:firstRow="1" w:lastRow="0" w:firstColumn="1" w:lastColumn="0" w:noHBand="0" w:noVBand="1"/>
            </w:tblPr>
            <w:tblGrid>
              <w:gridCol w:w="1066"/>
              <w:gridCol w:w="4961"/>
            </w:tblGrid>
            <w:tr w:rsidR="00E041DB" w:rsidRPr="00FF1689" w14:paraId="3757EC7D" w14:textId="77777777" w:rsidTr="008A6C44">
              <w:tc>
                <w:tcPr>
                  <w:tcW w:w="1066" w:type="dxa"/>
                </w:tcPr>
                <w:p w14:paraId="1FBCD0F0"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29A8447B" w14:textId="77777777" w:rsidR="00E041DB" w:rsidRPr="00FF1689" w:rsidRDefault="00E041DB" w:rsidP="00E041DB">
                  <w:pPr>
                    <w:jc w:val="both"/>
                    <w:rPr>
                      <w:rStyle w:val="Titretableau"/>
                      <w:b w:val="0"/>
                    </w:rPr>
                  </w:pPr>
                </w:p>
              </w:tc>
            </w:tr>
            <w:tr w:rsidR="00E041DB" w:rsidRPr="00364EEF" w14:paraId="0F0F5922" w14:textId="77777777" w:rsidTr="008A6C44">
              <w:tc>
                <w:tcPr>
                  <w:tcW w:w="1066" w:type="dxa"/>
                </w:tcPr>
                <w:p w14:paraId="43184E07" w14:textId="77777777" w:rsidR="00E041DB" w:rsidRPr="00FF1689" w:rsidRDefault="00E041DB" w:rsidP="00E041DB">
                  <w:pPr>
                    <w:jc w:val="both"/>
                    <w:rPr>
                      <w:rStyle w:val="Titretableau"/>
                      <w:b w:val="0"/>
                    </w:rPr>
                  </w:pPr>
                  <w:r>
                    <w:rPr>
                      <w:rStyle w:val="Titretableau"/>
                      <w:b w:val="0"/>
                    </w:rPr>
                    <w:t>I</w:t>
                  </w:r>
                  <w:r>
                    <w:rPr>
                      <w:rStyle w:val="Titretableau"/>
                    </w:rPr>
                    <w:t>II.3</w:t>
                  </w:r>
                </w:p>
              </w:tc>
              <w:tc>
                <w:tcPr>
                  <w:tcW w:w="4961" w:type="dxa"/>
                </w:tcPr>
                <w:p w14:paraId="3F8C89CD"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50D4CED3" w14:textId="0D8F6301" w:rsidR="00E041DB" w:rsidRPr="00364EEF" w:rsidRDefault="00E041DB" w:rsidP="00E041DB">
                  <w:pPr>
                    <w:jc w:val="both"/>
                    <w:rPr>
                      <w:rStyle w:val="Titretableau"/>
                      <w:b w:val="0"/>
                    </w:rPr>
                  </w:pPr>
                  <w:r w:rsidRPr="00E041DB">
                    <w:rPr>
                      <w:rStyle w:val="Titretableau"/>
                      <w:b w:val="0"/>
                    </w:rPr>
                    <w:t xml:space="preserve">Néanmoins, cas de modification ou extension de ces installations comprenant une nouvelle cellule ou un </w:t>
                  </w:r>
                  <w:r w:rsidRPr="00E041DB">
                    <w:rPr>
                      <w:rStyle w:val="Titretableau"/>
                      <w:b w:val="0"/>
                    </w:rPr>
                    <w:lastRenderedPageBreak/>
                    <w:t>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017FA7F5" w14:textId="77777777" w:rsidR="00E041DB" w:rsidRDefault="00E041DB" w:rsidP="00E041DB">
            <w:pPr>
              <w:jc w:val="both"/>
              <w:rPr>
                <w:rStyle w:val="Titretableau"/>
              </w:rPr>
            </w:pPr>
          </w:p>
        </w:tc>
        <w:tc>
          <w:tcPr>
            <w:tcW w:w="6150" w:type="dxa"/>
            <w:shd w:val="clear" w:color="auto" w:fill="auto"/>
          </w:tcPr>
          <w:p w14:paraId="5ADB3714" w14:textId="297312C5" w:rsidR="00E041DB" w:rsidRDefault="00E041DB" w:rsidP="00E041DB">
            <w:pPr>
              <w:jc w:val="both"/>
              <w:rPr>
                <w:rStyle w:val="Titretableau"/>
              </w:rPr>
            </w:pPr>
            <w:r>
              <w:rPr>
                <w:rStyle w:val="Titretableau"/>
              </w:rPr>
              <w:lastRenderedPageBreak/>
              <w:t>Annexe 2. I</w:t>
            </w:r>
          </w:p>
          <w:tbl>
            <w:tblPr>
              <w:tblStyle w:val="Grilledutableau"/>
              <w:tblW w:w="6027" w:type="dxa"/>
              <w:tblLook w:val="04A0" w:firstRow="1" w:lastRow="0" w:firstColumn="1" w:lastColumn="0" w:noHBand="0" w:noVBand="1"/>
            </w:tblPr>
            <w:tblGrid>
              <w:gridCol w:w="1066"/>
              <w:gridCol w:w="4961"/>
            </w:tblGrid>
            <w:tr w:rsidR="00E041DB" w:rsidRPr="00FF1689" w14:paraId="205F8BF7" w14:textId="77777777" w:rsidTr="008A6C44">
              <w:tc>
                <w:tcPr>
                  <w:tcW w:w="1066" w:type="dxa"/>
                </w:tcPr>
                <w:p w14:paraId="26DCF048"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04FAB0DC" w14:textId="77777777" w:rsidR="00E041DB" w:rsidRPr="00FF1689" w:rsidRDefault="00E041DB" w:rsidP="00E041DB">
                  <w:pPr>
                    <w:jc w:val="both"/>
                    <w:rPr>
                      <w:rStyle w:val="Titretableau"/>
                      <w:b w:val="0"/>
                    </w:rPr>
                  </w:pPr>
                </w:p>
              </w:tc>
            </w:tr>
            <w:tr w:rsidR="00E041DB" w:rsidRPr="00364EEF" w14:paraId="4F07E3B5" w14:textId="77777777" w:rsidTr="008A6C44">
              <w:tc>
                <w:tcPr>
                  <w:tcW w:w="1066" w:type="dxa"/>
                </w:tcPr>
                <w:p w14:paraId="0C89445F" w14:textId="77777777" w:rsidR="00E041DB" w:rsidRDefault="00E041DB" w:rsidP="00E041DB">
                  <w:pPr>
                    <w:jc w:val="both"/>
                    <w:rPr>
                      <w:rStyle w:val="Titretableau"/>
                    </w:rPr>
                  </w:pPr>
                  <w:r>
                    <w:rPr>
                      <w:rStyle w:val="Titretableau"/>
                      <w:b w:val="0"/>
                    </w:rPr>
                    <w:t>I</w:t>
                  </w:r>
                  <w:r>
                    <w:rPr>
                      <w:rStyle w:val="Titretableau"/>
                    </w:rPr>
                    <w:t>II.</w:t>
                  </w:r>
                </w:p>
                <w:p w14:paraId="0910A87D" w14:textId="77777777" w:rsidR="00E041DB" w:rsidRPr="00FF1689" w:rsidRDefault="00E041DB" w:rsidP="00E041DB">
                  <w:pPr>
                    <w:jc w:val="both"/>
                    <w:rPr>
                      <w:rStyle w:val="Titretableau"/>
                      <w:b w:val="0"/>
                    </w:rPr>
                  </w:pPr>
                  <w:r>
                    <w:rPr>
                      <w:rStyle w:val="Titretableau"/>
                    </w:rPr>
                    <w:t>3</w:t>
                  </w:r>
                </w:p>
              </w:tc>
              <w:tc>
                <w:tcPr>
                  <w:tcW w:w="4961" w:type="dxa"/>
                </w:tcPr>
                <w:p w14:paraId="3AE624BF"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603AE8F5" w14:textId="4436E93C" w:rsidR="00E041DB" w:rsidRPr="00364EEF" w:rsidRDefault="00E041DB" w:rsidP="00E041DB">
                  <w:pPr>
                    <w:jc w:val="both"/>
                    <w:rPr>
                      <w:rStyle w:val="Titretableau"/>
                      <w:b w:val="0"/>
                    </w:rPr>
                  </w:pPr>
                  <w:r w:rsidRPr="00E041DB">
                    <w:rPr>
                      <w:rStyle w:val="Titretableau"/>
                      <w:b w:val="0"/>
                    </w:rPr>
                    <w:t xml:space="preserve">Néanmoins, </w:t>
                  </w:r>
                  <w:r w:rsidRPr="00DA262A">
                    <w:rPr>
                      <w:rStyle w:val="Titretableau"/>
                      <w:b w:val="0"/>
                      <w:color w:val="2E74B5" w:themeColor="accent1" w:themeShade="BF"/>
                    </w:rPr>
                    <w:t xml:space="preserve">en </w:t>
                  </w:r>
                  <w:r w:rsidRPr="00E041DB">
                    <w:rPr>
                      <w:rStyle w:val="Titretableau"/>
                      <w:b w:val="0"/>
                    </w:rPr>
                    <w:t xml:space="preserve">cas de modification ou extension de ces installations comprenant une nouvelle cellule ou </w:t>
                  </w:r>
                  <w:r w:rsidRPr="00E041DB">
                    <w:rPr>
                      <w:rStyle w:val="Titretableau"/>
                      <w:b w:val="0"/>
                    </w:rPr>
                    <w:lastRenderedPageBreak/>
                    <w:t>un 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195B1987" w14:textId="77777777" w:rsidR="00E041DB" w:rsidRDefault="00E041DB" w:rsidP="00E041DB">
            <w:pPr>
              <w:jc w:val="both"/>
              <w:rPr>
                <w:rStyle w:val="Titretableau"/>
              </w:rPr>
            </w:pPr>
          </w:p>
        </w:tc>
        <w:tc>
          <w:tcPr>
            <w:tcW w:w="3040" w:type="dxa"/>
            <w:shd w:val="clear" w:color="auto" w:fill="auto"/>
          </w:tcPr>
          <w:p w14:paraId="56EF1A5F" w14:textId="2201ED19" w:rsidR="00E041DB" w:rsidRDefault="00E041DB" w:rsidP="00E041DB">
            <w:pPr>
              <w:jc w:val="both"/>
            </w:pPr>
            <w:r>
              <w:lastRenderedPageBreak/>
              <w:t>C</w:t>
            </w:r>
            <w:r w:rsidR="00FB377D">
              <w:t>orrection d’une c</w:t>
            </w:r>
            <w:r>
              <w:t>oquille</w:t>
            </w:r>
          </w:p>
        </w:tc>
      </w:tr>
      <w:tr w:rsidR="00E041DB" w14:paraId="448CDBFE" w14:textId="77777777" w:rsidTr="001A16E3">
        <w:trPr>
          <w:trHeight w:val="2196"/>
          <w:jc w:val="center"/>
        </w:trPr>
        <w:tc>
          <w:tcPr>
            <w:tcW w:w="6150" w:type="dxa"/>
          </w:tcPr>
          <w:p w14:paraId="2C2EF317" w14:textId="77777777" w:rsidR="00E041DB" w:rsidRDefault="00E041DB" w:rsidP="00E041DB">
            <w:pPr>
              <w:jc w:val="both"/>
              <w:rPr>
                <w:rStyle w:val="Titretableau"/>
              </w:rPr>
            </w:pPr>
            <w:r>
              <w:rPr>
                <w:rStyle w:val="Titretableau"/>
              </w:rPr>
              <w:t>Annexe 2. I</w:t>
            </w:r>
          </w:p>
          <w:tbl>
            <w:tblPr>
              <w:tblStyle w:val="Grilledutableau"/>
              <w:tblW w:w="6027" w:type="dxa"/>
              <w:tblLook w:val="04A0" w:firstRow="1" w:lastRow="0" w:firstColumn="1" w:lastColumn="0" w:noHBand="0" w:noVBand="1"/>
            </w:tblPr>
            <w:tblGrid>
              <w:gridCol w:w="1066"/>
              <w:gridCol w:w="4961"/>
            </w:tblGrid>
            <w:tr w:rsidR="00E041DB" w14:paraId="70DA915A" w14:textId="77777777" w:rsidTr="005A501E">
              <w:tc>
                <w:tcPr>
                  <w:tcW w:w="1066" w:type="dxa"/>
                </w:tcPr>
                <w:p w14:paraId="20307BBF"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7F07FF50" w14:textId="099E82A2" w:rsidR="00E041DB" w:rsidRPr="00FF1689" w:rsidRDefault="00E041DB" w:rsidP="00E041DB">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E041DB" w14:paraId="0F640474" w14:textId="77777777" w:rsidTr="005A501E">
              <w:tc>
                <w:tcPr>
                  <w:tcW w:w="1066" w:type="dxa"/>
                </w:tcPr>
                <w:p w14:paraId="0C071C1D" w14:textId="77777777" w:rsidR="00E041DB" w:rsidRPr="00FF1689" w:rsidRDefault="00E041DB" w:rsidP="00E041DB">
                  <w:pPr>
                    <w:jc w:val="both"/>
                    <w:rPr>
                      <w:rStyle w:val="Titretableau"/>
                      <w:b w:val="0"/>
                    </w:rPr>
                  </w:pPr>
                  <w:r>
                    <w:rPr>
                      <w:rStyle w:val="Titretableau"/>
                      <w:b w:val="0"/>
                    </w:rPr>
                    <w:t>III.11-I</w:t>
                  </w:r>
                </w:p>
              </w:tc>
              <w:tc>
                <w:tcPr>
                  <w:tcW w:w="4961" w:type="dxa"/>
                </w:tcPr>
                <w:p w14:paraId="4543C168" w14:textId="77777777" w:rsidR="00E041DB" w:rsidRDefault="00E041DB" w:rsidP="00E041DB">
                  <w:pPr>
                    <w:jc w:val="both"/>
                  </w:pPr>
                  <w:r>
                    <w:t>Ces dispositions sont applicables, à l'exception du 4ème tiret du I.</w:t>
                  </w:r>
                </w:p>
                <w:p w14:paraId="07CE461A" w14:textId="26452F0C" w:rsidR="00E041DB" w:rsidRPr="00364EEF" w:rsidRDefault="00E041DB" w:rsidP="00E041DB">
                  <w:pPr>
                    <w:jc w:val="both"/>
                    <w:rPr>
                      <w:rStyle w:val="Titretableau"/>
                      <w:b w:val="0"/>
                    </w:rPr>
                  </w:pPr>
                  <w:r w:rsidRPr="00E041DB">
                    <w:rPr>
                      <w:rStyle w:val="Titretableau"/>
                      <w:b w:val="0"/>
                    </w:rPr>
                    <w:t>Ces dispositions sont applicables aux rétentions construites après le 1</w:t>
                  </w:r>
                  <w:r w:rsidRPr="00DA262A">
                    <w:rPr>
                      <w:rStyle w:val="Titretableau"/>
                      <w:b w:val="0"/>
                      <w:vertAlign w:val="superscript"/>
                    </w:rPr>
                    <w:t>er</w:t>
                  </w:r>
                  <w:r w:rsidRPr="00E041DB">
                    <w:rPr>
                      <w:rStyle w:val="Titretableau"/>
                      <w:b w:val="0"/>
                    </w:rPr>
                    <w:t xml:space="preserve"> janvier 2021.</w:t>
                  </w:r>
                </w:p>
              </w:tc>
            </w:tr>
          </w:tbl>
          <w:p w14:paraId="0B0B81AD" w14:textId="77777777" w:rsidR="00E041DB" w:rsidRDefault="00E041DB" w:rsidP="00E041DB">
            <w:pPr>
              <w:jc w:val="both"/>
              <w:rPr>
                <w:rStyle w:val="Titretableau"/>
              </w:rPr>
            </w:pPr>
          </w:p>
        </w:tc>
        <w:tc>
          <w:tcPr>
            <w:tcW w:w="6150" w:type="dxa"/>
          </w:tcPr>
          <w:p w14:paraId="537A91C7" w14:textId="77777777" w:rsidR="00E041DB" w:rsidRDefault="00E041DB" w:rsidP="00E041DB">
            <w:pPr>
              <w:jc w:val="both"/>
              <w:rPr>
                <w:rStyle w:val="Titretableau"/>
              </w:rPr>
            </w:pPr>
            <w:r>
              <w:rPr>
                <w:rStyle w:val="Titretableau"/>
              </w:rPr>
              <w:t>Annexe 2.I</w:t>
            </w:r>
          </w:p>
          <w:tbl>
            <w:tblPr>
              <w:tblStyle w:val="Grilledutableau"/>
              <w:tblW w:w="6027" w:type="dxa"/>
              <w:tblLook w:val="04A0" w:firstRow="1" w:lastRow="0" w:firstColumn="1" w:lastColumn="0" w:noHBand="0" w:noVBand="1"/>
            </w:tblPr>
            <w:tblGrid>
              <w:gridCol w:w="1066"/>
              <w:gridCol w:w="4961"/>
            </w:tblGrid>
            <w:tr w:rsidR="00E041DB" w14:paraId="5D450D93" w14:textId="77777777" w:rsidTr="005A501E">
              <w:tc>
                <w:tcPr>
                  <w:tcW w:w="1066" w:type="dxa"/>
                </w:tcPr>
                <w:p w14:paraId="20376785"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088B2632" w14:textId="2106408B" w:rsidR="00E041DB" w:rsidRPr="00FF1689" w:rsidRDefault="00E041DB" w:rsidP="00E041DB">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E041DB" w14:paraId="59DC9F84" w14:textId="77777777" w:rsidTr="005A501E">
              <w:tc>
                <w:tcPr>
                  <w:tcW w:w="1066" w:type="dxa"/>
                </w:tcPr>
                <w:p w14:paraId="3D26B032" w14:textId="77777777" w:rsidR="00E041DB" w:rsidRPr="00FF1689" w:rsidRDefault="00E041DB" w:rsidP="00E041DB">
                  <w:pPr>
                    <w:jc w:val="both"/>
                    <w:rPr>
                      <w:rStyle w:val="Titretableau"/>
                      <w:b w:val="0"/>
                    </w:rPr>
                  </w:pPr>
                  <w:r>
                    <w:rPr>
                      <w:rStyle w:val="Titretableau"/>
                      <w:b w:val="0"/>
                    </w:rPr>
                    <w:t>III.11-I</w:t>
                  </w:r>
                </w:p>
              </w:tc>
              <w:tc>
                <w:tcPr>
                  <w:tcW w:w="4961" w:type="dxa"/>
                </w:tcPr>
                <w:p w14:paraId="478F2A92" w14:textId="1F6AC5BF" w:rsidR="00E041DB" w:rsidRDefault="00E041DB" w:rsidP="00E041DB">
                  <w:pPr>
                    <w:jc w:val="both"/>
                    <w:rPr>
                      <w:color w:val="0070C0"/>
                    </w:rPr>
                  </w:pPr>
                  <w:r>
                    <w:t xml:space="preserve">Ces dispositions sont applicables, à l'exception </w:t>
                  </w:r>
                  <w:r w:rsidRPr="00DA262A">
                    <w:rPr>
                      <w:color w:val="2E74B5" w:themeColor="accent1" w:themeShade="BF"/>
                    </w:rPr>
                    <w:t>de la dernière phrase du</w:t>
                  </w:r>
                  <w:r>
                    <w:t xml:space="preserve"> 4ème tiret du </w:t>
                  </w:r>
                  <w:proofErr w:type="gramStart"/>
                  <w:r>
                    <w:t>I.</w:t>
                  </w:r>
                  <w:r w:rsidRPr="0090500A">
                    <w:rPr>
                      <w:color w:val="0070C0"/>
                    </w:rPr>
                    <w:t> .</w:t>
                  </w:r>
                  <w:proofErr w:type="gramEnd"/>
                </w:p>
                <w:p w14:paraId="1042484E" w14:textId="5FACA9B3" w:rsidR="00E041DB" w:rsidRPr="00364EEF" w:rsidRDefault="00E041DB" w:rsidP="00E041DB">
                  <w:pPr>
                    <w:jc w:val="both"/>
                    <w:rPr>
                      <w:rStyle w:val="Titretableau"/>
                      <w:b w:val="0"/>
                    </w:rPr>
                  </w:pPr>
                  <w:r w:rsidRPr="00E041DB">
                    <w:rPr>
                      <w:rStyle w:val="Titretableau"/>
                      <w:b w:val="0"/>
                    </w:rPr>
                    <w:t>Ces dispositions sont applicables aux rétentions construites après le 1</w:t>
                  </w:r>
                  <w:r w:rsidRPr="00DA262A">
                    <w:rPr>
                      <w:rStyle w:val="Titretableau"/>
                      <w:b w:val="0"/>
                      <w:vertAlign w:val="superscript"/>
                    </w:rPr>
                    <w:t>er</w:t>
                  </w:r>
                  <w:r w:rsidRPr="00E041DB">
                    <w:rPr>
                      <w:rStyle w:val="Titretableau"/>
                      <w:b w:val="0"/>
                    </w:rPr>
                    <w:t xml:space="preserve"> janvier 2021.</w:t>
                  </w:r>
                </w:p>
              </w:tc>
            </w:tr>
          </w:tbl>
          <w:p w14:paraId="7FE07A38" w14:textId="77777777" w:rsidR="00E041DB" w:rsidRDefault="00E041DB" w:rsidP="00E041DB">
            <w:pPr>
              <w:jc w:val="both"/>
              <w:rPr>
                <w:rStyle w:val="Titretableau"/>
              </w:rPr>
            </w:pPr>
          </w:p>
        </w:tc>
        <w:tc>
          <w:tcPr>
            <w:tcW w:w="3040" w:type="dxa"/>
          </w:tcPr>
          <w:p w14:paraId="61BDAC6E" w14:textId="77777777" w:rsidR="00E041DB" w:rsidRDefault="00E041DB" w:rsidP="00E041DB">
            <w:pPr>
              <w:jc w:val="both"/>
            </w:pPr>
            <w:r>
              <w:t xml:space="preserve">Réintégration de dispositions précédemment applicables. </w:t>
            </w:r>
          </w:p>
        </w:tc>
      </w:tr>
      <w:tr w:rsidR="00E041DB" w14:paraId="7893AC39" w14:textId="77777777" w:rsidTr="001A16E3">
        <w:trPr>
          <w:trHeight w:val="2196"/>
          <w:jc w:val="center"/>
        </w:trPr>
        <w:tc>
          <w:tcPr>
            <w:tcW w:w="6150" w:type="dxa"/>
          </w:tcPr>
          <w:p w14:paraId="4D07CD08" w14:textId="18681D6A" w:rsidR="00E041DB" w:rsidRDefault="00E041DB" w:rsidP="00E041DB">
            <w:pPr>
              <w:jc w:val="both"/>
              <w:rPr>
                <w:rStyle w:val="Titretableau"/>
              </w:rPr>
            </w:pPr>
            <w:r>
              <w:rPr>
                <w:rStyle w:val="Titretableau"/>
              </w:rPr>
              <w:t xml:space="preserve">Annexe </w:t>
            </w:r>
            <w:r w:rsidR="00FB042E">
              <w:rPr>
                <w:rStyle w:val="Titretableau"/>
              </w:rPr>
              <w:t>3</w:t>
            </w:r>
            <w:r>
              <w:rPr>
                <w:rStyle w:val="Titretableau"/>
              </w:rPr>
              <w:t>. I</w:t>
            </w:r>
          </w:p>
          <w:tbl>
            <w:tblPr>
              <w:tblStyle w:val="Grilledutableau"/>
              <w:tblW w:w="6027" w:type="dxa"/>
              <w:tblLook w:val="04A0" w:firstRow="1" w:lastRow="0" w:firstColumn="1" w:lastColumn="0" w:noHBand="0" w:noVBand="1"/>
            </w:tblPr>
            <w:tblGrid>
              <w:gridCol w:w="1066"/>
              <w:gridCol w:w="4961"/>
            </w:tblGrid>
            <w:tr w:rsidR="00E041DB" w:rsidRPr="00FF1689" w14:paraId="42FC76E7" w14:textId="77777777" w:rsidTr="008A6C44">
              <w:tc>
                <w:tcPr>
                  <w:tcW w:w="1066" w:type="dxa"/>
                </w:tcPr>
                <w:p w14:paraId="3F518871"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35EC3D67" w14:textId="77777777" w:rsidR="00E041DB" w:rsidRPr="00FF1689" w:rsidRDefault="00E041DB" w:rsidP="00E041DB">
                  <w:pPr>
                    <w:jc w:val="both"/>
                    <w:rPr>
                      <w:rStyle w:val="Titretableau"/>
                      <w:b w:val="0"/>
                    </w:rPr>
                  </w:pPr>
                </w:p>
              </w:tc>
            </w:tr>
            <w:tr w:rsidR="00E041DB" w:rsidRPr="00364EEF" w14:paraId="169A4D76" w14:textId="77777777" w:rsidTr="008A6C44">
              <w:tc>
                <w:tcPr>
                  <w:tcW w:w="1066" w:type="dxa"/>
                </w:tcPr>
                <w:p w14:paraId="6A6A57A1" w14:textId="77777777" w:rsidR="00E041DB" w:rsidRPr="00FF1689" w:rsidRDefault="00E041DB" w:rsidP="00E041DB">
                  <w:pPr>
                    <w:jc w:val="both"/>
                    <w:rPr>
                      <w:rStyle w:val="Titretableau"/>
                      <w:b w:val="0"/>
                    </w:rPr>
                  </w:pPr>
                  <w:r>
                    <w:rPr>
                      <w:rStyle w:val="Titretableau"/>
                      <w:b w:val="0"/>
                    </w:rPr>
                    <w:t>I</w:t>
                  </w:r>
                  <w:r>
                    <w:rPr>
                      <w:rStyle w:val="Titretableau"/>
                    </w:rPr>
                    <w:t>II.3</w:t>
                  </w:r>
                </w:p>
              </w:tc>
              <w:tc>
                <w:tcPr>
                  <w:tcW w:w="4961" w:type="dxa"/>
                </w:tcPr>
                <w:p w14:paraId="0CB0A1EB"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6F407375" w14:textId="77777777" w:rsidR="00E041DB" w:rsidRPr="00364EEF" w:rsidRDefault="00E041DB" w:rsidP="00E041DB">
                  <w:pPr>
                    <w:jc w:val="both"/>
                    <w:rPr>
                      <w:rStyle w:val="Titretableau"/>
                      <w:b w:val="0"/>
                    </w:rPr>
                  </w:pPr>
                  <w:r w:rsidRPr="00E041DB">
                    <w:rPr>
                      <w:rStyle w:val="Titretableau"/>
                      <w:b w:val="0"/>
                    </w:rPr>
                    <w:t>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77582950" w14:textId="77777777" w:rsidR="00E041DB" w:rsidRDefault="00E041DB" w:rsidP="00E041DB">
            <w:pPr>
              <w:jc w:val="both"/>
              <w:rPr>
                <w:rStyle w:val="Titretableau"/>
              </w:rPr>
            </w:pPr>
          </w:p>
        </w:tc>
        <w:tc>
          <w:tcPr>
            <w:tcW w:w="6150" w:type="dxa"/>
          </w:tcPr>
          <w:p w14:paraId="389A6862" w14:textId="74BE9576" w:rsidR="00E041DB" w:rsidRDefault="00E041DB" w:rsidP="00E041DB">
            <w:pPr>
              <w:jc w:val="both"/>
              <w:rPr>
                <w:rStyle w:val="Titretableau"/>
              </w:rPr>
            </w:pPr>
            <w:r>
              <w:rPr>
                <w:rStyle w:val="Titretableau"/>
              </w:rPr>
              <w:t xml:space="preserve">Annexe </w:t>
            </w:r>
            <w:r w:rsidR="00FB042E">
              <w:rPr>
                <w:rStyle w:val="Titretableau"/>
              </w:rPr>
              <w:t>3</w:t>
            </w:r>
            <w:r>
              <w:rPr>
                <w:rStyle w:val="Titretableau"/>
              </w:rPr>
              <w:t>. I</w:t>
            </w:r>
          </w:p>
          <w:tbl>
            <w:tblPr>
              <w:tblStyle w:val="Grilledutableau"/>
              <w:tblW w:w="6027" w:type="dxa"/>
              <w:tblLook w:val="04A0" w:firstRow="1" w:lastRow="0" w:firstColumn="1" w:lastColumn="0" w:noHBand="0" w:noVBand="1"/>
            </w:tblPr>
            <w:tblGrid>
              <w:gridCol w:w="1066"/>
              <w:gridCol w:w="4961"/>
            </w:tblGrid>
            <w:tr w:rsidR="00E041DB" w:rsidRPr="00FF1689" w14:paraId="2FF4479A" w14:textId="77777777" w:rsidTr="008A6C44">
              <w:tc>
                <w:tcPr>
                  <w:tcW w:w="1066" w:type="dxa"/>
                </w:tcPr>
                <w:p w14:paraId="16A33A24"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0EFA35F2" w14:textId="77777777" w:rsidR="00E041DB" w:rsidRPr="00FF1689" w:rsidRDefault="00E041DB" w:rsidP="00E041DB">
                  <w:pPr>
                    <w:jc w:val="both"/>
                    <w:rPr>
                      <w:rStyle w:val="Titretableau"/>
                      <w:b w:val="0"/>
                    </w:rPr>
                  </w:pPr>
                </w:p>
              </w:tc>
            </w:tr>
            <w:tr w:rsidR="00E041DB" w:rsidRPr="00364EEF" w14:paraId="3CECA797" w14:textId="77777777" w:rsidTr="008A6C44">
              <w:tc>
                <w:tcPr>
                  <w:tcW w:w="1066" w:type="dxa"/>
                </w:tcPr>
                <w:p w14:paraId="496BABBF" w14:textId="77777777" w:rsidR="00E041DB" w:rsidRDefault="00E041DB" w:rsidP="00E041DB">
                  <w:pPr>
                    <w:jc w:val="both"/>
                    <w:rPr>
                      <w:rStyle w:val="Titretableau"/>
                    </w:rPr>
                  </w:pPr>
                  <w:r>
                    <w:rPr>
                      <w:rStyle w:val="Titretableau"/>
                      <w:b w:val="0"/>
                    </w:rPr>
                    <w:t>I</w:t>
                  </w:r>
                  <w:r>
                    <w:rPr>
                      <w:rStyle w:val="Titretableau"/>
                    </w:rPr>
                    <w:t>II.</w:t>
                  </w:r>
                </w:p>
                <w:p w14:paraId="42A89F32" w14:textId="77777777" w:rsidR="00E041DB" w:rsidRPr="00FF1689" w:rsidRDefault="00E041DB" w:rsidP="00E041DB">
                  <w:pPr>
                    <w:jc w:val="both"/>
                    <w:rPr>
                      <w:rStyle w:val="Titretableau"/>
                      <w:b w:val="0"/>
                    </w:rPr>
                  </w:pPr>
                  <w:r>
                    <w:rPr>
                      <w:rStyle w:val="Titretableau"/>
                    </w:rPr>
                    <w:t>3</w:t>
                  </w:r>
                </w:p>
              </w:tc>
              <w:tc>
                <w:tcPr>
                  <w:tcW w:w="4961" w:type="dxa"/>
                </w:tcPr>
                <w:p w14:paraId="59F00EB7" w14:textId="77777777" w:rsidR="00E041DB" w:rsidRPr="00E041DB" w:rsidRDefault="00E041DB" w:rsidP="00E041DB">
                  <w:pPr>
                    <w:jc w:val="both"/>
                    <w:rPr>
                      <w:rStyle w:val="Titretableau"/>
                      <w:b w:val="0"/>
                    </w:rPr>
                  </w:pPr>
                  <w:r w:rsidRPr="00E041DB">
                    <w:rPr>
                      <w:rStyle w:val="Titretableau"/>
                      <w:b w:val="0"/>
                    </w:rPr>
                    <w:t>Les dispositions définies à l'annexe V sont applicables aux installations existantes à compter du 1</w:t>
                  </w:r>
                  <w:r w:rsidRPr="00DA262A">
                    <w:rPr>
                      <w:rStyle w:val="Titretableau"/>
                      <w:b w:val="0"/>
                      <w:vertAlign w:val="superscript"/>
                    </w:rPr>
                    <w:t>er</w:t>
                  </w:r>
                  <w:r w:rsidRPr="00E041DB">
                    <w:rPr>
                      <w:rStyle w:val="Titretableau"/>
                      <w:b w:val="0"/>
                    </w:rPr>
                    <w:t xml:space="preserve"> janvier 2026 en lieu et place des dispositions de l'article III.3.</w:t>
                  </w:r>
                </w:p>
                <w:p w14:paraId="69715C3E" w14:textId="77777777" w:rsidR="00E041DB" w:rsidRPr="00364EEF" w:rsidRDefault="00E041DB" w:rsidP="00E041DB">
                  <w:pPr>
                    <w:jc w:val="both"/>
                    <w:rPr>
                      <w:rStyle w:val="Titretableau"/>
                      <w:b w:val="0"/>
                    </w:rPr>
                  </w:pPr>
                  <w:r w:rsidRPr="00E041DB">
                    <w:rPr>
                      <w:rStyle w:val="Titretableau"/>
                      <w:b w:val="0"/>
                    </w:rPr>
                    <w:t xml:space="preserve">Néanmoins, </w:t>
                  </w:r>
                  <w:r w:rsidRPr="008A6C44">
                    <w:rPr>
                      <w:rStyle w:val="Titretableau"/>
                      <w:b w:val="0"/>
                      <w:color w:val="2E74B5" w:themeColor="accent1" w:themeShade="BF"/>
                    </w:rPr>
                    <w:t xml:space="preserve">en </w:t>
                  </w:r>
                  <w:r w:rsidRPr="00E041DB">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E041DB">
                    <w:rPr>
                      <w:rStyle w:val="Titretableau"/>
                      <w:b w:val="0"/>
                    </w:rPr>
                    <w:t xml:space="preserve"> janvier 2021, ces dispositions sont applicables à l'extension.</w:t>
                  </w:r>
                </w:p>
              </w:tc>
            </w:tr>
          </w:tbl>
          <w:p w14:paraId="0C35DCB9" w14:textId="77777777" w:rsidR="00E041DB" w:rsidRDefault="00E041DB" w:rsidP="00E041DB">
            <w:pPr>
              <w:jc w:val="both"/>
              <w:rPr>
                <w:rStyle w:val="Titretableau"/>
              </w:rPr>
            </w:pPr>
          </w:p>
        </w:tc>
        <w:tc>
          <w:tcPr>
            <w:tcW w:w="3040" w:type="dxa"/>
          </w:tcPr>
          <w:p w14:paraId="09616606" w14:textId="120B9641" w:rsidR="00E041DB" w:rsidRDefault="008E40D9" w:rsidP="00E041DB">
            <w:pPr>
              <w:jc w:val="both"/>
            </w:pPr>
            <w:r>
              <w:t>Correction d’une coquille.</w:t>
            </w:r>
          </w:p>
        </w:tc>
      </w:tr>
      <w:tr w:rsidR="00E041DB" w14:paraId="3DA4E0F6" w14:textId="77777777" w:rsidTr="000B52F8">
        <w:trPr>
          <w:jc w:val="center"/>
        </w:trPr>
        <w:tc>
          <w:tcPr>
            <w:tcW w:w="15340" w:type="dxa"/>
            <w:gridSpan w:val="3"/>
            <w:shd w:val="clear" w:color="auto" w:fill="8EAADB" w:themeFill="accent5" w:themeFillTint="99"/>
          </w:tcPr>
          <w:p w14:paraId="6AE0658E" w14:textId="77777777" w:rsidR="00E041DB" w:rsidRDefault="00E041DB" w:rsidP="00E041DB">
            <w:pPr>
              <w:jc w:val="both"/>
            </w:pPr>
            <w:r>
              <w:rPr>
                <w:rStyle w:val="Titretableau"/>
              </w:rPr>
              <w:t>Arrêté du 3 octobre 2010 relatif au stockage en réservoirs aériens manufacturés de liquides inflammables, exploités au sein d'une installation classée pour la protection de l'environnement soumise à autorisation</w:t>
            </w:r>
          </w:p>
        </w:tc>
      </w:tr>
      <w:tr w:rsidR="00E041DB" w14:paraId="58A505C3" w14:textId="77777777" w:rsidTr="00D83B73">
        <w:trPr>
          <w:jc w:val="center"/>
        </w:trPr>
        <w:tc>
          <w:tcPr>
            <w:tcW w:w="6150" w:type="dxa"/>
          </w:tcPr>
          <w:p w14:paraId="79571841" w14:textId="77777777" w:rsidR="00E041DB" w:rsidRDefault="00E041DB" w:rsidP="00E041DB">
            <w:pPr>
              <w:jc w:val="both"/>
            </w:pPr>
            <w:r>
              <w:rPr>
                <w:rStyle w:val="Titretableau"/>
              </w:rPr>
              <w:t>Article 1</w:t>
            </w:r>
          </w:p>
          <w:p w14:paraId="1D4A5C1E" w14:textId="77777777" w:rsidR="00E041DB" w:rsidRDefault="00E041DB" w:rsidP="00E041DB">
            <w:pPr>
              <w:jc w:val="both"/>
            </w:pPr>
            <w:proofErr w:type="spellStart"/>
            <w:r>
              <w:rPr>
                <w:rStyle w:val="Texte"/>
              </w:rPr>
              <w:t>III.-Pour</w:t>
            </w:r>
            <w:proofErr w:type="spellEnd"/>
            <w:r>
              <w:rPr>
                <w:rStyle w:val="Texte"/>
              </w:rPr>
              <w:t xml:space="preserve"> les installations relevant du I-1 ou I-2, les dispositions du présent arrêté sont applicables à l'ensemble des stockages en réservoirs aériens de liquides de mention de danger H224, H225 et H226, liquides de points éclair compris entre 60 et 93° C et déchets </w:t>
            </w:r>
            <w:r>
              <w:rPr>
                <w:rStyle w:val="Texte"/>
              </w:rPr>
              <w:lastRenderedPageBreak/>
              <w:t>liquides inflammables catégorisés HP3 présents au sein de l'ensemble des installations réglementées par l'arrêté préfectoral d'autorisation, à l'exclusion de ceux cités au II.</w:t>
            </w:r>
          </w:p>
        </w:tc>
        <w:tc>
          <w:tcPr>
            <w:tcW w:w="6150" w:type="dxa"/>
          </w:tcPr>
          <w:p w14:paraId="48BCB0F5" w14:textId="77777777" w:rsidR="00E041DB" w:rsidRDefault="00E041DB" w:rsidP="00E041DB">
            <w:pPr>
              <w:jc w:val="both"/>
            </w:pPr>
            <w:r>
              <w:rPr>
                <w:rStyle w:val="Titretableau"/>
              </w:rPr>
              <w:lastRenderedPageBreak/>
              <w:t>Article 1</w:t>
            </w:r>
          </w:p>
          <w:p w14:paraId="09DD7A7A" w14:textId="3BCDD411" w:rsidR="00E041DB" w:rsidRDefault="00E041DB" w:rsidP="00E041DB">
            <w:pPr>
              <w:jc w:val="both"/>
            </w:pPr>
            <w:proofErr w:type="spellStart"/>
            <w:r>
              <w:rPr>
                <w:rStyle w:val="Texte"/>
              </w:rPr>
              <w:t>III.-Pour</w:t>
            </w:r>
            <w:proofErr w:type="spellEnd"/>
            <w:r>
              <w:rPr>
                <w:rStyle w:val="Texte"/>
              </w:rPr>
              <w:t xml:space="preserve"> les installations relevant du I-1 ou I-2, les dispositions du présent arrêté sont applicables à l'ensemble des stockages en réservoirs aériens de liquides de mention de danger H224, H225 et H226, liquides de points éclair compris entre 60 et 93° C, </w:t>
            </w:r>
            <w:r w:rsidRPr="00E34E8D">
              <w:rPr>
                <w:rStyle w:val="Texte"/>
                <w:color w:val="0070C0"/>
              </w:rPr>
              <w:t xml:space="preserve">à </w:t>
            </w:r>
            <w:r w:rsidRPr="00E34E8D">
              <w:rPr>
                <w:rStyle w:val="Texte"/>
                <w:color w:val="0070C0"/>
              </w:rPr>
              <w:lastRenderedPageBreak/>
              <w:t xml:space="preserve">l'exception de ceux ayant donné des résultats négatifs à une épreuve de combustion entretenue reconnue par le ministre </w:t>
            </w:r>
            <w:r w:rsidR="00DB3918">
              <w:rPr>
                <w:rStyle w:val="Texte"/>
                <w:color w:val="0070C0"/>
              </w:rPr>
              <w:t xml:space="preserve">des installations </w:t>
            </w:r>
            <w:r>
              <w:rPr>
                <w:rStyle w:val="Texte"/>
                <w:color w:val="0070C0"/>
              </w:rPr>
              <w:t>chargé</w:t>
            </w:r>
            <w:r w:rsidRPr="00E34E8D">
              <w:rPr>
                <w:rStyle w:val="Texte"/>
                <w:color w:val="0070C0"/>
              </w:rPr>
              <w:t xml:space="preserve"> classées</w:t>
            </w:r>
            <w:r>
              <w:rPr>
                <w:rStyle w:val="Texte"/>
              </w:rPr>
              <w:t>, et déchets liquides inflammables catégorisés HP3 présents au sein de l'ensemble des installations réglementées par l'arrêté préfectoral d'autorisation, à l'exclusion de ceux cités au II.</w:t>
            </w:r>
          </w:p>
        </w:tc>
        <w:tc>
          <w:tcPr>
            <w:tcW w:w="3040" w:type="dxa"/>
            <w:vMerge w:val="restart"/>
          </w:tcPr>
          <w:p w14:paraId="10B05B23" w14:textId="0AD946BD" w:rsidR="00E041DB" w:rsidRDefault="00E041DB" w:rsidP="00E041DB">
            <w:pPr>
              <w:jc w:val="both"/>
            </w:pPr>
            <w:r>
              <w:lastRenderedPageBreak/>
              <w:t xml:space="preserve">Par cohérence avec CLP et la rubrique </w:t>
            </w:r>
            <w:r w:rsidR="001912C3">
              <w:t>n°</w:t>
            </w:r>
            <w:r>
              <w:t xml:space="preserve">1436, précision de l’exception pour les substances ayant données un résultat </w:t>
            </w:r>
            <w:r>
              <w:lastRenderedPageBreak/>
              <w:t>négatif à l’épreuve de combustion entretenue.</w:t>
            </w:r>
          </w:p>
        </w:tc>
      </w:tr>
      <w:tr w:rsidR="00E041DB" w14:paraId="7A3F4ADE" w14:textId="77777777" w:rsidTr="00D83B73">
        <w:trPr>
          <w:jc w:val="center"/>
        </w:trPr>
        <w:tc>
          <w:tcPr>
            <w:tcW w:w="6150" w:type="dxa"/>
          </w:tcPr>
          <w:p w14:paraId="74E50298" w14:textId="7A6510B4" w:rsidR="00E041DB" w:rsidRDefault="00E041DB" w:rsidP="00E041DB">
            <w:pPr>
              <w:jc w:val="both"/>
            </w:pPr>
            <w:r>
              <w:rPr>
                <w:rStyle w:val="Titretableau"/>
              </w:rPr>
              <w:lastRenderedPageBreak/>
              <w:t>Article 2</w:t>
            </w:r>
          </w:p>
          <w:p w14:paraId="7E561D32" w14:textId="10A17177" w:rsidR="00E041DB" w:rsidRDefault="00E041DB" w:rsidP="00E041DB">
            <w:pPr>
              <w:jc w:val="both"/>
              <w:rPr>
                <w:rStyle w:val="Titretableau"/>
              </w:rPr>
            </w:pPr>
            <w:r>
              <w:t>- liquides inflammables : liquides de mention de danger H224, H225 et H226, liquides de points éclair compris entre 60 et 93 °C et déchets liquides inflammables catégorisés HP3 ;</w:t>
            </w:r>
          </w:p>
        </w:tc>
        <w:tc>
          <w:tcPr>
            <w:tcW w:w="6150" w:type="dxa"/>
          </w:tcPr>
          <w:p w14:paraId="1C8A999B" w14:textId="3952309D" w:rsidR="00E041DB" w:rsidRDefault="00E041DB" w:rsidP="00E041DB">
            <w:pPr>
              <w:jc w:val="both"/>
            </w:pPr>
            <w:r>
              <w:rPr>
                <w:rStyle w:val="Titretableau"/>
              </w:rPr>
              <w:t>Article 2</w:t>
            </w:r>
          </w:p>
          <w:p w14:paraId="48AAF35C" w14:textId="7FFC87FF" w:rsidR="00E041DB" w:rsidRDefault="00E041DB" w:rsidP="00E041DB">
            <w:pPr>
              <w:jc w:val="both"/>
              <w:rPr>
                <w:rStyle w:val="Titretableau"/>
              </w:rPr>
            </w:pPr>
            <w:r>
              <w:t>- liquides inflammables : liquides de mention de danger H224, H225 et H226, liquides de points éclair compris entre 60 et 93 °C</w:t>
            </w:r>
            <w:r w:rsidRPr="00D33182">
              <w:rPr>
                <w:color w:val="0070C0"/>
              </w:rPr>
              <w:t xml:space="preserve"> </w:t>
            </w:r>
            <w:r w:rsidRPr="00D33182">
              <w:rPr>
                <w:rStyle w:val="Texte"/>
                <w:color w:val="0070C0"/>
              </w:rPr>
              <w:t xml:space="preserve">à l'exception de ceux ayant donné des résultats négatifs à une épreuve de combustion entretenue reconnue par le ministre </w:t>
            </w:r>
            <w:r>
              <w:rPr>
                <w:rStyle w:val="Texte"/>
                <w:color w:val="0070C0"/>
              </w:rPr>
              <w:t>chargé</w:t>
            </w:r>
            <w:r w:rsidRPr="00D33182">
              <w:rPr>
                <w:rStyle w:val="Texte"/>
                <w:color w:val="0070C0"/>
              </w:rPr>
              <w:t xml:space="preserve"> </w:t>
            </w:r>
            <w:r w:rsidR="00DB3918">
              <w:rPr>
                <w:rStyle w:val="Texte"/>
                <w:color w:val="0070C0"/>
              </w:rPr>
              <w:t xml:space="preserve">des installations </w:t>
            </w:r>
            <w:r w:rsidRPr="00D33182">
              <w:rPr>
                <w:rStyle w:val="Texte"/>
                <w:color w:val="0070C0"/>
              </w:rPr>
              <w:t>classées</w:t>
            </w:r>
            <w:r>
              <w:rPr>
                <w:rStyle w:val="Texte"/>
                <w:color w:val="0070C0"/>
              </w:rPr>
              <w:t>,</w:t>
            </w:r>
            <w:r>
              <w:rPr>
                <w:rStyle w:val="Texte"/>
              </w:rPr>
              <w:t xml:space="preserve"> </w:t>
            </w:r>
            <w:r>
              <w:t>et déchets liquides inflammables catégorisés HP3 ;</w:t>
            </w:r>
          </w:p>
        </w:tc>
        <w:tc>
          <w:tcPr>
            <w:tcW w:w="3040" w:type="dxa"/>
            <w:vMerge/>
          </w:tcPr>
          <w:p w14:paraId="6146F559" w14:textId="77777777" w:rsidR="00E041DB" w:rsidRDefault="00E041DB" w:rsidP="00E041DB">
            <w:pPr>
              <w:jc w:val="both"/>
            </w:pPr>
          </w:p>
        </w:tc>
      </w:tr>
      <w:tr w:rsidR="00E041DB" w14:paraId="48EA2C00" w14:textId="77777777" w:rsidTr="00D83B73">
        <w:trPr>
          <w:jc w:val="center"/>
        </w:trPr>
        <w:tc>
          <w:tcPr>
            <w:tcW w:w="6150" w:type="dxa"/>
          </w:tcPr>
          <w:p w14:paraId="4DDADE95" w14:textId="77777777" w:rsidR="00E041DB" w:rsidRDefault="00E041DB" w:rsidP="00E041DB">
            <w:pPr>
              <w:jc w:val="both"/>
            </w:pPr>
            <w:r>
              <w:rPr>
                <w:rStyle w:val="Titretableau"/>
              </w:rPr>
              <w:t>Article 25</w:t>
            </w:r>
          </w:p>
          <w:p w14:paraId="6099E4AD" w14:textId="77777777" w:rsidR="00E041DB" w:rsidRDefault="00E041DB" w:rsidP="00E041DB">
            <w:pPr>
              <w:jc w:val="both"/>
            </w:pPr>
            <w:r>
              <w:rPr>
                <w:rStyle w:val="Texte"/>
              </w:rPr>
              <w:t xml:space="preserve">25-3. L'espace annulaire est équipé d'une détection (liquide ou gaz) adaptée à la nature du liquide inflammable stocké, </w:t>
            </w:r>
            <w:proofErr w:type="gramStart"/>
            <w:r>
              <w:rPr>
                <w:rStyle w:val="Texte"/>
              </w:rPr>
              <w:t>d'une détection feu</w:t>
            </w:r>
            <w:proofErr w:type="gramEnd"/>
            <w:r>
              <w:rPr>
                <w:rStyle w:val="Texte"/>
              </w:rPr>
              <w:t xml:space="preserve"> et de moyens fixes de déversement de mousse. Si le liquide inflammable éventuellement répandu dans l'espace annulaire peut générer une atmosphère explosive, la détection est basée sur plusieurs capteurs utilisant au moins deux technologies différentes dont une détection gaz.</w:t>
            </w:r>
          </w:p>
          <w:p w14:paraId="0AE6A5EE" w14:textId="77777777" w:rsidR="00E041DB" w:rsidRDefault="00E041DB" w:rsidP="00E041DB">
            <w:pPr>
              <w:jc w:val="both"/>
            </w:pPr>
            <w:r>
              <w:rPr>
                <w:rStyle w:val="Texte"/>
              </w:rPr>
              <w:t>La détection de présence de liquide inflammable dans l'espace annulaire provoque l'arrêt immédiat du remplissage du réservoir, son isolement et le déclenchement automatique de déversement de mousse dans l'espace annulaire.</w:t>
            </w:r>
          </w:p>
          <w:p w14:paraId="4D785036" w14:textId="77777777" w:rsidR="00E041DB" w:rsidRDefault="00E041DB" w:rsidP="00E041DB">
            <w:pPr>
              <w:jc w:val="both"/>
            </w:pPr>
            <w:r>
              <w:rPr>
                <w:rStyle w:val="Texte"/>
              </w:rPr>
              <w:lastRenderedPageBreak/>
              <w:t xml:space="preserve">En l'absence de présence humaine sur le site ou si le délai d'intervention incendie est supérieur à vingt minutes, </w:t>
            </w:r>
            <w:proofErr w:type="gramStart"/>
            <w:r>
              <w:rPr>
                <w:rStyle w:val="Texte"/>
              </w:rPr>
              <w:t>la détection feu</w:t>
            </w:r>
            <w:proofErr w:type="gramEnd"/>
            <w:r>
              <w:rPr>
                <w:rStyle w:val="Texte"/>
              </w:rPr>
              <w:t xml:space="preserve"> provoque l'isolement du réservoir et le déclenchement automatique du déversement de mousse dans l'espace annulaire.</w:t>
            </w:r>
          </w:p>
          <w:p w14:paraId="1BA9FCAA" w14:textId="77777777" w:rsidR="00E041DB" w:rsidRDefault="00E041DB" w:rsidP="00E041DB">
            <w:pPr>
              <w:jc w:val="both"/>
            </w:pPr>
          </w:p>
        </w:tc>
        <w:tc>
          <w:tcPr>
            <w:tcW w:w="6150" w:type="dxa"/>
          </w:tcPr>
          <w:p w14:paraId="634EBF73" w14:textId="77777777" w:rsidR="00E041DB" w:rsidRDefault="00E041DB" w:rsidP="00E041DB">
            <w:pPr>
              <w:jc w:val="both"/>
            </w:pPr>
            <w:r>
              <w:rPr>
                <w:rStyle w:val="Titretableau"/>
              </w:rPr>
              <w:lastRenderedPageBreak/>
              <w:t>Article 25</w:t>
            </w:r>
          </w:p>
          <w:p w14:paraId="5F1399BC" w14:textId="77777777" w:rsidR="00E041DB" w:rsidRDefault="00E041DB" w:rsidP="00E041DB">
            <w:pPr>
              <w:jc w:val="both"/>
            </w:pPr>
            <w:r>
              <w:rPr>
                <w:rStyle w:val="Texte"/>
              </w:rPr>
              <w:t xml:space="preserve">25-3. L'espace annulaire est équipé d'une détection (liquide ou gaz) adaptée à la nature du liquide inflammable stocké, </w:t>
            </w:r>
            <w:proofErr w:type="gramStart"/>
            <w:r>
              <w:rPr>
                <w:rStyle w:val="Texte"/>
              </w:rPr>
              <w:t>d'une détection feu</w:t>
            </w:r>
            <w:proofErr w:type="gramEnd"/>
            <w:r>
              <w:rPr>
                <w:rStyle w:val="Texte"/>
              </w:rPr>
              <w:t xml:space="preserve"> et de moyens fixes de déversement de mousse. Si le liquide inflammable éventuellement répandu dans l'espace annulaire peut générer une atmosphère explosive, la détection est basée sur plusieurs capteurs utilisant au moins deux technologies différentes dont une détection gaz.</w:t>
            </w:r>
          </w:p>
          <w:p w14:paraId="0DFD9DE9" w14:textId="7DCAC989" w:rsidR="00E041DB" w:rsidRDefault="00E041DB" w:rsidP="00E041DB">
            <w:pPr>
              <w:jc w:val="both"/>
              <w:rPr>
                <w:rStyle w:val="Texte"/>
              </w:rPr>
            </w:pPr>
            <w:r>
              <w:rPr>
                <w:rStyle w:val="Texte"/>
              </w:rPr>
              <w:t>La détection de présence de liquide inflammable dans l'espace annulaire provoque l'arrêt immédiat du remplissage du réservoir, son isolement et le déclenchement automatique de déversement de mousse dans l'espace annulaire.</w:t>
            </w:r>
          </w:p>
          <w:p w14:paraId="67A277D7" w14:textId="16DE6D39" w:rsidR="00E041DB" w:rsidRPr="00C83797" w:rsidRDefault="00E041DB" w:rsidP="00E041DB">
            <w:pPr>
              <w:jc w:val="both"/>
              <w:rPr>
                <w:color w:val="2E74B5" w:themeColor="accent1" w:themeShade="BF"/>
              </w:rPr>
            </w:pPr>
            <w:r w:rsidRPr="00C83797">
              <w:rPr>
                <w:color w:val="2E74B5" w:themeColor="accent1" w:themeShade="BF"/>
              </w:rPr>
              <w:lastRenderedPageBreak/>
              <w:t xml:space="preserve">Pour les liquides inflammables dont la pression de vapeur saturante est inférieure ou égale à 25 kilopascals à 20 °C (ou </w:t>
            </w:r>
            <w:r>
              <w:rPr>
                <w:color w:val="2E74B5" w:themeColor="accent1" w:themeShade="BF"/>
              </w:rPr>
              <w:t xml:space="preserve">la </w:t>
            </w:r>
            <w:r w:rsidRPr="00C83797">
              <w:rPr>
                <w:color w:val="2E74B5" w:themeColor="accent1" w:themeShade="BF"/>
              </w:rPr>
              <w:t>tension de vapeur équivalente à 37,8 °C</w:t>
            </w:r>
            <w:r w:rsidR="00FB042E">
              <w:rPr>
                <w:color w:val="2E74B5" w:themeColor="accent1" w:themeShade="BF"/>
              </w:rPr>
              <w:t xml:space="preserve"> est  inférieure ou égale à </w:t>
            </w:r>
            <w:r w:rsidRPr="00C83797">
              <w:rPr>
                <w:color w:val="2E74B5" w:themeColor="accent1" w:themeShade="BF"/>
              </w:rPr>
              <w:t>50 kilopascals pour les produits pétroliers), le préfet peut adapter les modalités de déclenchement du déversement de la mousse par arrêté préfectoral, au regard de la sensibilité des enjeux potentiellement impactés autour du site tels que décrits dans l</w:t>
            </w:r>
            <w:r w:rsidR="00FB042E">
              <w:rPr>
                <w:color w:val="2E74B5" w:themeColor="accent1" w:themeShade="BF"/>
              </w:rPr>
              <w:t>’</w:t>
            </w:r>
            <w:r w:rsidRPr="00C83797">
              <w:rPr>
                <w:color w:val="2E74B5" w:themeColor="accent1" w:themeShade="BF"/>
              </w:rPr>
              <w:t>étude de dangers et en tenant compte de la stratégie incendie permettant de garantir un délai d’intervention incendie inférieur ou égal à 20 minutes.</w:t>
            </w:r>
          </w:p>
          <w:p w14:paraId="6BC6804E" w14:textId="3CAC16DB" w:rsidR="00E041DB" w:rsidRPr="00E34E8D" w:rsidRDefault="00E041DB" w:rsidP="00E041DB">
            <w:pPr>
              <w:jc w:val="both"/>
              <w:rPr>
                <w:color w:val="0070C0"/>
              </w:rPr>
            </w:pPr>
            <w:r>
              <w:rPr>
                <w:rStyle w:val="Texte"/>
              </w:rPr>
              <w:t>En l</w:t>
            </w:r>
            <w:r w:rsidR="00FB042E">
              <w:rPr>
                <w:rStyle w:val="Texte"/>
              </w:rPr>
              <w:t>’</w:t>
            </w:r>
            <w:r>
              <w:rPr>
                <w:rStyle w:val="Texte"/>
              </w:rPr>
              <w:t>absence de présence humaine sur le site ou si le délai d</w:t>
            </w:r>
            <w:r w:rsidR="00FB042E">
              <w:rPr>
                <w:rStyle w:val="Texte"/>
              </w:rPr>
              <w:t>’</w:t>
            </w:r>
            <w:r>
              <w:rPr>
                <w:rStyle w:val="Texte"/>
              </w:rPr>
              <w:t>intervention incendie est supérieur à vingt minutes, la détection feu provoque l</w:t>
            </w:r>
            <w:r w:rsidR="00FB042E">
              <w:rPr>
                <w:rStyle w:val="Texte"/>
              </w:rPr>
              <w:t>’</w:t>
            </w:r>
            <w:r>
              <w:rPr>
                <w:rStyle w:val="Texte"/>
              </w:rPr>
              <w:t>isolement du réservoir et le déclenchement automatique du déversement de mousse dans l</w:t>
            </w:r>
            <w:r w:rsidR="00FB042E">
              <w:rPr>
                <w:rStyle w:val="Texte"/>
              </w:rPr>
              <w:t>’</w:t>
            </w:r>
            <w:r>
              <w:rPr>
                <w:rStyle w:val="Texte"/>
              </w:rPr>
              <w:t>espace annulaire.</w:t>
            </w:r>
          </w:p>
        </w:tc>
        <w:tc>
          <w:tcPr>
            <w:tcW w:w="3040" w:type="dxa"/>
          </w:tcPr>
          <w:p w14:paraId="393532C9" w14:textId="77777777" w:rsidR="00E041DB" w:rsidRDefault="00E041DB" w:rsidP="00E041DB">
            <w:pPr>
              <w:jc w:val="both"/>
            </w:pPr>
            <w:r>
              <w:lastRenderedPageBreak/>
              <w:t xml:space="preserve">Introduction d’une possibilité de dérogation à l’obligation de déversement automatique de mousse dans l’espace annulaire </w:t>
            </w:r>
          </w:p>
        </w:tc>
      </w:tr>
      <w:tr w:rsidR="00FB042E" w14:paraId="35B8FD8C" w14:textId="77777777" w:rsidTr="00D83B73">
        <w:trPr>
          <w:jc w:val="center"/>
        </w:trPr>
        <w:tc>
          <w:tcPr>
            <w:tcW w:w="6150" w:type="dxa"/>
          </w:tcPr>
          <w:p w14:paraId="737639EB" w14:textId="77777777" w:rsidR="00FB042E" w:rsidRDefault="00FB042E" w:rsidP="00E041DB">
            <w:pPr>
              <w:jc w:val="both"/>
              <w:rPr>
                <w:rStyle w:val="Titretableau"/>
              </w:rPr>
            </w:pPr>
            <w:r>
              <w:rPr>
                <w:rStyle w:val="Titretableau"/>
              </w:rPr>
              <w:t>Article 29</w:t>
            </w:r>
          </w:p>
          <w:p w14:paraId="657F4BDB" w14:textId="77777777" w:rsidR="00FB042E" w:rsidRDefault="00FB042E" w:rsidP="00E041DB">
            <w:pPr>
              <w:jc w:val="both"/>
              <w:rPr>
                <w:rStyle w:val="Texte"/>
              </w:rPr>
            </w:pPr>
            <w:r>
              <w:rPr>
                <w:rStyle w:val="Texte"/>
              </w:rPr>
              <w:t>29-3. […]</w:t>
            </w:r>
          </w:p>
          <w:p w14:paraId="5B6539E9" w14:textId="0E476F23" w:rsidR="00FB042E" w:rsidRDefault="00FB042E" w:rsidP="00E041DB">
            <w:pPr>
              <w:jc w:val="both"/>
              <w:rPr>
                <w:rStyle w:val="Titretableau"/>
              </w:rPr>
            </w:pPr>
            <w:r w:rsidRPr="00FB042E">
              <w:rPr>
                <w:rStyle w:val="Texte"/>
              </w:rPr>
              <w:t>Ces inspections sont réalisées au moins tous les cinq ans, sauf si une visite de routine réalisée entre-temps a permis d'identifier une anomalie. Une fréquence différente peut être prévue par arrêté préfectoral pour les réservoirs liés à des unités de fabrication.</w:t>
            </w:r>
          </w:p>
        </w:tc>
        <w:tc>
          <w:tcPr>
            <w:tcW w:w="6150" w:type="dxa"/>
          </w:tcPr>
          <w:p w14:paraId="47575BE0" w14:textId="77777777" w:rsidR="00FB042E" w:rsidRPr="00FB042E" w:rsidRDefault="00FB042E" w:rsidP="00FB042E">
            <w:pPr>
              <w:jc w:val="both"/>
              <w:rPr>
                <w:rStyle w:val="Titretableau"/>
              </w:rPr>
            </w:pPr>
            <w:r w:rsidRPr="00FB042E">
              <w:rPr>
                <w:rStyle w:val="Titretableau"/>
              </w:rPr>
              <w:t>Article 29</w:t>
            </w:r>
          </w:p>
          <w:p w14:paraId="7D6C7C9C" w14:textId="77777777" w:rsidR="00FB042E" w:rsidRPr="00DA262A" w:rsidRDefault="00FB042E" w:rsidP="00FB042E">
            <w:pPr>
              <w:jc w:val="both"/>
              <w:rPr>
                <w:rStyle w:val="Titretableau"/>
                <w:b w:val="0"/>
                <w:bCs/>
              </w:rPr>
            </w:pPr>
            <w:r w:rsidRPr="00DA262A">
              <w:rPr>
                <w:rStyle w:val="Titretableau"/>
                <w:b w:val="0"/>
                <w:bCs/>
              </w:rPr>
              <w:t>29-3. […]</w:t>
            </w:r>
          </w:p>
          <w:p w14:paraId="556B7D61" w14:textId="6617F656" w:rsidR="00FB042E" w:rsidRDefault="00FB042E" w:rsidP="00FB042E">
            <w:pPr>
              <w:jc w:val="both"/>
              <w:rPr>
                <w:rStyle w:val="Titretableau"/>
              </w:rPr>
            </w:pPr>
            <w:r w:rsidRPr="00DA262A">
              <w:rPr>
                <w:rStyle w:val="Titretableau"/>
                <w:b w:val="0"/>
                <w:bCs/>
              </w:rPr>
              <w:t xml:space="preserve">Ces inspections sont réalisées au moins tous les cinq ans, sauf si une visite de routine réalisée entre-temps a permis d'identifier une anomalie. </w:t>
            </w:r>
            <w:r w:rsidRPr="00DA262A">
              <w:rPr>
                <w:color w:val="2E74B5" w:themeColor="accent1" w:themeShade="BF"/>
              </w:rPr>
              <w:t xml:space="preserve">Cette échéance est également compatible avec les échéances de maintenance des accessoires présents sur le réservoir lorsque ces opérations de maintenance sont nécessaires pour garantir l’intégrité du réservoir ou son exploitation de manière sûre. </w:t>
            </w:r>
            <w:r w:rsidRPr="00DA262A">
              <w:rPr>
                <w:rStyle w:val="Titretableau"/>
                <w:b w:val="0"/>
                <w:bCs/>
              </w:rPr>
              <w:t>Une fréquence différente peut être prévue par arrêté préfectoral pour les réservoirs liés à des unités de fabrication.</w:t>
            </w:r>
          </w:p>
        </w:tc>
        <w:tc>
          <w:tcPr>
            <w:tcW w:w="3040" w:type="dxa"/>
          </w:tcPr>
          <w:p w14:paraId="17B5D4FF" w14:textId="351A1800" w:rsidR="00FB042E" w:rsidRDefault="00FB042E" w:rsidP="00E041DB">
            <w:pPr>
              <w:jc w:val="both"/>
            </w:pPr>
            <w:r>
              <w:t>Prise en compte des recommandations du BEA-Ri sur la maintenance des accessoires.</w:t>
            </w:r>
          </w:p>
        </w:tc>
      </w:tr>
      <w:tr w:rsidR="00E041DB" w14:paraId="055F5613" w14:textId="77777777" w:rsidTr="00FA2B7E">
        <w:trPr>
          <w:cantSplit/>
          <w:jc w:val="center"/>
        </w:trPr>
        <w:tc>
          <w:tcPr>
            <w:tcW w:w="6150" w:type="dxa"/>
          </w:tcPr>
          <w:p w14:paraId="5AA6D3D1" w14:textId="77777777" w:rsidR="00E041DB" w:rsidRDefault="00E041DB" w:rsidP="00E041DB">
            <w:pPr>
              <w:jc w:val="both"/>
            </w:pPr>
            <w:r>
              <w:rPr>
                <w:rStyle w:val="Titretableau"/>
              </w:rPr>
              <w:lastRenderedPageBreak/>
              <w:t>Article 29</w:t>
            </w:r>
          </w:p>
          <w:p w14:paraId="4D18CE45" w14:textId="5ADB11D8" w:rsidR="00E041DB" w:rsidRDefault="00E041DB" w:rsidP="00FA2B7E">
            <w:pPr>
              <w:jc w:val="both"/>
            </w:pPr>
            <w:r>
              <w:rPr>
                <w:rStyle w:val="Texte"/>
              </w:rPr>
              <w:t>29-4. […] Les inspections hors exploitation détaillées sont réalisées aussi souvent que nécessaire et au moins tous les dix ans, sauf si les résultats des dernières inspections permettent d'évaluer la criticité du réservoir à un niveau permettant de reporter l'échéance dans des conditions prévues par un guide professionnel reconnu par le ministère chargé du développement durable. Ce report ne saurait excéder dix ans et ne pourra en aucun cas être renouvelé. A l'inverse, ce délai peut être réduit si une visite de routine ou une inspection externe détaillée réalisée entre-temps a permis d'identifier une anomalie.</w:t>
            </w:r>
          </w:p>
        </w:tc>
        <w:tc>
          <w:tcPr>
            <w:tcW w:w="6150" w:type="dxa"/>
          </w:tcPr>
          <w:p w14:paraId="4BAE02A2" w14:textId="77777777" w:rsidR="00E041DB" w:rsidRDefault="00E041DB" w:rsidP="00E041DB">
            <w:pPr>
              <w:jc w:val="both"/>
            </w:pPr>
            <w:r>
              <w:rPr>
                <w:rStyle w:val="Titretableau"/>
              </w:rPr>
              <w:t>Article 29</w:t>
            </w:r>
          </w:p>
          <w:p w14:paraId="5DFBAD43" w14:textId="04D84371" w:rsidR="00E041DB" w:rsidRDefault="00E041DB" w:rsidP="00FA2B7E">
            <w:pPr>
              <w:jc w:val="both"/>
            </w:pPr>
            <w:r>
              <w:rPr>
                <w:rStyle w:val="Texte"/>
              </w:rPr>
              <w:t xml:space="preserve">29-4. […] Les inspections hors exploitation détaillées sont réalisées aussi souvent que nécessaire et au moins tous les dix ans, sauf si les résultats des dernières inspections permettent d'évaluer la criticité du réservoir à un niveau permettant de reporter l'échéance dans des conditions prévues par un guide professionnel reconnu par le ministère chargé du développement durable. Ce report ne saurait excéder dix ans et ne pourra en aucun cas être renouvelé. A l'inverse, ce délai peut être réduit si une visite de routine ou une inspection externe détaillée réalisée entre-temps a permis d'identifier une anomalie. </w:t>
            </w:r>
            <w:r w:rsidRPr="00E226E1">
              <w:rPr>
                <w:rStyle w:val="Texte"/>
                <w:color w:val="0070C0"/>
              </w:rPr>
              <w:t xml:space="preserve">Cette échéance </w:t>
            </w:r>
            <w:r w:rsidR="00FB042E" w:rsidRPr="00FB042E">
              <w:rPr>
                <w:rStyle w:val="Texte"/>
                <w:color w:val="0070C0"/>
              </w:rPr>
              <w:t>est également compatible avec les échéances de maintenance des accessoires présents sur le réservoir lorsque ces opérations de maintenance sont nécessaires pour garantir l’intégrité du réservoir ou son exploitation de manière sûre</w:t>
            </w:r>
            <w:r w:rsidR="00FB042E">
              <w:rPr>
                <w:rStyle w:val="Texte"/>
                <w:color w:val="0070C0"/>
              </w:rPr>
              <w:t>.</w:t>
            </w:r>
          </w:p>
        </w:tc>
        <w:tc>
          <w:tcPr>
            <w:tcW w:w="3040" w:type="dxa"/>
          </w:tcPr>
          <w:p w14:paraId="1B32C294" w14:textId="77777777" w:rsidR="00E041DB" w:rsidRDefault="00E041DB" w:rsidP="00E041DB">
            <w:pPr>
              <w:jc w:val="both"/>
            </w:pPr>
            <w:r>
              <w:t>Prise en compte des recommandations du BEA-Ri sur la maintenance des accessoires.</w:t>
            </w:r>
          </w:p>
        </w:tc>
      </w:tr>
      <w:tr w:rsidR="00E041DB" w14:paraId="04576C1A" w14:textId="77777777" w:rsidTr="002F3E99">
        <w:trPr>
          <w:cantSplit/>
          <w:jc w:val="center"/>
        </w:trPr>
        <w:tc>
          <w:tcPr>
            <w:tcW w:w="15340" w:type="dxa"/>
            <w:gridSpan w:val="3"/>
            <w:shd w:val="clear" w:color="auto" w:fill="D5DCE4" w:themeFill="text2" w:themeFillTint="33"/>
          </w:tcPr>
          <w:p w14:paraId="3575D41F" w14:textId="77777777" w:rsidR="00E041DB" w:rsidRPr="00D83B73" w:rsidRDefault="00E041DB" w:rsidP="00E041DB">
            <w:pPr>
              <w:jc w:val="both"/>
              <w:rPr>
                <w:b/>
              </w:rPr>
            </w:pPr>
            <w:r w:rsidRPr="00D83B73">
              <w:rPr>
                <w:b/>
              </w:rPr>
              <w:t>Arrêté du 4 octobre 2010 relatif à la prévention des risques accidentels au sein des installations classées pour la protection de l'environnement soumises à autorisation</w:t>
            </w:r>
          </w:p>
        </w:tc>
      </w:tr>
      <w:tr w:rsidR="00E041DB" w14:paraId="1A328C06" w14:textId="77777777" w:rsidTr="00D83B73">
        <w:trPr>
          <w:jc w:val="center"/>
        </w:trPr>
        <w:tc>
          <w:tcPr>
            <w:tcW w:w="6150" w:type="dxa"/>
          </w:tcPr>
          <w:p w14:paraId="28DAD5D2" w14:textId="77777777" w:rsidR="00E041DB" w:rsidRDefault="00E041DB" w:rsidP="00E041DB">
            <w:pPr>
              <w:spacing w:after="0"/>
              <w:jc w:val="both"/>
            </w:pPr>
            <w:r>
              <w:t>4-3. Lorsque l'état initial, le programme d'inspection et le plan d'inspection n'ont pas été établis selon les recommandations d'un des guides professionnels mentionnés à l'article 8, l'exploitant procède :</w:t>
            </w:r>
          </w:p>
          <w:p w14:paraId="6E49B1DA" w14:textId="77777777" w:rsidR="00E041DB" w:rsidRDefault="00E041DB" w:rsidP="00E041DB">
            <w:pPr>
              <w:spacing w:after="0"/>
              <w:jc w:val="both"/>
            </w:pPr>
            <w:r>
              <w:t>― à une visite de routine annuelle dont le but est de constater le bon état général du bac et de son environnement ainsi que les signes extérieurs liés aux modes de dégradation possible ;</w:t>
            </w:r>
          </w:p>
          <w:p w14:paraId="1C38ECDC" w14:textId="77777777" w:rsidR="00E041DB" w:rsidRDefault="00E041DB" w:rsidP="00E041DB">
            <w:pPr>
              <w:spacing w:after="0"/>
              <w:jc w:val="both"/>
            </w:pPr>
            <w:r>
              <w:t xml:space="preserve">― à une inspection externe détaillée permettant de s'assurer de l'absence d'anomalie remettant en cause la date prévue pour la prochaine inspection. Cette inspection comprend </w:t>
            </w:r>
            <w:proofErr w:type="gramStart"/>
            <w:r>
              <w:t>a</w:t>
            </w:r>
            <w:proofErr w:type="gramEnd"/>
            <w:r>
              <w:t xml:space="preserve"> minima :</w:t>
            </w:r>
          </w:p>
          <w:p w14:paraId="4EE386B8" w14:textId="77777777" w:rsidR="00E041DB" w:rsidRDefault="00E041DB" w:rsidP="00E041DB">
            <w:pPr>
              <w:spacing w:after="0"/>
              <w:jc w:val="both"/>
            </w:pPr>
            <w:r>
              <w:lastRenderedPageBreak/>
              <w:t>― une inspection visuelle externe approfondie des éléments constitutifs du réservoir et des accessoires (tuyauterie, évent éventuel, etc.) ;</w:t>
            </w:r>
          </w:p>
          <w:p w14:paraId="09B40FAC" w14:textId="77777777" w:rsidR="00E041DB" w:rsidRDefault="00E041DB" w:rsidP="00E041DB">
            <w:pPr>
              <w:spacing w:after="0"/>
              <w:jc w:val="both"/>
            </w:pPr>
            <w:r>
              <w:t>― une inspection visuelle de l'assise ;</w:t>
            </w:r>
          </w:p>
          <w:p w14:paraId="5BC9F041" w14:textId="77777777" w:rsidR="00E041DB" w:rsidRDefault="00E041DB" w:rsidP="00E041DB">
            <w:pPr>
              <w:spacing w:after="0"/>
              <w:jc w:val="both"/>
            </w:pPr>
            <w:r>
              <w:t>― une inspection de la soudure robe fond ;</w:t>
            </w:r>
          </w:p>
          <w:p w14:paraId="6D12E559" w14:textId="77777777" w:rsidR="00E041DB" w:rsidRDefault="00E041DB" w:rsidP="00E041DB">
            <w:pPr>
              <w:spacing w:after="0"/>
              <w:jc w:val="both"/>
            </w:pPr>
            <w:r>
              <w:t>― un contrôle de l'épaisseur de la robe, notamment près du fond ;</w:t>
            </w:r>
          </w:p>
          <w:p w14:paraId="08F56B37" w14:textId="77777777" w:rsidR="00E041DB" w:rsidRDefault="00E041DB" w:rsidP="00E041DB">
            <w:pPr>
              <w:spacing w:after="0"/>
              <w:jc w:val="both"/>
            </w:pPr>
            <w:r>
              <w:t>― une vérification des déformations géométriques éventuelles du réservoir, et notamment de la verticalité, de la déformation éventuelle de la robe et de la présence d'éventuels tassements ;</w:t>
            </w:r>
          </w:p>
          <w:p w14:paraId="4A1ED567" w14:textId="77777777" w:rsidR="00E041DB" w:rsidRDefault="00E041DB" w:rsidP="00E041DB">
            <w:pPr>
              <w:spacing w:after="0"/>
              <w:jc w:val="both"/>
            </w:pPr>
            <w:r>
              <w:t>― une inspection des ancrages si le réservoir en est pourvu.</w:t>
            </w:r>
          </w:p>
          <w:p w14:paraId="1BEDA1A5" w14:textId="77777777" w:rsidR="00E041DB" w:rsidRDefault="00E041DB" w:rsidP="00E041DB">
            <w:pPr>
              <w:spacing w:after="0"/>
              <w:jc w:val="both"/>
            </w:pPr>
            <w:r>
              <w:t>Cette inspection est réalisée au moins tous les cinq ans, sauf si une visite de routine réalisée entre-temps a permis d'identifier une anomalie.</w:t>
            </w:r>
          </w:p>
        </w:tc>
        <w:tc>
          <w:tcPr>
            <w:tcW w:w="6150" w:type="dxa"/>
          </w:tcPr>
          <w:p w14:paraId="065EE686" w14:textId="77777777" w:rsidR="00E041DB" w:rsidRDefault="00E041DB" w:rsidP="00E041DB">
            <w:pPr>
              <w:spacing w:after="0"/>
              <w:jc w:val="both"/>
            </w:pPr>
            <w:r>
              <w:lastRenderedPageBreak/>
              <w:t>4-3. Lorsque l'état initial, le programme d'inspection et le plan d'inspection n'ont pas été établis selon les recommandations d'un des guides professionnels mentionnés à l'article 8, l'exploitant procède :</w:t>
            </w:r>
          </w:p>
          <w:p w14:paraId="01BE6346" w14:textId="77777777" w:rsidR="00E041DB" w:rsidRDefault="00E041DB" w:rsidP="00E041DB">
            <w:pPr>
              <w:spacing w:after="0"/>
              <w:jc w:val="both"/>
            </w:pPr>
            <w:r>
              <w:t>― à une visite de routine annuelle dont le but est de constater le bon état général du bac et de son environnement ainsi que les signes extérieurs liés aux modes de dégradation possible ;</w:t>
            </w:r>
          </w:p>
          <w:p w14:paraId="7FF31791" w14:textId="77777777" w:rsidR="00E041DB" w:rsidRDefault="00E041DB" w:rsidP="00E041DB">
            <w:pPr>
              <w:spacing w:after="0"/>
              <w:jc w:val="both"/>
            </w:pPr>
            <w:r>
              <w:t xml:space="preserve">― à une inspection externe détaillée permettant de s'assurer de l'absence d'anomalie remettant en cause la date prévue pour la prochaine inspection. Cette inspection comprend </w:t>
            </w:r>
            <w:proofErr w:type="gramStart"/>
            <w:r>
              <w:t>a</w:t>
            </w:r>
            <w:proofErr w:type="gramEnd"/>
            <w:r>
              <w:t xml:space="preserve"> minima :</w:t>
            </w:r>
          </w:p>
          <w:p w14:paraId="2BDC1D26" w14:textId="77777777" w:rsidR="00E041DB" w:rsidRDefault="00E041DB" w:rsidP="00E041DB">
            <w:pPr>
              <w:spacing w:after="0"/>
              <w:jc w:val="both"/>
            </w:pPr>
            <w:r>
              <w:lastRenderedPageBreak/>
              <w:t>― une inspection visuelle externe approfondie des éléments constitutifs du réservoir et des accessoires (tuyauterie, évent éventuel, etc.) ;</w:t>
            </w:r>
          </w:p>
          <w:p w14:paraId="365714F2" w14:textId="77777777" w:rsidR="00E041DB" w:rsidRDefault="00E041DB" w:rsidP="00E041DB">
            <w:pPr>
              <w:spacing w:after="0"/>
              <w:jc w:val="both"/>
            </w:pPr>
            <w:r>
              <w:t>― une inspection visuelle de l'assise ;</w:t>
            </w:r>
          </w:p>
          <w:p w14:paraId="45CB4F19" w14:textId="77777777" w:rsidR="00E041DB" w:rsidRDefault="00E041DB" w:rsidP="00E041DB">
            <w:pPr>
              <w:spacing w:after="0"/>
              <w:jc w:val="both"/>
            </w:pPr>
            <w:r>
              <w:t>― une inspection de la soudure robe fond ;</w:t>
            </w:r>
          </w:p>
          <w:p w14:paraId="23A63AFD" w14:textId="77777777" w:rsidR="00E041DB" w:rsidRDefault="00E041DB" w:rsidP="00E041DB">
            <w:pPr>
              <w:spacing w:after="0"/>
              <w:jc w:val="both"/>
            </w:pPr>
            <w:r>
              <w:t>― un contrôle de l'épaisseur de la robe, notamment près du fond ;</w:t>
            </w:r>
          </w:p>
          <w:p w14:paraId="3B31CBA2" w14:textId="77777777" w:rsidR="00E041DB" w:rsidRDefault="00E041DB" w:rsidP="00E041DB">
            <w:pPr>
              <w:spacing w:after="0"/>
              <w:jc w:val="both"/>
            </w:pPr>
            <w:r>
              <w:t>― une vérification des déformations géométriques éventuelles du réservoir, et notamment de la verticalité, de la déformation éventuelle de la robe et de la présence d'éventuels tassements ;</w:t>
            </w:r>
          </w:p>
          <w:p w14:paraId="005DE9E3" w14:textId="77777777" w:rsidR="00E041DB" w:rsidRDefault="00E041DB" w:rsidP="00E041DB">
            <w:pPr>
              <w:spacing w:after="0"/>
              <w:jc w:val="both"/>
            </w:pPr>
            <w:r>
              <w:t>― une inspection des ancrages si le réservoir en est pourvu.</w:t>
            </w:r>
          </w:p>
          <w:p w14:paraId="2DE24963" w14:textId="38F9822A" w:rsidR="00E041DB" w:rsidRDefault="00E041DB" w:rsidP="00E041DB">
            <w:pPr>
              <w:jc w:val="both"/>
            </w:pPr>
            <w:r>
              <w:t>Cette inspection est réalisée au moins tous les cinq ans, sauf si une visite de routine réalisée entre-temps a permis d'identifier une anomalie</w:t>
            </w:r>
            <w:r w:rsidR="00FB042E">
              <w:t xml:space="preserve">. </w:t>
            </w:r>
            <w:r w:rsidR="00FB042E" w:rsidRPr="00DA262A">
              <w:rPr>
                <w:color w:val="2E74B5" w:themeColor="accent1" w:themeShade="BF"/>
              </w:rPr>
              <w:t>Cette échéance est également compatible avec les échéances de maintenance des accessoires présents sur le réservoir lorsque ces opérations de maintenance sont nécessaires pour garantir l’intégrité du réservoir ou son exploitation de manière sûre.</w:t>
            </w:r>
          </w:p>
        </w:tc>
        <w:tc>
          <w:tcPr>
            <w:tcW w:w="3040" w:type="dxa"/>
          </w:tcPr>
          <w:p w14:paraId="5D261CFA" w14:textId="77777777" w:rsidR="00E041DB" w:rsidRDefault="00E041DB" w:rsidP="00E041DB">
            <w:pPr>
              <w:jc w:val="both"/>
            </w:pPr>
            <w:r>
              <w:lastRenderedPageBreak/>
              <w:t>Prise en compte des recommandations du BEA-Ri sur la maintenance des accessoires.</w:t>
            </w:r>
          </w:p>
        </w:tc>
      </w:tr>
      <w:tr w:rsidR="00E041DB" w14:paraId="4AFAFE27" w14:textId="77777777" w:rsidTr="002F3E99">
        <w:trPr>
          <w:cantSplit/>
          <w:jc w:val="center"/>
        </w:trPr>
        <w:tc>
          <w:tcPr>
            <w:tcW w:w="15340" w:type="dxa"/>
            <w:gridSpan w:val="3"/>
            <w:shd w:val="clear" w:color="auto" w:fill="F7CAAC" w:themeFill="accent2" w:themeFillTint="66"/>
          </w:tcPr>
          <w:p w14:paraId="2032768F" w14:textId="77777777" w:rsidR="00E041DB" w:rsidRDefault="00E041DB" w:rsidP="00E041DB">
            <w:pPr>
              <w:jc w:val="both"/>
            </w:pPr>
            <w:r>
              <w:rPr>
                <w:rStyle w:val="Titretableau"/>
              </w:rPr>
              <w:t>Arrêté du 1</w:t>
            </w:r>
            <w:r>
              <w:rPr>
                <w:rStyle w:val="Titretableau"/>
                <w:vertAlign w:val="superscript"/>
              </w:rPr>
              <w:t>er</w:t>
            </w:r>
            <w:r>
              <w:rPr>
                <w:rStyle w:val="Titretableau"/>
              </w:rPr>
              <w:t xml:space="preserve"> juin 2015 relatif aux prescriptions générales applicables aux installations relevant du régime de l'enregistrement au titre de l‘une au moins des rubriques 4331 ou 4734 de la nomenclature des installations classées pour la protection de l'environnement </w:t>
            </w:r>
          </w:p>
        </w:tc>
      </w:tr>
      <w:tr w:rsidR="00E041DB" w14:paraId="57599C70" w14:textId="77777777" w:rsidTr="005A501E">
        <w:trPr>
          <w:jc w:val="center"/>
        </w:trPr>
        <w:tc>
          <w:tcPr>
            <w:tcW w:w="6150" w:type="dxa"/>
          </w:tcPr>
          <w:p w14:paraId="19F4EC78" w14:textId="77777777" w:rsidR="00E041DB" w:rsidRDefault="00E041DB" w:rsidP="00E041DB">
            <w:pPr>
              <w:spacing w:after="120"/>
              <w:jc w:val="both"/>
            </w:pPr>
            <w:r>
              <w:rPr>
                <w:rStyle w:val="Titretableau"/>
              </w:rPr>
              <w:t>Article 1</w:t>
            </w:r>
          </w:p>
          <w:p w14:paraId="64208A50" w14:textId="77777777" w:rsidR="00E041DB" w:rsidRDefault="00E041DB" w:rsidP="00E041DB">
            <w:pPr>
              <w:spacing w:after="120"/>
              <w:jc w:val="both"/>
            </w:pPr>
            <w:proofErr w:type="spellStart"/>
            <w:r>
              <w:rPr>
                <w:rStyle w:val="Texte"/>
              </w:rPr>
              <w:t>I.-Champ</w:t>
            </w:r>
            <w:proofErr w:type="spellEnd"/>
            <w:r>
              <w:rPr>
                <w:rStyle w:val="Texte"/>
              </w:rPr>
              <w:t xml:space="preserve"> d'application</w:t>
            </w:r>
          </w:p>
          <w:p w14:paraId="4F670D48" w14:textId="77777777" w:rsidR="00E041DB" w:rsidRDefault="00E041DB" w:rsidP="00E041DB">
            <w:pPr>
              <w:spacing w:after="120"/>
              <w:jc w:val="both"/>
            </w:pPr>
            <w:r>
              <w:rPr>
                <w:rStyle w:val="Texte"/>
              </w:rPr>
              <w:t>[…]</w:t>
            </w:r>
          </w:p>
          <w:p w14:paraId="3F75646A" w14:textId="77777777" w:rsidR="00E041DB" w:rsidRDefault="00E041DB" w:rsidP="00E041DB">
            <w:pPr>
              <w:spacing w:after="120"/>
              <w:jc w:val="both"/>
            </w:pPr>
            <w:r>
              <w:rPr>
                <w:rStyle w:val="Texte"/>
              </w:rPr>
              <w:t xml:space="preserve">Les dispositions du présent arrêté ne sont pas applicables aux stockages en réservoirs fixes ou récipients mobiles de liquides inflammables présents au sein d'une installation soumise à enregistrement au titre de l'une au moins des rubriques 4331 ou 4734 et soumis aux dispositions de l'arrêté du 24 septembre 2020 en application de son article I. 1 ou aux dispositions de l'arrêté du 3 </w:t>
            </w:r>
            <w:r>
              <w:rPr>
                <w:rStyle w:val="Texte"/>
              </w:rPr>
              <w:lastRenderedPageBreak/>
              <w:t>octobre 2010 modifié en application de son article 1. Les prescriptions auxquelles ces installations sont déjà soumises demeurent applicables, le cas échéant, jusqu'à l'application de dispositions</w:t>
            </w:r>
            <w:r w:rsidRPr="00DA262A">
              <w:rPr>
                <w:rStyle w:val="Texte"/>
                <w:color w:val="FF0000"/>
              </w:rPr>
              <w:t xml:space="preserve"> les </w:t>
            </w:r>
            <w:r>
              <w:rPr>
                <w:rStyle w:val="Texte"/>
              </w:rPr>
              <w:t>plus contraignantes.</w:t>
            </w:r>
          </w:p>
        </w:tc>
        <w:tc>
          <w:tcPr>
            <w:tcW w:w="6150" w:type="dxa"/>
          </w:tcPr>
          <w:p w14:paraId="159A0782" w14:textId="77777777" w:rsidR="00E041DB" w:rsidRDefault="00E041DB" w:rsidP="00E041DB">
            <w:pPr>
              <w:spacing w:after="120"/>
              <w:jc w:val="both"/>
            </w:pPr>
            <w:r>
              <w:rPr>
                <w:rStyle w:val="Titretableau"/>
              </w:rPr>
              <w:lastRenderedPageBreak/>
              <w:t>Article 1</w:t>
            </w:r>
          </w:p>
          <w:p w14:paraId="511EC743" w14:textId="77777777" w:rsidR="00E041DB" w:rsidRDefault="00E041DB" w:rsidP="00E041DB">
            <w:pPr>
              <w:spacing w:after="120"/>
              <w:jc w:val="both"/>
            </w:pPr>
            <w:proofErr w:type="spellStart"/>
            <w:r>
              <w:rPr>
                <w:rStyle w:val="Texte"/>
              </w:rPr>
              <w:t>I.-Champ</w:t>
            </w:r>
            <w:proofErr w:type="spellEnd"/>
            <w:r>
              <w:rPr>
                <w:rStyle w:val="Texte"/>
              </w:rPr>
              <w:t xml:space="preserve"> d'application</w:t>
            </w:r>
          </w:p>
          <w:p w14:paraId="24CF48A8" w14:textId="77777777" w:rsidR="00E041DB" w:rsidRDefault="00E041DB" w:rsidP="00E041DB">
            <w:pPr>
              <w:spacing w:after="120"/>
              <w:jc w:val="both"/>
              <w:rPr>
                <w:rStyle w:val="Texte"/>
              </w:rPr>
            </w:pPr>
            <w:r>
              <w:rPr>
                <w:rStyle w:val="Texte"/>
              </w:rPr>
              <w:t>[…]</w:t>
            </w:r>
          </w:p>
          <w:p w14:paraId="3F231D6A" w14:textId="57036324" w:rsidR="00E041DB" w:rsidRDefault="00E041DB" w:rsidP="00E041DB">
            <w:pPr>
              <w:spacing w:after="120"/>
              <w:jc w:val="both"/>
            </w:pPr>
            <w:r>
              <w:rPr>
                <w:rStyle w:val="Texte"/>
              </w:rPr>
              <w:t xml:space="preserve">Les dispositions du présent arrêté, </w:t>
            </w:r>
            <w:r w:rsidRPr="009A4985">
              <w:rPr>
                <w:rStyle w:val="Texte"/>
                <w:color w:val="0070C0"/>
              </w:rPr>
              <w:t>à l'exception de son article 9</w:t>
            </w:r>
            <w:r>
              <w:rPr>
                <w:rStyle w:val="Texte"/>
              </w:rPr>
              <w:t xml:space="preserve">, ne sont pas applicables aux stockages en réservoirs fixes ou récipients mobiles de liquides inflammables présents au sein d'une installation soumise à enregistrement au titre de l'une au moins des rubriques 4331 ou 4734 et soumis aux dispositions de l'arrêté du 24 septembre 2020 en application de son article I. 1 ou aux dispositions de l'arrêté </w:t>
            </w:r>
            <w:r>
              <w:rPr>
                <w:rStyle w:val="Texte"/>
              </w:rPr>
              <w:lastRenderedPageBreak/>
              <w:t>du 3 octobre 2010 modifié en application de son article 1. Les prescriptions auxquelles ces installations sont déjà soumises demeurent applicables, le cas échéant, jusqu'à l'application de dispositions plus contraignantes.</w:t>
            </w:r>
          </w:p>
        </w:tc>
        <w:tc>
          <w:tcPr>
            <w:tcW w:w="3040" w:type="dxa"/>
          </w:tcPr>
          <w:p w14:paraId="412C30D1" w14:textId="3EE77C46" w:rsidR="00E041DB" w:rsidRDefault="00E041DB" w:rsidP="00E041DB">
            <w:pPr>
              <w:jc w:val="both"/>
            </w:pPr>
            <w:r>
              <w:lastRenderedPageBreak/>
              <w:t xml:space="preserve">Les sites soumis à enregistrement pour une rubrique LI mais à autorisation par ailleurs et relevant des arrêtés LI A n’étaient soumis pour leur état des stocks qu’à l’article 49 de l’AM du 04/10/10 (état des stocks « simple »). Cette disposition vise à clarifier </w:t>
            </w:r>
            <w:r>
              <w:lastRenderedPageBreak/>
              <w:t>l’application de l’état des stocks prévu par l’AM du 01/06/15.</w:t>
            </w:r>
          </w:p>
        </w:tc>
      </w:tr>
      <w:tr w:rsidR="00E041DB" w14:paraId="33821B70" w14:textId="77777777" w:rsidTr="005A501E">
        <w:trPr>
          <w:jc w:val="center"/>
        </w:trPr>
        <w:tc>
          <w:tcPr>
            <w:tcW w:w="6150" w:type="dxa"/>
          </w:tcPr>
          <w:p w14:paraId="23D35EB7" w14:textId="77777777" w:rsidR="00E041DB" w:rsidRDefault="00E041DB" w:rsidP="00E041DB">
            <w:pPr>
              <w:spacing w:after="120"/>
              <w:jc w:val="both"/>
            </w:pPr>
            <w:r>
              <w:rPr>
                <w:rStyle w:val="Titretableau"/>
              </w:rPr>
              <w:lastRenderedPageBreak/>
              <w:t>Article 11</w:t>
            </w:r>
          </w:p>
          <w:p w14:paraId="7EE546C7" w14:textId="77777777" w:rsidR="00E041DB" w:rsidRDefault="00E041DB" w:rsidP="00E041DB">
            <w:pPr>
              <w:spacing w:after="120"/>
              <w:jc w:val="both"/>
            </w:pPr>
            <w:r>
              <w:rPr>
                <w:rStyle w:val="Texte"/>
              </w:rPr>
              <w:t>11.1. Dispositions constructives relatives à un bâtiment ou aux parties d'un bâtiment abritant au moins un liquide relevant de l'une au moins des rubriques 4331 ou 4734.</w:t>
            </w:r>
          </w:p>
          <w:p w14:paraId="3CD93841" w14:textId="77777777" w:rsidR="00E041DB" w:rsidRDefault="00E041DB" w:rsidP="00E041DB">
            <w:pPr>
              <w:spacing w:after="120"/>
              <w:jc w:val="both"/>
            </w:pPr>
            <w:r>
              <w:rPr>
                <w:rStyle w:val="Texte"/>
              </w:rPr>
              <w:t>VII. - Bureaux et locaux sociaux :</w:t>
            </w:r>
          </w:p>
          <w:p w14:paraId="744FE81B" w14:textId="77777777" w:rsidR="00E041DB" w:rsidRDefault="00E041DB" w:rsidP="00E041DB">
            <w:pPr>
              <w:spacing w:after="120"/>
              <w:jc w:val="both"/>
            </w:pPr>
            <w:r>
              <w:rPr>
                <w:rStyle w:val="Texte"/>
              </w:rPr>
              <w:t xml:space="preserve">Les bureaux et les locaux sociaux, à l'exception des bureaux dits de quais ou d'exploitation destinés à accueillir le personnel travaillant directement sur les quais ou les installations, sont situés dans un local clos distant d'au moins 10 mètres de la partie de bâtiment abritant au moins un liquide relevant de l'une au moins des rubriques 4331 ou 4734. Cette distance peut être inférieure à 10 mètres si les bureaux et locaux sociaux sont isolés par une paroi jusqu'en sous-face de toiture et des portes d'intercommunication munies d'un ferme-porte, qui sont tous REI 120, sans être contigus avec les parties de bâtiment </w:t>
            </w:r>
            <w:r w:rsidRPr="009A4985">
              <w:rPr>
                <w:rStyle w:val="Texte"/>
                <w:color w:val="FF0000"/>
              </w:rPr>
              <w:t>où sont présents des liquides au moins un liquide</w:t>
            </w:r>
            <w:r>
              <w:rPr>
                <w:rStyle w:val="Texte"/>
              </w:rPr>
              <w:t xml:space="preserve"> relevant de l'une au moins des rubriques 4331 ou 4734.</w:t>
            </w:r>
          </w:p>
        </w:tc>
        <w:tc>
          <w:tcPr>
            <w:tcW w:w="6150" w:type="dxa"/>
          </w:tcPr>
          <w:p w14:paraId="3888537D" w14:textId="77777777" w:rsidR="00E041DB" w:rsidRDefault="00E041DB" w:rsidP="00E041DB">
            <w:pPr>
              <w:spacing w:after="120"/>
              <w:jc w:val="both"/>
            </w:pPr>
            <w:r>
              <w:rPr>
                <w:rStyle w:val="Titretableau"/>
              </w:rPr>
              <w:t>Article 11</w:t>
            </w:r>
          </w:p>
          <w:p w14:paraId="60F7A9AA" w14:textId="77777777" w:rsidR="00E041DB" w:rsidRDefault="00E041DB" w:rsidP="00E041DB">
            <w:pPr>
              <w:spacing w:after="120"/>
              <w:jc w:val="both"/>
            </w:pPr>
            <w:r>
              <w:rPr>
                <w:rStyle w:val="Texte"/>
              </w:rPr>
              <w:t>11.1. Dispositions constructives relatives à un bâtiment ou aux parties d'un bâtiment abritant au moins un liquide relevant de l'une au moins des rubriques 4331 ou 4734.</w:t>
            </w:r>
          </w:p>
          <w:p w14:paraId="1834D4FF" w14:textId="77777777" w:rsidR="00E041DB" w:rsidRDefault="00E041DB" w:rsidP="00E041DB">
            <w:pPr>
              <w:spacing w:after="120"/>
              <w:jc w:val="both"/>
            </w:pPr>
            <w:r>
              <w:rPr>
                <w:rStyle w:val="Texte"/>
              </w:rPr>
              <w:t>VII. - Bureaux et locaux sociaux :</w:t>
            </w:r>
          </w:p>
          <w:p w14:paraId="3DDC063D" w14:textId="77777777" w:rsidR="00E041DB" w:rsidRDefault="00E041DB" w:rsidP="00E041DB">
            <w:pPr>
              <w:spacing w:after="120"/>
              <w:jc w:val="both"/>
            </w:pPr>
            <w:r>
              <w:rPr>
                <w:rStyle w:val="Texte"/>
              </w:rPr>
              <w:t xml:space="preserve">Les bureaux et les locaux sociaux, à l'exception des bureaux dits de quais ou d'exploitation destinés à accueillir le personnel travaillant directement sur les quais ou les installations, sont situés dans un local clos distant d'au moins 10 mètres de la partie de bâtiment abritant au moins un liquide relevant de l'une au moins des rubriques 4331 ou 4734. Cette distance peut être inférieure à 10 mètres si les bureaux et locaux sociaux sont isolés par une paroi jusqu'en sous-face de toiture et des portes d'intercommunication munies d'un ferme-porte, qui sont tous REI 120, sans être contigus avec les parties de bâtiment </w:t>
            </w:r>
            <w:r w:rsidRPr="009A4985">
              <w:rPr>
                <w:rStyle w:val="Texte"/>
                <w:color w:val="0070C0"/>
              </w:rPr>
              <w:t xml:space="preserve">où est présent au moins un liquide relevant </w:t>
            </w:r>
            <w:r>
              <w:rPr>
                <w:rStyle w:val="Texte"/>
              </w:rPr>
              <w:t>de l'une au moins des rubriques 4331 ou 4734.</w:t>
            </w:r>
          </w:p>
        </w:tc>
        <w:tc>
          <w:tcPr>
            <w:tcW w:w="3040" w:type="dxa"/>
          </w:tcPr>
          <w:p w14:paraId="3CE83691" w14:textId="77777777" w:rsidR="00E041DB" w:rsidRDefault="00E041DB" w:rsidP="00E041DB">
            <w:pPr>
              <w:jc w:val="both"/>
            </w:pPr>
            <w:r>
              <w:t>Correction d’une coquille.</w:t>
            </w:r>
          </w:p>
        </w:tc>
      </w:tr>
      <w:tr w:rsidR="00E041DB" w14:paraId="4355EEB5" w14:textId="77777777" w:rsidTr="005A501E">
        <w:trPr>
          <w:jc w:val="center"/>
        </w:trPr>
        <w:tc>
          <w:tcPr>
            <w:tcW w:w="6150" w:type="dxa"/>
          </w:tcPr>
          <w:p w14:paraId="21636B76" w14:textId="77777777" w:rsidR="00E041DB" w:rsidRDefault="00E041DB" w:rsidP="00E041DB">
            <w:pPr>
              <w:spacing w:after="120"/>
              <w:jc w:val="both"/>
            </w:pPr>
            <w:r>
              <w:rPr>
                <w:rStyle w:val="Titretableau"/>
              </w:rPr>
              <w:t>Article 25</w:t>
            </w:r>
          </w:p>
          <w:p w14:paraId="7E1E4430" w14:textId="77777777" w:rsidR="00E041DB" w:rsidRDefault="00E041DB" w:rsidP="00E041DB">
            <w:pPr>
              <w:spacing w:after="120"/>
              <w:jc w:val="both"/>
            </w:pPr>
            <w:r>
              <w:rPr>
                <w:rStyle w:val="Texte"/>
              </w:rPr>
              <w:t>Vérification périodique et maintenance des équipements.</w:t>
            </w:r>
          </w:p>
          <w:p w14:paraId="6A2AD9B9" w14:textId="68ECC1C6" w:rsidR="00E041DB" w:rsidRDefault="00E041DB" w:rsidP="00E041DB">
            <w:pPr>
              <w:spacing w:after="120"/>
              <w:jc w:val="both"/>
              <w:rPr>
                <w:rStyle w:val="Texte"/>
              </w:rPr>
            </w:pPr>
            <w:r>
              <w:rPr>
                <w:rStyle w:val="Texte"/>
              </w:rPr>
              <w:t>III. - Entretien des stockages :</w:t>
            </w:r>
          </w:p>
          <w:p w14:paraId="15F22B5B" w14:textId="77777777" w:rsidR="00FB042E" w:rsidRDefault="00FB042E" w:rsidP="00E041DB">
            <w:pPr>
              <w:spacing w:after="120"/>
              <w:jc w:val="both"/>
            </w:pPr>
            <w:r w:rsidRPr="00FB042E">
              <w:t>D. - Inspections externes détaillées.</w:t>
            </w:r>
          </w:p>
          <w:p w14:paraId="5C5EBA0F" w14:textId="17078125" w:rsidR="00FB042E" w:rsidRDefault="00FB042E" w:rsidP="00E041DB">
            <w:pPr>
              <w:spacing w:after="120"/>
              <w:jc w:val="both"/>
            </w:pPr>
            <w:r w:rsidRPr="00FB042E">
              <w:t xml:space="preserve"> </w:t>
            </w:r>
            <w:r>
              <w:t>[…]</w:t>
            </w:r>
          </w:p>
          <w:p w14:paraId="796288F7" w14:textId="19BC4F69" w:rsidR="00FB042E" w:rsidRDefault="00FB042E" w:rsidP="00E041DB">
            <w:pPr>
              <w:spacing w:after="120"/>
              <w:jc w:val="both"/>
            </w:pPr>
            <w:r w:rsidRPr="00FB042E">
              <w:lastRenderedPageBreak/>
              <w:t>Ces inspections sont réalisées au moins tous les cinq ans, sauf si une visite de routine réalisée entre-temps a permis d'identifier une anomalie.</w:t>
            </w:r>
          </w:p>
          <w:p w14:paraId="08EF8AD1" w14:textId="77777777" w:rsidR="00E041DB" w:rsidRDefault="00E041DB" w:rsidP="00E041DB">
            <w:pPr>
              <w:spacing w:after="120"/>
              <w:jc w:val="both"/>
            </w:pPr>
            <w:r>
              <w:rPr>
                <w:rStyle w:val="Texte"/>
              </w:rPr>
              <w:t>E. - Inspections hors exploitation détaillées.</w:t>
            </w:r>
          </w:p>
          <w:p w14:paraId="68AD2A06" w14:textId="77777777" w:rsidR="00E041DB" w:rsidRDefault="00E041DB" w:rsidP="00E041DB">
            <w:pPr>
              <w:spacing w:after="120"/>
              <w:jc w:val="both"/>
            </w:pPr>
            <w:r>
              <w:rPr>
                <w:rStyle w:val="Texte"/>
              </w:rPr>
              <w:t>[…]</w:t>
            </w:r>
          </w:p>
          <w:p w14:paraId="56320790" w14:textId="77777777" w:rsidR="00E041DB" w:rsidRDefault="00E041DB" w:rsidP="00E041DB">
            <w:pPr>
              <w:spacing w:after="120"/>
              <w:jc w:val="both"/>
            </w:pPr>
            <w:r>
              <w:rPr>
                <w:rStyle w:val="Texte"/>
              </w:rPr>
              <w:t>Les inspections hors exploitation détaillées sont réalisées aussi souvent que nécessaire et au moins tous les dix ans, sauf si les résultats des dernières inspections permettent d'évaluer la criticité du réservoir à un niveau permettant de reporter l'échéance dans des conditions prévues par un guide professionnel reconnu par le ministère chargé du développement durable.</w:t>
            </w:r>
          </w:p>
          <w:p w14:paraId="585901EB" w14:textId="77777777" w:rsidR="00E041DB" w:rsidRDefault="00E041DB" w:rsidP="00E041DB">
            <w:pPr>
              <w:spacing w:after="120"/>
              <w:jc w:val="both"/>
            </w:pPr>
            <w:r>
              <w:rPr>
                <w:rStyle w:val="Texte"/>
              </w:rPr>
              <w:t>Ce report ne saurait excéder dix ans et ne pourra en aucun cas être renouvelé. A l'inverse, ce délai peut être réduit si une visite de routine ou une inspection externe détaillée réalisée entre-temps a permis d'identifier une anomalie.</w:t>
            </w:r>
          </w:p>
          <w:p w14:paraId="69AB6FB5" w14:textId="77777777" w:rsidR="00E041DB" w:rsidRDefault="00E041DB" w:rsidP="00E041DB">
            <w:pPr>
              <w:spacing w:after="120"/>
              <w:jc w:val="both"/>
            </w:pPr>
          </w:p>
        </w:tc>
        <w:tc>
          <w:tcPr>
            <w:tcW w:w="6150" w:type="dxa"/>
          </w:tcPr>
          <w:p w14:paraId="70E95CB3" w14:textId="77777777" w:rsidR="00E041DB" w:rsidRDefault="00E041DB" w:rsidP="00E041DB">
            <w:pPr>
              <w:spacing w:after="120"/>
              <w:jc w:val="both"/>
            </w:pPr>
            <w:r>
              <w:rPr>
                <w:rStyle w:val="Titretableau"/>
              </w:rPr>
              <w:lastRenderedPageBreak/>
              <w:t>Article 25</w:t>
            </w:r>
          </w:p>
          <w:p w14:paraId="43963916" w14:textId="77777777" w:rsidR="00E041DB" w:rsidRDefault="00E041DB" w:rsidP="00E041DB">
            <w:pPr>
              <w:spacing w:after="120"/>
              <w:jc w:val="both"/>
            </w:pPr>
            <w:r>
              <w:rPr>
                <w:rStyle w:val="Texte"/>
              </w:rPr>
              <w:t>Vérification périodique et maintenance des équipements.</w:t>
            </w:r>
          </w:p>
          <w:p w14:paraId="7518D6C8" w14:textId="4485F4B7" w:rsidR="00E041DB" w:rsidRDefault="00E041DB" w:rsidP="00E041DB">
            <w:pPr>
              <w:spacing w:after="120"/>
              <w:jc w:val="both"/>
              <w:rPr>
                <w:rStyle w:val="Texte"/>
              </w:rPr>
            </w:pPr>
            <w:r>
              <w:rPr>
                <w:rStyle w:val="Texte"/>
              </w:rPr>
              <w:t>III. - Entretien des stockages :</w:t>
            </w:r>
          </w:p>
          <w:p w14:paraId="337D25CC" w14:textId="77777777" w:rsidR="00FB042E" w:rsidRDefault="00FB042E" w:rsidP="00FB042E">
            <w:pPr>
              <w:spacing w:after="120"/>
              <w:jc w:val="both"/>
            </w:pPr>
            <w:r w:rsidRPr="00FB042E">
              <w:t>D. - Inspections externes détaillées.</w:t>
            </w:r>
          </w:p>
          <w:p w14:paraId="631FC33F" w14:textId="6744510F" w:rsidR="00FB042E" w:rsidRDefault="00FB042E" w:rsidP="00FB042E">
            <w:pPr>
              <w:spacing w:after="120"/>
              <w:jc w:val="both"/>
            </w:pPr>
            <w:r>
              <w:t>[…]</w:t>
            </w:r>
          </w:p>
          <w:p w14:paraId="5492344F" w14:textId="5D9CE684" w:rsidR="00FB042E" w:rsidRDefault="00FB042E" w:rsidP="00FB042E">
            <w:pPr>
              <w:spacing w:after="120"/>
              <w:jc w:val="both"/>
            </w:pPr>
            <w:r w:rsidRPr="00FB042E">
              <w:lastRenderedPageBreak/>
              <w:t>Ces inspections sont réalisées au moins tous les cinq ans, sauf si une visite de routine réalisée entre-temps a permis d'identifier une anomalie.</w:t>
            </w:r>
            <w:r>
              <w:t xml:space="preserve"> </w:t>
            </w:r>
            <w:r w:rsidRPr="00FB042E">
              <w:rPr>
                <w:rStyle w:val="Texte"/>
                <w:color w:val="0070C0"/>
              </w:rPr>
              <w:t>Cette échéance est également compatible avec les échéances de maintenance des accessoires présents sur le réservoir lorsque ces opérations de maintenance sont nécessaires pour garantir l’intégrité du réservoir ou son exploitation de manière sûre.</w:t>
            </w:r>
          </w:p>
          <w:p w14:paraId="6209F808" w14:textId="77777777" w:rsidR="00FB042E" w:rsidRDefault="00FB042E" w:rsidP="00E041DB">
            <w:pPr>
              <w:spacing w:after="120"/>
              <w:jc w:val="both"/>
            </w:pPr>
          </w:p>
          <w:p w14:paraId="54F4B609" w14:textId="77777777" w:rsidR="00E041DB" w:rsidRDefault="00E041DB" w:rsidP="00E041DB">
            <w:pPr>
              <w:spacing w:after="120"/>
              <w:jc w:val="both"/>
            </w:pPr>
            <w:r>
              <w:rPr>
                <w:rStyle w:val="Texte"/>
              </w:rPr>
              <w:t>E. - Inspections hors exploitation détaillées.</w:t>
            </w:r>
          </w:p>
          <w:p w14:paraId="4AF84904" w14:textId="77777777" w:rsidR="00E041DB" w:rsidRDefault="00E041DB" w:rsidP="00E041DB">
            <w:pPr>
              <w:spacing w:after="120"/>
              <w:jc w:val="both"/>
              <w:rPr>
                <w:rStyle w:val="Texte"/>
              </w:rPr>
            </w:pPr>
            <w:r>
              <w:rPr>
                <w:rStyle w:val="Texte"/>
              </w:rPr>
              <w:t>[…]</w:t>
            </w:r>
          </w:p>
          <w:p w14:paraId="3215FED0" w14:textId="77777777" w:rsidR="00E041DB" w:rsidRDefault="00E041DB" w:rsidP="00E041DB">
            <w:pPr>
              <w:spacing w:after="120"/>
              <w:jc w:val="both"/>
            </w:pPr>
            <w:r>
              <w:rPr>
                <w:rStyle w:val="Texte"/>
              </w:rPr>
              <w:t>Les inspections hors exploitation détaillées sont réalisées aussi souvent que nécessaire et au moins tous les dix ans, sauf si les résultats des dernières inspections permettent d'évaluer la criticité du réservoir à un niveau permettant de reporter l'échéance dans des conditions prévues par un guide professionnel reconnu par le ministère chargé du développement durable.</w:t>
            </w:r>
          </w:p>
          <w:p w14:paraId="10DD3BAB" w14:textId="37FF4CC5" w:rsidR="00E041DB" w:rsidRDefault="00E041DB" w:rsidP="00E041DB">
            <w:pPr>
              <w:spacing w:after="120"/>
              <w:jc w:val="both"/>
            </w:pPr>
            <w:r>
              <w:rPr>
                <w:rStyle w:val="Texte"/>
              </w:rPr>
              <w:t xml:space="preserve">Ce report ne saurait excéder dix ans et ne pourra en aucun cas être renouvelé. A l'inverse, ce délai peut être réduit si une visite de routine ou une inspection externe détaillée réalisée entre-temps a permis d'identifier une anomalie. </w:t>
            </w:r>
            <w:r w:rsidR="00FB042E" w:rsidRPr="00FB042E">
              <w:rPr>
                <w:rStyle w:val="Texte"/>
                <w:color w:val="0070C0"/>
              </w:rPr>
              <w:t>Cette échéance est également compatible avec les échéances de maintenance des accessoires présents sur le réservoir lorsque ces opérations de maintenance sont nécessaires pour garantir l’intégrité du réservoir ou son exploitation de manière sûre.</w:t>
            </w:r>
          </w:p>
        </w:tc>
        <w:tc>
          <w:tcPr>
            <w:tcW w:w="3040" w:type="dxa"/>
          </w:tcPr>
          <w:p w14:paraId="1246DB40" w14:textId="77777777" w:rsidR="00E041DB" w:rsidRDefault="00E041DB" w:rsidP="00E041DB">
            <w:pPr>
              <w:jc w:val="both"/>
            </w:pPr>
            <w:r>
              <w:lastRenderedPageBreak/>
              <w:t>Prise en compte des recommandations du BEA-Ri sur la maintenance des accessoires.</w:t>
            </w:r>
          </w:p>
        </w:tc>
      </w:tr>
      <w:tr w:rsidR="00E041DB" w14:paraId="2A59B149" w14:textId="77777777" w:rsidTr="002F3E99">
        <w:trPr>
          <w:cantSplit/>
          <w:jc w:val="center"/>
        </w:trPr>
        <w:tc>
          <w:tcPr>
            <w:tcW w:w="6150" w:type="dxa"/>
          </w:tcPr>
          <w:p w14:paraId="52B36208" w14:textId="77777777" w:rsidR="00E041DB" w:rsidRDefault="00E041DB" w:rsidP="00E041DB">
            <w:pPr>
              <w:jc w:val="both"/>
              <w:rPr>
                <w:rStyle w:val="Titretableau"/>
              </w:rPr>
            </w:pPr>
            <w:r>
              <w:rPr>
                <w:rStyle w:val="Titretableau"/>
              </w:rPr>
              <w:lastRenderedPageBreak/>
              <w:t>Annexe VIII.II</w:t>
            </w:r>
          </w:p>
          <w:tbl>
            <w:tblPr>
              <w:tblStyle w:val="Grilledutableau"/>
              <w:tblW w:w="6027" w:type="dxa"/>
              <w:tblLook w:val="04A0" w:firstRow="1" w:lastRow="0" w:firstColumn="1" w:lastColumn="0" w:noHBand="0" w:noVBand="1"/>
            </w:tblPr>
            <w:tblGrid>
              <w:gridCol w:w="1066"/>
              <w:gridCol w:w="4961"/>
            </w:tblGrid>
            <w:tr w:rsidR="00E041DB" w14:paraId="683074DE" w14:textId="77777777" w:rsidTr="005A501E">
              <w:tc>
                <w:tcPr>
                  <w:tcW w:w="1066" w:type="dxa"/>
                </w:tcPr>
                <w:p w14:paraId="46C4A34C"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00B98503" w14:textId="45820E30" w:rsidR="00E041DB" w:rsidRPr="00FF1689" w:rsidRDefault="00E041DB" w:rsidP="00E041DB">
                  <w:pPr>
                    <w:jc w:val="both"/>
                    <w:rPr>
                      <w:rStyle w:val="Titretableau"/>
                      <w:b w:val="0"/>
                    </w:rPr>
                  </w:pPr>
                  <w:r w:rsidRPr="00FF1689">
                    <w:rPr>
                      <w:rStyle w:val="Titretableau"/>
                      <w:b w:val="0"/>
                    </w:rPr>
                    <w:t>Modalités particulière</w:t>
                  </w:r>
                  <w:r w:rsidR="00794218">
                    <w:rPr>
                      <w:rStyle w:val="Titretableau"/>
                      <w:b w:val="0"/>
                    </w:rPr>
                    <w:t>s</w:t>
                  </w:r>
                  <w:r w:rsidRPr="00FF1689">
                    <w:rPr>
                      <w:rStyle w:val="Titretableau"/>
                      <w:b w:val="0"/>
                    </w:rPr>
                    <w:t xml:space="preserve"> d’application</w:t>
                  </w:r>
                </w:p>
              </w:tc>
            </w:tr>
            <w:tr w:rsidR="00794218" w14:paraId="39DC2EFB" w14:textId="77777777" w:rsidTr="005A501E">
              <w:tc>
                <w:tcPr>
                  <w:tcW w:w="1066" w:type="dxa"/>
                </w:tcPr>
                <w:p w14:paraId="2EE605C9" w14:textId="24573079" w:rsidR="00794218" w:rsidRPr="00D656D5" w:rsidRDefault="00794218" w:rsidP="00E041DB">
                  <w:pPr>
                    <w:jc w:val="both"/>
                    <w:rPr>
                      <w:rStyle w:val="Titretableau"/>
                      <w:b w:val="0"/>
                    </w:rPr>
                  </w:pPr>
                  <w:r w:rsidRPr="00D656D5">
                    <w:rPr>
                      <w:rStyle w:val="Titretableau"/>
                      <w:b w:val="0"/>
                    </w:rPr>
                    <w:t>1</w:t>
                  </w:r>
                  <w:r w:rsidRPr="00DA262A">
                    <w:rPr>
                      <w:rStyle w:val="Titretableau"/>
                      <w:b w:val="0"/>
                    </w:rPr>
                    <w:t>1.1.I à 11.1.IV</w:t>
                  </w:r>
                </w:p>
              </w:tc>
              <w:tc>
                <w:tcPr>
                  <w:tcW w:w="4961" w:type="dxa"/>
                </w:tcPr>
                <w:p w14:paraId="4BCDE4F9" w14:textId="77777777" w:rsidR="00794218" w:rsidRPr="00794218" w:rsidRDefault="00794218" w:rsidP="00794218">
                  <w:pPr>
                    <w:jc w:val="both"/>
                    <w:rPr>
                      <w:rStyle w:val="Titretableau"/>
                      <w:b w:val="0"/>
                    </w:rPr>
                  </w:pPr>
                  <w:r w:rsidRPr="00794218">
                    <w:rPr>
                      <w:rStyle w:val="Titretableau"/>
                      <w:b w:val="0"/>
                    </w:rPr>
                    <w:t>Ces dispositions ne s'appliquent pas.</w:t>
                  </w:r>
                </w:p>
                <w:p w14:paraId="34D6092A" w14:textId="77777777" w:rsidR="00794218" w:rsidRPr="00794218" w:rsidRDefault="00794218" w:rsidP="00794218">
                  <w:pPr>
                    <w:jc w:val="both"/>
                    <w:rPr>
                      <w:rStyle w:val="Titretableau"/>
                      <w:b w:val="0"/>
                    </w:rPr>
                  </w:pPr>
                </w:p>
                <w:p w14:paraId="4978C9A2" w14:textId="122A5F89" w:rsidR="00794218" w:rsidRPr="00FF1689" w:rsidRDefault="00794218" w:rsidP="00794218">
                  <w:pPr>
                    <w:jc w:val="both"/>
                    <w:rPr>
                      <w:rStyle w:val="Titretableau"/>
                      <w:b w:val="0"/>
                    </w:rPr>
                  </w:pPr>
                  <w:r w:rsidRPr="00794218">
                    <w:rPr>
                      <w:rStyle w:val="Titretableau"/>
                      <w:b w:val="0"/>
                    </w:rPr>
                    <w:t>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E041DB" w14:paraId="49D48881" w14:textId="77777777" w:rsidTr="005A501E">
              <w:tc>
                <w:tcPr>
                  <w:tcW w:w="1066" w:type="dxa"/>
                </w:tcPr>
                <w:p w14:paraId="26004C02" w14:textId="77777777" w:rsidR="00E041DB" w:rsidRPr="00FF1689" w:rsidRDefault="00E041DB" w:rsidP="00E041DB">
                  <w:pPr>
                    <w:jc w:val="both"/>
                    <w:rPr>
                      <w:rStyle w:val="Titretableau"/>
                      <w:b w:val="0"/>
                    </w:rPr>
                  </w:pPr>
                  <w:r w:rsidRPr="00FF1689">
                    <w:rPr>
                      <w:rStyle w:val="Titretableau"/>
                      <w:b w:val="0"/>
                    </w:rPr>
                    <w:t>11.3.IV</w:t>
                  </w:r>
                </w:p>
              </w:tc>
              <w:tc>
                <w:tcPr>
                  <w:tcW w:w="4961" w:type="dxa"/>
                </w:tcPr>
                <w:p w14:paraId="7470A21E" w14:textId="77777777" w:rsidR="00E041DB" w:rsidRPr="00FF1689" w:rsidRDefault="00E041DB" w:rsidP="00E041DB">
                  <w:pPr>
                    <w:jc w:val="both"/>
                    <w:rPr>
                      <w:rStyle w:val="Titretableau"/>
                      <w:b w:val="0"/>
                    </w:rPr>
                  </w:pPr>
                  <w:r w:rsidRPr="00FF1689">
                    <w:rPr>
                      <w:rStyle w:val="Titretableau"/>
                      <w:b w:val="0"/>
                    </w:rPr>
                    <w:t xml:space="preserve">Les dispositions des points A et </w:t>
                  </w:r>
                  <w:r w:rsidRPr="00FF1689">
                    <w:rPr>
                      <w:rStyle w:val="Titretableau"/>
                      <w:b w:val="0"/>
                      <w:color w:val="FF0000"/>
                    </w:rPr>
                    <w:t>D</w:t>
                  </w:r>
                  <w:r w:rsidRPr="00FF1689">
                    <w:rPr>
                      <w:rStyle w:val="Titretableau"/>
                      <w:b w:val="0"/>
                    </w:rPr>
                    <w:t xml:space="preserve"> sont applicables.</w:t>
                  </w:r>
                </w:p>
                <w:p w14:paraId="20085E59" w14:textId="77777777" w:rsidR="00E041DB" w:rsidRPr="00FF1689" w:rsidRDefault="00E041DB" w:rsidP="00E041DB">
                  <w:pPr>
                    <w:jc w:val="both"/>
                    <w:rPr>
                      <w:rStyle w:val="Titretableau"/>
                      <w:b w:val="0"/>
                    </w:rPr>
                  </w:pPr>
                  <w:r w:rsidRPr="00FF1689">
                    <w:rPr>
                      <w:rStyle w:val="Titretableau"/>
                      <w:b w:val="0"/>
                    </w:rPr>
                    <w:t>Les dispositions du point F sont applicables au 1</w:t>
                  </w:r>
                  <w:r w:rsidRPr="00DA262A">
                    <w:rPr>
                      <w:rStyle w:val="Titretableau"/>
                      <w:b w:val="0"/>
                      <w:vertAlign w:val="superscript"/>
                    </w:rPr>
                    <w:t>er</w:t>
                  </w:r>
                  <w:r w:rsidRPr="00FF1689">
                    <w:rPr>
                      <w:rStyle w:val="Titretableau"/>
                      <w:b w:val="0"/>
                    </w:rPr>
                    <w:t xml:space="preserve"> janvier 2027.</w:t>
                  </w:r>
                </w:p>
                <w:p w14:paraId="7C184323" w14:textId="77777777" w:rsidR="00E041DB" w:rsidRDefault="00E041DB" w:rsidP="00E041DB">
                  <w:pPr>
                    <w:jc w:val="both"/>
                    <w:rPr>
                      <w:rStyle w:val="Titretableau"/>
                    </w:rPr>
                  </w:pPr>
                  <w:r w:rsidRPr="00FF1689">
                    <w:rPr>
                      <w:rStyle w:val="Titretableau"/>
                      <w:b w:val="0"/>
                    </w:rPr>
                    <w:t xml:space="preserve">Les dispositions du point </w:t>
                  </w:r>
                  <w:r w:rsidRPr="00FF1689">
                    <w:rPr>
                      <w:rStyle w:val="Titretableau"/>
                      <w:b w:val="0"/>
                      <w:color w:val="FF0000"/>
                    </w:rPr>
                    <w:t>C</w:t>
                  </w:r>
                  <w:r w:rsidRPr="00FF1689">
                    <w:rPr>
                      <w:rStyle w:val="Titretableau"/>
                      <w:b w:val="0"/>
                    </w:rPr>
                    <w:t xml:space="preserve"> sont remplacées par les dispositions suivantes :</w:t>
                  </w:r>
                </w:p>
              </w:tc>
            </w:tr>
          </w:tbl>
          <w:p w14:paraId="7985A130" w14:textId="77777777" w:rsidR="00E041DB" w:rsidRDefault="00E041DB" w:rsidP="00E041DB">
            <w:pPr>
              <w:jc w:val="both"/>
              <w:rPr>
                <w:rStyle w:val="Titretableau"/>
              </w:rPr>
            </w:pPr>
          </w:p>
        </w:tc>
        <w:tc>
          <w:tcPr>
            <w:tcW w:w="6150" w:type="dxa"/>
          </w:tcPr>
          <w:p w14:paraId="1685B6F6" w14:textId="77777777" w:rsidR="00E041DB" w:rsidRDefault="00E041DB" w:rsidP="00E041DB">
            <w:pPr>
              <w:jc w:val="both"/>
              <w:rPr>
                <w:rStyle w:val="Titretableau"/>
              </w:rPr>
            </w:pPr>
            <w:r>
              <w:rPr>
                <w:rStyle w:val="Titretableau"/>
              </w:rPr>
              <w:t>Annexe VIII.II</w:t>
            </w:r>
          </w:p>
          <w:tbl>
            <w:tblPr>
              <w:tblStyle w:val="Grilledutableau"/>
              <w:tblW w:w="6027" w:type="dxa"/>
              <w:tblLook w:val="04A0" w:firstRow="1" w:lastRow="0" w:firstColumn="1" w:lastColumn="0" w:noHBand="0" w:noVBand="1"/>
            </w:tblPr>
            <w:tblGrid>
              <w:gridCol w:w="1066"/>
              <w:gridCol w:w="4961"/>
            </w:tblGrid>
            <w:tr w:rsidR="00E041DB" w14:paraId="23095F18" w14:textId="77777777" w:rsidTr="005A501E">
              <w:tc>
                <w:tcPr>
                  <w:tcW w:w="1066" w:type="dxa"/>
                </w:tcPr>
                <w:p w14:paraId="22C8AD0C"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07A36940" w14:textId="296719C9" w:rsidR="00E041DB" w:rsidRPr="00FF1689" w:rsidRDefault="00E041DB" w:rsidP="00E041DB">
                  <w:pPr>
                    <w:jc w:val="both"/>
                    <w:rPr>
                      <w:rStyle w:val="Titretableau"/>
                      <w:b w:val="0"/>
                    </w:rPr>
                  </w:pPr>
                  <w:r w:rsidRPr="00FF1689">
                    <w:rPr>
                      <w:rStyle w:val="Titretableau"/>
                      <w:b w:val="0"/>
                    </w:rPr>
                    <w:t>Modalités particulière</w:t>
                  </w:r>
                  <w:r w:rsidR="00794218">
                    <w:rPr>
                      <w:rStyle w:val="Titretableau"/>
                      <w:b w:val="0"/>
                    </w:rPr>
                    <w:t>s</w:t>
                  </w:r>
                  <w:r w:rsidRPr="00FF1689">
                    <w:rPr>
                      <w:rStyle w:val="Titretableau"/>
                      <w:b w:val="0"/>
                    </w:rPr>
                    <w:t xml:space="preserve"> d’application</w:t>
                  </w:r>
                </w:p>
              </w:tc>
            </w:tr>
            <w:tr w:rsidR="00794218" w14:paraId="3AAF3E58" w14:textId="77777777" w:rsidTr="005A501E">
              <w:tc>
                <w:tcPr>
                  <w:tcW w:w="1066" w:type="dxa"/>
                </w:tcPr>
                <w:p w14:paraId="6AC61933" w14:textId="29D551E0" w:rsidR="00794218" w:rsidRPr="00D656D5" w:rsidRDefault="00794218" w:rsidP="00E041DB">
                  <w:pPr>
                    <w:jc w:val="both"/>
                    <w:rPr>
                      <w:rStyle w:val="Titretableau"/>
                      <w:b w:val="0"/>
                    </w:rPr>
                  </w:pPr>
                  <w:r w:rsidRPr="00DA262A">
                    <w:rPr>
                      <w:rStyle w:val="Titretableau"/>
                      <w:b w:val="0"/>
                    </w:rPr>
                    <w:t>11.1.I à 11.1.IV</w:t>
                  </w:r>
                </w:p>
              </w:tc>
              <w:tc>
                <w:tcPr>
                  <w:tcW w:w="4961" w:type="dxa"/>
                </w:tcPr>
                <w:p w14:paraId="594E8439" w14:textId="77777777" w:rsidR="00794218" w:rsidRPr="00794218" w:rsidRDefault="00794218" w:rsidP="00794218">
                  <w:pPr>
                    <w:jc w:val="both"/>
                    <w:rPr>
                      <w:rStyle w:val="Titretableau"/>
                      <w:b w:val="0"/>
                    </w:rPr>
                  </w:pPr>
                  <w:r w:rsidRPr="00794218">
                    <w:rPr>
                      <w:rStyle w:val="Titretableau"/>
                      <w:b w:val="0"/>
                    </w:rPr>
                    <w:t>Ces dispositions ne s'appliquent pas.</w:t>
                  </w:r>
                </w:p>
                <w:p w14:paraId="34336A3B" w14:textId="77777777" w:rsidR="00794218" w:rsidRPr="00794218" w:rsidRDefault="00794218" w:rsidP="00794218">
                  <w:pPr>
                    <w:jc w:val="both"/>
                    <w:rPr>
                      <w:rStyle w:val="Titretableau"/>
                      <w:b w:val="0"/>
                    </w:rPr>
                  </w:pPr>
                </w:p>
                <w:p w14:paraId="4CC19CF5" w14:textId="7AA67813" w:rsidR="00794218" w:rsidRPr="00FF1689" w:rsidRDefault="00794218" w:rsidP="00794218">
                  <w:pPr>
                    <w:jc w:val="both"/>
                    <w:rPr>
                      <w:rStyle w:val="Titretableau"/>
                      <w:b w:val="0"/>
                    </w:rPr>
                  </w:pPr>
                  <w:r w:rsidRPr="00794218">
                    <w:rPr>
                      <w:rStyle w:val="Titretableau"/>
                      <w:b w:val="0"/>
                    </w:rPr>
                    <w:t xml:space="preserve">Néanmoins, </w:t>
                  </w:r>
                  <w:r w:rsidRPr="00DA262A">
                    <w:rPr>
                      <w:rStyle w:val="Titretableau"/>
                      <w:b w:val="0"/>
                      <w:color w:val="2E74B5" w:themeColor="accent1" w:themeShade="BF"/>
                    </w:rPr>
                    <w:t>e</w:t>
                  </w:r>
                  <w:r w:rsidRPr="00DA262A">
                    <w:rPr>
                      <w:rStyle w:val="Titretableau"/>
                      <w:color w:val="2E74B5" w:themeColor="accent1" w:themeShade="BF"/>
                    </w:rPr>
                    <w:t xml:space="preserv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E041DB" w14:paraId="1CE2F6F9" w14:textId="77777777" w:rsidTr="005A501E">
              <w:tc>
                <w:tcPr>
                  <w:tcW w:w="1066" w:type="dxa"/>
                </w:tcPr>
                <w:p w14:paraId="3991E0F4" w14:textId="77777777" w:rsidR="00E041DB" w:rsidRPr="00FF1689" w:rsidRDefault="00E041DB" w:rsidP="00E041DB">
                  <w:pPr>
                    <w:jc w:val="both"/>
                    <w:rPr>
                      <w:rStyle w:val="Titretableau"/>
                      <w:b w:val="0"/>
                    </w:rPr>
                  </w:pPr>
                  <w:r w:rsidRPr="00FF1689">
                    <w:rPr>
                      <w:rStyle w:val="Titretableau"/>
                      <w:b w:val="0"/>
                    </w:rPr>
                    <w:t>11.3.IV</w:t>
                  </w:r>
                </w:p>
              </w:tc>
              <w:tc>
                <w:tcPr>
                  <w:tcW w:w="4961" w:type="dxa"/>
                </w:tcPr>
                <w:p w14:paraId="2C6FC430" w14:textId="77777777" w:rsidR="00E041DB" w:rsidRPr="00FF1689" w:rsidRDefault="00E041DB" w:rsidP="00E041DB">
                  <w:pPr>
                    <w:jc w:val="both"/>
                    <w:rPr>
                      <w:rStyle w:val="Titretableau"/>
                      <w:b w:val="0"/>
                    </w:rPr>
                  </w:pPr>
                  <w:r w:rsidRPr="00FF1689">
                    <w:rPr>
                      <w:rStyle w:val="Titretableau"/>
                      <w:b w:val="0"/>
                    </w:rPr>
                    <w:t xml:space="preserve">Les dispositions des points A et </w:t>
                  </w:r>
                  <w:r w:rsidRPr="00FF1689">
                    <w:rPr>
                      <w:rStyle w:val="Titretableau"/>
                      <w:b w:val="0"/>
                      <w:color w:val="0070C0"/>
                    </w:rPr>
                    <w:t>C</w:t>
                  </w:r>
                  <w:r w:rsidRPr="00FF1689">
                    <w:rPr>
                      <w:rStyle w:val="Titretableau"/>
                      <w:b w:val="0"/>
                    </w:rPr>
                    <w:t xml:space="preserve"> sont applicables.</w:t>
                  </w:r>
                </w:p>
                <w:p w14:paraId="56C62D38" w14:textId="77777777" w:rsidR="00E041DB" w:rsidRPr="00FF1689" w:rsidRDefault="00E041DB" w:rsidP="00E041DB">
                  <w:pPr>
                    <w:jc w:val="both"/>
                    <w:rPr>
                      <w:rStyle w:val="Titretableau"/>
                      <w:b w:val="0"/>
                    </w:rPr>
                  </w:pPr>
                  <w:r w:rsidRPr="00FF1689">
                    <w:rPr>
                      <w:rStyle w:val="Titretableau"/>
                      <w:b w:val="0"/>
                    </w:rPr>
                    <w:t>Les dispositions du point F sont applicables au 1</w:t>
                  </w:r>
                  <w:r w:rsidRPr="00DA262A">
                    <w:rPr>
                      <w:rStyle w:val="Titretableau"/>
                      <w:b w:val="0"/>
                      <w:vertAlign w:val="superscript"/>
                    </w:rPr>
                    <w:t>er</w:t>
                  </w:r>
                  <w:r w:rsidRPr="00FF1689">
                    <w:rPr>
                      <w:rStyle w:val="Titretableau"/>
                      <w:b w:val="0"/>
                    </w:rPr>
                    <w:t xml:space="preserve"> janvier 2027.</w:t>
                  </w:r>
                </w:p>
                <w:p w14:paraId="0BC197A3" w14:textId="77777777" w:rsidR="00E041DB" w:rsidRDefault="00E041DB" w:rsidP="00E041DB">
                  <w:pPr>
                    <w:jc w:val="both"/>
                    <w:rPr>
                      <w:rStyle w:val="Titretableau"/>
                    </w:rPr>
                  </w:pPr>
                  <w:r w:rsidRPr="00FF1689">
                    <w:rPr>
                      <w:rStyle w:val="Titretableau"/>
                      <w:b w:val="0"/>
                    </w:rPr>
                    <w:t xml:space="preserve">Les dispositions du point </w:t>
                  </w:r>
                  <w:r w:rsidRPr="00FF1689">
                    <w:rPr>
                      <w:rStyle w:val="Titretableau"/>
                      <w:b w:val="0"/>
                      <w:color w:val="0070C0"/>
                    </w:rPr>
                    <w:t>D</w:t>
                  </w:r>
                  <w:r w:rsidRPr="00FF1689">
                    <w:rPr>
                      <w:rStyle w:val="Titretableau"/>
                      <w:b w:val="0"/>
                    </w:rPr>
                    <w:t xml:space="preserve"> sont remplacées par les dispositions suivantes :</w:t>
                  </w:r>
                </w:p>
              </w:tc>
            </w:tr>
          </w:tbl>
          <w:p w14:paraId="4A296F1F" w14:textId="77777777" w:rsidR="00E041DB" w:rsidRDefault="00E041DB" w:rsidP="00E041DB">
            <w:pPr>
              <w:jc w:val="both"/>
              <w:rPr>
                <w:rStyle w:val="Titretableau"/>
              </w:rPr>
            </w:pPr>
          </w:p>
        </w:tc>
        <w:tc>
          <w:tcPr>
            <w:tcW w:w="3040" w:type="dxa"/>
          </w:tcPr>
          <w:p w14:paraId="3298C8BC" w14:textId="77777777" w:rsidR="00E041DB" w:rsidRDefault="00E041DB" w:rsidP="00E041DB">
            <w:pPr>
              <w:jc w:val="both"/>
            </w:pPr>
            <w:r>
              <w:t>Correction d’une coquille</w:t>
            </w:r>
          </w:p>
        </w:tc>
      </w:tr>
      <w:tr w:rsidR="00E041DB" w14:paraId="6D1E7DD5" w14:textId="77777777" w:rsidTr="005A501E">
        <w:trPr>
          <w:jc w:val="center"/>
        </w:trPr>
        <w:tc>
          <w:tcPr>
            <w:tcW w:w="6150" w:type="dxa"/>
          </w:tcPr>
          <w:p w14:paraId="4DF300F4" w14:textId="77777777" w:rsidR="00E041DB" w:rsidRDefault="00E041DB" w:rsidP="00E041DB">
            <w:pPr>
              <w:spacing w:after="120"/>
              <w:jc w:val="both"/>
              <w:rPr>
                <w:rStyle w:val="Titretableau"/>
              </w:rPr>
            </w:pPr>
            <w:r>
              <w:rPr>
                <w:rStyle w:val="Titretableau"/>
              </w:rPr>
              <w:t>Annexe IX</w:t>
            </w:r>
          </w:p>
          <w:p w14:paraId="7E787CC2" w14:textId="77777777" w:rsidR="00E041DB" w:rsidRPr="00FF1689" w:rsidRDefault="00E041DB" w:rsidP="00E041DB">
            <w:pPr>
              <w:spacing w:after="120"/>
              <w:jc w:val="both"/>
              <w:rPr>
                <w:rStyle w:val="Titretableau"/>
                <w:b w:val="0"/>
              </w:rPr>
            </w:pPr>
            <w:proofErr w:type="spellStart"/>
            <w:r w:rsidRPr="00FF1689">
              <w:rPr>
                <w:rStyle w:val="Titretableau"/>
                <w:b w:val="0"/>
              </w:rPr>
              <w:t>I.-Pour</w:t>
            </w:r>
            <w:proofErr w:type="spellEnd"/>
            <w:r w:rsidRPr="00FF1689">
              <w:rPr>
                <w:rStyle w:val="Titretableau"/>
                <w:b w:val="0"/>
              </w:rPr>
              <w:t xml:space="preserve"> les installations ayant fait l'objet d'une demande d'autorisation après le 16 mai 2011 :</w:t>
            </w:r>
          </w:p>
          <w:p w14:paraId="6F5722CC" w14:textId="07D9AAA4" w:rsidR="00E041DB" w:rsidRDefault="00E041DB" w:rsidP="00E041DB">
            <w:pPr>
              <w:spacing w:after="120"/>
              <w:jc w:val="both"/>
              <w:rPr>
                <w:rStyle w:val="Titretableau"/>
                <w:b w:val="0"/>
              </w:rPr>
            </w:pPr>
            <w:r w:rsidRPr="00FF1689">
              <w:rPr>
                <w:rStyle w:val="Titretableau"/>
                <w:b w:val="0"/>
              </w:rPr>
              <w:t>-les articles 19,</w:t>
            </w:r>
            <w:r w:rsidR="003C2C9F">
              <w:rPr>
                <w:rStyle w:val="Titretableau"/>
                <w:b w:val="0"/>
              </w:rPr>
              <w:t xml:space="preserve"> </w:t>
            </w:r>
            <w:r w:rsidRPr="00FF1689">
              <w:rPr>
                <w:rStyle w:val="Titretableau"/>
                <w:b w:val="0"/>
              </w:rPr>
              <w:t>20,</w:t>
            </w:r>
            <w:r w:rsidR="003C2C9F">
              <w:rPr>
                <w:rStyle w:val="Titretableau"/>
                <w:b w:val="0"/>
              </w:rPr>
              <w:t xml:space="preserve"> </w:t>
            </w:r>
            <w:r w:rsidRPr="00FF1689">
              <w:rPr>
                <w:rStyle w:val="Titretableau"/>
                <w:b w:val="0"/>
              </w:rPr>
              <w:t>21 et 43 de l'arrêté du 3 octobre 2010 modifié susvisé s'appliquent selon les modalités particulières précisées dans le tableau ci-dessous pour les installations ayant fait le choix de respecter intégralement les dispositions de l'arrêté du 3 octobre 2010 susvisé.</w:t>
            </w:r>
          </w:p>
          <w:p w14:paraId="7CDEE3EB" w14:textId="77777777" w:rsidR="00E041DB" w:rsidRDefault="00E041DB" w:rsidP="00E041DB">
            <w:pPr>
              <w:spacing w:after="120"/>
              <w:jc w:val="both"/>
              <w:rPr>
                <w:rStyle w:val="Titretableau"/>
                <w:b w:val="0"/>
              </w:rPr>
            </w:pPr>
            <w:r>
              <w:rPr>
                <w:rStyle w:val="Titretableau"/>
                <w:b w:val="0"/>
              </w:rPr>
              <w:t>[…]</w:t>
            </w:r>
          </w:p>
          <w:p w14:paraId="0DDA994C" w14:textId="77777777" w:rsidR="00E041DB" w:rsidRPr="00364EEF" w:rsidRDefault="00E041DB" w:rsidP="00E041DB">
            <w:pPr>
              <w:pStyle w:val="NormalWeb"/>
              <w:spacing w:before="0" w:beforeAutospacing="0" w:after="120" w:afterAutospacing="0"/>
              <w:jc w:val="both"/>
              <w:rPr>
                <w:rStyle w:val="Titretableau"/>
                <w:rFonts w:eastAsiaTheme="minorEastAsia" w:cstheme="minorBidi"/>
                <w:b w:val="0"/>
              </w:rPr>
            </w:pPr>
            <w:proofErr w:type="spellStart"/>
            <w:r w:rsidRPr="00364EEF">
              <w:rPr>
                <w:rStyle w:val="Titretableau"/>
                <w:rFonts w:eastAsiaTheme="minorEastAsia" w:cstheme="minorBidi"/>
                <w:b w:val="0"/>
              </w:rPr>
              <w:t>II.-Pour</w:t>
            </w:r>
            <w:proofErr w:type="spellEnd"/>
            <w:r w:rsidRPr="00364EEF">
              <w:rPr>
                <w:rStyle w:val="Titretableau"/>
                <w:rFonts w:eastAsiaTheme="minorEastAsia" w:cstheme="minorBidi"/>
                <w:b w:val="0"/>
              </w:rPr>
              <w:t xml:space="preserve"> les installations ayant fait l'objet d'une demande d'autorisation avant le 16 mai 2011 ou régulièrement mise en service avant le 16 mai 2011, et sans préjudice des dispositions déjà applicables :</w:t>
            </w:r>
          </w:p>
          <w:p w14:paraId="1637B3E1" w14:textId="69064E50" w:rsidR="00E041DB" w:rsidRPr="00364EEF" w:rsidRDefault="00E041DB" w:rsidP="00E041DB">
            <w:pPr>
              <w:pStyle w:val="NormalWeb"/>
              <w:spacing w:before="0" w:beforeAutospacing="0" w:after="120" w:afterAutospacing="0"/>
              <w:jc w:val="both"/>
              <w:rPr>
                <w:rStyle w:val="Titretableau"/>
                <w:rFonts w:eastAsiaTheme="minorEastAsia" w:cstheme="minorBidi"/>
                <w:b w:val="0"/>
              </w:rPr>
            </w:pPr>
            <w:r w:rsidRPr="00364EEF">
              <w:rPr>
                <w:rStyle w:val="Titretableau"/>
                <w:rFonts w:eastAsiaTheme="minorEastAsia" w:cstheme="minorBidi"/>
                <w:b w:val="0"/>
              </w:rPr>
              <w:lastRenderedPageBreak/>
              <w:t>-les articles 19,</w:t>
            </w:r>
            <w:r w:rsidR="003C2C9F">
              <w:rPr>
                <w:rStyle w:val="Titretableau"/>
                <w:rFonts w:eastAsiaTheme="minorEastAsia" w:cstheme="minorBidi"/>
                <w:b w:val="0"/>
              </w:rPr>
              <w:t xml:space="preserve"> </w:t>
            </w:r>
            <w:r w:rsidRPr="00364EEF">
              <w:rPr>
                <w:rStyle w:val="Titretableau"/>
                <w:rFonts w:eastAsiaTheme="minorEastAsia" w:cstheme="minorBidi"/>
                <w:b w:val="0"/>
              </w:rPr>
              <w:t>20,</w:t>
            </w:r>
            <w:r w:rsidR="003C2C9F">
              <w:rPr>
                <w:rStyle w:val="Titretableau"/>
                <w:rFonts w:eastAsiaTheme="minorEastAsia" w:cstheme="minorBidi"/>
                <w:b w:val="0"/>
              </w:rPr>
              <w:t xml:space="preserve"> </w:t>
            </w:r>
            <w:r w:rsidRPr="00364EEF">
              <w:rPr>
                <w:rStyle w:val="Titretableau"/>
                <w:rFonts w:eastAsiaTheme="minorEastAsia" w:cstheme="minorBidi"/>
                <w:b w:val="0"/>
              </w:rPr>
              <w:t>21 et 43 de l'arrêté du 3 octobre 2010 modifié susvisé s'appliquent dans les modalités particulières précisées dans le tableau ci-dessous pour les installations ayant fait le choix de respecter intégralement les dispositions de l'arrêté du 3 octobre 2010 modifié susvisé.</w:t>
            </w:r>
          </w:p>
          <w:p w14:paraId="71FC8C36" w14:textId="77777777" w:rsidR="00E041DB" w:rsidRDefault="00E041DB" w:rsidP="00E041DB">
            <w:pPr>
              <w:spacing w:after="120"/>
              <w:jc w:val="both"/>
              <w:rPr>
                <w:rStyle w:val="Titretableau"/>
              </w:rPr>
            </w:pPr>
          </w:p>
        </w:tc>
        <w:tc>
          <w:tcPr>
            <w:tcW w:w="6150" w:type="dxa"/>
          </w:tcPr>
          <w:p w14:paraId="009BECC8" w14:textId="77777777" w:rsidR="00E041DB" w:rsidRDefault="00E041DB" w:rsidP="00E041DB">
            <w:pPr>
              <w:spacing w:after="120"/>
              <w:jc w:val="both"/>
              <w:rPr>
                <w:rStyle w:val="Titretableau"/>
              </w:rPr>
            </w:pPr>
            <w:r>
              <w:rPr>
                <w:rStyle w:val="Titretableau"/>
              </w:rPr>
              <w:lastRenderedPageBreak/>
              <w:t>Annexe IX</w:t>
            </w:r>
          </w:p>
          <w:p w14:paraId="78D75D30" w14:textId="77777777" w:rsidR="00E041DB" w:rsidRDefault="00E041DB" w:rsidP="00E041DB">
            <w:pPr>
              <w:spacing w:after="120"/>
              <w:jc w:val="both"/>
              <w:rPr>
                <w:rStyle w:val="Titretableau"/>
                <w:b w:val="0"/>
              </w:rPr>
            </w:pPr>
            <w:proofErr w:type="spellStart"/>
            <w:r w:rsidRPr="00FF1689">
              <w:rPr>
                <w:rStyle w:val="Titretableau"/>
                <w:b w:val="0"/>
              </w:rPr>
              <w:t>I.-Pour</w:t>
            </w:r>
            <w:proofErr w:type="spellEnd"/>
            <w:r w:rsidRPr="00FF1689">
              <w:rPr>
                <w:rStyle w:val="Titretableau"/>
                <w:b w:val="0"/>
              </w:rPr>
              <w:t xml:space="preserve"> les installations ayant fait l'objet d'une demande d'autorisation après le 16 mai 2011 :</w:t>
            </w:r>
          </w:p>
          <w:p w14:paraId="791F04E7" w14:textId="77777777" w:rsidR="00E041DB" w:rsidRPr="00364EEF" w:rsidRDefault="00E041DB" w:rsidP="00E041DB">
            <w:pPr>
              <w:spacing w:after="120"/>
              <w:jc w:val="both"/>
              <w:rPr>
                <w:rStyle w:val="Titretableau"/>
                <w:b w:val="0"/>
                <w:color w:val="0070C0"/>
              </w:rPr>
            </w:pPr>
            <w:r w:rsidRPr="00364EEF">
              <w:rPr>
                <w:color w:val="0070C0"/>
              </w:rPr>
              <w:t>- les dispositions de l’article 18 du présent arrêté s’appliquent ; </w:t>
            </w:r>
          </w:p>
          <w:p w14:paraId="360C1112" w14:textId="6548ED7C" w:rsidR="00E041DB" w:rsidRDefault="00E041DB" w:rsidP="00E041DB">
            <w:pPr>
              <w:spacing w:after="120"/>
              <w:jc w:val="both"/>
              <w:rPr>
                <w:rStyle w:val="Titretableau"/>
                <w:b w:val="0"/>
              </w:rPr>
            </w:pPr>
            <w:r w:rsidRPr="00FF1689">
              <w:rPr>
                <w:rStyle w:val="Titretableau"/>
                <w:b w:val="0"/>
              </w:rPr>
              <w:t>-les articles 19,</w:t>
            </w:r>
            <w:r w:rsidR="003C2C9F">
              <w:rPr>
                <w:rStyle w:val="Titretableau"/>
                <w:b w:val="0"/>
              </w:rPr>
              <w:t xml:space="preserve"> </w:t>
            </w:r>
            <w:r w:rsidRPr="00FF1689">
              <w:rPr>
                <w:rStyle w:val="Titretableau"/>
                <w:b w:val="0"/>
              </w:rPr>
              <w:t>20,</w:t>
            </w:r>
            <w:r w:rsidR="003C2C9F">
              <w:rPr>
                <w:rStyle w:val="Titretableau"/>
                <w:b w:val="0"/>
              </w:rPr>
              <w:t xml:space="preserve"> </w:t>
            </w:r>
            <w:r w:rsidRPr="00FF1689">
              <w:rPr>
                <w:rStyle w:val="Titretableau"/>
                <w:b w:val="0"/>
              </w:rPr>
              <w:t>21 et 43 de l'arrêté du 3 octobre 2010 modifié susvisé s'appliquent selon les modalités particulières précisées dans le tableau ci-dessous pour les installations ayant fait le choix de respecter intégralement les dispositions de l'arrêté du 3 octobre 2010 susvisé.</w:t>
            </w:r>
          </w:p>
          <w:p w14:paraId="07F7C2D3" w14:textId="77777777" w:rsidR="00E041DB" w:rsidRDefault="00E041DB" w:rsidP="00E041DB">
            <w:pPr>
              <w:spacing w:after="120"/>
              <w:jc w:val="both"/>
              <w:rPr>
                <w:rStyle w:val="Titretableau"/>
                <w:b w:val="0"/>
              </w:rPr>
            </w:pPr>
            <w:r>
              <w:rPr>
                <w:rStyle w:val="Titretableau"/>
                <w:b w:val="0"/>
              </w:rPr>
              <w:t>[…]</w:t>
            </w:r>
          </w:p>
          <w:p w14:paraId="46F9BF9D" w14:textId="77777777" w:rsidR="00E041DB" w:rsidRDefault="00E041DB" w:rsidP="00E041DB">
            <w:pPr>
              <w:pStyle w:val="NormalWeb"/>
              <w:spacing w:before="0" w:beforeAutospacing="0" w:after="120" w:afterAutospacing="0"/>
              <w:jc w:val="both"/>
              <w:rPr>
                <w:rStyle w:val="Titretableau"/>
                <w:rFonts w:eastAsiaTheme="minorEastAsia" w:cstheme="minorBidi"/>
                <w:b w:val="0"/>
              </w:rPr>
            </w:pPr>
            <w:proofErr w:type="spellStart"/>
            <w:r w:rsidRPr="00364EEF">
              <w:rPr>
                <w:rStyle w:val="Titretableau"/>
                <w:rFonts w:eastAsiaTheme="minorEastAsia" w:cstheme="minorBidi"/>
                <w:b w:val="0"/>
              </w:rPr>
              <w:t>II.-Pour</w:t>
            </w:r>
            <w:proofErr w:type="spellEnd"/>
            <w:r w:rsidRPr="00364EEF">
              <w:rPr>
                <w:rStyle w:val="Titretableau"/>
                <w:rFonts w:eastAsiaTheme="minorEastAsia" w:cstheme="minorBidi"/>
                <w:b w:val="0"/>
              </w:rPr>
              <w:t xml:space="preserve"> les installations ayant fait l'objet d'une demande d'autorisation avant le 16 mai 2011 ou régulièrement mise en </w:t>
            </w:r>
            <w:r w:rsidRPr="00364EEF">
              <w:rPr>
                <w:rStyle w:val="Titretableau"/>
                <w:rFonts w:eastAsiaTheme="minorEastAsia" w:cstheme="minorBidi"/>
                <w:b w:val="0"/>
              </w:rPr>
              <w:lastRenderedPageBreak/>
              <w:t>service avant le 16 mai 2011, et sans préjudice des dispositions déjà applicables :</w:t>
            </w:r>
          </w:p>
          <w:p w14:paraId="7638D541" w14:textId="77777777" w:rsidR="00E041DB" w:rsidRPr="00364EEF" w:rsidRDefault="00E041DB" w:rsidP="00E041DB">
            <w:pPr>
              <w:pStyle w:val="NormalWeb"/>
              <w:spacing w:before="0" w:beforeAutospacing="0" w:after="120" w:afterAutospacing="0"/>
              <w:jc w:val="both"/>
              <w:rPr>
                <w:rStyle w:val="Titretableau"/>
                <w:rFonts w:eastAsiaTheme="minorEastAsia" w:cstheme="minorBidi"/>
                <w:b w:val="0"/>
                <w:color w:val="0070C0"/>
              </w:rPr>
            </w:pPr>
            <w:r w:rsidRPr="00364EEF">
              <w:rPr>
                <w:rStyle w:val="Titretableau"/>
                <w:rFonts w:eastAsiaTheme="minorEastAsia" w:cstheme="minorBidi"/>
                <w:b w:val="0"/>
                <w:color w:val="0070C0"/>
              </w:rPr>
              <w:t>- les dispositions de l’article 18 du présent arrêté s’appliquent ;</w:t>
            </w:r>
          </w:p>
          <w:p w14:paraId="7D5A1C0A" w14:textId="5C207A63" w:rsidR="00E041DB" w:rsidRDefault="00E041DB" w:rsidP="00E041DB">
            <w:pPr>
              <w:pStyle w:val="NormalWeb"/>
              <w:spacing w:before="0" w:beforeAutospacing="0" w:after="120" w:afterAutospacing="0"/>
              <w:jc w:val="both"/>
              <w:rPr>
                <w:rStyle w:val="Titretableau"/>
              </w:rPr>
            </w:pPr>
            <w:r w:rsidRPr="00364EEF">
              <w:rPr>
                <w:rStyle w:val="Titretableau"/>
                <w:rFonts w:eastAsiaTheme="minorEastAsia" w:cstheme="minorBidi"/>
                <w:b w:val="0"/>
              </w:rPr>
              <w:t>-les articles 19,</w:t>
            </w:r>
            <w:r w:rsidR="003C2C9F">
              <w:rPr>
                <w:rStyle w:val="Titretableau"/>
                <w:rFonts w:eastAsiaTheme="minorEastAsia" w:cstheme="minorBidi"/>
                <w:b w:val="0"/>
              </w:rPr>
              <w:t xml:space="preserve"> </w:t>
            </w:r>
            <w:r w:rsidRPr="00364EEF">
              <w:rPr>
                <w:rStyle w:val="Titretableau"/>
                <w:rFonts w:eastAsiaTheme="minorEastAsia" w:cstheme="minorBidi"/>
                <w:b w:val="0"/>
              </w:rPr>
              <w:t>20,</w:t>
            </w:r>
            <w:r w:rsidR="003C2C9F">
              <w:rPr>
                <w:rStyle w:val="Titretableau"/>
                <w:rFonts w:eastAsiaTheme="minorEastAsia" w:cstheme="minorBidi"/>
                <w:b w:val="0"/>
              </w:rPr>
              <w:t xml:space="preserve"> </w:t>
            </w:r>
            <w:r w:rsidRPr="00364EEF">
              <w:rPr>
                <w:rStyle w:val="Titretableau"/>
                <w:rFonts w:eastAsiaTheme="minorEastAsia" w:cstheme="minorBidi"/>
                <w:b w:val="0"/>
              </w:rPr>
              <w:t>21 et 43 de l'arrêté du 3 octobre 2010 modifié susvisé s'appliquent dans les modalités particulières précisées dans le tableau ci-dessous pour les installations ayant fait le choix de respecter intégralement les dispositions de l'arrêté du</w:t>
            </w:r>
            <w:r>
              <w:rPr>
                <w:rStyle w:val="Titretableau"/>
                <w:rFonts w:eastAsiaTheme="minorEastAsia" w:cstheme="minorBidi"/>
                <w:b w:val="0"/>
              </w:rPr>
              <w:t xml:space="preserve"> 3 octobre 2010 modifié susvisé.</w:t>
            </w:r>
          </w:p>
        </w:tc>
        <w:tc>
          <w:tcPr>
            <w:tcW w:w="3040" w:type="dxa"/>
          </w:tcPr>
          <w:p w14:paraId="04F2AE89" w14:textId="77777777" w:rsidR="00E041DB" w:rsidRDefault="00E041DB" w:rsidP="00E041DB">
            <w:pPr>
              <w:jc w:val="both"/>
            </w:pPr>
            <w:r>
              <w:lastRenderedPageBreak/>
              <w:t>Réintégration des dispositions relative à la foudre qui était auparavant applicables (sites précédemment soumis à autorisation).</w:t>
            </w:r>
          </w:p>
        </w:tc>
      </w:tr>
      <w:tr w:rsidR="00E041DB" w14:paraId="1CF48FB9" w14:textId="77777777" w:rsidTr="001A16E3">
        <w:trPr>
          <w:trHeight w:val="3047"/>
          <w:jc w:val="center"/>
        </w:trPr>
        <w:tc>
          <w:tcPr>
            <w:tcW w:w="6150" w:type="dxa"/>
          </w:tcPr>
          <w:p w14:paraId="45CE39D5" w14:textId="77777777" w:rsidR="00E041DB" w:rsidRDefault="00E041DB" w:rsidP="00E041DB">
            <w:pPr>
              <w:jc w:val="both"/>
              <w:rPr>
                <w:rStyle w:val="Titretableau"/>
              </w:rPr>
            </w:pPr>
            <w:r>
              <w:rPr>
                <w:rStyle w:val="Titretableau"/>
              </w:rPr>
              <w:t xml:space="preserve">Annexe </w:t>
            </w:r>
            <w:proofErr w:type="gramStart"/>
            <w:r>
              <w:rPr>
                <w:rStyle w:val="Titretableau"/>
              </w:rPr>
              <w:t>IX.I</w:t>
            </w:r>
            <w:proofErr w:type="gramEnd"/>
            <w:r>
              <w:rPr>
                <w:rStyle w:val="Titretableau"/>
              </w:rPr>
              <w:t xml:space="preserve"> (deuxième tableau) + annexe IX.II (deuxième tableau)</w:t>
            </w:r>
          </w:p>
          <w:tbl>
            <w:tblPr>
              <w:tblStyle w:val="Grilledutableau"/>
              <w:tblW w:w="6027" w:type="dxa"/>
              <w:tblLook w:val="04A0" w:firstRow="1" w:lastRow="0" w:firstColumn="1" w:lastColumn="0" w:noHBand="0" w:noVBand="1"/>
            </w:tblPr>
            <w:tblGrid>
              <w:gridCol w:w="1066"/>
              <w:gridCol w:w="4961"/>
            </w:tblGrid>
            <w:tr w:rsidR="00E041DB" w14:paraId="5B3945E7" w14:textId="77777777" w:rsidTr="005A501E">
              <w:tc>
                <w:tcPr>
                  <w:tcW w:w="1066" w:type="dxa"/>
                </w:tcPr>
                <w:p w14:paraId="138D781F"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35460BA3" w14:textId="0730E9AC" w:rsidR="00E041DB" w:rsidRPr="00FF1689" w:rsidRDefault="00E041DB" w:rsidP="00E041DB">
                  <w:pPr>
                    <w:jc w:val="both"/>
                    <w:rPr>
                      <w:rStyle w:val="Titretableau"/>
                      <w:b w:val="0"/>
                    </w:rPr>
                  </w:pPr>
                  <w:r w:rsidRPr="00FF1689">
                    <w:rPr>
                      <w:rStyle w:val="Titretableau"/>
                      <w:b w:val="0"/>
                    </w:rPr>
                    <w:t>Modalités particulière</w:t>
                  </w:r>
                  <w:r w:rsidR="00AA2418">
                    <w:rPr>
                      <w:rStyle w:val="Titretableau"/>
                      <w:b w:val="0"/>
                    </w:rPr>
                    <w:t>s</w:t>
                  </w:r>
                  <w:r w:rsidRPr="00FF1689">
                    <w:rPr>
                      <w:rStyle w:val="Titretableau"/>
                      <w:b w:val="0"/>
                    </w:rPr>
                    <w:t xml:space="preserve"> d’application</w:t>
                  </w:r>
                </w:p>
              </w:tc>
            </w:tr>
            <w:tr w:rsidR="00E041DB" w14:paraId="3BF7E978" w14:textId="77777777" w:rsidTr="005A501E">
              <w:tc>
                <w:tcPr>
                  <w:tcW w:w="1066" w:type="dxa"/>
                </w:tcPr>
                <w:p w14:paraId="3F3B9904" w14:textId="77777777" w:rsidR="00E041DB" w:rsidRPr="00FF1689" w:rsidRDefault="00E041DB" w:rsidP="00E041DB">
                  <w:pPr>
                    <w:jc w:val="both"/>
                    <w:rPr>
                      <w:rStyle w:val="Titretableau"/>
                      <w:b w:val="0"/>
                    </w:rPr>
                  </w:pPr>
                  <w:r>
                    <w:rPr>
                      <w:rStyle w:val="Titretableau"/>
                      <w:b w:val="0"/>
                    </w:rPr>
                    <w:t>22</w:t>
                  </w:r>
                </w:p>
              </w:tc>
              <w:tc>
                <w:tcPr>
                  <w:tcW w:w="4961" w:type="dxa"/>
                </w:tcPr>
                <w:p w14:paraId="6C6A1015" w14:textId="77777777" w:rsidR="00E041DB" w:rsidRPr="00364EEF" w:rsidRDefault="00E041DB" w:rsidP="00E041DB">
                  <w:pPr>
                    <w:jc w:val="both"/>
                    <w:rPr>
                      <w:rStyle w:val="Titretableau"/>
                      <w:b w:val="0"/>
                    </w:rPr>
                  </w:pPr>
                  <w:r w:rsidRPr="00364EEF">
                    <w:rPr>
                      <w:rStyle w:val="Titretableau"/>
                      <w:b w:val="0"/>
                    </w:rPr>
                    <w:t>[…]</w:t>
                  </w:r>
                  <w:r>
                    <w:rPr>
                      <w:rStyle w:val="Titretableau"/>
                      <w:b w:val="0"/>
                    </w:rPr>
                    <w:t xml:space="preserve"> </w:t>
                  </w:r>
                  <w:r>
                    <w:t xml:space="preserve">Les dispositions du C du 22. IV sont remplacées par les dispositions suivantes : " Le volume de rétention permet également de contenir le volume des eaux d'extinction déterminé au vu de la stratégie incendie </w:t>
                  </w:r>
                  <w:r w:rsidRPr="00364EEF">
                    <w:rPr>
                      <w:color w:val="FF0000"/>
                    </w:rPr>
                    <w:t>définie à l'article 14</w:t>
                  </w:r>
                  <w:r>
                    <w:t xml:space="preserve"> ou une hauteur supplémentaire des parois de rétention de 0,15 mètre en vue de contenir ces eaux d'extinction. "</w:t>
                  </w:r>
                </w:p>
              </w:tc>
            </w:tr>
          </w:tbl>
          <w:p w14:paraId="30C4738A" w14:textId="77777777" w:rsidR="00E041DB" w:rsidRDefault="00E041DB" w:rsidP="00E041DB">
            <w:pPr>
              <w:jc w:val="both"/>
              <w:rPr>
                <w:rStyle w:val="Titretableau"/>
              </w:rPr>
            </w:pPr>
          </w:p>
        </w:tc>
        <w:tc>
          <w:tcPr>
            <w:tcW w:w="6150" w:type="dxa"/>
          </w:tcPr>
          <w:p w14:paraId="7B9151E4" w14:textId="77777777" w:rsidR="00E041DB" w:rsidRDefault="00E041DB" w:rsidP="00E041DB">
            <w:pPr>
              <w:jc w:val="both"/>
              <w:rPr>
                <w:rStyle w:val="Titretableau"/>
              </w:rPr>
            </w:pPr>
            <w:r>
              <w:rPr>
                <w:rStyle w:val="Titretableau"/>
              </w:rPr>
              <w:t xml:space="preserve">Annexe </w:t>
            </w:r>
            <w:proofErr w:type="gramStart"/>
            <w:r>
              <w:rPr>
                <w:rStyle w:val="Titretableau"/>
              </w:rPr>
              <w:t>IX.I</w:t>
            </w:r>
            <w:proofErr w:type="gramEnd"/>
            <w:r>
              <w:rPr>
                <w:rStyle w:val="Titretableau"/>
              </w:rPr>
              <w:t xml:space="preserve"> (deuxième tableau) + annexe IX.II (deuxième tableau)</w:t>
            </w:r>
          </w:p>
          <w:tbl>
            <w:tblPr>
              <w:tblStyle w:val="Grilledutableau"/>
              <w:tblW w:w="6027" w:type="dxa"/>
              <w:tblLook w:val="04A0" w:firstRow="1" w:lastRow="0" w:firstColumn="1" w:lastColumn="0" w:noHBand="0" w:noVBand="1"/>
            </w:tblPr>
            <w:tblGrid>
              <w:gridCol w:w="1066"/>
              <w:gridCol w:w="4961"/>
            </w:tblGrid>
            <w:tr w:rsidR="00E041DB" w14:paraId="0994663F" w14:textId="77777777" w:rsidTr="005A501E">
              <w:tc>
                <w:tcPr>
                  <w:tcW w:w="1066" w:type="dxa"/>
                </w:tcPr>
                <w:p w14:paraId="10FF9317" w14:textId="77777777" w:rsidR="00E041DB" w:rsidRPr="00FF1689" w:rsidRDefault="00E041DB" w:rsidP="00E041DB">
                  <w:pPr>
                    <w:jc w:val="both"/>
                    <w:rPr>
                      <w:rStyle w:val="Titretableau"/>
                      <w:b w:val="0"/>
                    </w:rPr>
                  </w:pPr>
                  <w:r w:rsidRPr="00FF1689">
                    <w:rPr>
                      <w:rStyle w:val="Titretableau"/>
                      <w:b w:val="0"/>
                    </w:rPr>
                    <w:t>Article concerné</w:t>
                  </w:r>
                </w:p>
              </w:tc>
              <w:tc>
                <w:tcPr>
                  <w:tcW w:w="4961" w:type="dxa"/>
                </w:tcPr>
                <w:p w14:paraId="37BA8530" w14:textId="6919CCAF" w:rsidR="00E041DB" w:rsidRPr="00FF1689" w:rsidRDefault="00E041DB" w:rsidP="00E041DB">
                  <w:pPr>
                    <w:jc w:val="both"/>
                    <w:rPr>
                      <w:rStyle w:val="Titretableau"/>
                      <w:b w:val="0"/>
                    </w:rPr>
                  </w:pPr>
                  <w:r w:rsidRPr="00FF1689">
                    <w:rPr>
                      <w:rStyle w:val="Titretableau"/>
                      <w:b w:val="0"/>
                    </w:rPr>
                    <w:t>Modalités particulière</w:t>
                  </w:r>
                  <w:r w:rsidR="00AA2418">
                    <w:rPr>
                      <w:rStyle w:val="Titretableau"/>
                      <w:b w:val="0"/>
                    </w:rPr>
                    <w:t>s</w:t>
                  </w:r>
                  <w:r w:rsidRPr="00FF1689">
                    <w:rPr>
                      <w:rStyle w:val="Titretableau"/>
                      <w:b w:val="0"/>
                    </w:rPr>
                    <w:t xml:space="preserve"> d’application</w:t>
                  </w:r>
                </w:p>
              </w:tc>
            </w:tr>
            <w:tr w:rsidR="00E041DB" w14:paraId="07552BF5" w14:textId="77777777" w:rsidTr="005A501E">
              <w:tc>
                <w:tcPr>
                  <w:tcW w:w="1066" w:type="dxa"/>
                </w:tcPr>
                <w:p w14:paraId="1D233044" w14:textId="77777777" w:rsidR="00E041DB" w:rsidRPr="00FF1689" w:rsidRDefault="00E041DB" w:rsidP="00E041DB">
                  <w:pPr>
                    <w:jc w:val="both"/>
                    <w:rPr>
                      <w:rStyle w:val="Titretableau"/>
                      <w:b w:val="0"/>
                    </w:rPr>
                  </w:pPr>
                  <w:r>
                    <w:rPr>
                      <w:rStyle w:val="Titretableau"/>
                      <w:b w:val="0"/>
                    </w:rPr>
                    <w:t>22</w:t>
                  </w:r>
                </w:p>
              </w:tc>
              <w:tc>
                <w:tcPr>
                  <w:tcW w:w="4961" w:type="dxa"/>
                </w:tcPr>
                <w:p w14:paraId="69FF6F13" w14:textId="77777777" w:rsidR="00E041DB" w:rsidRPr="00364EEF" w:rsidRDefault="00E041DB" w:rsidP="00E041DB">
                  <w:pPr>
                    <w:jc w:val="both"/>
                    <w:rPr>
                      <w:rStyle w:val="Titretableau"/>
                      <w:b w:val="0"/>
                    </w:rPr>
                  </w:pPr>
                  <w:r w:rsidRPr="00364EEF">
                    <w:rPr>
                      <w:rStyle w:val="Titretableau"/>
                      <w:b w:val="0"/>
                    </w:rPr>
                    <w:t>[…]</w:t>
                  </w:r>
                  <w:r>
                    <w:rPr>
                      <w:rStyle w:val="Titretableau"/>
                      <w:b w:val="0"/>
                    </w:rPr>
                    <w:t xml:space="preserve"> </w:t>
                  </w:r>
                  <w:r>
                    <w:t>Les dispositions du C du 22. IV sont remplacées par les dispositions suivantes : " Le volume de rétention permet également de contenir le volume des eaux d'extinction déterminé au vu de la stratégie incendie ou une hauteur supplémentaire des parois de rétention de 0,15 mètre en vue de contenir ces eaux d'extinction. "</w:t>
                  </w:r>
                </w:p>
              </w:tc>
            </w:tr>
          </w:tbl>
          <w:p w14:paraId="698419BD" w14:textId="77777777" w:rsidR="00E041DB" w:rsidRDefault="00E041DB" w:rsidP="00E041DB">
            <w:pPr>
              <w:jc w:val="both"/>
              <w:rPr>
                <w:rStyle w:val="Titretableau"/>
              </w:rPr>
            </w:pPr>
          </w:p>
        </w:tc>
        <w:tc>
          <w:tcPr>
            <w:tcW w:w="3040" w:type="dxa"/>
          </w:tcPr>
          <w:p w14:paraId="0BDC494C" w14:textId="77777777" w:rsidR="00E041DB" w:rsidRDefault="00E041DB" w:rsidP="00E041DB">
            <w:pPr>
              <w:jc w:val="both"/>
            </w:pPr>
            <w:r>
              <w:t>Suppression de la référence à l’article 14 de l’AM du 01/06/15, certains sites pouvant faire le choix d’appliquer les prescriptions de l’article 43 de l’AM du 03/10/10.</w:t>
            </w:r>
          </w:p>
        </w:tc>
      </w:tr>
      <w:tr w:rsidR="00E041DB" w14:paraId="77DCB6CC" w14:textId="77777777" w:rsidTr="005A501E">
        <w:trPr>
          <w:jc w:val="center"/>
        </w:trPr>
        <w:tc>
          <w:tcPr>
            <w:tcW w:w="6150" w:type="dxa"/>
          </w:tcPr>
          <w:p w14:paraId="6D3A7F00" w14:textId="77777777" w:rsidR="00E041DB" w:rsidRDefault="00E041DB" w:rsidP="00E041DB">
            <w:pPr>
              <w:jc w:val="both"/>
              <w:rPr>
                <w:rStyle w:val="Titretableau"/>
              </w:rPr>
            </w:pPr>
            <w:r>
              <w:rPr>
                <w:rStyle w:val="Titretableau"/>
              </w:rPr>
              <w:t>Annexe X</w:t>
            </w:r>
          </w:p>
          <w:p w14:paraId="7827182F" w14:textId="77777777" w:rsidR="00E041DB" w:rsidRPr="00900846" w:rsidRDefault="00E041DB" w:rsidP="00E041DB">
            <w:pPr>
              <w:jc w:val="both"/>
              <w:rPr>
                <w:rStyle w:val="Titretableau"/>
                <w:b w:val="0"/>
              </w:rPr>
            </w:pPr>
            <w:r w:rsidRPr="00900846">
              <w:rPr>
                <w:rStyle w:val="Titretableau"/>
                <w:b w:val="0"/>
              </w:rPr>
              <w:t>[…]</w:t>
            </w:r>
            <w:r>
              <w:rPr>
                <w:rStyle w:val="Titretableau"/>
                <w:b w:val="0"/>
              </w:rPr>
              <w:t xml:space="preserve"> </w:t>
            </w:r>
            <w:r>
              <w:t>Les dispositions du point 1.</w:t>
            </w:r>
            <w:r w:rsidRPr="00900846">
              <w:rPr>
                <w:color w:val="FF0000"/>
              </w:rPr>
              <w:t>10</w:t>
            </w:r>
            <w:r>
              <w:t xml:space="preserve"> de l'annexe I de l'arrêté du 22 décembre 2008 sont remplacées par les dispositions suivantes :</w:t>
            </w:r>
          </w:p>
        </w:tc>
        <w:tc>
          <w:tcPr>
            <w:tcW w:w="6150" w:type="dxa"/>
          </w:tcPr>
          <w:p w14:paraId="0ED7C694" w14:textId="77777777" w:rsidR="00E041DB" w:rsidRDefault="00E041DB" w:rsidP="00E041DB">
            <w:pPr>
              <w:jc w:val="both"/>
              <w:rPr>
                <w:rStyle w:val="Titretableau"/>
              </w:rPr>
            </w:pPr>
            <w:r>
              <w:rPr>
                <w:rStyle w:val="Titretableau"/>
              </w:rPr>
              <w:t>Annexe X</w:t>
            </w:r>
          </w:p>
          <w:p w14:paraId="06E9C6DA" w14:textId="460C8BE5" w:rsidR="00E041DB" w:rsidRPr="005D401B" w:rsidRDefault="00E041DB" w:rsidP="00E041DB">
            <w:pPr>
              <w:jc w:val="both"/>
              <w:rPr>
                <w:rStyle w:val="Titretableau"/>
                <w:rFonts w:asciiTheme="minorHAnsi" w:hAnsiTheme="minorHAnsi"/>
                <w:b w:val="0"/>
              </w:rPr>
            </w:pPr>
            <w:r w:rsidRPr="00900846">
              <w:rPr>
                <w:rStyle w:val="Titretableau"/>
                <w:b w:val="0"/>
              </w:rPr>
              <w:t>[…]</w:t>
            </w:r>
            <w:r>
              <w:rPr>
                <w:rStyle w:val="Titretableau"/>
                <w:b w:val="0"/>
              </w:rPr>
              <w:t xml:space="preserve"> </w:t>
            </w:r>
            <w:r>
              <w:t>Les dispositions du point 1.</w:t>
            </w:r>
            <w:r w:rsidRPr="00900846">
              <w:rPr>
                <w:color w:val="0070C0"/>
              </w:rPr>
              <w:t>9</w:t>
            </w:r>
            <w:r>
              <w:t xml:space="preserve"> de l'annexe I de l'arrêté du 22 décembre 2008 sont remplacées par les dispositions suivantes :</w:t>
            </w:r>
          </w:p>
        </w:tc>
        <w:tc>
          <w:tcPr>
            <w:tcW w:w="3040" w:type="dxa"/>
          </w:tcPr>
          <w:p w14:paraId="517E5DAE" w14:textId="77777777" w:rsidR="00E041DB" w:rsidRDefault="00E041DB" w:rsidP="00E041DB">
            <w:pPr>
              <w:jc w:val="both"/>
            </w:pPr>
            <w:r>
              <w:t xml:space="preserve">Correction d’une coquille </w:t>
            </w:r>
          </w:p>
        </w:tc>
      </w:tr>
      <w:tr w:rsidR="00794218" w14:paraId="2AA36BF2" w14:textId="77777777" w:rsidTr="005A501E">
        <w:trPr>
          <w:jc w:val="center"/>
        </w:trPr>
        <w:tc>
          <w:tcPr>
            <w:tcW w:w="6150" w:type="dxa"/>
          </w:tcPr>
          <w:p w14:paraId="75707C15" w14:textId="6198853F" w:rsidR="00794218" w:rsidRDefault="00794218" w:rsidP="00794218">
            <w:pPr>
              <w:jc w:val="both"/>
              <w:rPr>
                <w:rStyle w:val="Titretableau"/>
              </w:rPr>
            </w:pPr>
            <w:r>
              <w:rPr>
                <w:rStyle w:val="Titretableau"/>
              </w:rPr>
              <w:t>Annexe X</w:t>
            </w:r>
          </w:p>
          <w:tbl>
            <w:tblPr>
              <w:tblStyle w:val="Grilledutableau"/>
              <w:tblW w:w="6027" w:type="dxa"/>
              <w:tblLook w:val="04A0" w:firstRow="1" w:lastRow="0" w:firstColumn="1" w:lastColumn="0" w:noHBand="0" w:noVBand="1"/>
            </w:tblPr>
            <w:tblGrid>
              <w:gridCol w:w="1066"/>
              <w:gridCol w:w="4961"/>
            </w:tblGrid>
            <w:tr w:rsidR="00794218" w14:paraId="4A257A40" w14:textId="77777777" w:rsidTr="008A6C44">
              <w:tc>
                <w:tcPr>
                  <w:tcW w:w="1066" w:type="dxa"/>
                </w:tcPr>
                <w:p w14:paraId="775539EC"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1B9BFC29"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14:paraId="63E5F5B5" w14:textId="77777777" w:rsidTr="008A6C44">
              <w:tc>
                <w:tcPr>
                  <w:tcW w:w="1066" w:type="dxa"/>
                </w:tcPr>
                <w:p w14:paraId="1ACFBC6C" w14:textId="782DE782" w:rsidR="00794218" w:rsidRPr="008A6C44" w:rsidRDefault="00794218" w:rsidP="00794218">
                  <w:pPr>
                    <w:jc w:val="both"/>
                    <w:rPr>
                      <w:rStyle w:val="Titretableau"/>
                      <w:b w:val="0"/>
                    </w:rPr>
                  </w:pPr>
                  <w:r>
                    <w:rPr>
                      <w:rStyle w:val="Titretableau"/>
                      <w:b w:val="0"/>
                    </w:rPr>
                    <w:t>14.II.B</w:t>
                  </w:r>
                </w:p>
              </w:tc>
              <w:tc>
                <w:tcPr>
                  <w:tcW w:w="4961" w:type="dxa"/>
                </w:tcPr>
                <w:p w14:paraId="67132100" w14:textId="3A17C785" w:rsidR="00794218" w:rsidRPr="00FF1689" w:rsidRDefault="00794218" w:rsidP="00794218">
                  <w:pPr>
                    <w:jc w:val="both"/>
                    <w:rPr>
                      <w:rStyle w:val="Titretableau"/>
                      <w:b w:val="0"/>
                    </w:rPr>
                  </w:pPr>
                  <w:r w:rsidRPr="00794218">
                    <w:rPr>
                      <w:rStyle w:val="Titretableau"/>
                      <w:b w:val="0"/>
                    </w:rPr>
                    <w:t xml:space="preserve">Les dispositions du 14. II. B ne sont pas applicables. Néanmoins, cas de modification ou extension de ces installations comprenant une nouvelle cellule ou un </w:t>
                  </w:r>
                  <w:r w:rsidRPr="00794218">
                    <w:rPr>
                      <w:rStyle w:val="Titretableau"/>
                      <w:b w:val="0"/>
                    </w:rPr>
                    <w:lastRenderedPageBreak/>
                    <w:t>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du point 14. II. B s'appliquent à l'extension.</w:t>
                  </w:r>
                </w:p>
              </w:tc>
            </w:tr>
          </w:tbl>
          <w:p w14:paraId="30B5A975" w14:textId="77777777" w:rsidR="00794218" w:rsidRDefault="00794218" w:rsidP="00794218">
            <w:pPr>
              <w:jc w:val="both"/>
              <w:rPr>
                <w:rStyle w:val="Titretableau"/>
              </w:rPr>
            </w:pPr>
          </w:p>
        </w:tc>
        <w:tc>
          <w:tcPr>
            <w:tcW w:w="6150" w:type="dxa"/>
          </w:tcPr>
          <w:p w14:paraId="32EBF2E1" w14:textId="46CE4DFB" w:rsidR="00794218" w:rsidRDefault="00794218" w:rsidP="00794218">
            <w:pPr>
              <w:jc w:val="both"/>
              <w:rPr>
                <w:rStyle w:val="Titretableau"/>
              </w:rPr>
            </w:pPr>
            <w:r>
              <w:rPr>
                <w:rStyle w:val="Titretableau"/>
              </w:rPr>
              <w:lastRenderedPageBreak/>
              <w:t>Annexe X</w:t>
            </w:r>
          </w:p>
          <w:tbl>
            <w:tblPr>
              <w:tblStyle w:val="Grilledutableau"/>
              <w:tblW w:w="6027" w:type="dxa"/>
              <w:tblLook w:val="04A0" w:firstRow="1" w:lastRow="0" w:firstColumn="1" w:lastColumn="0" w:noHBand="0" w:noVBand="1"/>
            </w:tblPr>
            <w:tblGrid>
              <w:gridCol w:w="1066"/>
              <w:gridCol w:w="4961"/>
            </w:tblGrid>
            <w:tr w:rsidR="00794218" w14:paraId="5E21F786" w14:textId="77777777" w:rsidTr="008A6C44">
              <w:tc>
                <w:tcPr>
                  <w:tcW w:w="1066" w:type="dxa"/>
                </w:tcPr>
                <w:p w14:paraId="20D1725D"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1E1D1E59"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14:paraId="1DB9E702" w14:textId="77777777" w:rsidTr="008A6C44">
              <w:tc>
                <w:tcPr>
                  <w:tcW w:w="1066" w:type="dxa"/>
                </w:tcPr>
                <w:p w14:paraId="5821BC8D" w14:textId="47D1DCB7" w:rsidR="00794218" w:rsidRPr="008A6C44" w:rsidRDefault="00794218" w:rsidP="00794218">
                  <w:pPr>
                    <w:jc w:val="both"/>
                    <w:rPr>
                      <w:rStyle w:val="Titretableau"/>
                      <w:b w:val="0"/>
                    </w:rPr>
                  </w:pPr>
                  <w:r>
                    <w:rPr>
                      <w:rStyle w:val="Titretableau"/>
                      <w:b w:val="0"/>
                    </w:rPr>
                    <w:t>14.II.B</w:t>
                  </w:r>
                </w:p>
              </w:tc>
              <w:tc>
                <w:tcPr>
                  <w:tcW w:w="4961" w:type="dxa"/>
                </w:tcPr>
                <w:p w14:paraId="159C06B4" w14:textId="5943A2B7" w:rsidR="00794218" w:rsidRPr="00FF1689" w:rsidRDefault="00794218" w:rsidP="00794218">
                  <w:pPr>
                    <w:jc w:val="both"/>
                    <w:rPr>
                      <w:rStyle w:val="Titretableau"/>
                      <w:b w:val="0"/>
                    </w:rPr>
                  </w:pPr>
                  <w:r w:rsidRPr="00794218">
                    <w:rPr>
                      <w:rStyle w:val="Titretableau"/>
                      <w:b w:val="0"/>
                    </w:rPr>
                    <w:t xml:space="preserve">Les dispositions du 14. II. B ne sont pas applicables. Néanmoins, </w:t>
                  </w:r>
                  <w:r w:rsidRPr="00DA262A">
                    <w:rPr>
                      <w:rStyle w:val="Titretableau"/>
                      <w:b w:val="0"/>
                      <w:color w:val="2E74B5" w:themeColor="accent1" w:themeShade="BF"/>
                    </w:rPr>
                    <w:t xml:space="preserve">en </w:t>
                  </w:r>
                  <w:r w:rsidRPr="00794218">
                    <w:rPr>
                      <w:rStyle w:val="Titretableau"/>
                      <w:b w:val="0"/>
                    </w:rPr>
                    <w:t xml:space="preserve">cas de modification ou extension de ces installations comprenant une nouvelle cellule ou </w:t>
                  </w:r>
                  <w:r w:rsidRPr="00794218">
                    <w:rPr>
                      <w:rStyle w:val="Titretableau"/>
                      <w:b w:val="0"/>
                    </w:rPr>
                    <w:lastRenderedPageBreak/>
                    <w:t>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du point 14. II. B s'appliquent à l'extension.</w:t>
                  </w:r>
                </w:p>
              </w:tc>
            </w:tr>
          </w:tbl>
          <w:p w14:paraId="4432B37D" w14:textId="77777777" w:rsidR="00794218" w:rsidRDefault="00794218" w:rsidP="00794218">
            <w:pPr>
              <w:jc w:val="both"/>
              <w:rPr>
                <w:rStyle w:val="Titretableau"/>
              </w:rPr>
            </w:pPr>
          </w:p>
        </w:tc>
        <w:tc>
          <w:tcPr>
            <w:tcW w:w="3040" w:type="dxa"/>
          </w:tcPr>
          <w:p w14:paraId="681C8EE9" w14:textId="1891BCC4" w:rsidR="00794218" w:rsidRDefault="00794218" w:rsidP="00794218">
            <w:pPr>
              <w:jc w:val="both"/>
            </w:pPr>
            <w:r>
              <w:lastRenderedPageBreak/>
              <w:t>Correction d’une coquille</w:t>
            </w:r>
          </w:p>
        </w:tc>
      </w:tr>
      <w:tr w:rsidR="00794218" w14:paraId="47FA38FD" w14:textId="77777777" w:rsidTr="001A16E3">
        <w:trPr>
          <w:cantSplit/>
          <w:jc w:val="center"/>
        </w:trPr>
        <w:tc>
          <w:tcPr>
            <w:tcW w:w="15340" w:type="dxa"/>
            <w:gridSpan w:val="3"/>
            <w:shd w:val="clear" w:color="auto" w:fill="C5E0B3" w:themeFill="accent6" w:themeFillTint="66"/>
          </w:tcPr>
          <w:p w14:paraId="695DA119" w14:textId="77777777" w:rsidR="00794218" w:rsidRDefault="00794218" w:rsidP="00794218">
            <w:pPr>
              <w:jc w:val="both"/>
            </w:pPr>
            <w:r>
              <w:rPr>
                <w:rStyle w:val="Titretableau"/>
              </w:rPr>
              <w:t xml:space="preserve">Arrêté du </w:t>
            </w:r>
            <w:r w:rsidRPr="0090500A">
              <w:rPr>
                <w:rStyle w:val="Titretableau"/>
              </w:rPr>
              <w:t>22 décembre 2008 relatif aux prescriptions générales applicables aux installations classées soumises à déclaration sous l'une ou plusieurs des rubriques n</w:t>
            </w:r>
            <w:r w:rsidRPr="00DA262A">
              <w:rPr>
                <w:rStyle w:val="Titretableau"/>
                <w:vertAlign w:val="superscript"/>
              </w:rPr>
              <w:t>os</w:t>
            </w:r>
            <w:r w:rsidRPr="0090500A">
              <w:rPr>
                <w:rStyle w:val="Titretableau"/>
              </w:rPr>
              <w:t xml:space="preserve"> 1436, 4330, 4331, 4722, 4734, 4742, 4743, 4744, 4746, 4747 ou 4748, ou pour le pétrole brut sous l'une ou plusieurs des rubriques n</w:t>
            </w:r>
            <w:r w:rsidRPr="00DA262A">
              <w:rPr>
                <w:rStyle w:val="Titretableau"/>
                <w:vertAlign w:val="superscript"/>
              </w:rPr>
              <w:t>os</w:t>
            </w:r>
            <w:r w:rsidRPr="0090500A">
              <w:rPr>
                <w:rStyle w:val="Titretableau"/>
              </w:rPr>
              <w:t xml:space="preserve"> 4510 ou 4511</w:t>
            </w:r>
          </w:p>
        </w:tc>
      </w:tr>
      <w:tr w:rsidR="00794218" w14:paraId="59FE9931" w14:textId="77777777" w:rsidTr="00FA2B7E">
        <w:trPr>
          <w:jc w:val="center"/>
        </w:trPr>
        <w:tc>
          <w:tcPr>
            <w:tcW w:w="6150" w:type="dxa"/>
          </w:tcPr>
          <w:p w14:paraId="36A7FE3E" w14:textId="6979D3FE" w:rsidR="00794218" w:rsidRDefault="00794218" w:rsidP="00794218">
            <w:pPr>
              <w:jc w:val="both"/>
              <w:rPr>
                <w:rStyle w:val="Titretableau"/>
              </w:rPr>
            </w:pPr>
            <w:r>
              <w:rPr>
                <w:rStyle w:val="Titretableau"/>
              </w:rPr>
              <w:t xml:space="preserve">Annexe II. - </w:t>
            </w:r>
            <w:r w:rsidR="00455298">
              <w:rPr>
                <w:rStyle w:val="Titretableau"/>
              </w:rPr>
              <w:t>1</w:t>
            </w:r>
          </w:p>
          <w:tbl>
            <w:tblPr>
              <w:tblStyle w:val="Grilledutableau"/>
              <w:tblW w:w="6027" w:type="dxa"/>
              <w:tblLook w:val="04A0" w:firstRow="1" w:lastRow="0" w:firstColumn="1" w:lastColumn="0" w:noHBand="0" w:noVBand="1"/>
            </w:tblPr>
            <w:tblGrid>
              <w:gridCol w:w="1066"/>
              <w:gridCol w:w="4961"/>
            </w:tblGrid>
            <w:tr w:rsidR="00794218" w:rsidRPr="00FF1689" w14:paraId="0A2D6975" w14:textId="77777777" w:rsidTr="008A6C44">
              <w:tc>
                <w:tcPr>
                  <w:tcW w:w="1066" w:type="dxa"/>
                </w:tcPr>
                <w:p w14:paraId="0352B9B3"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17AAAFF8"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5243D656" w14:textId="77777777" w:rsidTr="008A6C44">
              <w:tc>
                <w:tcPr>
                  <w:tcW w:w="1066" w:type="dxa"/>
                </w:tcPr>
                <w:p w14:paraId="0B336601" w14:textId="77777777" w:rsidR="00794218" w:rsidRPr="00FF1689" w:rsidRDefault="00794218" w:rsidP="00794218">
                  <w:pPr>
                    <w:jc w:val="both"/>
                    <w:rPr>
                      <w:rStyle w:val="Titretableau"/>
                      <w:b w:val="0"/>
                    </w:rPr>
                  </w:pPr>
                  <w:r>
                    <w:rPr>
                      <w:rStyle w:val="Titretableau"/>
                      <w:b w:val="0"/>
                    </w:rPr>
                    <w:t>2.3</w:t>
                  </w:r>
                </w:p>
              </w:tc>
              <w:tc>
                <w:tcPr>
                  <w:tcW w:w="4961" w:type="dxa"/>
                </w:tcPr>
                <w:p w14:paraId="4DDCE631" w14:textId="77777777" w:rsidR="00794218" w:rsidRPr="00794218" w:rsidRDefault="00794218" w:rsidP="00794218">
                  <w:pPr>
                    <w:jc w:val="both"/>
                    <w:rPr>
                      <w:rStyle w:val="Titretableau"/>
                      <w:b w:val="0"/>
                    </w:rPr>
                  </w:pPr>
                  <w:r w:rsidRPr="00794218">
                    <w:rPr>
                      <w:rStyle w:val="Titretableau"/>
                      <w:b w:val="0"/>
                    </w:rPr>
                    <w:t>Les dispositions du point 2.3 ne sont pas applicables.</w:t>
                  </w:r>
                </w:p>
                <w:p w14:paraId="2E77B7A0" w14:textId="77777777" w:rsidR="00794218" w:rsidRPr="00794218" w:rsidRDefault="00794218" w:rsidP="00794218">
                  <w:pPr>
                    <w:jc w:val="both"/>
                    <w:rPr>
                      <w:rStyle w:val="Titretableau"/>
                      <w:b w:val="0"/>
                    </w:rPr>
                  </w:pPr>
                </w:p>
                <w:p w14:paraId="41CC3617" w14:textId="77777777" w:rsidR="00794218" w:rsidRPr="00364EEF" w:rsidRDefault="00794218" w:rsidP="00794218">
                  <w:pPr>
                    <w:jc w:val="both"/>
                    <w:rPr>
                      <w:rStyle w:val="Titretableau"/>
                      <w:b w:val="0"/>
                    </w:rPr>
                  </w:pPr>
                  <w:r w:rsidRPr="00794218">
                    <w:rPr>
                      <w:rStyle w:val="Titretableau"/>
                      <w:b w:val="0"/>
                    </w:rPr>
                    <w:t>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du point 2.3 s'appliquent à l'extension.</w:t>
                  </w:r>
                </w:p>
              </w:tc>
            </w:tr>
            <w:tr w:rsidR="00794218" w:rsidRPr="00794218" w14:paraId="75AED8D7" w14:textId="77777777" w:rsidTr="008A6C44">
              <w:tc>
                <w:tcPr>
                  <w:tcW w:w="1066" w:type="dxa"/>
                </w:tcPr>
                <w:p w14:paraId="0F82941C" w14:textId="77777777" w:rsidR="00794218" w:rsidRDefault="00794218" w:rsidP="00794218">
                  <w:pPr>
                    <w:jc w:val="both"/>
                    <w:rPr>
                      <w:rStyle w:val="Titretableau"/>
                      <w:b w:val="0"/>
                    </w:rPr>
                  </w:pPr>
                  <w:r>
                    <w:rPr>
                      <w:rStyle w:val="Titretableau"/>
                      <w:b w:val="0"/>
                    </w:rPr>
                    <w:t>2.7.6</w:t>
                  </w:r>
                </w:p>
              </w:tc>
              <w:tc>
                <w:tcPr>
                  <w:tcW w:w="4961" w:type="dxa"/>
                </w:tcPr>
                <w:p w14:paraId="1F78BB1C" w14:textId="77777777" w:rsidR="00794218" w:rsidRPr="00794218" w:rsidRDefault="00794218" w:rsidP="00794218">
                  <w:pPr>
                    <w:jc w:val="both"/>
                    <w:rPr>
                      <w:rStyle w:val="Titretableau"/>
                      <w:b w:val="0"/>
                    </w:rPr>
                  </w:pPr>
                  <w:r w:rsidRPr="00794218">
                    <w:rPr>
                      <w:rStyle w:val="Titretableau"/>
                      <w:b w:val="0"/>
                    </w:rPr>
                    <w:t>Les dispositions du point 2.7.6 ne sont pas applicables. 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7D388570" w14:textId="77777777" w:rsidTr="008A6C44">
              <w:tc>
                <w:tcPr>
                  <w:tcW w:w="1066" w:type="dxa"/>
                </w:tcPr>
                <w:p w14:paraId="4FC1AEBC" w14:textId="77777777" w:rsidR="00794218" w:rsidRDefault="00794218" w:rsidP="00794218">
                  <w:pPr>
                    <w:jc w:val="both"/>
                    <w:rPr>
                      <w:rStyle w:val="Titretableau"/>
                      <w:b w:val="0"/>
                    </w:rPr>
                  </w:pPr>
                  <w:r>
                    <w:rPr>
                      <w:rStyle w:val="Titretableau"/>
                      <w:b w:val="0"/>
                    </w:rPr>
                    <w:t>4.3</w:t>
                  </w:r>
                </w:p>
              </w:tc>
              <w:tc>
                <w:tcPr>
                  <w:tcW w:w="4961" w:type="dxa"/>
                </w:tcPr>
                <w:p w14:paraId="54593B3C" w14:textId="77777777" w:rsidR="00794218" w:rsidRDefault="00794218" w:rsidP="00794218">
                  <w:pPr>
                    <w:jc w:val="both"/>
                    <w:rPr>
                      <w:rStyle w:val="Titretableau"/>
                      <w:b w:val="0"/>
                    </w:rPr>
                  </w:pPr>
                  <w:r>
                    <w:rPr>
                      <w:rStyle w:val="Titretableau"/>
                      <w:b w:val="0"/>
                    </w:rPr>
                    <w:t xml:space="preserve">[…] </w:t>
                  </w:r>
                </w:p>
                <w:p w14:paraId="7E425DEF" w14:textId="77777777" w:rsidR="00794218" w:rsidRPr="00794218" w:rsidRDefault="00794218" w:rsidP="00794218">
                  <w:pPr>
                    <w:jc w:val="both"/>
                    <w:rPr>
                      <w:rStyle w:val="Titretableau"/>
                      <w:b w:val="0"/>
                    </w:rPr>
                  </w:pPr>
                  <w:r w:rsidRPr="00794218">
                    <w:rPr>
                      <w:rStyle w:val="Titretableau"/>
                      <w:b w:val="0"/>
                    </w:rPr>
                    <w:t>Les dispositions des points 4.3.3. A et B sont remplacées par les dispositions suivantes :</w:t>
                  </w:r>
                </w:p>
                <w:p w14:paraId="72B943B6" w14:textId="77777777" w:rsidR="00794218" w:rsidRDefault="00794218" w:rsidP="00794218">
                  <w:pPr>
                    <w:jc w:val="both"/>
                    <w:rPr>
                      <w:rStyle w:val="Titretableau"/>
                      <w:b w:val="0"/>
                    </w:rPr>
                  </w:pPr>
                  <w:r w:rsidRPr="00794218">
                    <w:rPr>
                      <w:rStyle w:val="Titretableau"/>
                      <w:b w:val="0"/>
                    </w:rPr>
                    <w:t xml:space="preserve">" Les cellules où est stocké au moins un liquide inflammable de catégorie B sont équipées d'un système de détection automatique d'incendie approprié au produit.". Cette disposition est </w:t>
                  </w:r>
                  <w:r w:rsidRPr="00794218">
                    <w:rPr>
                      <w:rStyle w:val="Titretableau"/>
                      <w:b w:val="0"/>
                    </w:rPr>
                    <w:lastRenderedPageBreak/>
                    <w:t>applicable au 1</w:t>
                  </w:r>
                  <w:r w:rsidRPr="00DA262A">
                    <w:rPr>
                      <w:rStyle w:val="Titretableau"/>
                      <w:b w:val="0"/>
                      <w:vertAlign w:val="superscript"/>
                    </w:rPr>
                    <w:t>er</w:t>
                  </w:r>
                  <w:r w:rsidRPr="00794218">
                    <w:rPr>
                      <w:rStyle w:val="Titretableau"/>
                      <w:b w:val="0"/>
                    </w:rPr>
                    <w:t xml:space="preserve"> janvier 2027. 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des points 4.3.3. A et B s'appliquent à l'extension.</w:t>
                  </w:r>
                </w:p>
                <w:p w14:paraId="49E8A616" w14:textId="13CA3C39" w:rsidR="00794218" w:rsidRPr="00794218" w:rsidRDefault="00794218" w:rsidP="00FA2B7E">
                  <w:pPr>
                    <w:jc w:val="both"/>
                    <w:rPr>
                      <w:rStyle w:val="Titretableau"/>
                      <w:b w:val="0"/>
                    </w:rPr>
                  </w:pPr>
                  <w:r>
                    <w:rPr>
                      <w:rStyle w:val="Titretableau"/>
                      <w:b w:val="0"/>
                    </w:rPr>
                    <w:t>[…]</w:t>
                  </w:r>
                </w:p>
              </w:tc>
            </w:tr>
          </w:tbl>
          <w:p w14:paraId="74123B8B" w14:textId="1747C046" w:rsidR="00794218" w:rsidRDefault="00794218" w:rsidP="00794218">
            <w:pPr>
              <w:jc w:val="both"/>
              <w:rPr>
                <w:rStyle w:val="Titretableau"/>
              </w:rPr>
            </w:pPr>
          </w:p>
        </w:tc>
        <w:tc>
          <w:tcPr>
            <w:tcW w:w="6150" w:type="dxa"/>
          </w:tcPr>
          <w:p w14:paraId="7DFCE2DA" w14:textId="3BCD9F48" w:rsidR="00794218" w:rsidRDefault="00794218" w:rsidP="00794218">
            <w:pPr>
              <w:jc w:val="both"/>
              <w:rPr>
                <w:rStyle w:val="Titretableau"/>
              </w:rPr>
            </w:pPr>
            <w:r>
              <w:rPr>
                <w:rStyle w:val="Titretableau"/>
              </w:rPr>
              <w:lastRenderedPageBreak/>
              <w:t xml:space="preserve">Annexe II. - </w:t>
            </w:r>
            <w:r w:rsidR="00455298">
              <w:rPr>
                <w:rStyle w:val="Titretableau"/>
              </w:rPr>
              <w:t>1</w:t>
            </w:r>
          </w:p>
          <w:tbl>
            <w:tblPr>
              <w:tblStyle w:val="Grilledutableau"/>
              <w:tblW w:w="6027" w:type="dxa"/>
              <w:tblLook w:val="04A0" w:firstRow="1" w:lastRow="0" w:firstColumn="1" w:lastColumn="0" w:noHBand="0" w:noVBand="1"/>
            </w:tblPr>
            <w:tblGrid>
              <w:gridCol w:w="1066"/>
              <w:gridCol w:w="4961"/>
            </w:tblGrid>
            <w:tr w:rsidR="00794218" w:rsidRPr="00FF1689" w14:paraId="237B11E0" w14:textId="77777777" w:rsidTr="008A6C44">
              <w:tc>
                <w:tcPr>
                  <w:tcW w:w="1066" w:type="dxa"/>
                </w:tcPr>
                <w:p w14:paraId="6997C805"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7EE14759"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28DDAC21" w14:textId="77777777" w:rsidTr="008A6C44">
              <w:tc>
                <w:tcPr>
                  <w:tcW w:w="1066" w:type="dxa"/>
                </w:tcPr>
                <w:p w14:paraId="4369919F" w14:textId="77777777" w:rsidR="00794218" w:rsidRPr="00FF1689" w:rsidRDefault="00794218" w:rsidP="00794218">
                  <w:pPr>
                    <w:jc w:val="both"/>
                    <w:rPr>
                      <w:rStyle w:val="Titretableau"/>
                      <w:b w:val="0"/>
                    </w:rPr>
                  </w:pPr>
                  <w:r>
                    <w:rPr>
                      <w:rStyle w:val="Titretableau"/>
                      <w:b w:val="0"/>
                    </w:rPr>
                    <w:t>2.3</w:t>
                  </w:r>
                </w:p>
              </w:tc>
              <w:tc>
                <w:tcPr>
                  <w:tcW w:w="4961" w:type="dxa"/>
                </w:tcPr>
                <w:p w14:paraId="44045308" w14:textId="77777777" w:rsidR="00794218" w:rsidRPr="00794218" w:rsidRDefault="00794218" w:rsidP="00794218">
                  <w:pPr>
                    <w:jc w:val="both"/>
                    <w:rPr>
                      <w:rStyle w:val="Titretableau"/>
                      <w:b w:val="0"/>
                    </w:rPr>
                  </w:pPr>
                  <w:r w:rsidRPr="00794218">
                    <w:rPr>
                      <w:rStyle w:val="Titretableau"/>
                      <w:b w:val="0"/>
                    </w:rPr>
                    <w:t>Les dispositions du point 2.3 ne sont pas applicables.</w:t>
                  </w:r>
                </w:p>
                <w:p w14:paraId="74F244AD" w14:textId="77777777" w:rsidR="00794218" w:rsidRPr="00794218" w:rsidRDefault="00794218" w:rsidP="00794218">
                  <w:pPr>
                    <w:jc w:val="both"/>
                    <w:rPr>
                      <w:rStyle w:val="Titretableau"/>
                      <w:b w:val="0"/>
                    </w:rPr>
                  </w:pPr>
                </w:p>
                <w:p w14:paraId="0D419AD6" w14:textId="43555DA3" w:rsidR="00794218" w:rsidRPr="00364EEF" w:rsidRDefault="00794218" w:rsidP="00794218">
                  <w:pPr>
                    <w:jc w:val="both"/>
                    <w:rPr>
                      <w:rStyle w:val="Titretableau"/>
                      <w:b w:val="0"/>
                    </w:rPr>
                  </w:pPr>
                  <w:r w:rsidRPr="00794218">
                    <w:rPr>
                      <w:rStyle w:val="Titretableau"/>
                      <w:b w:val="0"/>
                    </w:rPr>
                    <w:t>Néanmoins,</w:t>
                  </w:r>
                  <w:r w:rsidRPr="00DA262A">
                    <w:rPr>
                      <w:rStyle w:val="Titretableau"/>
                      <w:b w:val="0"/>
                      <w:color w:val="2E74B5" w:themeColor="accent1" w:themeShade="BF"/>
                    </w:rPr>
                    <w:t xml:space="preserve"> 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du point 2.3 s'appliquent à l'extension.</w:t>
                  </w:r>
                </w:p>
              </w:tc>
            </w:tr>
            <w:tr w:rsidR="00794218" w:rsidRPr="00794218" w14:paraId="14AF31B0" w14:textId="77777777" w:rsidTr="008A6C44">
              <w:tc>
                <w:tcPr>
                  <w:tcW w:w="1066" w:type="dxa"/>
                </w:tcPr>
                <w:p w14:paraId="5B214428" w14:textId="77777777" w:rsidR="00794218" w:rsidRDefault="00794218" w:rsidP="00794218">
                  <w:pPr>
                    <w:jc w:val="both"/>
                    <w:rPr>
                      <w:rStyle w:val="Titretableau"/>
                      <w:b w:val="0"/>
                    </w:rPr>
                  </w:pPr>
                  <w:r>
                    <w:rPr>
                      <w:rStyle w:val="Titretableau"/>
                      <w:b w:val="0"/>
                    </w:rPr>
                    <w:t>2.7.6</w:t>
                  </w:r>
                </w:p>
              </w:tc>
              <w:tc>
                <w:tcPr>
                  <w:tcW w:w="4961" w:type="dxa"/>
                </w:tcPr>
                <w:p w14:paraId="26408807" w14:textId="527C4188" w:rsidR="00794218" w:rsidRPr="00794218" w:rsidRDefault="00794218" w:rsidP="00794218">
                  <w:pPr>
                    <w:jc w:val="both"/>
                    <w:rPr>
                      <w:rStyle w:val="Titretableau"/>
                      <w:b w:val="0"/>
                    </w:rPr>
                  </w:pPr>
                  <w:r w:rsidRPr="00794218">
                    <w:rPr>
                      <w:rStyle w:val="Titretableau"/>
                      <w:b w:val="0"/>
                    </w:rPr>
                    <w:t xml:space="preserve">Les dispositions du point 2.7.6 ne sont pas applicables. Néanmoins, </w:t>
                  </w:r>
                  <w:r w:rsidRPr="008A6C44">
                    <w:rPr>
                      <w:rStyle w:val="Titretableau"/>
                      <w:b w:val="0"/>
                      <w:color w:val="2E74B5" w:themeColor="accent1" w:themeShade="BF"/>
                    </w:rPr>
                    <w:t xml:space="preserve">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3220E072" w14:textId="77777777" w:rsidTr="008A6C44">
              <w:tc>
                <w:tcPr>
                  <w:tcW w:w="1066" w:type="dxa"/>
                </w:tcPr>
                <w:p w14:paraId="2011E8CF" w14:textId="77777777" w:rsidR="00794218" w:rsidRDefault="00794218" w:rsidP="00794218">
                  <w:pPr>
                    <w:jc w:val="both"/>
                    <w:rPr>
                      <w:rStyle w:val="Titretableau"/>
                      <w:b w:val="0"/>
                    </w:rPr>
                  </w:pPr>
                  <w:r>
                    <w:rPr>
                      <w:rStyle w:val="Titretableau"/>
                      <w:b w:val="0"/>
                    </w:rPr>
                    <w:t>4.3</w:t>
                  </w:r>
                </w:p>
              </w:tc>
              <w:tc>
                <w:tcPr>
                  <w:tcW w:w="4961" w:type="dxa"/>
                </w:tcPr>
                <w:p w14:paraId="6A1D05B1" w14:textId="77777777" w:rsidR="00794218" w:rsidRDefault="00794218" w:rsidP="00794218">
                  <w:pPr>
                    <w:jc w:val="both"/>
                    <w:rPr>
                      <w:rStyle w:val="Titretableau"/>
                      <w:b w:val="0"/>
                    </w:rPr>
                  </w:pPr>
                  <w:r>
                    <w:rPr>
                      <w:rStyle w:val="Titretableau"/>
                      <w:b w:val="0"/>
                    </w:rPr>
                    <w:t xml:space="preserve">[…] </w:t>
                  </w:r>
                </w:p>
                <w:p w14:paraId="767055DA" w14:textId="77777777" w:rsidR="00794218" w:rsidRPr="00794218" w:rsidRDefault="00794218" w:rsidP="00794218">
                  <w:pPr>
                    <w:jc w:val="both"/>
                    <w:rPr>
                      <w:rStyle w:val="Titretableau"/>
                      <w:b w:val="0"/>
                    </w:rPr>
                  </w:pPr>
                  <w:r w:rsidRPr="00794218">
                    <w:rPr>
                      <w:rStyle w:val="Titretableau"/>
                      <w:b w:val="0"/>
                    </w:rPr>
                    <w:t>Les dispositions des points 4.3.3. A et B sont remplacées par les dispositions suivantes :</w:t>
                  </w:r>
                </w:p>
                <w:p w14:paraId="4D7FD4A9" w14:textId="65E7312A" w:rsidR="00794218" w:rsidRDefault="00794218" w:rsidP="00794218">
                  <w:pPr>
                    <w:jc w:val="both"/>
                    <w:rPr>
                      <w:rStyle w:val="Titretableau"/>
                      <w:b w:val="0"/>
                    </w:rPr>
                  </w:pPr>
                  <w:r w:rsidRPr="00794218">
                    <w:rPr>
                      <w:rStyle w:val="Titretableau"/>
                      <w:b w:val="0"/>
                    </w:rPr>
                    <w:t xml:space="preserve">" Les cellules où est stocké au moins un liquide inflammable de catégorie B sont équipées d'un système de détection automatique d'incendie </w:t>
                  </w:r>
                  <w:r w:rsidRPr="00794218">
                    <w:rPr>
                      <w:rStyle w:val="Titretableau"/>
                      <w:b w:val="0"/>
                    </w:rPr>
                    <w:lastRenderedPageBreak/>
                    <w:t>approprié au produit.". Cette disposition est applicable au 1</w:t>
                  </w:r>
                  <w:r w:rsidRPr="00DA262A">
                    <w:rPr>
                      <w:rStyle w:val="Titretableau"/>
                      <w:b w:val="0"/>
                      <w:vertAlign w:val="superscript"/>
                    </w:rPr>
                    <w:t>er</w:t>
                  </w:r>
                  <w:r w:rsidRPr="00794218">
                    <w:rPr>
                      <w:rStyle w:val="Titretableau"/>
                      <w:b w:val="0"/>
                    </w:rPr>
                    <w:t xml:space="preserve"> janvier 2027. Néanmoins, </w:t>
                  </w:r>
                  <w:r w:rsidR="00455298" w:rsidRPr="008A6C44">
                    <w:rPr>
                      <w:rStyle w:val="Titretableau"/>
                      <w:b w:val="0"/>
                      <w:color w:val="2E74B5" w:themeColor="accent1" w:themeShade="BF"/>
                    </w:rPr>
                    <w:t xml:space="preserve">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des points 4.3.3. A et B s'appliquent à l'extension.</w:t>
                  </w:r>
                </w:p>
                <w:p w14:paraId="0583F37E" w14:textId="1C8A1F79" w:rsidR="00794218" w:rsidRPr="00794218" w:rsidRDefault="00794218" w:rsidP="00FA2B7E">
                  <w:pPr>
                    <w:jc w:val="both"/>
                    <w:rPr>
                      <w:rStyle w:val="Titretableau"/>
                      <w:b w:val="0"/>
                    </w:rPr>
                  </w:pPr>
                  <w:r>
                    <w:rPr>
                      <w:rStyle w:val="Titretableau"/>
                      <w:b w:val="0"/>
                    </w:rPr>
                    <w:t>[…]</w:t>
                  </w:r>
                </w:p>
              </w:tc>
            </w:tr>
          </w:tbl>
          <w:p w14:paraId="7A833BAE" w14:textId="77777777" w:rsidR="00794218" w:rsidRDefault="00794218" w:rsidP="00794218">
            <w:pPr>
              <w:jc w:val="both"/>
              <w:rPr>
                <w:rStyle w:val="Titretableau"/>
              </w:rPr>
            </w:pPr>
          </w:p>
        </w:tc>
        <w:tc>
          <w:tcPr>
            <w:tcW w:w="3040" w:type="dxa"/>
          </w:tcPr>
          <w:p w14:paraId="1795698A" w14:textId="052025C9" w:rsidR="00794218" w:rsidRDefault="00D656D5" w:rsidP="00794218">
            <w:pPr>
              <w:jc w:val="both"/>
            </w:pPr>
            <w:r>
              <w:lastRenderedPageBreak/>
              <w:t>Correction d’une coquille.</w:t>
            </w:r>
          </w:p>
        </w:tc>
      </w:tr>
      <w:tr w:rsidR="00794218" w14:paraId="75F4C4BF" w14:textId="77777777" w:rsidTr="00FA2B7E">
        <w:trPr>
          <w:jc w:val="center"/>
        </w:trPr>
        <w:tc>
          <w:tcPr>
            <w:tcW w:w="6150" w:type="dxa"/>
          </w:tcPr>
          <w:p w14:paraId="119D228F" w14:textId="2FA18DF0" w:rsidR="00794218" w:rsidRDefault="00794218" w:rsidP="00794218">
            <w:pPr>
              <w:jc w:val="both"/>
              <w:rPr>
                <w:rStyle w:val="Titretableau"/>
              </w:rPr>
            </w:pPr>
            <w:r>
              <w:rPr>
                <w:rStyle w:val="Titretableau"/>
              </w:rPr>
              <w:t xml:space="preserve">Annexe II. </w:t>
            </w:r>
            <w:r w:rsidR="00455298">
              <w:rPr>
                <w:rStyle w:val="Titretableau"/>
              </w:rPr>
              <w:t>1</w:t>
            </w:r>
          </w:p>
          <w:tbl>
            <w:tblPr>
              <w:tblStyle w:val="Grilledutableau"/>
              <w:tblW w:w="6027" w:type="dxa"/>
              <w:tblLook w:val="04A0" w:firstRow="1" w:lastRow="0" w:firstColumn="1" w:lastColumn="0" w:noHBand="0" w:noVBand="1"/>
            </w:tblPr>
            <w:tblGrid>
              <w:gridCol w:w="1066"/>
              <w:gridCol w:w="4961"/>
            </w:tblGrid>
            <w:tr w:rsidR="00794218" w:rsidRPr="00FF1689" w14:paraId="1DE969CD" w14:textId="77777777" w:rsidTr="008A6C44">
              <w:tc>
                <w:tcPr>
                  <w:tcW w:w="1066" w:type="dxa"/>
                </w:tcPr>
                <w:p w14:paraId="54437BE0"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3BF4157E"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046DFDE4" w14:textId="77777777" w:rsidTr="008A6C44">
              <w:tc>
                <w:tcPr>
                  <w:tcW w:w="1066" w:type="dxa"/>
                </w:tcPr>
                <w:p w14:paraId="1E8CADF3" w14:textId="77777777" w:rsidR="00794218" w:rsidRPr="00FF1689" w:rsidRDefault="00794218" w:rsidP="00794218">
                  <w:pPr>
                    <w:jc w:val="both"/>
                    <w:rPr>
                      <w:rStyle w:val="Titretableau"/>
                      <w:b w:val="0"/>
                    </w:rPr>
                  </w:pPr>
                  <w:r>
                    <w:rPr>
                      <w:rStyle w:val="Titretableau"/>
                      <w:b w:val="0"/>
                    </w:rPr>
                    <w:t>2.3</w:t>
                  </w:r>
                </w:p>
              </w:tc>
              <w:tc>
                <w:tcPr>
                  <w:tcW w:w="4961" w:type="dxa"/>
                </w:tcPr>
                <w:p w14:paraId="016337F2" w14:textId="77777777" w:rsidR="00794218" w:rsidRDefault="00794218" w:rsidP="00794218">
                  <w:pPr>
                    <w:jc w:val="both"/>
                    <w:rPr>
                      <w:rStyle w:val="Titretableau"/>
                      <w:b w:val="0"/>
                    </w:rPr>
                  </w:pPr>
                  <w:r>
                    <w:rPr>
                      <w:rStyle w:val="Titretableau"/>
                      <w:b w:val="0"/>
                    </w:rPr>
                    <w:t>[…]</w:t>
                  </w:r>
                </w:p>
                <w:p w14:paraId="18D026D2" w14:textId="107C089D" w:rsidR="00794218" w:rsidRPr="00364EEF" w:rsidRDefault="00794218" w:rsidP="00794218">
                  <w:pPr>
                    <w:jc w:val="both"/>
                    <w:rPr>
                      <w:rStyle w:val="Titretableau"/>
                      <w:b w:val="0"/>
                    </w:rPr>
                  </w:pPr>
                  <w:r w:rsidRPr="00794218">
                    <w:rPr>
                      <w:rStyle w:val="Titretableau"/>
                      <w:b w:val="0"/>
                    </w:rPr>
                    <w:t>Les autres dispositions du point 2.3 ne sont pas applicables. 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19657795" w14:textId="77777777" w:rsidTr="008A6C44">
              <w:tc>
                <w:tcPr>
                  <w:tcW w:w="1066" w:type="dxa"/>
                </w:tcPr>
                <w:p w14:paraId="0AB1BEC4" w14:textId="77777777" w:rsidR="00794218" w:rsidRDefault="00794218" w:rsidP="00794218">
                  <w:pPr>
                    <w:jc w:val="both"/>
                    <w:rPr>
                      <w:rStyle w:val="Titretableau"/>
                      <w:b w:val="0"/>
                    </w:rPr>
                  </w:pPr>
                  <w:r>
                    <w:rPr>
                      <w:rStyle w:val="Titretableau"/>
                      <w:b w:val="0"/>
                    </w:rPr>
                    <w:t>2.7.6</w:t>
                  </w:r>
                </w:p>
              </w:tc>
              <w:tc>
                <w:tcPr>
                  <w:tcW w:w="4961" w:type="dxa"/>
                </w:tcPr>
                <w:p w14:paraId="5FF01BC0" w14:textId="77777777" w:rsidR="00794218" w:rsidRPr="00794218" w:rsidRDefault="00794218" w:rsidP="00794218">
                  <w:pPr>
                    <w:jc w:val="both"/>
                    <w:rPr>
                      <w:rStyle w:val="Titretableau"/>
                      <w:b w:val="0"/>
                    </w:rPr>
                  </w:pPr>
                  <w:r w:rsidRPr="00794218">
                    <w:rPr>
                      <w:rStyle w:val="Titretableau"/>
                      <w:b w:val="0"/>
                    </w:rPr>
                    <w:t>Les dispositions du point 2.7.6 ne sont pas applicables. 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6E13D574" w14:textId="77777777" w:rsidTr="008A6C44">
              <w:tc>
                <w:tcPr>
                  <w:tcW w:w="1066" w:type="dxa"/>
                </w:tcPr>
                <w:p w14:paraId="64A95902" w14:textId="77777777" w:rsidR="00794218" w:rsidRDefault="00794218" w:rsidP="00794218">
                  <w:pPr>
                    <w:jc w:val="both"/>
                    <w:rPr>
                      <w:rStyle w:val="Titretableau"/>
                      <w:b w:val="0"/>
                    </w:rPr>
                  </w:pPr>
                  <w:r>
                    <w:rPr>
                      <w:rStyle w:val="Titretableau"/>
                      <w:b w:val="0"/>
                    </w:rPr>
                    <w:t>4.3</w:t>
                  </w:r>
                </w:p>
              </w:tc>
              <w:tc>
                <w:tcPr>
                  <w:tcW w:w="4961" w:type="dxa"/>
                </w:tcPr>
                <w:p w14:paraId="4FC87F50" w14:textId="77777777" w:rsidR="00794218" w:rsidRDefault="00794218" w:rsidP="00794218">
                  <w:pPr>
                    <w:jc w:val="both"/>
                    <w:rPr>
                      <w:rStyle w:val="Titretableau"/>
                      <w:b w:val="0"/>
                    </w:rPr>
                  </w:pPr>
                  <w:r>
                    <w:rPr>
                      <w:rStyle w:val="Titretableau"/>
                      <w:b w:val="0"/>
                    </w:rPr>
                    <w:t xml:space="preserve">[…] </w:t>
                  </w:r>
                </w:p>
                <w:p w14:paraId="59C8F4E1" w14:textId="77777777" w:rsidR="00794218" w:rsidRPr="00794218" w:rsidRDefault="00794218" w:rsidP="00794218">
                  <w:pPr>
                    <w:jc w:val="both"/>
                    <w:rPr>
                      <w:rStyle w:val="Titretableau"/>
                      <w:b w:val="0"/>
                    </w:rPr>
                  </w:pPr>
                  <w:r w:rsidRPr="00794218">
                    <w:rPr>
                      <w:rStyle w:val="Titretableau"/>
                      <w:b w:val="0"/>
                    </w:rPr>
                    <w:t>Les dispositions des points 4.3.3. A et B sont remplacées par les dispositions suivantes :</w:t>
                  </w:r>
                </w:p>
                <w:p w14:paraId="0AC29788" w14:textId="77777777" w:rsidR="00794218" w:rsidRDefault="00794218" w:rsidP="00794218">
                  <w:pPr>
                    <w:jc w:val="both"/>
                    <w:rPr>
                      <w:rStyle w:val="Titretableau"/>
                      <w:b w:val="0"/>
                    </w:rPr>
                  </w:pPr>
                  <w:r w:rsidRPr="00794218">
                    <w:rPr>
                      <w:rStyle w:val="Titretableau"/>
                      <w:b w:val="0"/>
                    </w:rPr>
                    <w:t xml:space="preserve">" Les cellules où est stocké au moins un liquide inflammable de catégorie B sont équipées d'un </w:t>
                  </w:r>
                  <w:r w:rsidRPr="00794218">
                    <w:rPr>
                      <w:rStyle w:val="Titretableau"/>
                      <w:b w:val="0"/>
                    </w:rPr>
                    <w:lastRenderedPageBreak/>
                    <w:t>système de détection automatique d'incendie approprié au produit.". Cette disposition est applicable au 1</w:t>
                  </w:r>
                  <w:r w:rsidRPr="00DA262A">
                    <w:rPr>
                      <w:rStyle w:val="Titretableau"/>
                      <w:b w:val="0"/>
                      <w:vertAlign w:val="superscript"/>
                    </w:rPr>
                    <w:t>er</w:t>
                  </w:r>
                  <w:r w:rsidRPr="00794218">
                    <w:rPr>
                      <w:rStyle w:val="Titretableau"/>
                      <w:b w:val="0"/>
                    </w:rPr>
                    <w:t xml:space="preserve"> janvier 2027. Néanmoins,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des points 4.3.3. A et B s'appliquent à l'extension.</w:t>
                  </w:r>
                </w:p>
                <w:p w14:paraId="663BE790" w14:textId="77777777" w:rsidR="00794218" w:rsidRDefault="00794218" w:rsidP="00794218">
                  <w:pPr>
                    <w:jc w:val="both"/>
                    <w:rPr>
                      <w:rStyle w:val="Titretableau"/>
                      <w:b w:val="0"/>
                    </w:rPr>
                  </w:pPr>
                  <w:r>
                    <w:rPr>
                      <w:rStyle w:val="Titretableau"/>
                      <w:b w:val="0"/>
                    </w:rPr>
                    <w:t>[…]</w:t>
                  </w:r>
                </w:p>
                <w:p w14:paraId="232F7121" w14:textId="77777777" w:rsidR="00794218" w:rsidRPr="00794218" w:rsidRDefault="00794218" w:rsidP="00794218">
                  <w:pPr>
                    <w:jc w:val="both"/>
                    <w:rPr>
                      <w:rStyle w:val="Titretableau"/>
                      <w:b w:val="0"/>
                    </w:rPr>
                  </w:pPr>
                </w:p>
              </w:tc>
            </w:tr>
          </w:tbl>
          <w:p w14:paraId="3E3313C9" w14:textId="6D5FDC8E" w:rsidR="00794218" w:rsidRDefault="00794218" w:rsidP="00794218">
            <w:pPr>
              <w:jc w:val="both"/>
              <w:rPr>
                <w:rStyle w:val="Titretableau"/>
              </w:rPr>
            </w:pPr>
          </w:p>
        </w:tc>
        <w:tc>
          <w:tcPr>
            <w:tcW w:w="6150" w:type="dxa"/>
          </w:tcPr>
          <w:p w14:paraId="324F4DAE" w14:textId="2AB844D8" w:rsidR="00794218" w:rsidRDefault="00794218" w:rsidP="00794218">
            <w:pPr>
              <w:jc w:val="both"/>
              <w:rPr>
                <w:rStyle w:val="Titretableau"/>
              </w:rPr>
            </w:pPr>
            <w:r>
              <w:rPr>
                <w:rStyle w:val="Titretableau"/>
              </w:rPr>
              <w:lastRenderedPageBreak/>
              <w:t xml:space="preserve">Annexe II. </w:t>
            </w:r>
            <w:r w:rsidR="00455298">
              <w:rPr>
                <w:rStyle w:val="Titretableau"/>
              </w:rPr>
              <w:t>1</w:t>
            </w:r>
          </w:p>
          <w:tbl>
            <w:tblPr>
              <w:tblStyle w:val="Grilledutableau"/>
              <w:tblW w:w="6027" w:type="dxa"/>
              <w:tblLook w:val="04A0" w:firstRow="1" w:lastRow="0" w:firstColumn="1" w:lastColumn="0" w:noHBand="0" w:noVBand="1"/>
            </w:tblPr>
            <w:tblGrid>
              <w:gridCol w:w="1066"/>
              <w:gridCol w:w="4961"/>
            </w:tblGrid>
            <w:tr w:rsidR="00794218" w:rsidRPr="00FF1689" w14:paraId="60F4FB9C" w14:textId="77777777" w:rsidTr="008A6C44">
              <w:tc>
                <w:tcPr>
                  <w:tcW w:w="1066" w:type="dxa"/>
                </w:tcPr>
                <w:p w14:paraId="2763E501"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3E551435" w14:textId="77777777"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551D8D5A" w14:textId="77777777" w:rsidTr="008A6C44">
              <w:tc>
                <w:tcPr>
                  <w:tcW w:w="1066" w:type="dxa"/>
                </w:tcPr>
                <w:p w14:paraId="31657F04" w14:textId="77777777" w:rsidR="00794218" w:rsidRPr="00FF1689" w:rsidRDefault="00794218" w:rsidP="00794218">
                  <w:pPr>
                    <w:jc w:val="both"/>
                    <w:rPr>
                      <w:rStyle w:val="Titretableau"/>
                      <w:b w:val="0"/>
                    </w:rPr>
                  </w:pPr>
                  <w:r>
                    <w:rPr>
                      <w:rStyle w:val="Titretableau"/>
                      <w:b w:val="0"/>
                    </w:rPr>
                    <w:t>2.3</w:t>
                  </w:r>
                </w:p>
              </w:tc>
              <w:tc>
                <w:tcPr>
                  <w:tcW w:w="4961" w:type="dxa"/>
                </w:tcPr>
                <w:p w14:paraId="1DC69326" w14:textId="77777777" w:rsidR="00794218" w:rsidRDefault="00794218" w:rsidP="00794218">
                  <w:pPr>
                    <w:jc w:val="both"/>
                    <w:rPr>
                      <w:rStyle w:val="Titretableau"/>
                      <w:b w:val="0"/>
                    </w:rPr>
                  </w:pPr>
                  <w:r>
                    <w:rPr>
                      <w:rStyle w:val="Titretableau"/>
                      <w:b w:val="0"/>
                    </w:rPr>
                    <w:t>[…]</w:t>
                  </w:r>
                </w:p>
                <w:p w14:paraId="6607D259" w14:textId="71561250" w:rsidR="00794218" w:rsidRPr="00364EEF" w:rsidRDefault="00794218" w:rsidP="00794218">
                  <w:pPr>
                    <w:jc w:val="both"/>
                    <w:rPr>
                      <w:rStyle w:val="Titretableau"/>
                      <w:b w:val="0"/>
                    </w:rPr>
                  </w:pPr>
                  <w:r w:rsidRPr="00794218">
                    <w:rPr>
                      <w:rStyle w:val="Titretableau"/>
                      <w:b w:val="0"/>
                    </w:rPr>
                    <w:t xml:space="preserve">Les autres dispositions du point 2.3 ne sont pas applicables. Néanmoins, </w:t>
                  </w:r>
                  <w:r w:rsidR="00455298" w:rsidRPr="008A6C44">
                    <w:rPr>
                      <w:rStyle w:val="Titretableau"/>
                      <w:b w:val="0"/>
                      <w:color w:val="2E74B5" w:themeColor="accent1" w:themeShade="BF"/>
                    </w:rPr>
                    <w:t xml:space="preserve">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15C7325F" w14:textId="77777777" w:rsidTr="008A6C44">
              <w:tc>
                <w:tcPr>
                  <w:tcW w:w="1066" w:type="dxa"/>
                </w:tcPr>
                <w:p w14:paraId="69C49A8C" w14:textId="77777777" w:rsidR="00794218" w:rsidRDefault="00794218" w:rsidP="00794218">
                  <w:pPr>
                    <w:jc w:val="both"/>
                    <w:rPr>
                      <w:rStyle w:val="Titretableau"/>
                      <w:b w:val="0"/>
                    </w:rPr>
                  </w:pPr>
                  <w:r>
                    <w:rPr>
                      <w:rStyle w:val="Titretableau"/>
                      <w:b w:val="0"/>
                    </w:rPr>
                    <w:t>2.7.6</w:t>
                  </w:r>
                </w:p>
              </w:tc>
              <w:tc>
                <w:tcPr>
                  <w:tcW w:w="4961" w:type="dxa"/>
                </w:tcPr>
                <w:p w14:paraId="3669D96E" w14:textId="0E098326" w:rsidR="00794218" w:rsidRPr="00794218" w:rsidRDefault="00794218" w:rsidP="00794218">
                  <w:pPr>
                    <w:jc w:val="both"/>
                    <w:rPr>
                      <w:rStyle w:val="Titretableau"/>
                      <w:b w:val="0"/>
                    </w:rPr>
                  </w:pPr>
                  <w:r w:rsidRPr="00794218">
                    <w:rPr>
                      <w:rStyle w:val="Titretableau"/>
                      <w:b w:val="0"/>
                    </w:rPr>
                    <w:t xml:space="preserve">Les dispositions du point 2.7.6 ne sont pas applicables. Néanmoins, </w:t>
                  </w:r>
                  <w:r w:rsidR="00455298" w:rsidRPr="008A6C44">
                    <w:rPr>
                      <w:rStyle w:val="Titretableau"/>
                      <w:b w:val="0"/>
                      <w:color w:val="2E74B5" w:themeColor="accent1" w:themeShade="BF"/>
                    </w:rPr>
                    <w:t xml:space="preserve">en </w:t>
                  </w:r>
                  <w:r w:rsidRPr="00794218">
                    <w:rPr>
                      <w:rStyle w:val="Titretableau"/>
                      <w:b w:val="0"/>
                    </w:rPr>
                    <w:t>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ces dispositions sont applicables à l'extension.</w:t>
                  </w:r>
                </w:p>
              </w:tc>
            </w:tr>
            <w:tr w:rsidR="00794218" w:rsidRPr="00794218" w14:paraId="75777CBB" w14:textId="77777777" w:rsidTr="008A6C44">
              <w:tc>
                <w:tcPr>
                  <w:tcW w:w="1066" w:type="dxa"/>
                </w:tcPr>
                <w:p w14:paraId="15E41F16" w14:textId="77777777" w:rsidR="00794218" w:rsidRDefault="00794218" w:rsidP="00794218">
                  <w:pPr>
                    <w:jc w:val="both"/>
                    <w:rPr>
                      <w:rStyle w:val="Titretableau"/>
                      <w:b w:val="0"/>
                    </w:rPr>
                  </w:pPr>
                  <w:r>
                    <w:rPr>
                      <w:rStyle w:val="Titretableau"/>
                      <w:b w:val="0"/>
                    </w:rPr>
                    <w:t>4.3</w:t>
                  </w:r>
                </w:p>
              </w:tc>
              <w:tc>
                <w:tcPr>
                  <w:tcW w:w="4961" w:type="dxa"/>
                </w:tcPr>
                <w:p w14:paraId="6B8947C9" w14:textId="77777777" w:rsidR="00794218" w:rsidRDefault="00794218" w:rsidP="00794218">
                  <w:pPr>
                    <w:jc w:val="both"/>
                    <w:rPr>
                      <w:rStyle w:val="Titretableau"/>
                      <w:b w:val="0"/>
                    </w:rPr>
                  </w:pPr>
                  <w:r>
                    <w:rPr>
                      <w:rStyle w:val="Titretableau"/>
                      <w:b w:val="0"/>
                    </w:rPr>
                    <w:t xml:space="preserve">[…] </w:t>
                  </w:r>
                </w:p>
                <w:p w14:paraId="0C93DE16" w14:textId="77777777" w:rsidR="00794218" w:rsidRPr="00794218" w:rsidRDefault="00794218" w:rsidP="00794218">
                  <w:pPr>
                    <w:jc w:val="both"/>
                    <w:rPr>
                      <w:rStyle w:val="Titretableau"/>
                      <w:b w:val="0"/>
                    </w:rPr>
                  </w:pPr>
                  <w:r w:rsidRPr="00794218">
                    <w:rPr>
                      <w:rStyle w:val="Titretableau"/>
                      <w:b w:val="0"/>
                    </w:rPr>
                    <w:t>Les dispositions des points 4.3.3. A et B sont remplacées par les dispositions suivantes :</w:t>
                  </w:r>
                </w:p>
                <w:p w14:paraId="1FBBB368" w14:textId="72C83546" w:rsidR="00794218" w:rsidRDefault="00794218" w:rsidP="00794218">
                  <w:pPr>
                    <w:jc w:val="both"/>
                    <w:rPr>
                      <w:rStyle w:val="Titretableau"/>
                      <w:b w:val="0"/>
                    </w:rPr>
                  </w:pPr>
                  <w:r w:rsidRPr="00794218">
                    <w:rPr>
                      <w:rStyle w:val="Titretableau"/>
                      <w:b w:val="0"/>
                    </w:rPr>
                    <w:t xml:space="preserve">" Les cellules où est stocké au moins un liquide inflammable de catégorie B sont équipées d'un </w:t>
                  </w:r>
                  <w:r w:rsidRPr="00794218">
                    <w:rPr>
                      <w:rStyle w:val="Titretableau"/>
                      <w:b w:val="0"/>
                    </w:rPr>
                    <w:lastRenderedPageBreak/>
                    <w:t>système de détection automatique d'incendie approprié au produit.". Cette disposition est applicable au 1</w:t>
                  </w:r>
                  <w:r w:rsidRPr="00DA262A">
                    <w:rPr>
                      <w:rStyle w:val="Titretableau"/>
                      <w:b w:val="0"/>
                      <w:vertAlign w:val="superscript"/>
                    </w:rPr>
                    <w:t>er</w:t>
                  </w:r>
                  <w:r w:rsidRPr="00794218">
                    <w:rPr>
                      <w:rStyle w:val="Titretableau"/>
                      <w:b w:val="0"/>
                    </w:rPr>
                    <w:t xml:space="preserve"> janvier 2027. Néanmoins,</w:t>
                  </w:r>
                  <w:r w:rsidR="00455298">
                    <w:rPr>
                      <w:rStyle w:val="Titretableau"/>
                      <w:b w:val="0"/>
                    </w:rPr>
                    <w:t xml:space="preserve"> </w:t>
                  </w:r>
                  <w:r w:rsidR="00455298" w:rsidRPr="008A6C44">
                    <w:rPr>
                      <w:rStyle w:val="Titretableau"/>
                      <w:b w:val="0"/>
                      <w:color w:val="2E74B5" w:themeColor="accent1" w:themeShade="BF"/>
                    </w:rPr>
                    <w:t>en</w:t>
                  </w:r>
                  <w:r w:rsidRPr="00794218">
                    <w:rPr>
                      <w:rStyle w:val="Titretableau"/>
                      <w:b w:val="0"/>
                    </w:rPr>
                    <w:t xml:space="preserve"> cas de modification ou extension de ces installations comprenant une nouvelle cellule ou un nouveau stockage couvert portée à la connaissance du préfet à compter du 1</w:t>
                  </w:r>
                  <w:r w:rsidRPr="00DA262A">
                    <w:rPr>
                      <w:rStyle w:val="Titretableau"/>
                      <w:b w:val="0"/>
                      <w:vertAlign w:val="superscript"/>
                    </w:rPr>
                    <w:t>er</w:t>
                  </w:r>
                  <w:r w:rsidRPr="00794218">
                    <w:rPr>
                      <w:rStyle w:val="Titretableau"/>
                      <w:b w:val="0"/>
                    </w:rPr>
                    <w:t xml:space="preserve"> janvier 2022, les dispositions des points 4.3.3. A et B s'appliquent à l'extension.</w:t>
                  </w:r>
                </w:p>
                <w:p w14:paraId="7EDE6635" w14:textId="77777777" w:rsidR="00794218" w:rsidRDefault="00794218" w:rsidP="00794218">
                  <w:pPr>
                    <w:jc w:val="both"/>
                    <w:rPr>
                      <w:rStyle w:val="Titretableau"/>
                      <w:b w:val="0"/>
                    </w:rPr>
                  </w:pPr>
                  <w:r>
                    <w:rPr>
                      <w:rStyle w:val="Titretableau"/>
                      <w:b w:val="0"/>
                    </w:rPr>
                    <w:t>[…]</w:t>
                  </w:r>
                </w:p>
                <w:p w14:paraId="3503FFC2" w14:textId="77777777" w:rsidR="00794218" w:rsidRPr="00794218" w:rsidRDefault="00794218" w:rsidP="00794218">
                  <w:pPr>
                    <w:jc w:val="both"/>
                    <w:rPr>
                      <w:rStyle w:val="Titretableau"/>
                      <w:b w:val="0"/>
                    </w:rPr>
                  </w:pPr>
                </w:p>
              </w:tc>
            </w:tr>
          </w:tbl>
          <w:p w14:paraId="488AE122" w14:textId="77777777" w:rsidR="00794218" w:rsidRDefault="00794218" w:rsidP="00794218">
            <w:pPr>
              <w:jc w:val="both"/>
              <w:rPr>
                <w:rStyle w:val="Titretableau"/>
              </w:rPr>
            </w:pPr>
          </w:p>
        </w:tc>
        <w:tc>
          <w:tcPr>
            <w:tcW w:w="3040" w:type="dxa"/>
          </w:tcPr>
          <w:p w14:paraId="12EBAA66" w14:textId="122E5F3D" w:rsidR="00794218" w:rsidRDefault="00D656D5" w:rsidP="00794218">
            <w:pPr>
              <w:jc w:val="both"/>
            </w:pPr>
            <w:r>
              <w:lastRenderedPageBreak/>
              <w:t>Correction d’une coquille.</w:t>
            </w:r>
          </w:p>
        </w:tc>
      </w:tr>
      <w:tr w:rsidR="00794218" w14:paraId="6AEE4D05" w14:textId="77777777" w:rsidTr="001A16E3">
        <w:trPr>
          <w:cantSplit/>
          <w:trHeight w:val="4367"/>
          <w:jc w:val="center"/>
        </w:trPr>
        <w:tc>
          <w:tcPr>
            <w:tcW w:w="6150" w:type="dxa"/>
          </w:tcPr>
          <w:p w14:paraId="4F541DBE" w14:textId="77777777" w:rsidR="00794218" w:rsidRDefault="00794218" w:rsidP="00794218">
            <w:pPr>
              <w:jc w:val="both"/>
              <w:rPr>
                <w:rStyle w:val="Titretableau"/>
              </w:rPr>
            </w:pPr>
            <w:r>
              <w:rPr>
                <w:rStyle w:val="Titretableau"/>
              </w:rPr>
              <w:lastRenderedPageBreak/>
              <w:t>Annexe II (premier et deuxième tableaux)</w:t>
            </w:r>
          </w:p>
          <w:tbl>
            <w:tblPr>
              <w:tblStyle w:val="Grilledutableau"/>
              <w:tblW w:w="6027" w:type="dxa"/>
              <w:tblLook w:val="04A0" w:firstRow="1" w:lastRow="0" w:firstColumn="1" w:lastColumn="0" w:noHBand="0" w:noVBand="1"/>
            </w:tblPr>
            <w:tblGrid>
              <w:gridCol w:w="1066"/>
              <w:gridCol w:w="4961"/>
            </w:tblGrid>
            <w:tr w:rsidR="00794218" w:rsidRPr="00FF1689" w14:paraId="7D903BA0" w14:textId="77777777" w:rsidTr="005A501E">
              <w:tc>
                <w:tcPr>
                  <w:tcW w:w="1066" w:type="dxa"/>
                </w:tcPr>
                <w:p w14:paraId="6905DC63"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20E49E0E" w14:textId="66924823"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2F742BB6" w14:textId="77777777" w:rsidTr="005A501E">
              <w:tc>
                <w:tcPr>
                  <w:tcW w:w="1066" w:type="dxa"/>
                </w:tcPr>
                <w:p w14:paraId="214C6057" w14:textId="77777777" w:rsidR="00794218" w:rsidRPr="00FF1689" w:rsidRDefault="00794218" w:rsidP="00794218">
                  <w:pPr>
                    <w:jc w:val="both"/>
                    <w:rPr>
                      <w:rStyle w:val="Titretableau"/>
                      <w:b w:val="0"/>
                    </w:rPr>
                  </w:pPr>
                  <w:r>
                    <w:rPr>
                      <w:rStyle w:val="Titretableau"/>
                      <w:b w:val="0"/>
                    </w:rPr>
                    <w:t>2.7.2 à 2.7.5</w:t>
                  </w:r>
                </w:p>
              </w:tc>
              <w:tc>
                <w:tcPr>
                  <w:tcW w:w="4961" w:type="dxa"/>
                </w:tcPr>
                <w:p w14:paraId="0A189CC9" w14:textId="77777777" w:rsidR="00794218" w:rsidRDefault="00794218" w:rsidP="00794218">
                  <w:pPr>
                    <w:jc w:val="both"/>
                  </w:pPr>
                  <w:r>
                    <w:t>Les dispositions des points 2.7.2 à 2.7.5 remplacées par les dispositions suivantes :</w:t>
                  </w:r>
                </w:p>
                <w:p w14:paraId="6D4380D1" w14:textId="77777777" w:rsidR="00794218" w:rsidRDefault="00794218" w:rsidP="00794218">
                  <w:pPr>
                    <w:jc w:val="both"/>
                  </w:pPr>
                  <w:r>
                    <w:t xml:space="preserve">" Tout </w:t>
                  </w:r>
                  <w:r w:rsidRPr="009C1101">
                    <w:rPr>
                      <w:color w:val="FF0000"/>
                    </w:rPr>
                    <w:t>réservoir aérien</w:t>
                  </w:r>
                  <w:r>
                    <w:t xml:space="preserve"> de produits liquides susceptibles de créer une pollution de l'eau ou du sol est associé à une capacité de rétention dont le volume est au moins égal à la plus grande des deux valeurs suivantes :</w:t>
                  </w:r>
                </w:p>
                <w:p w14:paraId="51B1BBCC" w14:textId="77777777" w:rsidR="00794218" w:rsidRDefault="00794218" w:rsidP="00794218">
                  <w:pPr>
                    <w:jc w:val="both"/>
                  </w:pPr>
                  <w:r>
                    <w:t>-100 % de la capacité du plus grand réservoir ;</w:t>
                  </w:r>
                </w:p>
                <w:p w14:paraId="2A7E7447" w14:textId="77777777" w:rsidR="00794218" w:rsidRDefault="00794218" w:rsidP="00794218">
                  <w:pPr>
                    <w:jc w:val="both"/>
                  </w:pPr>
                  <w:r>
                    <w:t>-50 % de la capacité globale des réservoirs associés.</w:t>
                  </w:r>
                </w:p>
                <w:p w14:paraId="503F823D" w14:textId="77777777" w:rsidR="00794218" w:rsidRPr="00364EEF" w:rsidRDefault="00794218" w:rsidP="00794218">
                  <w:pPr>
                    <w:jc w:val="both"/>
                    <w:rPr>
                      <w:rStyle w:val="Titretableau"/>
                      <w:b w:val="0"/>
                    </w:rPr>
                  </w:pPr>
                </w:p>
              </w:tc>
            </w:tr>
          </w:tbl>
          <w:p w14:paraId="16BDBEE2" w14:textId="77777777" w:rsidR="00794218" w:rsidRDefault="00794218" w:rsidP="00794218">
            <w:pPr>
              <w:jc w:val="both"/>
              <w:rPr>
                <w:rStyle w:val="Titretableau"/>
              </w:rPr>
            </w:pPr>
          </w:p>
        </w:tc>
        <w:tc>
          <w:tcPr>
            <w:tcW w:w="6150" w:type="dxa"/>
          </w:tcPr>
          <w:p w14:paraId="0850AECF" w14:textId="77777777" w:rsidR="00794218" w:rsidRDefault="00794218" w:rsidP="00794218">
            <w:pPr>
              <w:jc w:val="both"/>
              <w:rPr>
                <w:rStyle w:val="Titretableau"/>
              </w:rPr>
            </w:pPr>
            <w:r>
              <w:rPr>
                <w:rStyle w:val="Titretableau"/>
              </w:rPr>
              <w:t>Annexe II (premier et deuxième tableaux)</w:t>
            </w:r>
          </w:p>
          <w:tbl>
            <w:tblPr>
              <w:tblStyle w:val="Grilledutableau"/>
              <w:tblW w:w="6027" w:type="dxa"/>
              <w:tblLook w:val="04A0" w:firstRow="1" w:lastRow="0" w:firstColumn="1" w:lastColumn="0" w:noHBand="0" w:noVBand="1"/>
            </w:tblPr>
            <w:tblGrid>
              <w:gridCol w:w="1066"/>
              <w:gridCol w:w="4961"/>
            </w:tblGrid>
            <w:tr w:rsidR="00794218" w:rsidRPr="00FF1689" w14:paraId="5390F059" w14:textId="77777777" w:rsidTr="005A501E">
              <w:tc>
                <w:tcPr>
                  <w:tcW w:w="1066" w:type="dxa"/>
                </w:tcPr>
                <w:p w14:paraId="1A4EF259"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61B40E2E" w14:textId="14E65AC8" w:rsidR="00794218" w:rsidRPr="00FF1689" w:rsidRDefault="00794218" w:rsidP="00794218">
                  <w:pPr>
                    <w:jc w:val="both"/>
                    <w:rPr>
                      <w:rStyle w:val="Titretableau"/>
                      <w:b w:val="0"/>
                    </w:rPr>
                  </w:pPr>
                  <w:r w:rsidRPr="00FF1689">
                    <w:rPr>
                      <w:rStyle w:val="Titretableau"/>
                      <w:b w:val="0"/>
                    </w:rPr>
                    <w:t>Modalités particulière</w:t>
                  </w:r>
                  <w:r>
                    <w:rPr>
                      <w:rStyle w:val="Titretableau"/>
                      <w:b w:val="0"/>
                    </w:rPr>
                    <w:t>s</w:t>
                  </w:r>
                  <w:r w:rsidRPr="00FF1689">
                    <w:rPr>
                      <w:rStyle w:val="Titretableau"/>
                      <w:b w:val="0"/>
                    </w:rPr>
                    <w:t xml:space="preserve"> d’application</w:t>
                  </w:r>
                </w:p>
              </w:tc>
            </w:tr>
            <w:tr w:rsidR="00794218" w:rsidRPr="00364EEF" w14:paraId="09A0BA72" w14:textId="77777777" w:rsidTr="005A501E">
              <w:tc>
                <w:tcPr>
                  <w:tcW w:w="1066" w:type="dxa"/>
                </w:tcPr>
                <w:p w14:paraId="7A6166E9" w14:textId="77777777" w:rsidR="00794218" w:rsidRPr="00FF1689" w:rsidRDefault="00794218" w:rsidP="00794218">
                  <w:pPr>
                    <w:jc w:val="both"/>
                    <w:rPr>
                      <w:rStyle w:val="Titretableau"/>
                      <w:b w:val="0"/>
                    </w:rPr>
                  </w:pPr>
                  <w:r>
                    <w:rPr>
                      <w:rStyle w:val="Titretableau"/>
                      <w:b w:val="0"/>
                    </w:rPr>
                    <w:t>2.7.2 à 2.7.5</w:t>
                  </w:r>
                </w:p>
              </w:tc>
              <w:tc>
                <w:tcPr>
                  <w:tcW w:w="4961" w:type="dxa"/>
                </w:tcPr>
                <w:p w14:paraId="05B5FE05" w14:textId="3197F13F" w:rsidR="00794218" w:rsidRDefault="00794218" w:rsidP="00794218">
                  <w:pPr>
                    <w:jc w:val="both"/>
                  </w:pPr>
                  <w:r>
                    <w:t xml:space="preserve">Les dispositions des points 2.7.2 à 2.7.5 </w:t>
                  </w:r>
                  <w:r w:rsidR="003C2C9F" w:rsidRPr="00DA262A">
                    <w:rPr>
                      <w:color w:val="0070C0"/>
                    </w:rPr>
                    <w:t>sont</w:t>
                  </w:r>
                  <w:r w:rsidR="003C2C9F">
                    <w:t xml:space="preserve"> </w:t>
                  </w:r>
                  <w:r>
                    <w:t>remplacées par les dispositions suivantes :</w:t>
                  </w:r>
                </w:p>
                <w:p w14:paraId="31DEC595" w14:textId="77777777" w:rsidR="00794218" w:rsidRDefault="00794218" w:rsidP="00794218">
                  <w:pPr>
                    <w:jc w:val="both"/>
                  </w:pPr>
                  <w:r>
                    <w:t xml:space="preserve">" Tout </w:t>
                  </w:r>
                  <w:r w:rsidRPr="009C1101">
                    <w:rPr>
                      <w:color w:val="0070C0"/>
                    </w:rPr>
                    <w:t>stockage</w:t>
                  </w:r>
                  <w:r>
                    <w:t xml:space="preserve"> de produits liquides susceptibles de créer une pollution de l'eau ou du sol est associé à une capacité de rétention dont le volume est au moins égal à la plus grande des deux valeurs suivantes :</w:t>
                  </w:r>
                </w:p>
                <w:p w14:paraId="4A4EAEB5" w14:textId="77777777" w:rsidR="00794218" w:rsidRDefault="00794218" w:rsidP="00794218">
                  <w:pPr>
                    <w:jc w:val="both"/>
                  </w:pPr>
                  <w:r>
                    <w:t xml:space="preserve">-100 % de la capacité du plus grand réservoir </w:t>
                  </w:r>
                  <w:r w:rsidRPr="0060011F">
                    <w:rPr>
                      <w:color w:val="0070C0"/>
                    </w:rPr>
                    <w:t>ou récipient mobile associé</w:t>
                  </w:r>
                  <w:r>
                    <w:t xml:space="preserve"> ;</w:t>
                  </w:r>
                </w:p>
                <w:p w14:paraId="47913DD4" w14:textId="77777777" w:rsidR="00794218" w:rsidRDefault="00794218" w:rsidP="00794218">
                  <w:pPr>
                    <w:jc w:val="both"/>
                  </w:pPr>
                  <w:r>
                    <w:t xml:space="preserve">-50 % de la capacité globale des réservoirs </w:t>
                  </w:r>
                  <w:r w:rsidRPr="0060011F">
                    <w:rPr>
                      <w:color w:val="0070C0"/>
                    </w:rPr>
                    <w:t xml:space="preserve">ou récipients mobiles </w:t>
                  </w:r>
                  <w:r>
                    <w:t>associés.</w:t>
                  </w:r>
                </w:p>
                <w:p w14:paraId="29FDD352" w14:textId="77777777" w:rsidR="00794218" w:rsidRPr="00364EEF" w:rsidRDefault="00794218" w:rsidP="00794218">
                  <w:pPr>
                    <w:jc w:val="both"/>
                    <w:rPr>
                      <w:rStyle w:val="Titretableau"/>
                      <w:b w:val="0"/>
                    </w:rPr>
                  </w:pPr>
                </w:p>
              </w:tc>
            </w:tr>
          </w:tbl>
          <w:p w14:paraId="761D7017" w14:textId="77777777" w:rsidR="00794218" w:rsidRDefault="00794218" w:rsidP="00794218">
            <w:pPr>
              <w:jc w:val="both"/>
              <w:rPr>
                <w:rStyle w:val="Titretableau"/>
              </w:rPr>
            </w:pPr>
          </w:p>
        </w:tc>
        <w:tc>
          <w:tcPr>
            <w:tcW w:w="3040" w:type="dxa"/>
          </w:tcPr>
          <w:p w14:paraId="626229E6" w14:textId="77777777" w:rsidR="00794218" w:rsidRDefault="00794218" w:rsidP="00794218">
            <w:pPr>
              <w:jc w:val="both"/>
            </w:pPr>
            <w:r>
              <w:t>Réécriture de la prescription en utilisant les nouvelles définitions mises en place dans les arrêtés LI.</w:t>
            </w:r>
          </w:p>
        </w:tc>
      </w:tr>
      <w:tr w:rsidR="00794218" w14:paraId="2C1F0940" w14:textId="77777777" w:rsidTr="002F3E99">
        <w:trPr>
          <w:cantSplit/>
          <w:jc w:val="center"/>
        </w:trPr>
        <w:tc>
          <w:tcPr>
            <w:tcW w:w="6150" w:type="dxa"/>
          </w:tcPr>
          <w:p w14:paraId="530DAB4E" w14:textId="77777777" w:rsidR="00794218" w:rsidRDefault="00794218" w:rsidP="00794218">
            <w:pPr>
              <w:jc w:val="both"/>
              <w:rPr>
                <w:rStyle w:val="Titretableau"/>
              </w:rPr>
            </w:pPr>
            <w:r>
              <w:rPr>
                <w:rStyle w:val="Titretableau"/>
              </w:rPr>
              <w:lastRenderedPageBreak/>
              <w:t>Annexe II (deuxième tableau)</w:t>
            </w:r>
          </w:p>
          <w:tbl>
            <w:tblPr>
              <w:tblStyle w:val="Grilledutableau"/>
              <w:tblW w:w="6027" w:type="dxa"/>
              <w:tblLook w:val="04A0" w:firstRow="1" w:lastRow="0" w:firstColumn="1" w:lastColumn="0" w:noHBand="0" w:noVBand="1"/>
            </w:tblPr>
            <w:tblGrid>
              <w:gridCol w:w="1066"/>
              <w:gridCol w:w="4961"/>
            </w:tblGrid>
            <w:tr w:rsidR="00794218" w:rsidRPr="00FF1689" w14:paraId="0D8F6B98" w14:textId="77777777" w:rsidTr="005A501E">
              <w:tc>
                <w:tcPr>
                  <w:tcW w:w="1066" w:type="dxa"/>
                </w:tcPr>
                <w:p w14:paraId="4E71BE28"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7C98D0CE" w14:textId="6C2163C7" w:rsidR="00794218" w:rsidRPr="00FF1689" w:rsidRDefault="00794218" w:rsidP="00794218">
                  <w:pPr>
                    <w:jc w:val="both"/>
                    <w:rPr>
                      <w:rStyle w:val="Titretableau"/>
                      <w:b w:val="0"/>
                    </w:rPr>
                  </w:pPr>
                  <w:r w:rsidRPr="00FF1689">
                    <w:rPr>
                      <w:rStyle w:val="Titretableau"/>
                      <w:b w:val="0"/>
                    </w:rPr>
                    <w:t>Modalités particulière</w:t>
                  </w:r>
                  <w:r w:rsidR="00AA2418">
                    <w:rPr>
                      <w:rStyle w:val="Titretableau"/>
                      <w:b w:val="0"/>
                    </w:rPr>
                    <w:t>s</w:t>
                  </w:r>
                  <w:r w:rsidRPr="00FF1689">
                    <w:rPr>
                      <w:rStyle w:val="Titretableau"/>
                      <w:b w:val="0"/>
                    </w:rPr>
                    <w:t xml:space="preserve"> d’application</w:t>
                  </w:r>
                </w:p>
              </w:tc>
            </w:tr>
            <w:tr w:rsidR="00794218" w:rsidRPr="00364EEF" w14:paraId="7C88375B" w14:textId="77777777" w:rsidTr="001A16E3">
              <w:trPr>
                <w:trHeight w:val="988"/>
              </w:trPr>
              <w:tc>
                <w:tcPr>
                  <w:tcW w:w="1066" w:type="dxa"/>
                </w:tcPr>
                <w:p w14:paraId="521F6A54" w14:textId="77777777" w:rsidR="00794218" w:rsidRPr="00FF1689" w:rsidRDefault="00794218" w:rsidP="00794218">
                  <w:pPr>
                    <w:jc w:val="both"/>
                    <w:rPr>
                      <w:rStyle w:val="Titretableau"/>
                      <w:b w:val="0"/>
                    </w:rPr>
                  </w:pPr>
                  <w:r>
                    <w:rPr>
                      <w:rStyle w:val="Titretableau"/>
                      <w:b w:val="0"/>
                    </w:rPr>
                    <w:t>2.2</w:t>
                  </w:r>
                </w:p>
              </w:tc>
              <w:tc>
                <w:tcPr>
                  <w:tcW w:w="4961" w:type="dxa"/>
                </w:tcPr>
                <w:p w14:paraId="1A3EF6A1" w14:textId="77777777" w:rsidR="00794218" w:rsidRPr="00364EEF" w:rsidRDefault="00794218" w:rsidP="00794218">
                  <w:pPr>
                    <w:jc w:val="both"/>
                    <w:rPr>
                      <w:rStyle w:val="Titretableau"/>
                      <w:b w:val="0"/>
                    </w:rPr>
                  </w:pPr>
                  <w:r>
                    <w:t xml:space="preserve">-la largeur utile est au minimum de 3 mètres, la hauteur libre au minimum de </w:t>
                  </w:r>
                  <w:r w:rsidRPr="0060011F">
                    <w:rPr>
                      <w:color w:val="FF0000"/>
                    </w:rPr>
                    <w:t>4</w:t>
                  </w:r>
                  <w:r>
                    <w:t>,5 mètres et la pente inférieure à 15 % ; "</w:t>
                  </w:r>
                </w:p>
              </w:tc>
            </w:tr>
          </w:tbl>
          <w:p w14:paraId="10C09918" w14:textId="77777777" w:rsidR="00794218" w:rsidRDefault="00794218" w:rsidP="00794218">
            <w:pPr>
              <w:jc w:val="both"/>
              <w:rPr>
                <w:rStyle w:val="Titretableau"/>
              </w:rPr>
            </w:pPr>
          </w:p>
        </w:tc>
        <w:tc>
          <w:tcPr>
            <w:tcW w:w="6150" w:type="dxa"/>
          </w:tcPr>
          <w:p w14:paraId="47BDEB16" w14:textId="77777777" w:rsidR="00794218" w:rsidRDefault="00794218" w:rsidP="00794218">
            <w:pPr>
              <w:jc w:val="both"/>
              <w:rPr>
                <w:rStyle w:val="Titretableau"/>
              </w:rPr>
            </w:pPr>
            <w:r>
              <w:rPr>
                <w:rStyle w:val="Titretableau"/>
              </w:rPr>
              <w:t>Annexe II (deuxième tableau)</w:t>
            </w:r>
          </w:p>
          <w:tbl>
            <w:tblPr>
              <w:tblStyle w:val="Grilledutableau"/>
              <w:tblW w:w="6027" w:type="dxa"/>
              <w:tblLook w:val="04A0" w:firstRow="1" w:lastRow="0" w:firstColumn="1" w:lastColumn="0" w:noHBand="0" w:noVBand="1"/>
            </w:tblPr>
            <w:tblGrid>
              <w:gridCol w:w="1066"/>
              <w:gridCol w:w="4961"/>
            </w:tblGrid>
            <w:tr w:rsidR="00794218" w:rsidRPr="00FF1689" w14:paraId="3C610C58" w14:textId="77777777" w:rsidTr="005A501E">
              <w:tc>
                <w:tcPr>
                  <w:tcW w:w="1066" w:type="dxa"/>
                </w:tcPr>
                <w:p w14:paraId="5BF07BC3" w14:textId="77777777" w:rsidR="00794218" w:rsidRPr="00FF1689" w:rsidRDefault="00794218" w:rsidP="00794218">
                  <w:pPr>
                    <w:jc w:val="both"/>
                    <w:rPr>
                      <w:rStyle w:val="Titretableau"/>
                      <w:b w:val="0"/>
                    </w:rPr>
                  </w:pPr>
                  <w:r w:rsidRPr="00FF1689">
                    <w:rPr>
                      <w:rStyle w:val="Titretableau"/>
                      <w:b w:val="0"/>
                    </w:rPr>
                    <w:t>Article concerné</w:t>
                  </w:r>
                </w:p>
              </w:tc>
              <w:tc>
                <w:tcPr>
                  <w:tcW w:w="4961" w:type="dxa"/>
                </w:tcPr>
                <w:p w14:paraId="33C8E0B3" w14:textId="01F94004" w:rsidR="00794218" w:rsidRPr="00FF1689" w:rsidRDefault="00794218" w:rsidP="00794218">
                  <w:pPr>
                    <w:jc w:val="both"/>
                    <w:rPr>
                      <w:rStyle w:val="Titretableau"/>
                      <w:b w:val="0"/>
                    </w:rPr>
                  </w:pPr>
                  <w:r w:rsidRPr="00FF1689">
                    <w:rPr>
                      <w:rStyle w:val="Titretableau"/>
                      <w:b w:val="0"/>
                    </w:rPr>
                    <w:t>Modalités particulière</w:t>
                  </w:r>
                  <w:r w:rsidR="00AA2418">
                    <w:rPr>
                      <w:rStyle w:val="Titretableau"/>
                      <w:b w:val="0"/>
                    </w:rPr>
                    <w:t>s</w:t>
                  </w:r>
                  <w:r w:rsidRPr="00FF1689">
                    <w:rPr>
                      <w:rStyle w:val="Titretableau"/>
                      <w:b w:val="0"/>
                    </w:rPr>
                    <w:t xml:space="preserve"> d’application</w:t>
                  </w:r>
                </w:p>
              </w:tc>
            </w:tr>
            <w:tr w:rsidR="00794218" w:rsidRPr="00364EEF" w14:paraId="4203BAAB" w14:textId="77777777" w:rsidTr="005A501E">
              <w:tc>
                <w:tcPr>
                  <w:tcW w:w="1066" w:type="dxa"/>
                </w:tcPr>
                <w:p w14:paraId="72235339" w14:textId="77777777" w:rsidR="00794218" w:rsidRPr="00FF1689" w:rsidRDefault="00794218" w:rsidP="00794218">
                  <w:pPr>
                    <w:jc w:val="both"/>
                    <w:rPr>
                      <w:rStyle w:val="Titretableau"/>
                      <w:b w:val="0"/>
                    </w:rPr>
                  </w:pPr>
                  <w:r>
                    <w:rPr>
                      <w:rStyle w:val="Titretableau"/>
                      <w:b w:val="0"/>
                    </w:rPr>
                    <w:t>2.2</w:t>
                  </w:r>
                </w:p>
              </w:tc>
              <w:tc>
                <w:tcPr>
                  <w:tcW w:w="4961" w:type="dxa"/>
                </w:tcPr>
                <w:p w14:paraId="503CA7F1" w14:textId="77777777" w:rsidR="00794218" w:rsidRPr="00364EEF" w:rsidRDefault="00794218" w:rsidP="00794218">
                  <w:pPr>
                    <w:jc w:val="both"/>
                    <w:rPr>
                      <w:rStyle w:val="Titretableau"/>
                      <w:b w:val="0"/>
                    </w:rPr>
                  </w:pPr>
                  <w:r>
                    <w:t xml:space="preserve">-la largeur utile est au minimum de 3 mètres, la hauteur libre au minimum de </w:t>
                  </w:r>
                  <w:r w:rsidRPr="0060011F">
                    <w:rPr>
                      <w:color w:val="0070C0"/>
                    </w:rPr>
                    <w:t>3</w:t>
                  </w:r>
                  <w:r>
                    <w:t>,5 mètres et la pente inférieure à 15 % ; "</w:t>
                  </w:r>
                </w:p>
              </w:tc>
            </w:tr>
          </w:tbl>
          <w:p w14:paraId="241CFE1A" w14:textId="77777777" w:rsidR="00794218" w:rsidRDefault="00794218" w:rsidP="00794218">
            <w:pPr>
              <w:jc w:val="both"/>
              <w:rPr>
                <w:rStyle w:val="Titretableau"/>
              </w:rPr>
            </w:pPr>
          </w:p>
        </w:tc>
        <w:tc>
          <w:tcPr>
            <w:tcW w:w="3040" w:type="dxa"/>
          </w:tcPr>
          <w:p w14:paraId="074CE5F8" w14:textId="77777777" w:rsidR="00794218" w:rsidRDefault="00794218" w:rsidP="00794218">
            <w:pPr>
              <w:jc w:val="both"/>
            </w:pPr>
            <w:r>
              <w:t>Correction d’une coquille.</w:t>
            </w:r>
          </w:p>
        </w:tc>
      </w:tr>
    </w:tbl>
    <w:p w14:paraId="3DB2B1E5" w14:textId="559DCD46" w:rsidR="0091389A" w:rsidRDefault="0091389A" w:rsidP="00455613">
      <w:pPr>
        <w:jc w:val="both"/>
      </w:pPr>
    </w:p>
    <w:p w14:paraId="3CC47607" w14:textId="77777777" w:rsidR="0091389A" w:rsidRPr="0091389A" w:rsidRDefault="0091389A" w:rsidP="0091389A"/>
    <w:p w14:paraId="21D8E21B" w14:textId="1866D9F6" w:rsidR="00B23507" w:rsidRPr="0091389A" w:rsidRDefault="00B23507" w:rsidP="0091389A">
      <w:pPr>
        <w:jc w:val="right"/>
      </w:pPr>
    </w:p>
    <w:sectPr w:rsidR="00B23507" w:rsidRPr="0091389A" w:rsidSect="0091389A">
      <w:footerReference w:type="default" r:id="rId7"/>
      <w:pgSz w:w="16840" w:h="11900" w:orient="landscape"/>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076F" w14:textId="77777777" w:rsidR="0091389A" w:rsidRDefault="0091389A" w:rsidP="0091389A">
      <w:pPr>
        <w:spacing w:after="0" w:line="240" w:lineRule="auto"/>
      </w:pPr>
      <w:r>
        <w:separator/>
      </w:r>
    </w:p>
  </w:endnote>
  <w:endnote w:type="continuationSeparator" w:id="0">
    <w:p w14:paraId="33ED2746" w14:textId="77777777" w:rsidR="0091389A" w:rsidRDefault="0091389A" w:rsidP="0091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33774"/>
      <w:docPartObj>
        <w:docPartGallery w:val="Page Numbers (Bottom of Page)"/>
        <w:docPartUnique/>
      </w:docPartObj>
    </w:sdtPr>
    <w:sdtContent>
      <w:sdt>
        <w:sdtPr>
          <w:id w:val="-1769616900"/>
          <w:docPartObj>
            <w:docPartGallery w:val="Page Numbers (Top of Page)"/>
            <w:docPartUnique/>
          </w:docPartObj>
        </w:sdtPr>
        <w:sdtContent>
          <w:p w14:paraId="7D9407CD" w14:textId="116704EA" w:rsidR="00CC5916" w:rsidRDefault="00CC591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754F73" w14:textId="77777777" w:rsidR="0091389A" w:rsidRDefault="009138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06BC" w14:textId="77777777" w:rsidR="0091389A" w:rsidRDefault="0091389A" w:rsidP="0091389A">
      <w:pPr>
        <w:spacing w:after="0" w:line="240" w:lineRule="auto"/>
      </w:pPr>
      <w:r>
        <w:separator/>
      </w:r>
    </w:p>
  </w:footnote>
  <w:footnote w:type="continuationSeparator" w:id="0">
    <w:p w14:paraId="179C426D" w14:textId="77777777" w:rsidR="0091389A" w:rsidRDefault="0091389A" w:rsidP="00913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07"/>
    <w:rsid w:val="00021D5C"/>
    <w:rsid w:val="000B52F8"/>
    <w:rsid w:val="0018501F"/>
    <w:rsid w:val="001912C3"/>
    <w:rsid w:val="001A16E3"/>
    <w:rsid w:val="002351D4"/>
    <w:rsid w:val="002A1DC0"/>
    <w:rsid w:val="002C4DD8"/>
    <w:rsid w:val="002F3E99"/>
    <w:rsid w:val="00357C73"/>
    <w:rsid w:val="00364EEF"/>
    <w:rsid w:val="00381F5D"/>
    <w:rsid w:val="003C2C9F"/>
    <w:rsid w:val="003F161B"/>
    <w:rsid w:val="00455298"/>
    <w:rsid w:val="00455613"/>
    <w:rsid w:val="004C745B"/>
    <w:rsid w:val="0058149A"/>
    <w:rsid w:val="00587C4B"/>
    <w:rsid w:val="005D401B"/>
    <w:rsid w:val="0060011F"/>
    <w:rsid w:val="006C47E4"/>
    <w:rsid w:val="00794218"/>
    <w:rsid w:val="0081393C"/>
    <w:rsid w:val="008E40D9"/>
    <w:rsid w:val="00900846"/>
    <w:rsid w:val="0090500A"/>
    <w:rsid w:val="0091389A"/>
    <w:rsid w:val="009A4985"/>
    <w:rsid w:val="009C1101"/>
    <w:rsid w:val="00A61477"/>
    <w:rsid w:val="00AA2418"/>
    <w:rsid w:val="00B23507"/>
    <w:rsid w:val="00C83797"/>
    <w:rsid w:val="00CC5916"/>
    <w:rsid w:val="00D0473E"/>
    <w:rsid w:val="00D33182"/>
    <w:rsid w:val="00D656D5"/>
    <w:rsid w:val="00D83B73"/>
    <w:rsid w:val="00DA262A"/>
    <w:rsid w:val="00DB3918"/>
    <w:rsid w:val="00E041DB"/>
    <w:rsid w:val="00E226E1"/>
    <w:rsid w:val="00E34E8D"/>
    <w:rsid w:val="00EB0041"/>
    <w:rsid w:val="00F27BD8"/>
    <w:rsid w:val="00FA2B7E"/>
    <w:rsid w:val="00FB042E"/>
    <w:rsid w:val="00FB377D"/>
    <w:rsid w:val="00FF1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560E"/>
  <w15:docId w15:val="{3DC2F58D-7885-422C-92E0-DA8B8911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paragraph" w:customStyle="1" w:styleId="Textealigngauche">
    <w:name w:val="Texte aligné à gauche"/>
    <w:unhideWhenUsed/>
    <w:qFormat/>
    <w:rPr>
      <w:rFonts w:ascii="Calibri" w:hAnsi="Calibri"/>
    </w:rPr>
  </w:style>
  <w:style w:type="character" w:customStyle="1" w:styleId="Texte">
    <w:name w:val="Texte"/>
    <w:unhideWhenUsed/>
    <w:qFormat/>
    <w:rPr>
      <w:rFonts w:ascii="Calibri" w:hAnsi="Calibri"/>
      <w:sz w:val="22"/>
      <w:szCs w:val="22"/>
    </w:rPr>
  </w:style>
  <w:style w:type="character" w:customStyle="1" w:styleId="TexteItalique">
    <w:name w:val="Texte Italique"/>
    <w:unhideWhenUsed/>
    <w:qFormat/>
    <w:rPr>
      <w:rFonts w:ascii="Calibri" w:hAnsi="Calibri"/>
      <w: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supprim0">
    <w:name w:val="Texte supprimé"/>
    <w:unhideWhenUsed/>
    <w:qFormat/>
    <w:rPr>
      <w:rFonts w:ascii="Calibri" w:hAnsi="Calibri"/>
      <w:b/>
      <w:i/>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exteinsrenitalique">
    <w:name w:val="Texte inséré en italique"/>
    <w:unhideWhenUsed/>
    <w:qFormat/>
    <w:rPr>
      <w:rFonts w:ascii="Calibri" w:hAnsi="Calibri"/>
      <w:b/>
      <w:i/>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table" w:styleId="Grilledutableau">
    <w:name w:val="Table Grid"/>
    <w:basedOn w:val="TableauNormal"/>
    <w:uiPriority w:val="39"/>
    <w:rsid w:val="00FF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689"/>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2351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51D4"/>
    <w:rPr>
      <w:rFonts w:ascii="Segoe UI" w:hAnsi="Segoe UI" w:cs="Segoe UI"/>
      <w:sz w:val="18"/>
      <w:szCs w:val="18"/>
    </w:rPr>
  </w:style>
  <w:style w:type="character" w:styleId="Marquedecommentaire">
    <w:name w:val="annotation reference"/>
    <w:basedOn w:val="Policepardfaut"/>
    <w:uiPriority w:val="99"/>
    <w:semiHidden/>
    <w:unhideWhenUsed/>
    <w:rsid w:val="00A61477"/>
    <w:rPr>
      <w:sz w:val="16"/>
      <w:szCs w:val="16"/>
    </w:rPr>
  </w:style>
  <w:style w:type="paragraph" w:styleId="Commentaire">
    <w:name w:val="annotation text"/>
    <w:basedOn w:val="Normal"/>
    <w:link w:val="CommentaireCar"/>
    <w:uiPriority w:val="99"/>
    <w:semiHidden/>
    <w:unhideWhenUsed/>
    <w:rsid w:val="00A61477"/>
    <w:pPr>
      <w:spacing w:line="240" w:lineRule="auto"/>
    </w:pPr>
    <w:rPr>
      <w:sz w:val="20"/>
      <w:szCs w:val="20"/>
    </w:rPr>
  </w:style>
  <w:style w:type="character" w:customStyle="1" w:styleId="CommentaireCar">
    <w:name w:val="Commentaire Car"/>
    <w:basedOn w:val="Policepardfaut"/>
    <w:link w:val="Commentaire"/>
    <w:uiPriority w:val="99"/>
    <w:semiHidden/>
    <w:rsid w:val="00A61477"/>
    <w:rPr>
      <w:sz w:val="20"/>
      <w:szCs w:val="20"/>
    </w:rPr>
  </w:style>
  <w:style w:type="paragraph" w:styleId="Objetducommentaire">
    <w:name w:val="annotation subject"/>
    <w:basedOn w:val="Commentaire"/>
    <w:next w:val="Commentaire"/>
    <w:link w:val="ObjetducommentaireCar"/>
    <w:uiPriority w:val="99"/>
    <w:semiHidden/>
    <w:unhideWhenUsed/>
    <w:rsid w:val="00A61477"/>
    <w:rPr>
      <w:b/>
      <w:bCs/>
    </w:rPr>
  </w:style>
  <w:style w:type="character" w:customStyle="1" w:styleId="ObjetducommentaireCar">
    <w:name w:val="Objet du commentaire Car"/>
    <w:basedOn w:val="CommentaireCar"/>
    <w:link w:val="Objetducommentaire"/>
    <w:uiPriority w:val="99"/>
    <w:semiHidden/>
    <w:rsid w:val="00A61477"/>
    <w:rPr>
      <w:b/>
      <w:bCs/>
      <w:sz w:val="20"/>
      <w:szCs w:val="20"/>
    </w:rPr>
  </w:style>
  <w:style w:type="character" w:customStyle="1" w:styleId="TitreCar">
    <w:name w:val="Titre Car"/>
    <w:basedOn w:val="Policepardfaut"/>
    <w:link w:val="Titre"/>
    <w:rsid w:val="002F3E99"/>
    <w:rPr>
      <w:rFonts w:ascii="Calibri" w:hAnsi="Calibri"/>
      <w:b/>
    </w:rPr>
  </w:style>
  <w:style w:type="paragraph" w:styleId="En-tte">
    <w:name w:val="header"/>
    <w:basedOn w:val="Normal"/>
    <w:link w:val="En-tteCar"/>
    <w:uiPriority w:val="99"/>
    <w:unhideWhenUsed/>
    <w:rsid w:val="0091389A"/>
    <w:pPr>
      <w:tabs>
        <w:tab w:val="center" w:pos="4536"/>
        <w:tab w:val="right" w:pos="9072"/>
      </w:tabs>
      <w:spacing w:after="0" w:line="240" w:lineRule="auto"/>
    </w:pPr>
  </w:style>
  <w:style w:type="character" w:customStyle="1" w:styleId="En-tteCar">
    <w:name w:val="En-tête Car"/>
    <w:basedOn w:val="Policepardfaut"/>
    <w:link w:val="En-tte"/>
    <w:uiPriority w:val="99"/>
    <w:rsid w:val="0091389A"/>
  </w:style>
  <w:style w:type="paragraph" w:styleId="Pieddepage">
    <w:name w:val="footer"/>
    <w:basedOn w:val="Normal"/>
    <w:link w:val="PieddepageCar"/>
    <w:uiPriority w:val="99"/>
    <w:unhideWhenUsed/>
    <w:rsid w:val="009138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992">
      <w:bodyDiv w:val="1"/>
      <w:marLeft w:val="0"/>
      <w:marRight w:val="0"/>
      <w:marTop w:val="0"/>
      <w:marBottom w:val="0"/>
      <w:divBdr>
        <w:top w:val="none" w:sz="0" w:space="0" w:color="auto"/>
        <w:left w:val="none" w:sz="0" w:space="0" w:color="auto"/>
        <w:bottom w:val="none" w:sz="0" w:space="0" w:color="auto"/>
        <w:right w:val="none" w:sz="0" w:space="0" w:color="auto"/>
      </w:divBdr>
    </w:div>
    <w:div w:id="247151529">
      <w:bodyDiv w:val="1"/>
      <w:marLeft w:val="0"/>
      <w:marRight w:val="0"/>
      <w:marTop w:val="0"/>
      <w:marBottom w:val="0"/>
      <w:divBdr>
        <w:top w:val="none" w:sz="0" w:space="0" w:color="auto"/>
        <w:left w:val="none" w:sz="0" w:space="0" w:color="auto"/>
        <w:bottom w:val="none" w:sz="0" w:space="0" w:color="auto"/>
        <w:right w:val="none" w:sz="0" w:space="0" w:color="auto"/>
      </w:divBdr>
    </w:div>
    <w:div w:id="733898031">
      <w:bodyDiv w:val="1"/>
      <w:marLeft w:val="0"/>
      <w:marRight w:val="0"/>
      <w:marTop w:val="0"/>
      <w:marBottom w:val="0"/>
      <w:divBdr>
        <w:top w:val="none" w:sz="0" w:space="0" w:color="auto"/>
        <w:left w:val="none" w:sz="0" w:space="0" w:color="auto"/>
        <w:bottom w:val="none" w:sz="0" w:space="0" w:color="auto"/>
        <w:right w:val="none" w:sz="0" w:space="0" w:color="auto"/>
      </w:divBdr>
    </w:div>
    <w:div w:id="1017077371">
      <w:bodyDiv w:val="1"/>
      <w:marLeft w:val="0"/>
      <w:marRight w:val="0"/>
      <w:marTop w:val="0"/>
      <w:marBottom w:val="0"/>
      <w:divBdr>
        <w:top w:val="none" w:sz="0" w:space="0" w:color="auto"/>
        <w:left w:val="none" w:sz="0" w:space="0" w:color="auto"/>
        <w:bottom w:val="none" w:sz="0" w:space="0" w:color="auto"/>
        <w:right w:val="none" w:sz="0" w:space="0" w:color="auto"/>
      </w:divBdr>
    </w:div>
    <w:div w:id="1029768434">
      <w:bodyDiv w:val="1"/>
      <w:marLeft w:val="0"/>
      <w:marRight w:val="0"/>
      <w:marTop w:val="0"/>
      <w:marBottom w:val="0"/>
      <w:divBdr>
        <w:top w:val="none" w:sz="0" w:space="0" w:color="auto"/>
        <w:left w:val="none" w:sz="0" w:space="0" w:color="auto"/>
        <w:bottom w:val="none" w:sz="0" w:space="0" w:color="auto"/>
        <w:right w:val="none" w:sz="0" w:space="0" w:color="auto"/>
      </w:divBdr>
    </w:div>
    <w:div w:id="1032222585">
      <w:bodyDiv w:val="1"/>
      <w:marLeft w:val="0"/>
      <w:marRight w:val="0"/>
      <w:marTop w:val="0"/>
      <w:marBottom w:val="0"/>
      <w:divBdr>
        <w:top w:val="none" w:sz="0" w:space="0" w:color="auto"/>
        <w:left w:val="none" w:sz="0" w:space="0" w:color="auto"/>
        <w:bottom w:val="none" w:sz="0" w:space="0" w:color="auto"/>
        <w:right w:val="none" w:sz="0" w:space="0" w:color="auto"/>
      </w:divBdr>
    </w:div>
    <w:div w:id="1047416851">
      <w:bodyDiv w:val="1"/>
      <w:marLeft w:val="0"/>
      <w:marRight w:val="0"/>
      <w:marTop w:val="0"/>
      <w:marBottom w:val="0"/>
      <w:divBdr>
        <w:top w:val="none" w:sz="0" w:space="0" w:color="auto"/>
        <w:left w:val="none" w:sz="0" w:space="0" w:color="auto"/>
        <w:bottom w:val="none" w:sz="0" w:space="0" w:color="auto"/>
        <w:right w:val="none" w:sz="0" w:space="0" w:color="auto"/>
      </w:divBdr>
    </w:div>
    <w:div w:id="1288010069">
      <w:bodyDiv w:val="1"/>
      <w:marLeft w:val="0"/>
      <w:marRight w:val="0"/>
      <w:marTop w:val="0"/>
      <w:marBottom w:val="0"/>
      <w:divBdr>
        <w:top w:val="none" w:sz="0" w:space="0" w:color="auto"/>
        <w:left w:val="none" w:sz="0" w:space="0" w:color="auto"/>
        <w:bottom w:val="none" w:sz="0" w:space="0" w:color="auto"/>
        <w:right w:val="none" w:sz="0" w:space="0" w:color="auto"/>
      </w:divBdr>
    </w:div>
    <w:div w:id="182558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C23A-A1F0-4129-A504-EEA2BDAA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5454</Words>
  <Characters>29998</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Export tableau</vt:lpstr>
    </vt:vector>
  </TitlesOfParts>
  <Company>MTES\MCTRCT - AC</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tableau</dc:title>
  <dc:creator>Aurélie Moreau</dc:creator>
  <dc:description>Export tableau</dc:description>
  <cp:lastModifiedBy>MONTOYA Bénédicte</cp:lastModifiedBy>
  <cp:revision>5</cp:revision>
  <cp:lastPrinted>2025-01-24T17:01:00Z</cp:lastPrinted>
  <dcterms:created xsi:type="dcterms:W3CDTF">2025-04-07T14:34:00Z</dcterms:created>
  <dcterms:modified xsi:type="dcterms:W3CDTF">2025-04-08T09:21:00Z</dcterms:modified>
  <cp:contentStatus>Projet de texte législatif</cp:contentStatus>
</cp:coreProperties>
</file>