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7A18F7" w14:paraId="6E062D2A" w14:textId="77777777" w:rsidTr="0029196F">
        <w:trPr>
          <w:cantSplit/>
        </w:trPr>
        <w:tc>
          <w:tcPr>
            <w:tcW w:w="3982" w:type="dxa"/>
            <w:gridSpan w:val="3"/>
            <w:shd w:val="clear" w:color="auto" w:fill="auto"/>
          </w:tcPr>
          <w:p w14:paraId="241252FB" w14:textId="77777777" w:rsidR="007A18F7" w:rsidRDefault="007A18F7" w:rsidP="0029196F">
            <w:pPr>
              <w:pStyle w:val="SNREPUBLIQUE"/>
            </w:pPr>
            <w:r>
              <w:t>RÉPUBLIQUE FRANÇAISE</w:t>
            </w:r>
          </w:p>
        </w:tc>
      </w:tr>
      <w:tr w:rsidR="007A18F7" w14:paraId="3D232793" w14:textId="77777777" w:rsidTr="0029196F">
        <w:trPr>
          <w:cantSplit/>
          <w:trHeight w:hRule="exact" w:val="113"/>
        </w:trPr>
        <w:tc>
          <w:tcPr>
            <w:tcW w:w="1527" w:type="dxa"/>
            <w:shd w:val="clear" w:color="auto" w:fill="auto"/>
          </w:tcPr>
          <w:p w14:paraId="7DFF971F" w14:textId="77777777" w:rsidR="007A18F7" w:rsidRDefault="007A18F7" w:rsidP="0029196F">
            <w:pPr>
              <w:snapToGrid w:val="0"/>
              <w:rPr>
                <w:rFonts w:cs="Tahoma"/>
              </w:rPr>
            </w:pPr>
          </w:p>
        </w:tc>
        <w:tc>
          <w:tcPr>
            <w:tcW w:w="968" w:type="dxa"/>
            <w:tcBorders>
              <w:bottom w:val="single" w:sz="2" w:space="0" w:color="000000"/>
            </w:tcBorders>
            <w:shd w:val="clear" w:color="auto" w:fill="auto"/>
          </w:tcPr>
          <w:p w14:paraId="51556BA2" w14:textId="77777777" w:rsidR="007A18F7" w:rsidRDefault="007A18F7" w:rsidP="0029196F">
            <w:pPr>
              <w:snapToGrid w:val="0"/>
              <w:rPr>
                <w:rFonts w:cs="Tahoma"/>
              </w:rPr>
            </w:pPr>
          </w:p>
        </w:tc>
        <w:tc>
          <w:tcPr>
            <w:tcW w:w="1487" w:type="dxa"/>
            <w:shd w:val="clear" w:color="auto" w:fill="auto"/>
          </w:tcPr>
          <w:p w14:paraId="550F0AEE" w14:textId="77777777" w:rsidR="007A18F7" w:rsidRDefault="007A18F7" w:rsidP="0029196F">
            <w:pPr>
              <w:snapToGrid w:val="0"/>
              <w:rPr>
                <w:rFonts w:cs="Tahoma"/>
              </w:rPr>
            </w:pPr>
          </w:p>
        </w:tc>
      </w:tr>
      <w:tr w:rsidR="007A18F7" w14:paraId="473DDBD5" w14:textId="77777777" w:rsidTr="0029196F">
        <w:trPr>
          <w:cantSplit/>
        </w:trPr>
        <w:tc>
          <w:tcPr>
            <w:tcW w:w="3982" w:type="dxa"/>
            <w:gridSpan w:val="3"/>
            <w:shd w:val="clear" w:color="auto" w:fill="auto"/>
          </w:tcPr>
          <w:p w14:paraId="6351768D" w14:textId="1D62198C" w:rsidR="007A18F7" w:rsidRDefault="007A18F7" w:rsidP="0029196F">
            <w:pPr>
              <w:pStyle w:val="SNTimbre"/>
            </w:pPr>
            <w:r>
              <w:t>Ministère de la Transition Ecologique et de la Cohésion des Territoires</w:t>
            </w:r>
          </w:p>
        </w:tc>
      </w:tr>
      <w:tr w:rsidR="007A18F7" w14:paraId="4B67156A" w14:textId="77777777" w:rsidTr="0029196F">
        <w:trPr>
          <w:cantSplit/>
          <w:trHeight w:hRule="exact" w:val="227"/>
        </w:trPr>
        <w:tc>
          <w:tcPr>
            <w:tcW w:w="1527" w:type="dxa"/>
            <w:shd w:val="clear" w:color="auto" w:fill="auto"/>
          </w:tcPr>
          <w:p w14:paraId="2B2767B3" w14:textId="77777777" w:rsidR="007A18F7" w:rsidRDefault="007A18F7" w:rsidP="0029196F">
            <w:pPr>
              <w:snapToGrid w:val="0"/>
            </w:pPr>
          </w:p>
        </w:tc>
        <w:tc>
          <w:tcPr>
            <w:tcW w:w="968" w:type="dxa"/>
            <w:tcBorders>
              <w:bottom w:val="single" w:sz="2" w:space="0" w:color="000000"/>
            </w:tcBorders>
            <w:shd w:val="clear" w:color="auto" w:fill="auto"/>
          </w:tcPr>
          <w:p w14:paraId="21C21865" w14:textId="77777777" w:rsidR="007A18F7" w:rsidRDefault="007A18F7" w:rsidP="0029196F">
            <w:pPr>
              <w:snapToGrid w:val="0"/>
            </w:pPr>
          </w:p>
        </w:tc>
        <w:tc>
          <w:tcPr>
            <w:tcW w:w="1487" w:type="dxa"/>
            <w:shd w:val="clear" w:color="auto" w:fill="auto"/>
          </w:tcPr>
          <w:p w14:paraId="2E2E906B" w14:textId="77777777" w:rsidR="007A18F7" w:rsidRDefault="007A18F7" w:rsidP="0029196F">
            <w:pPr>
              <w:snapToGrid w:val="0"/>
            </w:pPr>
          </w:p>
        </w:tc>
      </w:tr>
      <w:tr w:rsidR="007A18F7" w14:paraId="5712FE01" w14:textId="77777777" w:rsidTr="0029196F">
        <w:trPr>
          <w:cantSplit/>
          <w:trHeight w:hRule="exact" w:val="227"/>
        </w:trPr>
        <w:tc>
          <w:tcPr>
            <w:tcW w:w="1527" w:type="dxa"/>
            <w:shd w:val="clear" w:color="auto" w:fill="auto"/>
          </w:tcPr>
          <w:p w14:paraId="4CAD545B" w14:textId="77777777" w:rsidR="007A18F7" w:rsidRDefault="007A18F7" w:rsidP="0029196F">
            <w:pPr>
              <w:snapToGrid w:val="0"/>
            </w:pPr>
          </w:p>
        </w:tc>
        <w:tc>
          <w:tcPr>
            <w:tcW w:w="968" w:type="dxa"/>
            <w:shd w:val="clear" w:color="auto" w:fill="auto"/>
          </w:tcPr>
          <w:p w14:paraId="308A0086" w14:textId="77777777" w:rsidR="007A18F7" w:rsidRDefault="007A18F7" w:rsidP="0029196F">
            <w:pPr>
              <w:snapToGrid w:val="0"/>
            </w:pPr>
          </w:p>
        </w:tc>
        <w:tc>
          <w:tcPr>
            <w:tcW w:w="1487" w:type="dxa"/>
            <w:shd w:val="clear" w:color="auto" w:fill="auto"/>
          </w:tcPr>
          <w:p w14:paraId="3942E9E0" w14:textId="77777777" w:rsidR="007A18F7" w:rsidRDefault="007A18F7" w:rsidP="0029196F">
            <w:pPr>
              <w:snapToGrid w:val="0"/>
            </w:pPr>
          </w:p>
        </w:tc>
      </w:tr>
    </w:tbl>
    <w:p w14:paraId="4E8D6010" w14:textId="77777777" w:rsidR="00C67078" w:rsidRDefault="00C67078" w:rsidP="007A18F7">
      <w:pPr>
        <w:jc w:val="center"/>
        <w:rPr>
          <w:rFonts w:ascii="Times New Roman" w:hAnsi="Times New Roman" w:cs="Times New Roman"/>
          <w:b/>
          <w:bCs/>
          <w:sz w:val="24"/>
          <w:szCs w:val="24"/>
        </w:rPr>
      </w:pPr>
      <w:r>
        <w:rPr>
          <w:rFonts w:ascii="Times New Roman" w:hAnsi="Times New Roman" w:cs="Times New Roman"/>
          <w:b/>
          <w:bCs/>
          <w:sz w:val="24"/>
          <w:szCs w:val="24"/>
        </w:rPr>
        <w:t>Arrêté du</w:t>
      </w:r>
    </w:p>
    <w:p w14:paraId="56A471EC" w14:textId="577ACDD3" w:rsidR="00E21D7A" w:rsidRPr="009F18C2" w:rsidRDefault="00E21D7A" w:rsidP="007A18F7">
      <w:pPr>
        <w:jc w:val="center"/>
        <w:rPr>
          <w:rFonts w:ascii="Times New Roman" w:hAnsi="Times New Roman" w:cs="Times New Roman"/>
          <w:b/>
          <w:bCs/>
          <w:sz w:val="24"/>
          <w:szCs w:val="24"/>
        </w:rPr>
      </w:pPr>
      <w:proofErr w:type="gramStart"/>
      <w:r w:rsidRPr="009F18C2">
        <w:rPr>
          <w:rFonts w:ascii="Times New Roman" w:hAnsi="Times New Roman" w:cs="Times New Roman"/>
          <w:b/>
          <w:bCs/>
          <w:sz w:val="24"/>
          <w:szCs w:val="24"/>
        </w:rPr>
        <w:t>fixant</w:t>
      </w:r>
      <w:proofErr w:type="gramEnd"/>
      <w:r w:rsidRPr="009F18C2">
        <w:rPr>
          <w:rFonts w:ascii="Times New Roman" w:hAnsi="Times New Roman" w:cs="Times New Roman"/>
          <w:b/>
          <w:bCs/>
          <w:sz w:val="24"/>
          <w:szCs w:val="24"/>
        </w:rPr>
        <w:t xml:space="preserve"> les modalités de certification prévues à l’article L. 164-1-1 du code minier, le</w:t>
      </w:r>
      <w:r w:rsidR="00AC7583" w:rsidRPr="009F18C2">
        <w:rPr>
          <w:rFonts w:ascii="Times New Roman" w:hAnsi="Times New Roman" w:cs="Times New Roman"/>
          <w:b/>
          <w:bCs/>
          <w:sz w:val="24"/>
          <w:szCs w:val="24"/>
        </w:rPr>
        <w:t xml:space="preserve"> </w:t>
      </w:r>
      <w:r w:rsidRPr="009F18C2">
        <w:rPr>
          <w:rFonts w:ascii="Times New Roman" w:hAnsi="Times New Roman" w:cs="Times New Roman"/>
          <w:b/>
          <w:bCs/>
          <w:sz w:val="24"/>
          <w:szCs w:val="24"/>
        </w:rPr>
        <w:t>référentiel, les modalités d’audit, les conditions d’accréditation des organismes</w:t>
      </w:r>
      <w:r w:rsidR="00517318" w:rsidRPr="009F18C2">
        <w:rPr>
          <w:rFonts w:ascii="Times New Roman" w:hAnsi="Times New Roman" w:cs="Times New Roman"/>
          <w:b/>
          <w:bCs/>
          <w:sz w:val="24"/>
          <w:szCs w:val="24"/>
        </w:rPr>
        <w:t xml:space="preserve"> </w:t>
      </w:r>
      <w:r w:rsidR="00742A82" w:rsidRPr="009F18C2">
        <w:rPr>
          <w:rFonts w:ascii="Times New Roman" w:hAnsi="Times New Roman" w:cs="Times New Roman"/>
          <w:b/>
          <w:bCs/>
          <w:sz w:val="24"/>
          <w:szCs w:val="24"/>
        </w:rPr>
        <w:t>de certification</w:t>
      </w:r>
    </w:p>
    <w:p w14:paraId="7DB34C5D" w14:textId="77777777" w:rsidR="00E21D7A" w:rsidRPr="009F18C2" w:rsidRDefault="00E21D7A" w:rsidP="00E21D7A">
      <w:pPr>
        <w:jc w:val="both"/>
        <w:rPr>
          <w:rFonts w:ascii="Times New Roman" w:hAnsi="Times New Roman" w:cs="Times New Roman"/>
          <w:sz w:val="24"/>
          <w:szCs w:val="24"/>
        </w:rPr>
      </w:pPr>
    </w:p>
    <w:p w14:paraId="0C108CF7" w14:textId="018AFB3B" w:rsidR="007A18F7" w:rsidRDefault="00E21D7A" w:rsidP="00093C65">
      <w:pPr>
        <w:jc w:val="center"/>
        <w:rPr>
          <w:rFonts w:ascii="Times New Roman" w:hAnsi="Times New Roman" w:cs="Times New Roman"/>
          <w:sz w:val="24"/>
          <w:szCs w:val="24"/>
        </w:rPr>
      </w:pPr>
      <w:r w:rsidRPr="00E440E2">
        <w:rPr>
          <w:rFonts w:ascii="Times New Roman" w:hAnsi="Times New Roman" w:cs="Times New Roman"/>
          <w:sz w:val="24"/>
          <w:szCs w:val="24"/>
        </w:rPr>
        <w:t>NOR</w:t>
      </w:r>
      <w:r w:rsidR="00093C65" w:rsidRPr="00E440E2">
        <w:rPr>
          <w:rFonts w:ascii="Times New Roman" w:hAnsi="Times New Roman" w:cs="Times New Roman"/>
          <w:sz w:val="24"/>
          <w:szCs w:val="24"/>
        </w:rPr>
        <w:t> : TREP2330442A</w:t>
      </w:r>
    </w:p>
    <w:p w14:paraId="367DF012" w14:textId="6EA35C15" w:rsidR="00E21D7A" w:rsidRPr="009F18C2" w:rsidRDefault="00E21D7A" w:rsidP="00E21D7A">
      <w:pPr>
        <w:jc w:val="both"/>
        <w:rPr>
          <w:rFonts w:ascii="Times New Roman" w:hAnsi="Times New Roman" w:cs="Times New Roman"/>
          <w:sz w:val="24"/>
          <w:szCs w:val="24"/>
        </w:rPr>
      </w:pPr>
      <w:r w:rsidRPr="009F18C2">
        <w:rPr>
          <w:rFonts w:ascii="Times New Roman" w:hAnsi="Times New Roman" w:cs="Times New Roman"/>
          <w:sz w:val="24"/>
          <w:szCs w:val="24"/>
        </w:rPr>
        <w:t>Publics concernés : entreprises de forage</w:t>
      </w:r>
      <w:r w:rsidR="00694A16" w:rsidRPr="009F18C2">
        <w:rPr>
          <w:rFonts w:ascii="Times New Roman" w:hAnsi="Times New Roman" w:cs="Times New Roman"/>
          <w:sz w:val="24"/>
          <w:szCs w:val="24"/>
        </w:rPr>
        <w:t xml:space="preserve"> de</w:t>
      </w:r>
      <w:r w:rsidRPr="009F18C2">
        <w:rPr>
          <w:rFonts w:ascii="Times New Roman" w:hAnsi="Times New Roman" w:cs="Times New Roman"/>
          <w:sz w:val="24"/>
          <w:szCs w:val="24"/>
        </w:rPr>
        <w:t xml:space="preserve"> géothermi</w:t>
      </w:r>
      <w:r w:rsidR="00694A16" w:rsidRPr="009F18C2">
        <w:rPr>
          <w:rFonts w:ascii="Times New Roman" w:hAnsi="Times New Roman" w:cs="Times New Roman"/>
          <w:sz w:val="24"/>
          <w:szCs w:val="24"/>
        </w:rPr>
        <w:t>e de minime importance</w:t>
      </w:r>
      <w:r w:rsidRPr="009F18C2">
        <w:rPr>
          <w:rFonts w:ascii="Times New Roman" w:hAnsi="Times New Roman" w:cs="Times New Roman"/>
          <w:sz w:val="24"/>
          <w:szCs w:val="24"/>
        </w:rPr>
        <w:t>, organismes de certification des entreprises de forage, organismes d'experts agréés, organismes d'accréditation, exploitants d'activités géothermiques de minime importance, maîtres d'ouvrage.</w:t>
      </w:r>
    </w:p>
    <w:p w14:paraId="186FBF4E" w14:textId="7627EAF4" w:rsidR="00E21D7A" w:rsidRPr="009F18C2" w:rsidRDefault="00E21D7A" w:rsidP="00E21D7A">
      <w:pPr>
        <w:jc w:val="both"/>
        <w:rPr>
          <w:rFonts w:ascii="Times New Roman" w:hAnsi="Times New Roman" w:cs="Times New Roman"/>
          <w:sz w:val="24"/>
          <w:szCs w:val="24"/>
        </w:rPr>
      </w:pPr>
      <w:r w:rsidRPr="009F18C2">
        <w:rPr>
          <w:rFonts w:ascii="Times New Roman" w:hAnsi="Times New Roman" w:cs="Times New Roman"/>
          <w:sz w:val="24"/>
          <w:szCs w:val="24"/>
        </w:rPr>
        <w:t>Objet : référentiels de certification applicables aux entreprises de forage effectuant les travaux de forage lors de l'ouverture des travaux d'exploitation d'un gîte géothermique de minime importance en circuit ouvert et en circuit fermé.</w:t>
      </w:r>
    </w:p>
    <w:p w14:paraId="120AC1DF" w14:textId="22904CDA" w:rsidR="00E21D7A" w:rsidRPr="009F18C2" w:rsidRDefault="00E21D7A" w:rsidP="00E21D7A">
      <w:pPr>
        <w:jc w:val="both"/>
        <w:rPr>
          <w:rFonts w:ascii="Times New Roman" w:hAnsi="Times New Roman" w:cs="Times New Roman"/>
          <w:sz w:val="24"/>
          <w:szCs w:val="24"/>
        </w:rPr>
      </w:pPr>
      <w:r w:rsidRPr="009F18C2">
        <w:rPr>
          <w:rFonts w:ascii="Times New Roman" w:hAnsi="Times New Roman" w:cs="Times New Roman"/>
          <w:sz w:val="24"/>
          <w:szCs w:val="24"/>
        </w:rPr>
        <w:t xml:space="preserve">Entrée en vigueur : </w:t>
      </w:r>
      <w:r w:rsidR="00160469">
        <w:rPr>
          <w:rFonts w:ascii="Times New Roman" w:hAnsi="Times New Roman" w:cs="Times New Roman"/>
          <w:sz w:val="24"/>
          <w:szCs w:val="24"/>
        </w:rPr>
        <w:t>l</w:t>
      </w:r>
      <w:r w:rsidR="006456D5" w:rsidRPr="00E041BE">
        <w:rPr>
          <w:rFonts w:ascii="Times New Roman" w:hAnsi="Times New Roman" w:cs="Times New Roman"/>
          <w:sz w:val="24"/>
          <w:szCs w:val="24"/>
        </w:rPr>
        <w:t xml:space="preserve">e présent arrêté entre en vigueur </w:t>
      </w:r>
      <w:r w:rsidR="006456D5">
        <w:rPr>
          <w:rFonts w:ascii="Times New Roman" w:hAnsi="Times New Roman" w:cs="Times New Roman"/>
          <w:sz w:val="24"/>
          <w:szCs w:val="24"/>
        </w:rPr>
        <w:t>le lendemain de sa publication</w:t>
      </w:r>
      <w:r w:rsidR="006456D5" w:rsidRPr="00E041BE">
        <w:rPr>
          <w:rFonts w:ascii="Times New Roman" w:hAnsi="Times New Roman" w:cs="Times New Roman"/>
          <w:sz w:val="24"/>
          <w:szCs w:val="24"/>
        </w:rPr>
        <w:t xml:space="preserve">, </w:t>
      </w:r>
      <w:r w:rsidR="006456D5">
        <w:rPr>
          <w:rFonts w:ascii="Times New Roman" w:hAnsi="Times New Roman" w:cs="Times New Roman"/>
          <w:sz w:val="24"/>
          <w:szCs w:val="24"/>
        </w:rPr>
        <w:t xml:space="preserve">exceptés les dispositions applicables aux sections 2, 3, 6 et 8 du présent arrêté, qui entrent en vigueur </w:t>
      </w:r>
      <w:r w:rsidR="006456D5" w:rsidRPr="00E041BE">
        <w:rPr>
          <w:rFonts w:ascii="Times New Roman" w:hAnsi="Times New Roman" w:cs="Times New Roman"/>
          <w:sz w:val="24"/>
          <w:szCs w:val="24"/>
        </w:rPr>
        <w:t xml:space="preserve">le </w:t>
      </w:r>
      <w:r w:rsidR="006456D5">
        <w:rPr>
          <w:rFonts w:ascii="Times New Roman" w:hAnsi="Times New Roman" w:cs="Times New Roman"/>
          <w:sz w:val="24"/>
          <w:szCs w:val="24"/>
        </w:rPr>
        <w:t>1</w:t>
      </w:r>
      <w:r w:rsidR="006456D5" w:rsidRPr="00271633">
        <w:rPr>
          <w:rFonts w:ascii="Times New Roman" w:hAnsi="Times New Roman" w:cs="Times New Roman"/>
          <w:sz w:val="24"/>
          <w:szCs w:val="24"/>
          <w:vertAlign w:val="superscript"/>
        </w:rPr>
        <w:t>er</w:t>
      </w:r>
      <w:r w:rsidR="006456D5">
        <w:rPr>
          <w:rFonts w:ascii="Times New Roman" w:hAnsi="Times New Roman" w:cs="Times New Roman"/>
          <w:sz w:val="24"/>
          <w:szCs w:val="24"/>
        </w:rPr>
        <w:t xml:space="preserve"> juillet 2024</w:t>
      </w:r>
      <w:r w:rsidR="006456D5" w:rsidRPr="00E041BE">
        <w:rPr>
          <w:rFonts w:ascii="Times New Roman" w:hAnsi="Times New Roman" w:cs="Times New Roman"/>
          <w:sz w:val="24"/>
          <w:szCs w:val="24"/>
        </w:rPr>
        <w:t xml:space="preserve">, dans les conditions et sous les réserves énoncées </w:t>
      </w:r>
      <w:r w:rsidR="006456D5">
        <w:rPr>
          <w:rFonts w:ascii="Times New Roman" w:hAnsi="Times New Roman" w:cs="Times New Roman"/>
          <w:sz w:val="24"/>
          <w:szCs w:val="24"/>
        </w:rPr>
        <w:t>à la section 7</w:t>
      </w:r>
      <w:r w:rsidR="005B6F3C">
        <w:rPr>
          <w:rFonts w:ascii="Times New Roman" w:hAnsi="Times New Roman" w:cs="Times New Roman"/>
          <w:sz w:val="24"/>
          <w:szCs w:val="24"/>
        </w:rPr>
        <w:t>.</w:t>
      </w:r>
    </w:p>
    <w:p w14:paraId="41BC33C5" w14:textId="4E8FB855" w:rsidR="00E21D7A" w:rsidRPr="009F18C2" w:rsidRDefault="00E21D7A" w:rsidP="00E21D7A">
      <w:pPr>
        <w:jc w:val="both"/>
        <w:rPr>
          <w:rFonts w:ascii="Times New Roman" w:hAnsi="Times New Roman" w:cs="Times New Roman"/>
          <w:sz w:val="24"/>
          <w:szCs w:val="24"/>
        </w:rPr>
      </w:pPr>
      <w:r w:rsidRPr="009F18C2">
        <w:rPr>
          <w:rFonts w:ascii="Times New Roman" w:hAnsi="Times New Roman" w:cs="Times New Roman"/>
          <w:sz w:val="24"/>
          <w:szCs w:val="24"/>
        </w:rPr>
        <w:t xml:space="preserve">Notice : ces dispositions visent à s'assurer que les ouvrages réalisés dans le cadre de la géothermie de minime importance soient mis en œuvre selon les prescriptions générales applicables et les règles de l'art par des entreprises de forage disposant des compétences professionnelles, techniques et financières afin de préserver les intérêts mentionnés à l'article L. 161-1 du code minier. Ces dispositions sont d'application obligatoire pour les entreprises qui réalisent les travaux de forage lors de l'ouverture des travaux d'exploitation </w:t>
      </w:r>
      <w:r w:rsidR="0072606D" w:rsidRPr="009F18C2">
        <w:rPr>
          <w:rFonts w:ascii="Times New Roman" w:hAnsi="Times New Roman" w:cs="Times New Roman"/>
          <w:sz w:val="24"/>
          <w:szCs w:val="24"/>
        </w:rPr>
        <w:t>d’une installation de géothermie</w:t>
      </w:r>
      <w:r w:rsidRPr="009F18C2">
        <w:rPr>
          <w:rFonts w:ascii="Times New Roman" w:hAnsi="Times New Roman" w:cs="Times New Roman"/>
          <w:sz w:val="24"/>
          <w:szCs w:val="24"/>
        </w:rPr>
        <w:t xml:space="preserve"> de minime importance ou qui réalisent les mesures d'arrêt des travaux d'exploitation</w:t>
      </w:r>
      <w:r w:rsidR="000856AD">
        <w:rPr>
          <w:rFonts w:ascii="Times New Roman" w:hAnsi="Times New Roman" w:cs="Times New Roman"/>
          <w:sz w:val="24"/>
          <w:szCs w:val="24"/>
        </w:rPr>
        <w:t xml:space="preserve"> de ces mêmes installations</w:t>
      </w:r>
      <w:r w:rsidRPr="009F18C2">
        <w:rPr>
          <w:rFonts w:ascii="Times New Roman" w:hAnsi="Times New Roman" w:cs="Times New Roman"/>
          <w:sz w:val="24"/>
          <w:szCs w:val="24"/>
        </w:rPr>
        <w:t>.</w:t>
      </w:r>
    </w:p>
    <w:p w14:paraId="6C1AE966" w14:textId="050D098F" w:rsidR="00E21D7A" w:rsidRPr="009F18C2" w:rsidRDefault="00E21D7A" w:rsidP="00E21D7A">
      <w:pPr>
        <w:jc w:val="both"/>
        <w:rPr>
          <w:rFonts w:ascii="Times New Roman" w:hAnsi="Times New Roman" w:cs="Times New Roman"/>
          <w:sz w:val="24"/>
          <w:szCs w:val="24"/>
        </w:rPr>
      </w:pPr>
      <w:r w:rsidRPr="009F18C2">
        <w:rPr>
          <w:rFonts w:ascii="Times New Roman" w:hAnsi="Times New Roman" w:cs="Times New Roman"/>
          <w:sz w:val="24"/>
          <w:szCs w:val="24"/>
        </w:rPr>
        <w:t xml:space="preserve">Références : </w:t>
      </w:r>
      <w:r w:rsidR="000856AD">
        <w:rPr>
          <w:rFonts w:ascii="Times New Roman" w:hAnsi="Times New Roman" w:cs="Times New Roman"/>
          <w:sz w:val="24"/>
          <w:szCs w:val="24"/>
        </w:rPr>
        <w:t xml:space="preserve">le présent </w:t>
      </w:r>
      <w:r w:rsidRPr="009F18C2">
        <w:rPr>
          <w:rFonts w:ascii="Times New Roman" w:hAnsi="Times New Roman" w:cs="Times New Roman"/>
          <w:sz w:val="24"/>
          <w:szCs w:val="24"/>
        </w:rPr>
        <w:t>arrêté peut être consulté sur le site Légifrance (</w:t>
      </w:r>
      <w:hyperlink r:id="rId6" w:history="1">
        <w:r w:rsidRPr="009F18C2">
          <w:rPr>
            <w:rStyle w:val="Lienhypertexte"/>
            <w:rFonts w:ascii="Times New Roman" w:hAnsi="Times New Roman" w:cs="Times New Roman"/>
            <w:sz w:val="24"/>
            <w:szCs w:val="24"/>
          </w:rPr>
          <w:t>http://www.legifrance.gouv.fr</w:t>
        </w:r>
      </w:hyperlink>
      <w:r w:rsidRPr="009F18C2">
        <w:rPr>
          <w:rFonts w:ascii="Times New Roman" w:hAnsi="Times New Roman" w:cs="Times New Roman"/>
          <w:sz w:val="24"/>
          <w:szCs w:val="24"/>
        </w:rPr>
        <w:t xml:space="preserve">). </w:t>
      </w:r>
    </w:p>
    <w:p w14:paraId="3DA6C84F" w14:textId="77390B05" w:rsidR="00E21D7A" w:rsidRPr="00B53BB4" w:rsidRDefault="000856AD" w:rsidP="00E21D7A">
      <w:pPr>
        <w:jc w:val="both"/>
        <w:rPr>
          <w:rFonts w:ascii="Times New Roman" w:hAnsi="Times New Roman" w:cs="Times New Roman"/>
          <w:b/>
          <w:sz w:val="24"/>
          <w:szCs w:val="24"/>
        </w:rPr>
      </w:pPr>
      <w:r w:rsidRPr="00B53BB4">
        <w:rPr>
          <w:rFonts w:ascii="Times New Roman" w:hAnsi="Times New Roman" w:cs="Times New Roman"/>
          <w:b/>
          <w:sz w:val="24"/>
          <w:szCs w:val="24"/>
        </w:rPr>
        <w:t xml:space="preserve">Le ministre </w:t>
      </w:r>
      <w:r w:rsidR="006456D5" w:rsidRPr="00B53BB4">
        <w:rPr>
          <w:rFonts w:ascii="Times New Roman" w:hAnsi="Times New Roman" w:cs="Times New Roman"/>
          <w:b/>
          <w:sz w:val="24"/>
          <w:szCs w:val="24"/>
        </w:rPr>
        <w:t>de l’économie, des finances et de la souveraineté industrielle et numérique</w:t>
      </w:r>
      <w:r w:rsidRPr="00B53BB4">
        <w:rPr>
          <w:rFonts w:ascii="Times New Roman" w:hAnsi="Times New Roman" w:cs="Times New Roman"/>
          <w:b/>
          <w:sz w:val="24"/>
          <w:szCs w:val="24"/>
        </w:rPr>
        <w:t>, le ministre de la transition écologique et de la cohésion des territoires et l</w:t>
      </w:r>
      <w:r w:rsidR="00E21D7A" w:rsidRPr="00B53BB4">
        <w:rPr>
          <w:rFonts w:ascii="Times New Roman" w:hAnsi="Times New Roman" w:cs="Times New Roman"/>
          <w:b/>
          <w:sz w:val="24"/>
          <w:szCs w:val="24"/>
        </w:rPr>
        <w:t xml:space="preserve">a ministre de la transition énergétique, </w:t>
      </w:r>
    </w:p>
    <w:p w14:paraId="01CA73C7" w14:textId="73F0B45C" w:rsidR="00B80941" w:rsidRDefault="00B80941" w:rsidP="00E21D7A">
      <w:pPr>
        <w:jc w:val="both"/>
        <w:rPr>
          <w:rFonts w:ascii="Times New Roman" w:hAnsi="Times New Roman" w:cs="Times New Roman"/>
          <w:sz w:val="24"/>
          <w:szCs w:val="24"/>
        </w:rPr>
      </w:pPr>
      <w:r w:rsidRPr="000E3666">
        <w:rPr>
          <w:rFonts w:ascii="Times New Roman" w:hAnsi="Times New Roman" w:cs="Times New Roman"/>
          <w:sz w:val="24"/>
          <w:szCs w:val="24"/>
        </w:rPr>
        <w:t xml:space="preserve">Vu le code de l’environnement, notamment ses articles </w:t>
      </w:r>
      <w:r w:rsidR="00227C89" w:rsidRPr="000E3666">
        <w:rPr>
          <w:rFonts w:ascii="Times New Roman" w:hAnsi="Times New Roman" w:cs="Times New Roman"/>
          <w:sz w:val="24"/>
          <w:szCs w:val="24"/>
        </w:rPr>
        <w:t>R. 554-1 à R. 554-39 ;</w:t>
      </w:r>
    </w:p>
    <w:p w14:paraId="425F437C" w14:textId="5BA8BFAD" w:rsidR="00E21D7A" w:rsidRPr="009F18C2" w:rsidRDefault="00725CF8" w:rsidP="00E21D7A">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21D7A" w:rsidRPr="000E3666">
        <w:rPr>
          <w:rFonts w:ascii="Times New Roman" w:hAnsi="Times New Roman" w:cs="Times New Roman"/>
          <w:sz w:val="24"/>
          <w:szCs w:val="24"/>
        </w:rPr>
        <w:t>Vu le code minier, notamment ses articles L. 112-1 à L. 112-3, L. 161-1, L. 161-2, L. 164-1-1, L. 165-2 et L. 411-1 ;</w:t>
      </w:r>
    </w:p>
    <w:p w14:paraId="4ABC3406" w14:textId="73CE3047" w:rsidR="00B80941" w:rsidRDefault="00725CF8" w:rsidP="00E21D7A">
      <w:pPr>
        <w:jc w:val="both"/>
        <w:rPr>
          <w:rFonts w:ascii="Times New Roman" w:hAnsi="Times New Roman" w:cs="Times New Roman"/>
          <w:sz w:val="24"/>
          <w:szCs w:val="24"/>
        </w:rPr>
      </w:pPr>
      <w:r>
        <w:rPr>
          <w:rFonts w:ascii="Times New Roman" w:hAnsi="Times New Roman" w:cs="Times New Roman"/>
          <w:sz w:val="24"/>
          <w:szCs w:val="24"/>
        </w:rPr>
        <w:tab/>
      </w:r>
      <w:r w:rsidR="00B80941">
        <w:rPr>
          <w:rFonts w:ascii="Times New Roman" w:hAnsi="Times New Roman" w:cs="Times New Roman"/>
          <w:sz w:val="24"/>
          <w:szCs w:val="24"/>
        </w:rPr>
        <w:t xml:space="preserve">Vu le code du travail, notamment </w:t>
      </w:r>
      <w:r w:rsidR="00037B63">
        <w:rPr>
          <w:rFonts w:ascii="Times New Roman" w:hAnsi="Times New Roman" w:cs="Times New Roman"/>
          <w:sz w:val="24"/>
          <w:szCs w:val="24"/>
        </w:rPr>
        <w:t>ses</w:t>
      </w:r>
      <w:r w:rsidR="00B80941">
        <w:rPr>
          <w:rFonts w:ascii="Times New Roman" w:hAnsi="Times New Roman" w:cs="Times New Roman"/>
          <w:sz w:val="24"/>
          <w:szCs w:val="24"/>
        </w:rPr>
        <w:t xml:space="preserve"> article</w:t>
      </w:r>
      <w:r w:rsidR="00037B63">
        <w:rPr>
          <w:rFonts w:ascii="Times New Roman" w:hAnsi="Times New Roman" w:cs="Times New Roman"/>
          <w:sz w:val="24"/>
          <w:szCs w:val="24"/>
        </w:rPr>
        <w:t>s</w:t>
      </w:r>
      <w:r w:rsidR="00B80941">
        <w:rPr>
          <w:rFonts w:ascii="Times New Roman" w:hAnsi="Times New Roman" w:cs="Times New Roman"/>
          <w:sz w:val="24"/>
          <w:szCs w:val="24"/>
        </w:rPr>
        <w:t xml:space="preserve"> </w:t>
      </w:r>
      <w:r w:rsidR="00037B63" w:rsidRPr="00037B63">
        <w:rPr>
          <w:rFonts w:ascii="Times New Roman" w:hAnsi="Times New Roman" w:cs="Times New Roman"/>
          <w:sz w:val="24"/>
          <w:szCs w:val="24"/>
        </w:rPr>
        <w:t>R. 4323-55</w:t>
      </w:r>
      <w:r w:rsidR="000856AD">
        <w:rPr>
          <w:rFonts w:ascii="Times New Roman" w:hAnsi="Times New Roman" w:cs="Times New Roman"/>
          <w:sz w:val="24"/>
          <w:szCs w:val="24"/>
        </w:rPr>
        <w:t xml:space="preserve"> à R. 4323-57</w:t>
      </w:r>
      <w:r w:rsidR="00037B63">
        <w:rPr>
          <w:rFonts w:ascii="Times New Roman" w:hAnsi="Times New Roman" w:cs="Times New Roman"/>
          <w:sz w:val="24"/>
          <w:szCs w:val="24"/>
        </w:rPr>
        <w:t xml:space="preserve"> et R. 4512-7 ;</w:t>
      </w:r>
    </w:p>
    <w:p w14:paraId="5BACBC25" w14:textId="481F0B3A" w:rsidR="00E21D7A" w:rsidRPr="009F18C2" w:rsidRDefault="00725CF8" w:rsidP="00E21D7A">
      <w:pPr>
        <w:jc w:val="both"/>
        <w:rPr>
          <w:rFonts w:ascii="Times New Roman" w:hAnsi="Times New Roman" w:cs="Times New Roman"/>
          <w:sz w:val="24"/>
          <w:szCs w:val="24"/>
        </w:rPr>
      </w:pPr>
      <w:r>
        <w:rPr>
          <w:rFonts w:ascii="Times New Roman" w:hAnsi="Times New Roman" w:cs="Times New Roman"/>
          <w:sz w:val="24"/>
          <w:szCs w:val="24"/>
        </w:rPr>
        <w:tab/>
      </w:r>
      <w:r w:rsidR="00E21D7A" w:rsidRPr="009F18C2">
        <w:rPr>
          <w:rFonts w:ascii="Times New Roman" w:hAnsi="Times New Roman" w:cs="Times New Roman"/>
          <w:sz w:val="24"/>
          <w:szCs w:val="24"/>
        </w:rPr>
        <w:t xml:space="preserve">Vu le décret n° 2006-649 du 2 juin 2006 </w:t>
      </w:r>
      <w:r w:rsidR="000856AD">
        <w:rPr>
          <w:rFonts w:ascii="Times New Roman" w:hAnsi="Times New Roman" w:cs="Times New Roman"/>
          <w:sz w:val="24"/>
          <w:szCs w:val="24"/>
        </w:rPr>
        <w:t>modifié</w:t>
      </w:r>
      <w:r w:rsidR="000856AD" w:rsidRPr="009F18C2">
        <w:rPr>
          <w:rFonts w:ascii="Times New Roman" w:hAnsi="Times New Roman" w:cs="Times New Roman"/>
          <w:sz w:val="24"/>
          <w:szCs w:val="24"/>
        </w:rPr>
        <w:t xml:space="preserve"> </w:t>
      </w:r>
      <w:r w:rsidR="00E21D7A" w:rsidRPr="009F18C2">
        <w:rPr>
          <w:rFonts w:ascii="Times New Roman" w:hAnsi="Times New Roman" w:cs="Times New Roman"/>
          <w:sz w:val="24"/>
          <w:szCs w:val="24"/>
        </w:rPr>
        <w:t>relatif aux travaux miniers, aux travaux de stockage souterrain et à la police des mines et des stockages souterrains ;</w:t>
      </w:r>
    </w:p>
    <w:p w14:paraId="4F626FCE" w14:textId="69FE9E96" w:rsidR="0081349A" w:rsidRDefault="00725CF8" w:rsidP="00E21D7A">
      <w:pPr>
        <w:jc w:val="both"/>
        <w:rPr>
          <w:rFonts w:ascii="Times New Roman" w:hAnsi="Times New Roman" w:cs="Times New Roman"/>
          <w:sz w:val="24"/>
          <w:szCs w:val="24"/>
        </w:rPr>
      </w:pPr>
      <w:r>
        <w:rPr>
          <w:rFonts w:ascii="Times New Roman" w:hAnsi="Times New Roman" w:cs="Times New Roman"/>
          <w:sz w:val="24"/>
          <w:szCs w:val="24"/>
        </w:rPr>
        <w:tab/>
      </w:r>
      <w:r w:rsidR="00E21D7A" w:rsidRPr="009F18C2">
        <w:rPr>
          <w:rFonts w:ascii="Times New Roman" w:hAnsi="Times New Roman" w:cs="Times New Roman"/>
          <w:sz w:val="24"/>
          <w:szCs w:val="24"/>
        </w:rPr>
        <w:t>Vu le décret n° 2009-697 du 16 juin 2009 relatif à la normalisation modifié, notamment son article 17 ;</w:t>
      </w:r>
    </w:p>
    <w:p w14:paraId="680BBCEC" w14:textId="6816DD9F" w:rsidR="00B80941" w:rsidRDefault="00725CF8" w:rsidP="00E21D7A">
      <w:pPr>
        <w:jc w:val="both"/>
        <w:rPr>
          <w:rFonts w:ascii="Times New Roman" w:hAnsi="Times New Roman" w:cs="Times New Roman"/>
          <w:sz w:val="24"/>
          <w:szCs w:val="24"/>
        </w:rPr>
      </w:pPr>
      <w:r>
        <w:rPr>
          <w:rFonts w:ascii="Times New Roman" w:hAnsi="Times New Roman" w:cs="Times New Roman"/>
          <w:sz w:val="24"/>
          <w:szCs w:val="24"/>
        </w:rPr>
        <w:tab/>
      </w:r>
      <w:r w:rsidR="00B80941">
        <w:rPr>
          <w:rFonts w:ascii="Times New Roman" w:hAnsi="Times New Roman" w:cs="Times New Roman"/>
          <w:sz w:val="24"/>
          <w:szCs w:val="24"/>
        </w:rPr>
        <w:t>Vu l’arrêté du 19 mars 1993 fixant, en application de l’article R. 4512-7 du code du travail, la liste des travaux dangereux pour lesquels il est établi par écrit un plan de prévention ;</w:t>
      </w:r>
    </w:p>
    <w:p w14:paraId="30A0DEEA" w14:textId="504103A3" w:rsidR="00B80941" w:rsidRDefault="00725CF8" w:rsidP="00E21D7A">
      <w:pPr>
        <w:jc w:val="both"/>
        <w:rPr>
          <w:rFonts w:ascii="Times New Roman" w:hAnsi="Times New Roman" w:cs="Times New Roman"/>
          <w:sz w:val="24"/>
          <w:szCs w:val="24"/>
        </w:rPr>
      </w:pPr>
      <w:r>
        <w:rPr>
          <w:rFonts w:ascii="Times New Roman" w:hAnsi="Times New Roman" w:cs="Times New Roman"/>
          <w:sz w:val="24"/>
          <w:szCs w:val="24"/>
        </w:rPr>
        <w:tab/>
      </w:r>
      <w:r w:rsidR="00B80941">
        <w:rPr>
          <w:rFonts w:ascii="Times New Roman" w:hAnsi="Times New Roman" w:cs="Times New Roman"/>
          <w:sz w:val="24"/>
          <w:szCs w:val="24"/>
        </w:rPr>
        <w:t>Vu l’arrêté du 15 février 2012 pris en application du chapitre IV du titre V du livre V du code de l’environnement relatif à l’exécution de travaux à proximité de certains ouvrages souterrains, aériens ou subaquatiques de transport ou de distribution ;</w:t>
      </w:r>
    </w:p>
    <w:p w14:paraId="38D091DB" w14:textId="69356D1D" w:rsidR="00272CE5" w:rsidRPr="00272CE5" w:rsidRDefault="00725CF8" w:rsidP="00272CE5">
      <w:pPr>
        <w:jc w:val="both"/>
        <w:rPr>
          <w:rFonts w:ascii="Times New Roman" w:hAnsi="Times New Roman" w:cs="Times New Roman"/>
          <w:sz w:val="24"/>
          <w:szCs w:val="24"/>
        </w:rPr>
      </w:pPr>
      <w:r>
        <w:rPr>
          <w:rFonts w:ascii="Times New Roman" w:hAnsi="Times New Roman" w:cs="Times New Roman"/>
          <w:sz w:val="24"/>
          <w:szCs w:val="24"/>
        </w:rPr>
        <w:tab/>
      </w:r>
      <w:r w:rsidR="00272CE5" w:rsidRPr="00272CE5">
        <w:rPr>
          <w:rFonts w:ascii="Times New Roman" w:hAnsi="Times New Roman" w:cs="Times New Roman"/>
          <w:sz w:val="24"/>
          <w:szCs w:val="24"/>
        </w:rPr>
        <w:t>Vu l’arrêté du 19 décembre 2014 définissant les cahiers des charges des formations relatives à l'efficacité énergétique et à l'installation d'équipements de production d'énergie utilisant une source d'énergie renouvelable</w:t>
      </w:r>
    </w:p>
    <w:p w14:paraId="0CBAB7F4" w14:textId="41A7D6C3" w:rsidR="00E21D7A" w:rsidRDefault="00725CF8" w:rsidP="00272CE5">
      <w:pPr>
        <w:jc w:val="both"/>
        <w:rPr>
          <w:rFonts w:ascii="Times New Roman" w:hAnsi="Times New Roman" w:cs="Times New Roman"/>
          <w:sz w:val="24"/>
          <w:szCs w:val="24"/>
        </w:rPr>
      </w:pPr>
      <w:r>
        <w:rPr>
          <w:rFonts w:ascii="Times New Roman" w:hAnsi="Times New Roman" w:cs="Times New Roman"/>
          <w:sz w:val="24"/>
          <w:szCs w:val="24"/>
        </w:rPr>
        <w:tab/>
      </w:r>
      <w:r w:rsidR="00E21D7A" w:rsidRPr="009F18C2">
        <w:rPr>
          <w:rFonts w:ascii="Times New Roman" w:hAnsi="Times New Roman" w:cs="Times New Roman"/>
          <w:sz w:val="24"/>
          <w:szCs w:val="24"/>
        </w:rPr>
        <w:t>Vu l'arrêté du 25 juin 2015 relatif aux prescriptions générales applicables aux activités géothermiques de minime importance ;</w:t>
      </w:r>
    </w:p>
    <w:p w14:paraId="288051EE" w14:textId="5EE6DFE3" w:rsidR="009458C0" w:rsidRPr="009F18C2" w:rsidRDefault="00725CF8" w:rsidP="00E21D7A">
      <w:pPr>
        <w:jc w:val="both"/>
        <w:rPr>
          <w:rFonts w:ascii="Times New Roman" w:hAnsi="Times New Roman" w:cs="Times New Roman"/>
          <w:sz w:val="24"/>
          <w:szCs w:val="24"/>
        </w:rPr>
      </w:pPr>
      <w:r>
        <w:rPr>
          <w:rFonts w:ascii="Times New Roman" w:hAnsi="Times New Roman" w:cs="Times New Roman"/>
          <w:sz w:val="24"/>
          <w:szCs w:val="24"/>
        </w:rPr>
        <w:tab/>
      </w:r>
      <w:r w:rsidR="009458C0">
        <w:rPr>
          <w:rFonts w:ascii="Times New Roman" w:hAnsi="Times New Roman" w:cs="Times New Roman"/>
          <w:sz w:val="24"/>
          <w:szCs w:val="24"/>
        </w:rPr>
        <w:t xml:space="preserve">Vu l’arrêté du 25 juin 2015 relatif à </w:t>
      </w:r>
      <w:proofErr w:type="spellStart"/>
      <w:r w:rsidR="009458C0" w:rsidRPr="009458C0">
        <w:rPr>
          <w:rFonts w:ascii="Times New Roman" w:hAnsi="Times New Roman" w:cs="Times New Roman"/>
          <w:sz w:val="24"/>
          <w:szCs w:val="24"/>
        </w:rPr>
        <w:t>à</w:t>
      </w:r>
      <w:proofErr w:type="spellEnd"/>
      <w:r w:rsidR="009458C0" w:rsidRPr="009458C0">
        <w:rPr>
          <w:rFonts w:ascii="Times New Roman" w:hAnsi="Times New Roman" w:cs="Times New Roman"/>
          <w:sz w:val="24"/>
          <w:szCs w:val="24"/>
        </w:rPr>
        <w:t xml:space="preserve"> la qualification des entreprises de forage intervenant en matière de géothermie de minime importance</w:t>
      </w:r>
      <w:r w:rsidR="009458C0">
        <w:rPr>
          <w:rFonts w:ascii="Times New Roman" w:hAnsi="Times New Roman" w:cs="Times New Roman"/>
          <w:sz w:val="24"/>
          <w:szCs w:val="24"/>
        </w:rPr>
        <w:t> ;</w:t>
      </w:r>
    </w:p>
    <w:p w14:paraId="349B9529" w14:textId="5A27FAA1" w:rsidR="00267092" w:rsidRPr="009F18C2" w:rsidRDefault="00725CF8" w:rsidP="00E21D7A">
      <w:pPr>
        <w:jc w:val="both"/>
        <w:rPr>
          <w:rFonts w:ascii="Times New Roman" w:hAnsi="Times New Roman" w:cs="Times New Roman"/>
          <w:sz w:val="24"/>
          <w:szCs w:val="24"/>
        </w:rPr>
      </w:pPr>
      <w:r>
        <w:rPr>
          <w:rFonts w:ascii="Times New Roman" w:hAnsi="Times New Roman" w:cs="Times New Roman"/>
          <w:sz w:val="24"/>
          <w:szCs w:val="24"/>
        </w:rPr>
        <w:tab/>
      </w:r>
      <w:r w:rsidR="00E21D7A" w:rsidRPr="009F18C2">
        <w:rPr>
          <w:rFonts w:ascii="Times New Roman" w:hAnsi="Times New Roman" w:cs="Times New Roman"/>
          <w:sz w:val="24"/>
          <w:szCs w:val="24"/>
        </w:rPr>
        <w:t xml:space="preserve">Vu l'avis de la </w:t>
      </w:r>
      <w:r w:rsidR="000856AD">
        <w:rPr>
          <w:rFonts w:ascii="Times New Roman" w:hAnsi="Times New Roman" w:cs="Times New Roman"/>
          <w:sz w:val="24"/>
          <w:szCs w:val="24"/>
        </w:rPr>
        <w:t>M</w:t>
      </w:r>
      <w:r w:rsidR="00E21D7A" w:rsidRPr="009F18C2">
        <w:rPr>
          <w:rFonts w:ascii="Times New Roman" w:hAnsi="Times New Roman" w:cs="Times New Roman"/>
          <w:sz w:val="24"/>
          <w:szCs w:val="24"/>
        </w:rPr>
        <w:t xml:space="preserve">ission interministérielle de l'eau en date du </w:t>
      </w:r>
      <w:proofErr w:type="spellStart"/>
      <w:r w:rsidR="00E21D7A" w:rsidRPr="009F18C2">
        <w:rPr>
          <w:rFonts w:ascii="Times New Roman" w:hAnsi="Times New Roman" w:cs="Times New Roman"/>
          <w:sz w:val="24"/>
          <w:szCs w:val="24"/>
          <w:highlight w:val="yellow"/>
        </w:rPr>
        <w:t>xxxx</w:t>
      </w:r>
      <w:proofErr w:type="spellEnd"/>
      <w:r w:rsidR="00E21D7A" w:rsidRPr="009F18C2">
        <w:rPr>
          <w:rFonts w:ascii="Times New Roman" w:hAnsi="Times New Roman" w:cs="Times New Roman"/>
          <w:sz w:val="24"/>
          <w:szCs w:val="24"/>
        </w:rPr>
        <w:t xml:space="preserve"> ;</w:t>
      </w:r>
    </w:p>
    <w:p w14:paraId="1296F1E5" w14:textId="4AC6D34C" w:rsidR="00267092" w:rsidRPr="009F18C2" w:rsidRDefault="00725CF8" w:rsidP="00E21D7A">
      <w:pPr>
        <w:jc w:val="both"/>
        <w:rPr>
          <w:rFonts w:ascii="Times New Roman" w:hAnsi="Times New Roman" w:cs="Times New Roman"/>
          <w:sz w:val="24"/>
          <w:szCs w:val="24"/>
        </w:rPr>
      </w:pPr>
      <w:r>
        <w:rPr>
          <w:rFonts w:ascii="Times New Roman" w:hAnsi="Times New Roman" w:cs="Times New Roman"/>
          <w:sz w:val="24"/>
          <w:szCs w:val="24"/>
        </w:rPr>
        <w:tab/>
      </w:r>
      <w:r w:rsidR="00267092" w:rsidRPr="009F18C2">
        <w:rPr>
          <w:rFonts w:ascii="Times New Roman" w:hAnsi="Times New Roman" w:cs="Times New Roman"/>
          <w:sz w:val="24"/>
          <w:szCs w:val="24"/>
        </w:rPr>
        <w:t xml:space="preserve">Vu l’avis du </w:t>
      </w:r>
      <w:r w:rsidR="000856AD">
        <w:rPr>
          <w:rFonts w:ascii="Times New Roman" w:hAnsi="Times New Roman" w:cs="Times New Roman"/>
          <w:sz w:val="24"/>
          <w:szCs w:val="24"/>
        </w:rPr>
        <w:t>C</w:t>
      </w:r>
      <w:r w:rsidR="00267092" w:rsidRPr="009F18C2">
        <w:rPr>
          <w:rFonts w:ascii="Times New Roman" w:hAnsi="Times New Roman" w:cs="Times New Roman"/>
          <w:sz w:val="24"/>
          <w:szCs w:val="24"/>
        </w:rPr>
        <w:t xml:space="preserve">onseil supérieur de l’énergie en date du </w:t>
      </w:r>
      <w:proofErr w:type="spellStart"/>
      <w:r w:rsidR="00267092" w:rsidRPr="009F18C2">
        <w:rPr>
          <w:rFonts w:ascii="Times New Roman" w:hAnsi="Times New Roman" w:cs="Times New Roman"/>
          <w:sz w:val="24"/>
          <w:szCs w:val="24"/>
          <w:highlight w:val="yellow"/>
        </w:rPr>
        <w:t>xxxx</w:t>
      </w:r>
      <w:proofErr w:type="spellEnd"/>
      <w:r w:rsidR="00267092" w:rsidRPr="009F18C2">
        <w:rPr>
          <w:rFonts w:ascii="Times New Roman" w:hAnsi="Times New Roman" w:cs="Times New Roman"/>
          <w:sz w:val="24"/>
          <w:szCs w:val="24"/>
          <w:highlight w:val="yellow"/>
        </w:rPr>
        <w:t> ;</w:t>
      </w:r>
    </w:p>
    <w:p w14:paraId="722FBD51" w14:textId="48A4D829" w:rsidR="00E21D7A" w:rsidRPr="009F18C2" w:rsidRDefault="00725CF8" w:rsidP="00E21D7A">
      <w:pPr>
        <w:jc w:val="both"/>
        <w:rPr>
          <w:rFonts w:ascii="Times New Roman" w:hAnsi="Times New Roman" w:cs="Times New Roman"/>
          <w:sz w:val="24"/>
          <w:szCs w:val="24"/>
        </w:rPr>
      </w:pPr>
      <w:r>
        <w:rPr>
          <w:rFonts w:ascii="Times New Roman" w:hAnsi="Times New Roman" w:cs="Times New Roman"/>
          <w:sz w:val="24"/>
          <w:szCs w:val="24"/>
        </w:rPr>
        <w:tab/>
      </w:r>
      <w:r w:rsidR="00E21D7A" w:rsidRPr="009F18C2">
        <w:rPr>
          <w:rFonts w:ascii="Times New Roman" w:hAnsi="Times New Roman" w:cs="Times New Roman"/>
          <w:sz w:val="24"/>
          <w:szCs w:val="24"/>
        </w:rPr>
        <w:t xml:space="preserve">Vu l'avis du </w:t>
      </w:r>
      <w:r w:rsidR="000856AD">
        <w:rPr>
          <w:rFonts w:ascii="Times New Roman" w:hAnsi="Times New Roman" w:cs="Times New Roman"/>
          <w:sz w:val="24"/>
          <w:szCs w:val="24"/>
        </w:rPr>
        <w:t>C</w:t>
      </w:r>
      <w:r w:rsidR="00E21D7A" w:rsidRPr="009F18C2">
        <w:rPr>
          <w:rFonts w:ascii="Times New Roman" w:hAnsi="Times New Roman" w:cs="Times New Roman"/>
          <w:sz w:val="24"/>
          <w:szCs w:val="24"/>
        </w:rPr>
        <w:t xml:space="preserve">onseil national d'évaluation des normes en date du </w:t>
      </w:r>
      <w:r w:rsidR="00E21D7A" w:rsidRPr="009F18C2">
        <w:rPr>
          <w:rFonts w:ascii="Times New Roman" w:hAnsi="Times New Roman" w:cs="Times New Roman"/>
          <w:sz w:val="24"/>
          <w:szCs w:val="24"/>
          <w:highlight w:val="yellow"/>
        </w:rPr>
        <w:t>xxx</w:t>
      </w:r>
      <w:r w:rsidR="00E21D7A" w:rsidRPr="009F18C2">
        <w:rPr>
          <w:rFonts w:ascii="Times New Roman" w:hAnsi="Times New Roman" w:cs="Times New Roman"/>
          <w:sz w:val="24"/>
          <w:szCs w:val="24"/>
        </w:rPr>
        <w:t xml:space="preserve"> ;</w:t>
      </w:r>
    </w:p>
    <w:p w14:paraId="2C7EB6AD" w14:textId="770576A8" w:rsidR="00E21D7A" w:rsidRPr="009F18C2" w:rsidRDefault="00725CF8" w:rsidP="00E21D7A">
      <w:pPr>
        <w:jc w:val="both"/>
        <w:rPr>
          <w:rFonts w:ascii="Times New Roman" w:hAnsi="Times New Roman" w:cs="Times New Roman"/>
          <w:sz w:val="24"/>
          <w:szCs w:val="24"/>
        </w:rPr>
      </w:pPr>
      <w:r>
        <w:rPr>
          <w:rFonts w:ascii="Times New Roman" w:hAnsi="Times New Roman" w:cs="Times New Roman"/>
          <w:sz w:val="24"/>
          <w:szCs w:val="24"/>
        </w:rPr>
        <w:tab/>
      </w:r>
      <w:r w:rsidR="00E21D7A" w:rsidRPr="009F18C2">
        <w:rPr>
          <w:rFonts w:ascii="Times New Roman" w:hAnsi="Times New Roman" w:cs="Times New Roman"/>
          <w:sz w:val="24"/>
          <w:szCs w:val="24"/>
        </w:rPr>
        <w:t xml:space="preserve">Vu les observations formulées lors de la consultation publique réalisée du </w:t>
      </w:r>
      <w:proofErr w:type="spellStart"/>
      <w:r w:rsidR="00E21D7A" w:rsidRPr="009F18C2">
        <w:rPr>
          <w:rFonts w:ascii="Times New Roman" w:hAnsi="Times New Roman" w:cs="Times New Roman"/>
          <w:sz w:val="24"/>
          <w:szCs w:val="24"/>
          <w:highlight w:val="yellow"/>
        </w:rPr>
        <w:t>xxxxx</w:t>
      </w:r>
      <w:proofErr w:type="spellEnd"/>
      <w:r w:rsidR="00E21D7A" w:rsidRPr="009F18C2">
        <w:rPr>
          <w:rFonts w:ascii="Times New Roman" w:hAnsi="Times New Roman" w:cs="Times New Roman"/>
          <w:sz w:val="24"/>
          <w:szCs w:val="24"/>
          <w:highlight w:val="yellow"/>
        </w:rPr>
        <w:t xml:space="preserve"> au </w:t>
      </w:r>
      <w:proofErr w:type="spellStart"/>
      <w:r w:rsidR="00E21D7A" w:rsidRPr="009F18C2">
        <w:rPr>
          <w:rFonts w:ascii="Times New Roman" w:hAnsi="Times New Roman" w:cs="Times New Roman"/>
          <w:sz w:val="24"/>
          <w:szCs w:val="24"/>
          <w:highlight w:val="yellow"/>
        </w:rPr>
        <w:t>xxxx</w:t>
      </w:r>
      <w:proofErr w:type="spellEnd"/>
      <w:r w:rsidR="00E21D7A" w:rsidRPr="009F18C2">
        <w:rPr>
          <w:rFonts w:ascii="Times New Roman" w:hAnsi="Times New Roman" w:cs="Times New Roman"/>
          <w:sz w:val="24"/>
          <w:szCs w:val="24"/>
        </w:rPr>
        <w:t>, en application de l'article L. 123-19-1 du code de l'environnement,</w:t>
      </w:r>
    </w:p>
    <w:p w14:paraId="1432D435" w14:textId="77777777" w:rsidR="00E21D7A" w:rsidRPr="009F18C2" w:rsidRDefault="00E21D7A" w:rsidP="00933B61">
      <w:pPr>
        <w:jc w:val="center"/>
        <w:rPr>
          <w:rFonts w:ascii="Times New Roman" w:hAnsi="Times New Roman" w:cs="Times New Roman"/>
          <w:sz w:val="24"/>
          <w:szCs w:val="24"/>
        </w:rPr>
      </w:pPr>
      <w:r w:rsidRPr="009F18C2">
        <w:rPr>
          <w:rFonts w:ascii="Times New Roman" w:hAnsi="Times New Roman" w:cs="Times New Roman"/>
          <w:sz w:val="24"/>
          <w:szCs w:val="24"/>
        </w:rPr>
        <w:t>Arrêtent :</w:t>
      </w:r>
    </w:p>
    <w:p w14:paraId="4E834DAF" w14:textId="77777777" w:rsidR="009F18C2" w:rsidRDefault="009F18C2" w:rsidP="009F18C2">
      <w:pPr>
        <w:spacing w:line="259" w:lineRule="auto"/>
        <w:rPr>
          <w:rFonts w:ascii="Times New Roman" w:hAnsi="Times New Roman" w:cs="Times New Roman"/>
          <w:b/>
          <w:bCs/>
          <w:sz w:val="24"/>
          <w:szCs w:val="24"/>
        </w:rPr>
      </w:pPr>
    </w:p>
    <w:p w14:paraId="0F6D0B1E" w14:textId="212CCB63" w:rsidR="00E21D7A" w:rsidRPr="009F18C2" w:rsidRDefault="00E21D7A" w:rsidP="009F18C2">
      <w:pPr>
        <w:spacing w:line="259" w:lineRule="auto"/>
        <w:rPr>
          <w:rFonts w:ascii="Times New Roman" w:hAnsi="Times New Roman" w:cs="Times New Roman"/>
          <w:b/>
          <w:bCs/>
          <w:sz w:val="24"/>
          <w:szCs w:val="24"/>
        </w:rPr>
      </w:pPr>
      <w:r w:rsidRPr="009F18C2">
        <w:rPr>
          <w:rFonts w:ascii="Times New Roman" w:hAnsi="Times New Roman" w:cs="Times New Roman"/>
          <w:b/>
          <w:bCs/>
          <w:sz w:val="24"/>
          <w:szCs w:val="24"/>
        </w:rPr>
        <w:t xml:space="preserve">Section 1 : Généralités </w:t>
      </w:r>
    </w:p>
    <w:p w14:paraId="65504681" w14:textId="77777777" w:rsidR="00E21D7A" w:rsidRPr="009F18C2" w:rsidRDefault="00E21D7A" w:rsidP="00612559">
      <w:pPr>
        <w:autoSpaceDE w:val="0"/>
        <w:autoSpaceDN w:val="0"/>
        <w:adjustRightInd w:val="0"/>
        <w:spacing w:after="120" w:line="240" w:lineRule="auto"/>
        <w:rPr>
          <w:rFonts w:ascii="Times New Roman" w:hAnsi="Times New Roman" w:cs="Times New Roman"/>
          <w:sz w:val="24"/>
          <w:szCs w:val="24"/>
        </w:rPr>
      </w:pPr>
    </w:p>
    <w:p w14:paraId="052BAC16" w14:textId="3F497EA7" w:rsidR="00933B61" w:rsidRDefault="00E21D7A" w:rsidP="00933B61">
      <w:pPr>
        <w:autoSpaceDE w:val="0"/>
        <w:autoSpaceDN w:val="0"/>
        <w:adjustRightInd w:val="0"/>
        <w:spacing w:after="120" w:line="240" w:lineRule="auto"/>
        <w:jc w:val="center"/>
        <w:rPr>
          <w:rFonts w:ascii="Times New Roman" w:hAnsi="Times New Roman" w:cs="Times New Roman"/>
          <w:b/>
          <w:sz w:val="24"/>
          <w:szCs w:val="24"/>
        </w:rPr>
      </w:pPr>
      <w:r w:rsidRPr="0029196F">
        <w:rPr>
          <w:rFonts w:ascii="Times New Roman" w:hAnsi="Times New Roman" w:cs="Times New Roman"/>
          <w:b/>
          <w:sz w:val="24"/>
          <w:szCs w:val="24"/>
        </w:rPr>
        <w:t>Art</w:t>
      </w:r>
      <w:r w:rsidR="00933B61">
        <w:rPr>
          <w:rFonts w:ascii="Times New Roman" w:hAnsi="Times New Roman" w:cs="Times New Roman"/>
          <w:b/>
          <w:sz w:val="24"/>
          <w:szCs w:val="24"/>
        </w:rPr>
        <w:t>icle</w:t>
      </w:r>
      <w:r w:rsidRPr="0029196F">
        <w:rPr>
          <w:rFonts w:ascii="Times New Roman" w:hAnsi="Times New Roman" w:cs="Times New Roman"/>
          <w:b/>
          <w:sz w:val="24"/>
          <w:szCs w:val="24"/>
        </w:rPr>
        <w:t xml:space="preserve"> 1</w:t>
      </w:r>
      <w:r w:rsidR="0029196F" w:rsidRPr="0029196F">
        <w:rPr>
          <w:rFonts w:ascii="Times New Roman" w:hAnsi="Times New Roman" w:cs="Times New Roman"/>
          <w:b/>
          <w:sz w:val="24"/>
          <w:szCs w:val="24"/>
          <w:vertAlign w:val="superscript"/>
        </w:rPr>
        <w:t>er</w:t>
      </w:r>
    </w:p>
    <w:p w14:paraId="466FD66A" w14:textId="07A2FACB" w:rsidR="00E21D7A" w:rsidRPr="009F18C2" w:rsidRDefault="00E21D7A" w:rsidP="00933B61">
      <w:pPr>
        <w:autoSpaceDE w:val="0"/>
        <w:autoSpaceDN w:val="0"/>
        <w:adjustRightInd w:val="0"/>
        <w:spacing w:after="120" w:line="240" w:lineRule="auto"/>
        <w:jc w:val="both"/>
        <w:rPr>
          <w:rFonts w:ascii="Times New Roman" w:hAnsi="Times New Roman" w:cs="Times New Roman"/>
          <w:sz w:val="24"/>
          <w:szCs w:val="24"/>
        </w:rPr>
      </w:pPr>
      <w:r w:rsidRPr="009F18C2">
        <w:rPr>
          <w:rFonts w:ascii="Times New Roman" w:hAnsi="Times New Roman" w:cs="Times New Roman"/>
          <w:sz w:val="24"/>
          <w:szCs w:val="24"/>
        </w:rPr>
        <w:t xml:space="preserve">Le présent arrêté </w:t>
      </w:r>
      <w:r w:rsidR="00933B61">
        <w:rPr>
          <w:rFonts w:ascii="Times New Roman" w:hAnsi="Times New Roman" w:cs="Times New Roman"/>
          <w:sz w:val="24"/>
          <w:szCs w:val="24"/>
        </w:rPr>
        <w:t>fixe, en application de</w:t>
      </w:r>
      <w:r w:rsidRPr="009F18C2">
        <w:rPr>
          <w:rFonts w:ascii="Times New Roman" w:hAnsi="Times New Roman" w:cs="Times New Roman"/>
          <w:sz w:val="24"/>
          <w:szCs w:val="24"/>
        </w:rPr>
        <w:t xml:space="preserve"> l’article 22-7 du décret n° 2006-649 susvisé</w:t>
      </w:r>
      <w:r w:rsidR="00933B61">
        <w:rPr>
          <w:rFonts w:ascii="Times New Roman" w:hAnsi="Times New Roman" w:cs="Times New Roman"/>
          <w:sz w:val="24"/>
          <w:szCs w:val="24"/>
        </w:rPr>
        <w:t>, les exigences</w:t>
      </w:r>
      <w:r w:rsidRPr="009F18C2">
        <w:rPr>
          <w:rFonts w:ascii="Times New Roman" w:hAnsi="Times New Roman" w:cs="Times New Roman"/>
          <w:sz w:val="24"/>
          <w:szCs w:val="24"/>
        </w:rPr>
        <w:t xml:space="preserve"> en matière de certification des entreprises</w:t>
      </w:r>
      <w:r w:rsidRPr="009F18C2">
        <w:rPr>
          <w:rFonts w:ascii="Times New Roman" w:hAnsi="Times New Roman" w:cs="Times New Roman"/>
          <w:b/>
          <w:sz w:val="24"/>
          <w:szCs w:val="24"/>
        </w:rPr>
        <w:t xml:space="preserve"> </w:t>
      </w:r>
      <w:r w:rsidRPr="009F18C2">
        <w:rPr>
          <w:rFonts w:ascii="Times New Roman" w:hAnsi="Times New Roman" w:cs="Times New Roman"/>
          <w:sz w:val="24"/>
          <w:szCs w:val="24"/>
        </w:rPr>
        <w:t>qui réalisent les travaux de forage lors de l'ouverture des travaux d'exploitation</w:t>
      </w:r>
      <w:r w:rsidR="00933B61">
        <w:rPr>
          <w:rFonts w:ascii="Times New Roman" w:hAnsi="Times New Roman" w:cs="Times New Roman"/>
          <w:sz w:val="24"/>
          <w:szCs w:val="24"/>
        </w:rPr>
        <w:t>,</w:t>
      </w:r>
      <w:r w:rsidRPr="009F18C2">
        <w:rPr>
          <w:rFonts w:ascii="Times New Roman" w:hAnsi="Times New Roman" w:cs="Times New Roman"/>
          <w:sz w:val="24"/>
          <w:szCs w:val="24"/>
        </w:rPr>
        <w:t xml:space="preserve"> et de remise en état lors de l’arrêt des travaux d’exploitation</w:t>
      </w:r>
      <w:r w:rsidR="00933B61">
        <w:rPr>
          <w:rFonts w:ascii="Times New Roman" w:hAnsi="Times New Roman" w:cs="Times New Roman"/>
          <w:sz w:val="24"/>
          <w:szCs w:val="24"/>
        </w:rPr>
        <w:t>,</w:t>
      </w:r>
      <w:r w:rsidRPr="009F18C2">
        <w:rPr>
          <w:rFonts w:ascii="Times New Roman" w:hAnsi="Times New Roman" w:cs="Times New Roman"/>
          <w:sz w:val="24"/>
          <w:szCs w:val="24"/>
        </w:rPr>
        <w:t xml:space="preserve"> d'un gîte géothermique de minime importance.</w:t>
      </w:r>
    </w:p>
    <w:p w14:paraId="4B818BA8" w14:textId="77777777" w:rsidR="00E21D7A" w:rsidRPr="009F18C2" w:rsidRDefault="00E21D7A" w:rsidP="00612559">
      <w:pPr>
        <w:autoSpaceDE w:val="0"/>
        <w:autoSpaceDN w:val="0"/>
        <w:adjustRightInd w:val="0"/>
        <w:spacing w:after="120" w:line="240" w:lineRule="auto"/>
        <w:jc w:val="both"/>
        <w:rPr>
          <w:rFonts w:ascii="Times New Roman" w:hAnsi="Times New Roman" w:cs="Times New Roman"/>
          <w:sz w:val="24"/>
          <w:szCs w:val="24"/>
        </w:rPr>
      </w:pPr>
    </w:p>
    <w:p w14:paraId="43D77C21" w14:textId="239C0005" w:rsidR="00E21D7A" w:rsidRPr="009F18C2" w:rsidRDefault="00E21D7A" w:rsidP="00612559">
      <w:pPr>
        <w:autoSpaceDE w:val="0"/>
        <w:autoSpaceDN w:val="0"/>
        <w:adjustRightInd w:val="0"/>
        <w:spacing w:after="120" w:line="240" w:lineRule="auto"/>
        <w:jc w:val="both"/>
        <w:rPr>
          <w:rFonts w:ascii="Times New Roman" w:hAnsi="Times New Roman" w:cs="Times New Roman"/>
          <w:sz w:val="24"/>
          <w:szCs w:val="24"/>
        </w:rPr>
      </w:pPr>
      <w:r w:rsidRPr="009F18C2">
        <w:rPr>
          <w:rFonts w:ascii="Times New Roman" w:hAnsi="Times New Roman" w:cs="Times New Roman"/>
          <w:sz w:val="24"/>
          <w:szCs w:val="24"/>
        </w:rPr>
        <w:t>Il définit en particulier les exigences relatives aux différents référentiels de certification, aux modalités de certification</w:t>
      </w:r>
      <w:r w:rsidR="00391816">
        <w:rPr>
          <w:rFonts w:ascii="Times New Roman" w:hAnsi="Times New Roman" w:cs="Times New Roman"/>
          <w:sz w:val="24"/>
          <w:szCs w:val="24"/>
        </w:rPr>
        <w:t xml:space="preserve"> et les exigences applicables aux organismes qui délivrent cette</w:t>
      </w:r>
      <w:r w:rsidRPr="009F18C2">
        <w:rPr>
          <w:rFonts w:ascii="Times New Roman" w:hAnsi="Times New Roman" w:cs="Times New Roman"/>
          <w:sz w:val="24"/>
          <w:szCs w:val="24"/>
        </w:rPr>
        <w:t xml:space="preserve"> certification</w:t>
      </w:r>
      <w:r w:rsidR="00175431">
        <w:rPr>
          <w:rFonts w:ascii="Times New Roman" w:hAnsi="Times New Roman" w:cs="Times New Roman"/>
          <w:sz w:val="24"/>
          <w:szCs w:val="24"/>
        </w:rPr>
        <w:t xml:space="preserve"> selon les modalités définies par la section 4 du présent arrêté</w:t>
      </w:r>
      <w:r w:rsidR="00391816">
        <w:rPr>
          <w:rFonts w:ascii="Times New Roman" w:hAnsi="Times New Roman" w:cs="Times New Roman"/>
          <w:sz w:val="24"/>
          <w:szCs w:val="24"/>
        </w:rPr>
        <w:t>.</w:t>
      </w:r>
    </w:p>
    <w:p w14:paraId="7481862D" w14:textId="77777777" w:rsidR="00E21D7A" w:rsidRPr="009F18C2" w:rsidRDefault="00E21D7A" w:rsidP="00612559">
      <w:pPr>
        <w:autoSpaceDE w:val="0"/>
        <w:autoSpaceDN w:val="0"/>
        <w:adjustRightInd w:val="0"/>
        <w:spacing w:after="120" w:line="240" w:lineRule="auto"/>
        <w:jc w:val="both"/>
        <w:rPr>
          <w:rFonts w:ascii="Times New Roman" w:hAnsi="Times New Roman" w:cs="Times New Roman"/>
          <w:sz w:val="24"/>
          <w:szCs w:val="24"/>
        </w:rPr>
      </w:pPr>
    </w:p>
    <w:p w14:paraId="28055699" w14:textId="77777777" w:rsidR="00E21D7A" w:rsidRPr="009F18C2" w:rsidRDefault="00E21D7A" w:rsidP="00612559">
      <w:pPr>
        <w:autoSpaceDE w:val="0"/>
        <w:autoSpaceDN w:val="0"/>
        <w:adjustRightInd w:val="0"/>
        <w:spacing w:after="120" w:line="240" w:lineRule="auto"/>
        <w:rPr>
          <w:rFonts w:ascii="Times New Roman" w:hAnsi="Times New Roman" w:cs="Times New Roman"/>
          <w:b/>
          <w:bCs/>
          <w:sz w:val="24"/>
          <w:szCs w:val="24"/>
        </w:rPr>
      </w:pPr>
      <w:r w:rsidRPr="009F18C2">
        <w:rPr>
          <w:rFonts w:ascii="Times New Roman" w:hAnsi="Times New Roman" w:cs="Times New Roman"/>
          <w:b/>
          <w:bCs/>
          <w:sz w:val="24"/>
          <w:szCs w:val="24"/>
        </w:rPr>
        <w:t>Section 2 : Référentiel de certification et définitions</w:t>
      </w:r>
    </w:p>
    <w:p w14:paraId="6FD7F4EF" w14:textId="77777777" w:rsidR="00E21D7A" w:rsidRPr="009F18C2" w:rsidRDefault="00E21D7A" w:rsidP="00612559">
      <w:pPr>
        <w:autoSpaceDE w:val="0"/>
        <w:autoSpaceDN w:val="0"/>
        <w:adjustRightInd w:val="0"/>
        <w:spacing w:after="120" w:line="240" w:lineRule="auto"/>
        <w:jc w:val="both"/>
        <w:rPr>
          <w:rFonts w:ascii="Times New Roman" w:hAnsi="Times New Roman" w:cs="Times New Roman"/>
          <w:b/>
          <w:bCs/>
          <w:sz w:val="24"/>
          <w:szCs w:val="24"/>
        </w:rPr>
      </w:pPr>
    </w:p>
    <w:p w14:paraId="5A76AD70" w14:textId="4BAA3BD3" w:rsidR="00933B61" w:rsidRDefault="00E21D7A" w:rsidP="00272CE5">
      <w:pPr>
        <w:autoSpaceDE w:val="0"/>
        <w:autoSpaceDN w:val="0"/>
        <w:adjustRightInd w:val="0"/>
        <w:spacing w:after="120" w:line="240" w:lineRule="auto"/>
        <w:jc w:val="center"/>
        <w:rPr>
          <w:rFonts w:cstheme="minorHAnsi"/>
          <w:b/>
        </w:rPr>
      </w:pPr>
      <w:r w:rsidRPr="0029196F">
        <w:rPr>
          <w:rFonts w:ascii="Times New Roman" w:hAnsi="Times New Roman" w:cs="Times New Roman"/>
          <w:b/>
          <w:sz w:val="24"/>
          <w:szCs w:val="24"/>
        </w:rPr>
        <w:t>Art</w:t>
      </w:r>
      <w:r w:rsidR="00933B61">
        <w:rPr>
          <w:rFonts w:ascii="Times New Roman" w:hAnsi="Times New Roman" w:cs="Times New Roman"/>
          <w:b/>
          <w:sz w:val="24"/>
          <w:szCs w:val="24"/>
        </w:rPr>
        <w:t>icle</w:t>
      </w:r>
      <w:r w:rsidRPr="0029196F">
        <w:rPr>
          <w:rFonts w:ascii="Times New Roman" w:hAnsi="Times New Roman" w:cs="Times New Roman"/>
          <w:b/>
          <w:sz w:val="24"/>
          <w:szCs w:val="24"/>
        </w:rPr>
        <w:t xml:space="preserve"> 2</w:t>
      </w:r>
    </w:p>
    <w:p w14:paraId="05828AE1" w14:textId="5876A3CC" w:rsidR="00E21D7A" w:rsidRPr="00F6639B" w:rsidRDefault="00E21D7A" w:rsidP="00612559">
      <w:pPr>
        <w:autoSpaceDE w:val="0"/>
        <w:autoSpaceDN w:val="0"/>
        <w:adjustRightInd w:val="0"/>
        <w:spacing w:after="120" w:line="240" w:lineRule="auto"/>
        <w:jc w:val="both"/>
        <w:rPr>
          <w:rFonts w:ascii="Times New Roman" w:hAnsi="Times New Roman" w:cs="Times New Roman"/>
          <w:sz w:val="24"/>
          <w:szCs w:val="24"/>
        </w:rPr>
      </w:pPr>
      <w:r w:rsidRPr="009F18C2">
        <w:rPr>
          <w:rFonts w:ascii="Times New Roman" w:hAnsi="Times New Roman" w:cs="Times New Roman"/>
          <w:sz w:val="24"/>
          <w:szCs w:val="24"/>
        </w:rPr>
        <w:t xml:space="preserve">Pour l’application de l’article 22-7 du décret n° 2006-649 </w:t>
      </w:r>
      <w:r w:rsidRPr="00F6639B">
        <w:rPr>
          <w:rFonts w:ascii="Times New Roman" w:hAnsi="Times New Roman" w:cs="Times New Roman"/>
          <w:sz w:val="24"/>
          <w:szCs w:val="24"/>
        </w:rPr>
        <w:t>modifié susvisé :</w:t>
      </w:r>
    </w:p>
    <w:p w14:paraId="7C1689D7" w14:textId="0811896A" w:rsidR="00E21D7A" w:rsidRPr="00F6639B" w:rsidRDefault="000C2F0B" w:rsidP="000C2F0B">
      <w:pPr>
        <w:pStyle w:val="Titre1"/>
        <w:spacing w:before="0" w:after="120" w:line="240" w:lineRule="auto"/>
        <w:jc w:val="both"/>
        <w:rPr>
          <w:rFonts w:ascii="Times New Roman" w:hAnsi="Times New Roman" w:cs="Times New Roman"/>
          <w:color w:val="auto"/>
          <w:sz w:val="24"/>
          <w:szCs w:val="24"/>
        </w:rPr>
      </w:pPr>
      <w:r w:rsidRPr="00F6639B">
        <w:rPr>
          <w:rFonts w:ascii="Times New Roman" w:hAnsi="Times New Roman" w:cs="Times New Roman"/>
          <w:color w:val="auto"/>
          <w:sz w:val="24"/>
          <w:szCs w:val="24"/>
        </w:rPr>
        <w:t xml:space="preserve">- </w:t>
      </w:r>
      <w:r w:rsidR="0029196F" w:rsidRPr="00F6639B">
        <w:rPr>
          <w:rFonts w:ascii="Times New Roman" w:hAnsi="Times New Roman" w:cs="Times New Roman"/>
          <w:color w:val="auto"/>
          <w:sz w:val="24"/>
          <w:szCs w:val="24"/>
        </w:rPr>
        <w:t>l</w:t>
      </w:r>
      <w:r w:rsidR="00E21D7A" w:rsidRPr="00F6639B">
        <w:rPr>
          <w:rFonts w:ascii="Times New Roman" w:hAnsi="Times New Roman" w:cs="Times New Roman"/>
          <w:color w:val="auto"/>
          <w:sz w:val="24"/>
          <w:szCs w:val="24"/>
        </w:rPr>
        <w:t xml:space="preserve">es entreprises de forage qui réalisent des échangeurs géothermiques ouverts </w:t>
      </w:r>
      <w:r w:rsidR="00933B61" w:rsidRPr="00F6639B">
        <w:rPr>
          <w:rFonts w:ascii="Times New Roman" w:hAnsi="Times New Roman" w:cs="Times New Roman"/>
          <w:color w:val="auto"/>
          <w:sz w:val="24"/>
          <w:szCs w:val="24"/>
        </w:rPr>
        <w:t>sont titulaires d’</w:t>
      </w:r>
      <w:r w:rsidR="00E21D7A" w:rsidRPr="00F6639B">
        <w:rPr>
          <w:rFonts w:ascii="Times New Roman" w:hAnsi="Times New Roman" w:cs="Times New Roman"/>
          <w:color w:val="auto"/>
          <w:sz w:val="24"/>
          <w:szCs w:val="24"/>
        </w:rPr>
        <w:t>une certification fondée sur les exigences de l’arrêté du 25 juin 2015</w:t>
      </w:r>
      <w:r w:rsidR="00267092" w:rsidRPr="00F6639B">
        <w:rPr>
          <w:rFonts w:ascii="Times New Roman" w:hAnsi="Times New Roman" w:cs="Times New Roman"/>
          <w:color w:val="auto"/>
          <w:sz w:val="24"/>
          <w:szCs w:val="24"/>
        </w:rPr>
        <w:t xml:space="preserve"> </w:t>
      </w:r>
      <w:r w:rsidR="00E21D7A" w:rsidRPr="00F6639B">
        <w:rPr>
          <w:rFonts w:ascii="Times New Roman" w:hAnsi="Times New Roman" w:cs="Times New Roman"/>
          <w:color w:val="auto"/>
          <w:sz w:val="24"/>
          <w:szCs w:val="24"/>
        </w:rPr>
        <w:t xml:space="preserve">relatif aux prescriptions générales applicables aux activités géothermiques de minime importance et les critères additionnels définis aux annexes I et II </w:t>
      </w:r>
      <w:r w:rsidR="00933B61" w:rsidRPr="00F6639B">
        <w:rPr>
          <w:rFonts w:ascii="Times New Roman" w:hAnsi="Times New Roman" w:cs="Times New Roman"/>
          <w:color w:val="auto"/>
          <w:sz w:val="24"/>
          <w:szCs w:val="24"/>
        </w:rPr>
        <w:t xml:space="preserve">au </w:t>
      </w:r>
      <w:r w:rsidR="00E21D7A" w:rsidRPr="00F6639B">
        <w:rPr>
          <w:rFonts w:ascii="Times New Roman" w:hAnsi="Times New Roman" w:cs="Times New Roman"/>
          <w:color w:val="auto"/>
          <w:sz w:val="24"/>
          <w:szCs w:val="24"/>
        </w:rPr>
        <w:t>présent arrêté, ci-après nommé « </w:t>
      </w:r>
      <w:r w:rsidR="00933B61" w:rsidRPr="00F6639B">
        <w:rPr>
          <w:rFonts w:ascii="Times New Roman" w:hAnsi="Times New Roman" w:cs="Times New Roman"/>
          <w:color w:val="auto"/>
          <w:sz w:val="24"/>
          <w:szCs w:val="24"/>
        </w:rPr>
        <w:t>m</w:t>
      </w:r>
      <w:r w:rsidR="00E21D7A" w:rsidRPr="00F6639B">
        <w:rPr>
          <w:rFonts w:ascii="Times New Roman" w:hAnsi="Times New Roman" w:cs="Times New Roman"/>
          <w:color w:val="auto"/>
          <w:sz w:val="24"/>
          <w:szCs w:val="24"/>
        </w:rPr>
        <w:t xml:space="preserve">odule </w:t>
      </w:r>
      <w:r w:rsidR="00933B61" w:rsidRPr="00F6639B">
        <w:rPr>
          <w:rFonts w:ascii="Times New Roman" w:hAnsi="Times New Roman" w:cs="Times New Roman"/>
          <w:color w:val="auto"/>
          <w:sz w:val="24"/>
          <w:szCs w:val="24"/>
        </w:rPr>
        <w:t>n</w:t>
      </w:r>
      <w:r w:rsidR="00E21D7A" w:rsidRPr="00F6639B">
        <w:rPr>
          <w:rFonts w:ascii="Times New Roman" w:hAnsi="Times New Roman" w:cs="Times New Roman"/>
          <w:color w:val="auto"/>
          <w:sz w:val="24"/>
          <w:szCs w:val="24"/>
        </w:rPr>
        <w:t>appe » ;</w:t>
      </w:r>
    </w:p>
    <w:p w14:paraId="07B2EE7A" w14:textId="4ECB7870" w:rsidR="00E21D7A" w:rsidRPr="00F6639B" w:rsidRDefault="000C2F0B" w:rsidP="000C2F0B">
      <w:pPr>
        <w:autoSpaceDE w:val="0"/>
        <w:autoSpaceDN w:val="0"/>
        <w:adjustRightInd w:val="0"/>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29196F" w:rsidRPr="00F6639B">
        <w:rPr>
          <w:rFonts w:ascii="Times New Roman" w:hAnsi="Times New Roman" w:cs="Times New Roman"/>
          <w:sz w:val="24"/>
          <w:szCs w:val="24"/>
        </w:rPr>
        <w:t>l</w:t>
      </w:r>
      <w:r w:rsidR="00E21D7A" w:rsidRPr="00F6639B">
        <w:rPr>
          <w:rFonts w:ascii="Times New Roman" w:hAnsi="Times New Roman" w:cs="Times New Roman"/>
          <w:sz w:val="24"/>
          <w:szCs w:val="24"/>
        </w:rPr>
        <w:t xml:space="preserve">es entreprises de forage qui réalisent des échangeurs géothermiques fermés verticaux, </w:t>
      </w:r>
      <w:r w:rsidR="00A92632" w:rsidRPr="00F6639B">
        <w:rPr>
          <w:rFonts w:ascii="Times New Roman" w:hAnsi="Times New Roman" w:cs="Times New Roman"/>
          <w:sz w:val="24"/>
          <w:szCs w:val="24"/>
        </w:rPr>
        <w:t>ainsi que</w:t>
      </w:r>
      <w:r w:rsidR="00E21D7A" w:rsidRPr="00F6639B">
        <w:rPr>
          <w:rFonts w:ascii="Times New Roman" w:hAnsi="Times New Roman" w:cs="Times New Roman"/>
          <w:sz w:val="24"/>
          <w:szCs w:val="24"/>
        </w:rPr>
        <w:t xml:space="preserve"> les échangeurs géothermiques fermés inclinés, </w:t>
      </w:r>
      <w:r w:rsidR="00933B61" w:rsidRPr="00F6639B">
        <w:rPr>
          <w:rFonts w:ascii="Times New Roman" w:hAnsi="Times New Roman" w:cs="Times New Roman"/>
          <w:sz w:val="24"/>
          <w:szCs w:val="24"/>
        </w:rPr>
        <w:t>sont titulaires d’</w:t>
      </w:r>
      <w:r w:rsidR="00E21D7A" w:rsidRPr="00F6639B">
        <w:rPr>
          <w:rFonts w:ascii="Times New Roman" w:hAnsi="Times New Roman" w:cs="Times New Roman"/>
          <w:sz w:val="24"/>
          <w:szCs w:val="24"/>
        </w:rPr>
        <w:t xml:space="preserve">une certification fondée sur les exigences de l’arrêté du 25 juin 2015 </w:t>
      </w:r>
      <w:r w:rsidR="00AB3B93" w:rsidRPr="00F6639B">
        <w:rPr>
          <w:rFonts w:ascii="Times New Roman" w:hAnsi="Times New Roman" w:cs="Times New Roman"/>
          <w:sz w:val="24"/>
          <w:szCs w:val="24"/>
        </w:rPr>
        <w:t>précité</w:t>
      </w:r>
      <w:r w:rsidR="00E21D7A" w:rsidRPr="00F6639B">
        <w:rPr>
          <w:rFonts w:ascii="Times New Roman" w:hAnsi="Times New Roman" w:cs="Times New Roman"/>
          <w:sz w:val="24"/>
          <w:szCs w:val="24"/>
        </w:rPr>
        <w:t xml:space="preserve"> et les critères additionnels définis aux annexes I et III </w:t>
      </w:r>
      <w:r w:rsidR="00933B61" w:rsidRPr="00F6639B">
        <w:rPr>
          <w:rFonts w:ascii="Times New Roman" w:hAnsi="Times New Roman" w:cs="Times New Roman"/>
          <w:sz w:val="24"/>
          <w:szCs w:val="24"/>
        </w:rPr>
        <w:t xml:space="preserve">au </w:t>
      </w:r>
      <w:r w:rsidR="00E21D7A" w:rsidRPr="00F6639B">
        <w:rPr>
          <w:rFonts w:ascii="Times New Roman" w:hAnsi="Times New Roman" w:cs="Times New Roman"/>
          <w:sz w:val="24"/>
          <w:szCs w:val="24"/>
        </w:rPr>
        <w:t>présent arrêté, ci-après nommé « </w:t>
      </w:r>
      <w:r w:rsidR="00933B61" w:rsidRPr="00F6639B">
        <w:rPr>
          <w:rFonts w:ascii="Times New Roman" w:hAnsi="Times New Roman" w:cs="Times New Roman"/>
          <w:sz w:val="24"/>
          <w:szCs w:val="24"/>
        </w:rPr>
        <w:t>m</w:t>
      </w:r>
      <w:r w:rsidR="00E21D7A" w:rsidRPr="00F6639B">
        <w:rPr>
          <w:rFonts w:ascii="Times New Roman" w:hAnsi="Times New Roman" w:cs="Times New Roman"/>
          <w:sz w:val="24"/>
          <w:szCs w:val="24"/>
        </w:rPr>
        <w:t xml:space="preserve">odule </w:t>
      </w:r>
      <w:r w:rsidR="00933B61" w:rsidRPr="00F6639B">
        <w:rPr>
          <w:rFonts w:ascii="Times New Roman" w:hAnsi="Times New Roman" w:cs="Times New Roman"/>
          <w:sz w:val="24"/>
          <w:szCs w:val="24"/>
        </w:rPr>
        <w:t>s</w:t>
      </w:r>
      <w:r w:rsidR="00E21D7A" w:rsidRPr="00F6639B">
        <w:rPr>
          <w:rFonts w:ascii="Times New Roman" w:hAnsi="Times New Roman" w:cs="Times New Roman"/>
          <w:sz w:val="24"/>
          <w:szCs w:val="24"/>
        </w:rPr>
        <w:t>onde ».</w:t>
      </w:r>
    </w:p>
    <w:p w14:paraId="2FEF47E3" w14:textId="77777777" w:rsidR="00E21D7A" w:rsidRPr="00F6639B" w:rsidRDefault="00E21D7A" w:rsidP="00612559">
      <w:pPr>
        <w:autoSpaceDE w:val="0"/>
        <w:autoSpaceDN w:val="0"/>
        <w:adjustRightInd w:val="0"/>
        <w:spacing w:after="120" w:line="240" w:lineRule="auto"/>
        <w:jc w:val="both"/>
        <w:rPr>
          <w:rFonts w:ascii="Times New Roman" w:hAnsi="Times New Roman" w:cs="Times New Roman"/>
          <w:sz w:val="24"/>
          <w:szCs w:val="24"/>
        </w:rPr>
      </w:pPr>
    </w:p>
    <w:p w14:paraId="79271B5B" w14:textId="13A698A6" w:rsidR="00933B61" w:rsidRPr="00F6639B" w:rsidRDefault="00E21D7A" w:rsidP="00272CE5">
      <w:pPr>
        <w:autoSpaceDE w:val="0"/>
        <w:autoSpaceDN w:val="0"/>
        <w:adjustRightInd w:val="0"/>
        <w:spacing w:after="120" w:line="240" w:lineRule="auto"/>
        <w:jc w:val="center"/>
        <w:rPr>
          <w:rFonts w:cstheme="minorHAnsi"/>
          <w:b/>
        </w:rPr>
      </w:pPr>
      <w:r w:rsidRPr="00F6639B">
        <w:rPr>
          <w:rFonts w:ascii="Times New Roman" w:hAnsi="Times New Roman" w:cs="Times New Roman"/>
          <w:b/>
          <w:sz w:val="24"/>
          <w:szCs w:val="24"/>
        </w:rPr>
        <w:t>Art</w:t>
      </w:r>
      <w:r w:rsidR="00933B61"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3</w:t>
      </w:r>
    </w:p>
    <w:p w14:paraId="7FB7B706" w14:textId="7B3D4904" w:rsidR="0072606D" w:rsidRPr="00F6639B" w:rsidRDefault="00267092" w:rsidP="00612559">
      <w:pPr>
        <w:autoSpaceDE w:val="0"/>
        <w:autoSpaceDN w:val="0"/>
        <w:adjustRightInd w:val="0"/>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Au sens du présent arrêté, on entend par :</w:t>
      </w:r>
    </w:p>
    <w:p w14:paraId="7F9F2412" w14:textId="5709D3A3" w:rsidR="00272CE5" w:rsidRPr="00F6639B" w:rsidRDefault="00E21D7A" w:rsidP="00612559">
      <w:pPr>
        <w:autoSpaceDE w:val="0"/>
        <w:autoSpaceDN w:val="0"/>
        <w:adjustRightInd w:val="0"/>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Référent technique</w:t>
      </w:r>
      <w:r w:rsidR="00FF2F35" w:rsidRPr="00F6639B">
        <w:rPr>
          <w:rFonts w:ascii="Times New Roman" w:hAnsi="Times New Roman" w:cs="Times New Roman"/>
          <w:sz w:val="24"/>
          <w:szCs w:val="24"/>
        </w:rPr>
        <w:t> :</w:t>
      </w:r>
      <w:r w:rsidRPr="00F6639B">
        <w:rPr>
          <w:rFonts w:ascii="Times New Roman" w:hAnsi="Times New Roman" w:cs="Times New Roman"/>
          <w:sz w:val="24"/>
          <w:szCs w:val="24"/>
        </w:rPr>
        <w:t xml:space="preserve"> </w:t>
      </w:r>
      <w:r w:rsidR="00FF2F35" w:rsidRPr="00F6639B">
        <w:rPr>
          <w:rFonts w:ascii="Times New Roman" w:hAnsi="Times New Roman" w:cs="Times New Roman"/>
          <w:sz w:val="24"/>
          <w:szCs w:val="24"/>
        </w:rPr>
        <w:t>l</w:t>
      </w:r>
      <w:r w:rsidRPr="00F6639B">
        <w:rPr>
          <w:rFonts w:ascii="Times New Roman" w:hAnsi="Times New Roman" w:cs="Times New Roman"/>
          <w:sz w:val="24"/>
          <w:szCs w:val="24"/>
        </w:rPr>
        <w:t>e référent technique</w:t>
      </w:r>
      <w:r w:rsidR="00711939" w:rsidRPr="00F6639B">
        <w:rPr>
          <w:rFonts w:ascii="Times New Roman" w:hAnsi="Times New Roman" w:cs="Times New Roman"/>
          <w:sz w:val="24"/>
          <w:szCs w:val="24"/>
        </w:rPr>
        <w:t xml:space="preserve"> appartient à l’entreprise de forage (chef d’entreprise ou salarié de l’entreprise) et est responsable du suivi ou de la mise en œuvre </w:t>
      </w:r>
      <w:r w:rsidR="00E12CD1" w:rsidRPr="00F6639B">
        <w:rPr>
          <w:rFonts w:ascii="Times New Roman" w:hAnsi="Times New Roman" w:cs="Times New Roman"/>
          <w:sz w:val="24"/>
          <w:szCs w:val="24"/>
        </w:rPr>
        <w:t>du chantier.</w:t>
      </w:r>
      <w:r w:rsidR="00711939" w:rsidRPr="00F6639B">
        <w:rPr>
          <w:rFonts w:ascii="Times New Roman" w:hAnsi="Times New Roman" w:cs="Times New Roman"/>
          <w:sz w:val="24"/>
          <w:szCs w:val="24"/>
        </w:rPr>
        <w:t xml:space="preserve"> </w:t>
      </w:r>
      <w:r w:rsidRPr="00F6639B">
        <w:rPr>
          <w:rFonts w:ascii="Times New Roman" w:hAnsi="Times New Roman" w:cs="Times New Roman"/>
          <w:sz w:val="24"/>
          <w:szCs w:val="24"/>
        </w:rPr>
        <w:t xml:space="preserve"> </w:t>
      </w:r>
      <w:r w:rsidR="00E12CD1" w:rsidRPr="00F6639B">
        <w:rPr>
          <w:rFonts w:ascii="Times New Roman" w:hAnsi="Times New Roman" w:cs="Times New Roman"/>
          <w:sz w:val="24"/>
          <w:szCs w:val="24"/>
        </w:rPr>
        <w:t xml:space="preserve">Il </w:t>
      </w:r>
      <w:r w:rsidR="004048F4" w:rsidRPr="00F6639B">
        <w:rPr>
          <w:rFonts w:ascii="Times New Roman" w:hAnsi="Times New Roman" w:cs="Times New Roman"/>
          <w:sz w:val="24"/>
          <w:szCs w:val="24"/>
        </w:rPr>
        <w:t xml:space="preserve">dispose de </w:t>
      </w:r>
      <w:r w:rsidRPr="00F6639B">
        <w:rPr>
          <w:rFonts w:ascii="Times New Roman" w:hAnsi="Times New Roman" w:cs="Times New Roman"/>
          <w:sz w:val="24"/>
          <w:szCs w:val="24"/>
        </w:rPr>
        <w:t>compétence</w:t>
      </w:r>
      <w:r w:rsidR="004048F4" w:rsidRPr="00F6639B">
        <w:rPr>
          <w:rFonts w:ascii="Times New Roman" w:hAnsi="Times New Roman" w:cs="Times New Roman"/>
          <w:sz w:val="24"/>
          <w:szCs w:val="24"/>
        </w:rPr>
        <w:t>s</w:t>
      </w:r>
      <w:r w:rsidRPr="00F6639B">
        <w:rPr>
          <w:rFonts w:ascii="Times New Roman" w:hAnsi="Times New Roman" w:cs="Times New Roman"/>
          <w:sz w:val="24"/>
          <w:szCs w:val="24"/>
        </w:rPr>
        <w:t xml:space="preserve"> technique</w:t>
      </w:r>
      <w:r w:rsidR="004048F4" w:rsidRPr="00F6639B">
        <w:rPr>
          <w:rFonts w:ascii="Times New Roman" w:hAnsi="Times New Roman" w:cs="Times New Roman"/>
          <w:sz w:val="24"/>
          <w:szCs w:val="24"/>
        </w:rPr>
        <w:t>s</w:t>
      </w:r>
      <w:r w:rsidRPr="00F6639B">
        <w:rPr>
          <w:rFonts w:ascii="Times New Roman" w:hAnsi="Times New Roman" w:cs="Times New Roman"/>
          <w:sz w:val="24"/>
          <w:szCs w:val="24"/>
        </w:rPr>
        <w:t xml:space="preserve"> dans la mise en œuvre du champ d’application de la certification. </w:t>
      </w:r>
      <w:r w:rsidR="00B80941" w:rsidRPr="00F6639B">
        <w:rPr>
          <w:rFonts w:ascii="Times New Roman" w:hAnsi="Times New Roman" w:cs="Times New Roman"/>
          <w:sz w:val="24"/>
          <w:szCs w:val="24"/>
        </w:rPr>
        <w:t>Il</w:t>
      </w:r>
      <w:r w:rsidRPr="00F6639B">
        <w:rPr>
          <w:rFonts w:ascii="Times New Roman" w:hAnsi="Times New Roman" w:cs="Times New Roman"/>
          <w:sz w:val="24"/>
          <w:szCs w:val="24"/>
        </w:rPr>
        <w:t xml:space="preserve"> doit </w:t>
      </w:r>
      <w:r w:rsidR="00CC053F" w:rsidRPr="00F6639B">
        <w:rPr>
          <w:rFonts w:ascii="Times New Roman" w:hAnsi="Times New Roman" w:cs="Times New Roman"/>
          <w:sz w:val="24"/>
          <w:szCs w:val="24"/>
        </w:rPr>
        <w:t>justifier des connaissances acquises lors d’</w:t>
      </w:r>
      <w:r w:rsidRPr="00F6639B">
        <w:rPr>
          <w:rFonts w:ascii="Times New Roman" w:hAnsi="Times New Roman" w:cs="Times New Roman"/>
          <w:sz w:val="24"/>
          <w:szCs w:val="24"/>
        </w:rPr>
        <w:t xml:space="preserve">une formation </w:t>
      </w:r>
      <w:r w:rsidR="00272CE5" w:rsidRPr="00F6639B">
        <w:rPr>
          <w:rFonts w:ascii="Times New Roman" w:hAnsi="Times New Roman" w:cs="Times New Roman"/>
          <w:sz w:val="24"/>
          <w:szCs w:val="24"/>
        </w:rPr>
        <w:t>initiale qualifiante et/ou diplômante agréée selon les modalités définies par l’arrêté du 19 décembre 2014 susvisé</w:t>
      </w:r>
      <w:r w:rsidR="006F0613" w:rsidRPr="00F6639B">
        <w:rPr>
          <w:rFonts w:ascii="Times New Roman" w:hAnsi="Times New Roman" w:cs="Times New Roman"/>
          <w:sz w:val="24"/>
          <w:szCs w:val="24"/>
        </w:rPr>
        <w:t>.</w:t>
      </w:r>
    </w:p>
    <w:p w14:paraId="15A70B0D" w14:textId="66A14B27" w:rsidR="00E21D7A" w:rsidRPr="00F6639B" w:rsidRDefault="00FF2F35" w:rsidP="00612559">
      <w:pPr>
        <w:autoSpaceDE w:val="0"/>
        <w:autoSpaceDN w:val="0"/>
        <w:adjustRightInd w:val="0"/>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Référence : une référence</w:t>
      </w:r>
      <w:r w:rsidR="00E21D7A" w:rsidRPr="00F6639B">
        <w:rPr>
          <w:rFonts w:ascii="Times New Roman" w:hAnsi="Times New Roman" w:cs="Times New Roman"/>
          <w:sz w:val="24"/>
          <w:szCs w:val="24"/>
        </w:rPr>
        <w:t xml:space="preserve"> </w:t>
      </w:r>
      <w:r w:rsidR="00700CF8" w:rsidRPr="00F6639B">
        <w:rPr>
          <w:rFonts w:ascii="Times New Roman" w:hAnsi="Times New Roman" w:cs="Times New Roman"/>
          <w:sz w:val="24"/>
          <w:szCs w:val="24"/>
        </w:rPr>
        <w:t>correspond à la réalisation d’un</w:t>
      </w:r>
      <w:r w:rsidR="00B646DA" w:rsidRPr="00F6639B">
        <w:rPr>
          <w:rFonts w:ascii="Times New Roman" w:hAnsi="Times New Roman" w:cs="Times New Roman"/>
          <w:sz w:val="24"/>
          <w:szCs w:val="24"/>
        </w:rPr>
        <w:t>e installation</w:t>
      </w:r>
      <w:r w:rsidRPr="00F6639B">
        <w:rPr>
          <w:rFonts w:ascii="Times New Roman" w:hAnsi="Times New Roman" w:cs="Times New Roman"/>
          <w:sz w:val="24"/>
          <w:szCs w:val="24"/>
        </w:rPr>
        <w:t xml:space="preserve"> </w:t>
      </w:r>
      <w:r w:rsidR="00E21D7A" w:rsidRPr="00F6639B">
        <w:rPr>
          <w:rFonts w:ascii="Times New Roman" w:hAnsi="Times New Roman" w:cs="Times New Roman"/>
          <w:sz w:val="24"/>
          <w:szCs w:val="24"/>
        </w:rPr>
        <w:t>de géothermie de minime importance,</w:t>
      </w:r>
      <w:r w:rsidR="00711939" w:rsidRPr="00F6639B">
        <w:rPr>
          <w:rFonts w:ascii="Times New Roman" w:hAnsi="Times New Roman" w:cs="Times New Roman"/>
          <w:sz w:val="24"/>
          <w:szCs w:val="24"/>
        </w:rPr>
        <w:t xml:space="preserve"> pour l</w:t>
      </w:r>
      <w:r w:rsidR="00B646DA" w:rsidRPr="00F6639B">
        <w:rPr>
          <w:rFonts w:ascii="Times New Roman" w:hAnsi="Times New Roman" w:cs="Times New Roman"/>
          <w:sz w:val="24"/>
          <w:szCs w:val="24"/>
        </w:rPr>
        <w:t>a</w:t>
      </w:r>
      <w:r w:rsidR="00711939" w:rsidRPr="00F6639B">
        <w:rPr>
          <w:rFonts w:ascii="Times New Roman" w:hAnsi="Times New Roman" w:cs="Times New Roman"/>
          <w:sz w:val="24"/>
          <w:szCs w:val="24"/>
        </w:rPr>
        <w:t>quel</w:t>
      </w:r>
      <w:r w:rsidR="00B646DA" w:rsidRPr="00F6639B">
        <w:rPr>
          <w:rFonts w:ascii="Times New Roman" w:hAnsi="Times New Roman" w:cs="Times New Roman"/>
          <w:sz w:val="24"/>
          <w:szCs w:val="24"/>
        </w:rPr>
        <w:t>le</w:t>
      </w:r>
      <w:r w:rsidR="00E21D7A" w:rsidRPr="00F6639B">
        <w:rPr>
          <w:rFonts w:ascii="Times New Roman" w:hAnsi="Times New Roman" w:cs="Times New Roman"/>
          <w:sz w:val="24"/>
          <w:szCs w:val="24"/>
        </w:rPr>
        <w:t xml:space="preserve"> </w:t>
      </w:r>
      <w:r w:rsidR="00E12CD1" w:rsidRPr="00F6639B">
        <w:rPr>
          <w:rFonts w:ascii="Times New Roman" w:hAnsi="Times New Roman" w:cs="Times New Roman"/>
          <w:sz w:val="24"/>
          <w:szCs w:val="24"/>
        </w:rPr>
        <w:t xml:space="preserve">l’ensemble des </w:t>
      </w:r>
      <w:r w:rsidR="00711939" w:rsidRPr="00F6639B">
        <w:rPr>
          <w:rFonts w:ascii="Times New Roman" w:hAnsi="Times New Roman" w:cs="Times New Roman"/>
          <w:sz w:val="24"/>
          <w:szCs w:val="24"/>
        </w:rPr>
        <w:t>procédures</w:t>
      </w:r>
      <w:r w:rsidR="00E12CD1" w:rsidRPr="00F6639B">
        <w:rPr>
          <w:rFonts w:ascii="Times New Roman" w:hAnsi="Times New Roman" w:cs="Times New Roman"/>
          <w:sz w:val="24"/>
          <w:szCs w:val="24"/>
        </w:rPr>
        <w:t xml:space="preserve"> de télédéclaration</w:t>
      </w:r>
      <w:r w:rsidR="00711939" w:rsidRPr="00F6639B">
        <w:rPr>
          <w:rFonts w:ascii="Times New Roman" w:hAnsi="Times New Roman" w:cs="Times New Roman"/>
          <w:sz w:val="24"/>
          <w:szCs w:val="24"/>
        </w:rPr>
        <w:t xml:space="preserve"> relatives à la géothermie </w:t>
      </w:r>
      <w:r w:rsidR="00E12CD1" w:rsidRPr="00F6639B">
        <w:rPr>
          <w:rFonts w:ascii="Times New Roman" w:hAnsi="Times New Roman" w:cs="Times New Roman"/>
          <w:sz w:val="24"/>
          <w:szCs w:val="24"/>
        </w:rPr>
        <w:t xml:space="preserve">ont été </w:t>
      </w:r>
      <w:r w:rsidR="00711939" w:rsidRPr="00F6639B">
        <w:rPr>
          <w:rFonts w:ascii="Times New Roman" w:hAnsi="Times New Roman" w:cs="Times New Roman"/>
          <w:sz w:val="24"/>
          <w:szCs w:val="24"/>
        </w:rPr>
        <w:t xml:space="preserve">accomplies, </w:t>
      </w:r>
      <w:r w:rsidR="00E12CD1" w:rsidRPr="00F6639B">
        <w:rPr>
          <w:rFonts w:ascii="Times New Roman" w:hAnsi="Times New Roman" w:cs="Times New Roman"/>
          <w:sz w:val="24"/>
          <w:szCs w:val="24"/>
        </w:rPr>
        <w:t xml:space="preserve">dont </w:t>
      </w:r>
      <w:r w:rsidR="00711939" w:rsidRPr="00F6639B">
        <w:rPr>
          <w:rFonts w:ascii="Times New Roman" w:hAnsi="Times New Roman" w:cs="Times New Roman"/>
          <w:sz w:val="24"/>
          <w:szCs w:val="24"/>
        </w:rPr>
        <w:t>notamment le dépôt de rapport de fin de forage</w:t>
      </w:r>
      <w:r w:rsidR="00E12CD1" w:rsidRPr="00F6639B">
        <w:rPr>
          <w:rFonts w:ascii="Times New Roman" w:hAnsi="Times New Roman" w:cs="Times New Roman"/>
          <w:sz w:val="24"/>
          <w:szCs w:val="24"/>
        </w:rPr>
        <w:t xml:space="preserve">, dont le statut apparaît validé sous </w:t>
      </w:r>
      <w:r w:rsidR="00FB3995" w:rsidRPr="00F6639B">
        <w:rPr>
          <w:rFonts w:ascii="Times New Roman" w:hAnsi="Times New Roman" w:cs="Times New Roman"/>
          <w:sz w:val="24"/>
          <w:szCs w:val="24"/>
        </w:rPr>
        <w:t>le téléservice dédié à l’accomplissement des procédures relatives à la géothermie de minime importance.</w:t>
      </w:r>
    </w:p>
    <w:p w14:paraId="711849CA" w14:textId="2F08E7C3" w:rsidR="0047183A" w:rsidRPr="00F6639B" w:rsidRDefault="00E21D7A">
      <w:pPr>
        <w:spacing w:line="259" w:lineRule="auto"/>
        <w:rPr>
          <w:rFonts w:ascii="Times New Roman" w:hAnsi="Times New Roman" w:cs="Times New Roman"/>
          <w:b/>
          <w:bCs/>
          <w:sz w:val="24"/>
          <w:szCs w:val="24"/>
        </w:rPr>
      </w:pPr>
      <w:r w:rsidRPr="00F6639B">
        <w:rPr>
          <w:rFonts w:ascii="Times New Roman" w:hAnsi="Times New Roman" w:cs="Times New Roman"/>
          <w:sz w:val="24"/>
          <w:szCs w:val="24"/>
        </w:rPr>
        <w:t>Atelier de forage</w:t>
      </w:r>
      <w:r w:rsidR="00FF2F35" w:rsidRPr="00F6639B">
        <w:rPr>
          <w:rFonts w:ascii="Times New Roman" w:hAnsi="Times New Roman" w:cs="Times New Roman"/>
          <w:sz w:val="24"/>
          <w:szCs w:val="24"/>
        </w:rPr>
        <w:t> : ensemble du matériel permettant de réaliser les travaux.</w:t>
      </w:r>
    </w:p>
    <w:p w14:paraId="5E2A0CFA" w14:textId="77777777" w:rsidR="0029196F" w:rsidRPr="00F6639B" w:rsidRDefault="0029196F" w:rsidP="0029196F">
      <w:pPr>
        <w:spacing w:line="259" w:lineRule="auto"/>
        <w:rPr>
          <w:rFonts w:ascii="Times New Roman" w:hAnsi="Times New Roman" w:cs="Times New Roman"/>
          <w:b/>
          <w:bCs/>
          <w:sz w:val="24"/>
          <w:szCs w:val="24"/>
        </w:rPr>
      </w:pPr>
    </w:p>
    <w:p w14:paraId="5E54E12E" w14:textId="61E66127" w:rsidR="00E21D7A" w:rsidRPr="00F6639B" w:rsidRDefault="00E21D7A" w:rsidP="0029196F">
      <w:pPr>
        <w:spacing w:line="259" w:lineRule="auto"/>
        <w:rPr>
          <w:rFonts w:ascii="Times New Roman" w:hAnsi="Times New Roman" w:cs="Times New Roman"/>
          <w:b/>
          <w:bCs/>
          <w:sz w:val="24"/>
          <w:szCs w:val="24"/>
        </w:rPr>
      </w:pPr>
      <w:r w:rsidRPr="00F6639B">
        <w:rPr>
          <w:rFonts w:ascii="Times New Roman" w:hAnsi="Times New Roman" w:cs="Times New Roman"/>
          <w:b/>
          <w:bCs/>
          <w:sz w:val="24"/>
          <w:szCs w:val="24"/>
        </w:rPr>
        <w:t>Section 3 – Processus de certification</w:t>
      </w:r>
    </w:p>
    <w:p w14:paraId="61E360BC" w14:textId="77777777" w:rsidR="007A7118" w:rsidRPr="00F6639B" w:rsidRDefault="007A7118" w:rsidP="00612559">
      <w:pPr>
        <w:spacing w:after="120" w:line="240" w:lineRule="auto"/>
        <w:jc w:val="both"/>
        <w:rPr>
          <w:rFonts w:ascii="Times New Roman" w:hAnsi="Times New Roman" w:cs="Times New Roman"/>
          <w:b/>
          <w:bCs/>
          <w:sz w:val="24"/>
          <w:szCs w:val="24"/>
        </w:rPr>
      </w:pPr>
    </w:p>
    <w:p w14:paraId="2D4610DA" w14:textId="0A5F9F23" w:rsidR="00272CE5" w:rsidRPr="00F6639B" w:rsidRDefault="00E21D7A" w:rsidP="00272CE5">
      <w:pPr>
        <w:spacing w:after="120" w:line="240" w:lineRule="auto"/>
        <w:jc w:val="center"/>
        <w:rPr>
          <w:rFonts w:ascii="Times New Roman" w:hAnsi="Times New Roman" w:cs="Times New Roman"/>
          <w:sz w:val="24"/>
          <w:szCs w:val="24"/>
        </w:rPr>
      </w:pPr>
      <w:r w:rsidRPr="00F6639B">
        <w:rPr>
          <w:rFonts w:ascii="Times New Roman" w:hAnsi="Times New Roman" w:cs="Times New Roman"/>
          <w:b/>
          <w:bCs/>
          <w:sz w:val="24"/>
          <w:szCs w:val="24"/>
        </w:rPr>
        <w:t>Art</w:t>
      </w:r>
      <w:r w:rsidR="00272CE5" w:rsidRPr="00F6639B">
        <w:rPr>
          <w:rFonts w:ascii="Times New Roman" w:hAnsi="Times New Roman" w:cs="Times New Roman"/>
          <w:b/>
          <w:bCs/>
          <w:sz w:val="24"/>
          <w:szCs w:val="24"/>
        </w:rPr>
        <w:t>icle</w:t>
      </w:r>
      <w:r w:rsidRPr="00F6639B">
        <w:rPr>
          <w:rFonts w:ascii="Times New Roman" w:hAnsi="Times New Roman" w:cs="Times New Roman"/>
          <w:b/>
          <w:bCs/>
          <w:sz w:val="24"/>
          <w:szCs w:val="24"/>
        </w:rPr>
        <w:t xml:space="preserve"> 4</w:t>
      </w:r>
    </w:p>
    <w:p w14:paraId="52E5D6AC" w14:textId="7A330E0E" w:rsidR="00B80941" w:rsidRPr="00F6639B" w:rsidRDefault="000F01F3" w:rsidP="00612559">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I</w:t>
      </w:r>
      <w:r w:rsidR="00E21D7A" w:rsidRPr="00F6639B">
        <w:rPr>
          <w:rFonts w:ascii="Times New Roman" w:hAnsi="Times New Roman" w:cs="Times New Roman"/>
          <w:sz w:val="24"/>
          <w:szCs w:val="24"/>
        </w:rPr>
        <w:t>. – L’entreprise dépose</w:t>
      </w:r>
      <w:r w:rsidR="001D50CA" w:rsidRPr="00F6639B">
        <w:rPr>
          <w:rFonts w:ascii="Times New Roman" w:hAnsi="Times New Roman" w:cs="Times New Roman"/>
          <w:sz w:val="24"/>
          <w:szCs w:val="24"/>
        </w:rPr>
        <w:t>,</w:t>
      </w:r>
      <w:r w:rsidR="00E21D7A" w:rsidRPr="00F6639B">
        <w:rPr>
          <w:rFonts w:ascii="Times New Roman" w:hAnsi="Times New Roman" w:cs="Times New Roman"/>
          <w:sz w:val="24"/>
          <w:szCs w:val="24"/>
        </w:rPr>
        <w:t xml:space="preserve"> auprès d’un organisme de certification satisfaisant aux dispositions de la section 4 du présent arrêté, une demande de certification faisant référence aux modules</w:t>
      </w:r>
      <w:r w:rsidR="001D50CA" w:rsidRPr="00F6639B">
        <w:rPr>
          <w:rFonts w:ascii="Times New Roman" w:hAnsi="Times New Roman" w:cs="Times New Roman"/>
          <w:sz w:val="24"/>
          <w:szCs w:val="24"/>
        </w:rPr>
        <w:t>,</w:t>
      </w:r>
      <w:r w:rsidR="00E21D7A" w:rsidRPr="00F6639B">
        <w:rPr>
          <w:rFonts w:ascii="Times New Roman" w:hAnsi="Times New Roman" w:cs="Times New Roman"/>
          <w:sz w:val="24"/>
          <w:szCs w:val="24"/>
        </w:rPr>
        <w:t xml:space="preserve"> définis à l’article 2 du présent arrêté</w:t>
      </w:r>
      <w:r w:rsidR="001D50CA" w:rsidRPr="00F6639B">
        <w:rPr>
          <w:rFonts w:ascii="Times New Roman" w:hAnsi="Times New Roman" w:cs="Times New Roman"/>
          <w:sz w:val="24"/>
          <w:szCs w:val="24"/>
        </w:rPr>
        <w:t>,</w:t>
      </w:r>
      <w:r w:rsidR="00E21D7A" w:rsidRPr="00F6639B">
        <w:rPr>
          <w:rFonts w:ascii="Times New Roman" w:hAnsi="Times New Roman" w:cs="Times New Roman"/>
          <w:sz w:val="24"/>
          <w:szCs w:val="24"/>
        </w:rPr>
        <w:t xml:space="preserve"> selon lesquels elle souhaite être certifiée. La demande de certification est instruite par l’organisme de certification. </w:t>
      </w:r>
    </w:p>
    <w:p w14:paraId="4A861033" w14:textId="1168ABD4" w:rsidR="0035601C" w:rsidRPr="00F6639B" w:rsidRDefault="00B80941" w:rsidP="00612559">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II. – </w:t>
      </w:r>
      <w:r w:rsidR="00E21D7A" w:rsidRPr="00F6639B">
        <w:rPr>
          <w:rFonts w:ascii="Times New Roman" w:hAnsi="Times New Roman" w:cs="Times New Roman"/>
          <w:sz w:val="24"/>
          <w:szCs w:val="24"/>
        </w:rPr>
        <w:t xml:space="preserve">Le processus de certification se compose d’une </w:t>
      </w:r>
      <w:r w:rsidR="004F22BE" w:rsidRPr="00F6639B">
        <w:rPr>
          <w:rFonts w:ascii="Times New Roman" w:hAnsi="Times New Roman" w:cs="Times New Roman"/>
          <w:sz w:val="24"/>
          <w:szCs w:val="24"/>
        </w:rPr>
        <w:t xml:space="preserve">phase </w:t>
      </w:r>
      <w:r w:rsidR="00CA50E7" w:rsidRPr="00F6639B">
        <w:rPr>
          <w:rFonts w:ascii="Times New Roman" w:hAnsi="Times New Roman" w:cs="Times New Roman"/>
          <w:sz w:val="24"/>
          <w:szCs w:val="24"/>
        </w:rPr>
        <w:t>de</w:t>
      </w:r>
      <w:r w:rsidR="00E21D7A" w:rsidRPr="00F6639B">
        <w:rPr>
          <w:rFonts w:ascii="Times New Roman" w:hAnsi="Times New Roman" w:cs="Times New Roman"/>
          <w:sz w:val="24"/>
          <w:szCs w:val="24"/>
        </w:rPr>
        <w:t xml:space="preserve"> certification initiale et de phases </w:t>
      </w:r>
      <w:r w:rsidR="00CA50E7" w:rsidRPr="00F6639B">
        <w:rPr>
          <w:rFonts w:ascii="Times New Roman" w:hAnsi="Times New Roman" w:cs="Times New Roman"/>
          <w:sz w:val="24"/>
          <w:szCs w:val="24"/>
        </w:rPr>
        <w:t>de</w:t>
      </w:r>
      <w:r w:rsidR="00E21D7A" w:rsidRPr="00F6639B">
        <w:rPr>
          <w:rFonts w:ascii="Times New Roman" w:hAnsi="Times New Roman" w:cs="Times New Roman"/>
          <w:sz w:val="24"/>
          <w:szCs w:val="24"/>
        </w:rPr>
        <w:t xml:space="preserve"> renouvellement de la certification. </w:t>
      </w:r>
      <w:r w:rsidR="007219FD" w:rsidRPr="00F6639B">
        <w:rPr>
          <w:rFonts w:ascii="Times New Roman" w:hAnsi="Times New Roman" w:cs="Times New Roman"/>
          <w:sz w:val="24"/>
          <w:szCs w:val="24"/>
        </w:rPr>
        <w:t>En outre, d</w:t>
      </w:r>
      <w:r w:rsidR="00E21D7A" w:rsidRPr="00F6639B">
        <w:rPr>
          <w:rFonts w:ascii="Times New Roman" w:hAnsi="Times New Roman" w:cs="Times New Roman"/>
          <w:sz w:val="24"/>
          <w:szCs w:val="24"/>
        </w:rPr>
        <w:t xml:space="preserve">es surveillances, telles que précisées à l’article </w:t>
      </w:r>
      <w:r w:rsidR="00C54D88" w:rsidRPr="00F6639B">
        <w:rPr>
          <w:rFonts w:ascii="Times New Roman" w:hAnsi="Times New Roman" w:cs="Times New Roman"/>
          <w:sz w:val="24"/>
          <w:szCs w:val="24"/>
        </w:rPr>
        <w:t>7</w:t>
      </w:r>
      <w:r w:rsidR="00E21D7A" w:rsidRPr="00F6639B">
        <w:rPr>
          <w:rFonts w:ascii="Times New Roman" w:hAnsi="Times New Roman" w:cs="Times New Roman"/>
          <w:sz w:val="24"/>
          <w:szCs w:val="24"/>
        </w:rPr>
        <w:t xml:space="preserve"> du présent arrêté, sont réalisées </w:t>
      </w:r>
      <w:r w:rsidR="007B3CFD" w:rsidRPr="00F6639B">
        <w:rPr>
          <w:rFonts w:ascii="Times New Roman" w:hAnsi="Times New Roman" w:cs="Times New Roman"/>
          <w:sz w:val="24"/>
          <w:szCs w:val="24"/>
        </w:rPr>
        <w:t>pendant tout le</w:t>
      </w:r>
      <w:r w:rsidR="007219FD" w:rsidRPr="00F6639B">
        <w:rPr>
          <w:rFonts w:ascii="Times New Roman" w:hAnsi="Times New Roman" w:cs="Times New Roman"/>
          <w:sz w:val="24"/>
          <w:szCs w:val="24"/>
        </w:rPr>
        <w:t xml:space="preserve"> </w:t>
      </w:r>
      <w:r w:rsidR="007B3CFD" w:rsidRPr="00F6639B">
        <w:rPr>
          <w:rFonts w:ascii="Times New Roman" w:hAnsi="Times New Roman" w:cs="Times New Roman"/>
          <w:sz w:val="24"/>
          <w:szCs w:val="24"/>
        </w:rPr>
        <w:t>cycle de certification</w:t>
      </w:r>
      <w:r w:rsidR="007219FD" w:rsidRPr="00F6639B">
        <w:rPr>
          <w:rFonts w:ascii="Times New Roman" w:hAnsi="Times New Roman" w:cs="Times New Roman"/>
          <w:sz w:val="24"/>
          <w:szCs w:val="24"/>
        </w:rPr>
        <w:t>.</w:t>
      </w:r>
      <w:r w:rsidR="009D6BBE" w:rsidRPr="00F6639B">
        <w:rPr>
          <w:rFonts w:ascii="Times New Roman" w:hAnsi="Times New Roman" w:cs="Times New Roman"/>
          <w:sz w:val="24"/>
          <w:szCs w:val="24"/>
        </w:rPr>
        <w:t xml:space="preserve"> </w:t>
      </w:r>
    </w:p>
    <w:p w14:paraId="27D150B2" w14:textId="65BC3255" w:rsidR="000E3666" w:rsidRPr="00F6639B" w:rsidRDefault="008264F5" w:rsidP="000F01F3">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III. – Dans le cadre de la certification des entreprises réalisant des échangeurs géothermiques ouverts, l'entreprise fourni</w:t>
      </w:r>
      <w:r w:rsidR="001D50CA" w:rsidRPr="00F6639B">
        <w:rPr>
          <w:rFonts w:ascii="Times New Roman" w:hAnsi="Times New Roman" w:cs="Times New Roman"/>
          <w:sz w:val="24"/>
          <w:szCs w:val="24"/>
        </w:rPr>
        <w:t>t</w:t>
      </w:r>
      <w:r w:rsidRPr="00F6639B">
        <w:rPr>
          <w:rFonts w:ascii="Times New Roman" w:hAnsi="Times New Roman" w:cs="Times New Roman"/>
          <w:sz w:val="24"/>
          <w:szCs w:val="24"/>
        </w:rPr>
        <w:t xml:space="preserve"> </w:t>
      </w:r>
      <w:r w:rsidR="001D50CA" w:rsidRPr="00F6639B">
        <w:rPr>
          <w:rFonts w:ascii="Times New Roman" w:hAnsi="Times New Roman" w:cs="Times New Roman"/>
          <w:sz w:val="24"/>
          <w:szCs w:val="24"/>
        </w:rPr>
        <w:t xml:space="preserve">au moins </w:t>
      </w:r>
      <w:r w:rsidR="007807EC" w:rsidRPr="00F6639B">
        <w:rPr>
          <w:rFonts w:ascii="Times New Roman" w:hAnsi="Times New Roman" w:cs="Times New Roman"/>
          <w:sz w:val="24"/>
          <w:szCs w:val="24"/>
        </w:rPr>
        <w:t xml:space="preserve">deux </w:t>
      </w:r>
      <w:r w:rsidRPr="00F6639B">
        <w:rPr>
          <w:rFonts w:ascii="Times New Roman" w:hAnsi="Times New Roman" w:cs="Times New Roman"/>
          <w:sz w:val="24"/>
          <w:szCs w:val="24"/>
        </w:rPr>
        <w:t xml:space="preserve">références d'échangeurs géothermiques ouverts achevés au cours des derniers 24 mois </w:t>
      </w:r>
      <w:r w:rsidR="000E3666" w:rsidRPr="00F6639B">
        <w:rPr>
          <w:rFonts w:ascii="Times New Roman" w:hAnsi="Times New Roman" w:cs="Times New Roman"/>
          <w:sz w:val="24"/>
          <w:szCs w:val="24"/>
        </w:rPr>
        <w:t xml:space="preserve">précédant l'instruction de la demande, </w:t>
      </w:r>
      <w:r w:rsidRPr="00F6639B">
        <w:rPr>
          <w:rFonts w:ascii="Times New Roman" w:hAnsi="Times New Roman" w:cs="Times New Roman"/>
          <w:sz w:val="24"/>
          <w:szCs w:val="24"/>
        </w:rPr>
        <w:t>représentatives des activités pour lesquelles l'entreprise demande une certification. Dans le cadre de la certification des entreprises réalisant des échangeurs géothermiques fermés, l'entreprise fourni</w:t>
      </w:r>
      <w:r w:rsidR="001D50CA" w:rsidRPr="00F6639B">
        <w:rPr>
          <w:rFonts w:ascii="Times New Roman" w:hAnsi="Times New Roman" w:cs="Times New Roman"/>
          <w:sz w:val="24"/>
          <w:szCs w:val="24"/>
        </w:rPr>
        <w:t>t</w:t>
      </w:r>
      <w:r w:rsidRPr="00F6639B">
        <w:rPr>
          <w:rFonts w:ascii="Times New Roman" w:hAnsi="Times New Roman" w:cs="Times New Roman"/>
          <w:sz w:val="24"/>
          <w:szCs w:val="24"/>
        </w:rPr>
        <w:t xml:space="preserve"> </w:t>
      </w:r>
      <w:r w:rsidR="001D50CA" w:rsidRPr="00F6639B">
        <w:rPr>
          <w:rFonts w:ascii="Times New Roman" w:hAnsi="Times New Roman" w:cs="Times New Roman"/>
          <w:sz w:val="24"/>
          <w:szCs w:val="24"/>
        </w:rPr>
        <w:t xml:space="preserve">au moins </w:t>
      </w:r>
      <w:r w:rsidR="007807EC" w:rsidRPr="00F6639B">
        <w:rPr>
          <w:rFonts w:ascii="Times New Roman" w:hAnsi="Times New Roman" w:cs="Times New Roman"/>
          <w:sz w:val="24"/>
          <w:szCs w:val="24"/>
        </w:rPr>
        <w:t xml:space="preserve">deux </w:t>
      </w:r>
      <w:r w:rsidRPr="00F6639B">
        <w:rPr>
          <w:rFonts w:ascii="Times New Roman" w:hAnsi="Times New Roman" w:cs="Times New Roman"/>
          <w:sz w:val="24"/>
          <w:szCs w:val="24"/>
        </w:rPr>
        <w:t>références d'échangeurs géothermiques fermés.</w:t>
      </w:r>
      <w:r w:rsidR="000E3666" w:rsidRPr="00F6639B">
        <w:rPr>
          <w:rFonts w:ascii="Times New Roman" w:hAnsi="Times New Roman" w:cs="Times New Roman"/>
          <w:sz w:val="24"/>
          <w:szCs w:val="24"/>
        </w:rPr>
        <w:t xml:space="preserve"> Un contrôle du respect des dispositions précitées est prévu à l’article </w:t>
      </w:r>
      <w:r w:rsidR="00C54D88" w:rsidRPr="00F6639B">
        <w:rPr>
          <w:rFonts w:ascii="Times New Roman" w:hAnsi="Times New Roman" w:cs="Times New Roman"/>
          <w:sz w:val="24"/>
          <w:szCs w:val="24"/>
        </w:rPr>
        <w:t>6</w:t>
      </w:r>
      <w:r w:rsidR="000E3666" w:rsidRPr="00F6639B">
        <w:rPr>
          <w:rFonts w:ascii="Times New Roman" w:hAnsi="Times New Roman" w:cs="Times New Roman"/>
          <w:sz w:val="24"/>
          <w:szCs w:val="24"/>
        </w:rPr>
        <w:t xml:space="preserve"> du présent arrêté</w:t>
      </w:r>
      <w:r w:rsidR="001D50CA" w:rsidRPr="00F6639B">
        <w:rPr>
          <w:rFonts w:ascii="Times New Roman" w:hAnsi="Times New Roman" w:cs="Times New Roman"/>
          <w:sz w:val="24"/>
          <w:szCs w:val="24"/>
        </w:rPr>
        <w:t>.</w:t>
      </w:r>
      <w:r w:rsidRPr="00F6639B">
        <w:rPr>
          <w:rFonts w:ascii="Times New Roman" w:hAnsi="Times New Roman" w:cs="Times New Roman"/>
          <w:sz w:val="24"/>
          <w:szCs w:val="24"/>
        </w:rPr>
        <w:t xml:space="preserve"> En l'absence de références</w:t>
      </w:r>
      <w:r w:rsidR="000E3666" w:rsidRPr="00F6639B">
        <w:rPr>
          <w:rFonts w:ascii="Times New Roman" w:hAnsi="Times New Roman" w:cs="Times New Roman"/>
          <w:sz w:val="24"/>
          <w:szCs w:val="24"/>
        </w:rPr>
        <w:t xml:space="preserve"> ou si l’entreprise de forage ne satisfait pas aux exigences précitées</w:t>
      </w:r>
      <w:r w:rsidRPr="00F6639B">
        <w:rPr>
          <w:rFonts w:ascii="Times New Roman" w:hAnsi="Times New Roman" w:cs="Times New Roman"/>
          <w:sz w:val="24"/>
          <w:szCs w:val="24"/>
        </w:rPr>
        <w:t>,</w:t>
      </w:r>
      <w:r w:rsidR="000E3666" w:rsidRPr="00F6639B">
        <w:rPr>
          <w:rFonts w:ascii="Times New Roman" w:hAnsi="Times New Roman" w:cs="Times New Roman"/>
          <w:sz w:val="24"/>
          <w:szCs w:val="24"/>
        </w:rPr>
        <w:t xml:space="preserve"> l’entreprise de forage dépose une demande de certification initiale.</w:t>
      </w:r>
    </w:p>
    <w:p w14:paraId="259F8705" w14:textId="77777777" w:rsidR="000E3666" w:rsidRPr="00F6639B" w:rsidRDefault="000E3666" w:rsidP="000F01F3">
      <w:pPr>
        <w:spacing w:after="120" w:line="240" w:lineRule="auto"/>
        <w:jc w:val="both"/>
        <w:rPr>
          <w:rFonts w:ascii="Times New Roman" w:hAnsi="Times New Roman" w:cs="Times New Roman"/>
          <w:sz w:val="24"/>
          <w:szCs w:val="24"/>
        </w:rPr>
      </w:pPr>
    </w:p>
    <w:p w14:paraId="7D85DC35" w14:textId="4F7AEF73" w:rsidR="001D50CA" w:rsidRPr="00F6639B" w:rsidRDefault="000E3666" w:rsidP="001D50CA">
      <w:pPr>
        <w:spacing w:after="120" w:line="240" w:lineRule="auto"/>
        <w:jc w:val="center"/>
        <w:rPr>
          <w:rFonts w:ascii="Times New Roman" w:hAnsi="Times New Roman" w:cs="Times New Roman"/>
          <w:sz w:val="24"/>
          <w:szCs w:val="24"/>
        </w:rPr>
      </w:pPr>
      <w:r w:rsidRPr="00F6639B">
        <w:rPr>
          <w:rFonts w:ascii="Times New Roman" w:hAnsi="Times New Roman" w:cs="Times New Roman"/>
          <w:b/>
          <w:sz w:val="24"/>
          <w:szCs w:val="24"/>
        </w:rPr>
        <w:t>Art</w:t>
      </w:r>
      <w:r w:rsidR="001D50CA"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5</w:t>
      </w:r>
    </w:p>
    <w:p w14:paraId="6A04D4E3" w14:textId="604CCDF3" w:rsidR="000F01F3" w:rsidRPr="00F6639B" w:rsidRDefault="000F01F3" w:rsidP="000F01F3">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La phase de certification initiale comporte les étapes suivantes : </w:t>
      </w:r>
    </w:p>
    <w:p w14:paraId="6BB7C39E" w14:textId="1FB5394F" w:rsidR="000F01F3" w:rsidRPr="00F6639B" w:rsidRDefault="000F01F3" w:rsidP="000E3666">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1° </w:t>
      </w:r>
      <w:r w:rsidR="00B309AE" w:rsidRPr="00F6639B">
        <w:rPr>
          <w:rFonts w:ascii="Times New Roman" w:hAnsi="Times New Roman" w:cs="Times New Roman"/>
          <w:sz w:val="24"/>
          <w:szCs w:val="24"/>
        </w:rPr>
        <w:t>L'</w:t>
      </w:r>
      <w:r w:rsidRPr="00F6639B">
        <w:rPr>
          <w:rFonts w:ascii="Times New Roman" w:hAnsi="Times New Roman" w:cs="Times New Roman"/>
          <w:sz w:val="24"/>
          <w:szCs w:val="24"/>
        </w:rPr>
        <w:t xml:space="preserve">examen documentaire de la demande de certification initiale : </w:t>
      </w:r>
      <w:r w:rsidR="001D50CA" w:rsidRPr="00F6639B">
        <w:rPr>
          <w:rFonts w:ascii="Times New Roman" w:hAnsi="Times New Roman" w:cs="Times New Roman"/>
          <w:sz w:val="24"/>
          <w:szCs w:val="24"/>
        </w:rPr>
        <w:t>l</w:t>
      </w:r>
      <w:r w:rsidRPr="00F6639B">
        <w:rPr>
          <w:rFonts w:ascii="Times New Roman" w:hAnsi="Times New Roman" w:cs="Times New Roman"/>
          <w:sz w:val="24"/>
          <w:szCs w:val="24"/>
        </w:rPr>
        <w:t xml:space="preserve">’organisme de certification vérifie la complétude et la conformité du dossier de demande de certification initiale fourni par l'entreprise de forage, dont le contenu est défini à l’annexe IV </w:t>
      </w:r>
      <w:r w:rsidR="001D50CA" w:rsidRPr="00F6639B">
        <w:rPr>
          <w:rFonts w:ascii="Times New Roman" w:hAnsi="Times New Roman" w:cs="Times New Roman"/>
          <w:sz w:val="24"/>
          <w:szCs w:val="24"/>
        </w:rPr>
        <w:t xml:space="preserve">au </w:t>
      </w:r>
      <w:r w:rsidRPr="00F6639B">
        <w:rPr>
          <w:rFonts w:ascii="Times New Roman" w:hAnsi="Times New Roman" w:cs="Times New Roman"/>
          <w:sz w:val="24"/>
          <w:szCs w:val="24"/>
        </w:rPr>
        <w:t>présent arrêté.</w:t>
      </w:r>
      <w:r w:rsidR="00D51DA5" w:rsidRPr="00F6639B">
        <w:rPr>
          <w:rFonts w:ascii="Times New Roman" w:hAnsi="Times New Roman" w:cs="Times New Roman"/>
          <w:sz w:val="24"/>
          <w:szCs w:val="24"/>
        </w:rPr>
        <w:t xml:space="preserve"> </w:t>
      </w:r>
      <w:r w:rsidR="00CA6B81" w:rsidRPr="00F6639B">
        <w:rPr>
          <w:rFonts w:ascii="Times New Roman" w:hAnsi="Times New Roman" w:cs="Times New Roman"/>
          <w:sz w:val="24"/>
          <w:szCs w:val="24"/>
        </w:rPr>
        <w:t>L’</w:t>
      </w:r>
      <w:r w:rsidR="008D14C0" w:rsidRPr="00F6639B">
        <w:rPr>
          <w:rFonts w:ascii="Times New Roman" w:hAnsi="Times New Roman" w:cs="Times New Roman"/>
          <w:sz w:val="24"/>
          <w:szCs w:val="24"/>
        </w:rPr>
        <w:t>organisme de certification</w:t>
      </w:r>
      <w:r w:rsidR="00CA6B81" w:rsidRPr="00F6639B">
        <w:rPr>
          <w:rFonts w:ascii="Times New Roman" w:hAnsi="Times New Roman" w:cs="Times New Roman"/>
          <w:sz w:val="24"/>
          <w:szCs w:val="24"/>
        </w:rPr>
        <w:t xml:space="preserve"> informe l’entreprise de forage</w:t>
      </w:r>
      <w:r w:rsidR="00E440E2" w:rsidRPr="00F6639B">
        <w:rPr>
          <w:rFonts w:ascii="Times New Roman" w:hAnsi="Times New Roman" w:cs="Times New Roman"/>
          <w:sz w:val="24"/>
          <w:szCs w:val="24"/>
        </w:rPr>
        <w:t xml:space="preserve"> </w:t>
      </w:r>
      <w:r w:rsidR="005B35B2" w:rsidRPr="00F6639B">
        <w:rPr>
          <w:rFonts w:ascii="Times New Roman" w:hAnsi="Times New Roman" w:cs="Times New Roman"/>
          <w:sz w:val="24"/>
          <w:szCs w:val="24"/>
        </w:rPr>
        <w:t xml:space="preserve">si des documents sont manquants ou </w:t>
      </w:r>
      <w:r w:rsidR="009160AC" w:rsidRPr="00F6639B">
        <w:rPr>
          <w:rFonts w:ascii="Times New Roman" w:hAnsi="Times New Roman" w:cs="Times New Roman"/>
          <w:sz w:val="24"/>
          <w:szCs w:val="24"/>
        </w:rPr>
        <w:t>non conformes</w:t>
      </w:r>
      <w:r w:rsidR="000E3666" w:rsidRPr="00F6639B">
        <w:rPr>
          <w:rFonts w:ascii="Times New Roman" w:hAnsi="Times New Roman" w:cs="Times New Roman"/>
          <w:sz w:val="24"/>
          <w:szCs w:val="24"/>
        </w:rPr>
        <w:t>.</w:t>
      </w:r>
      <w:r w:rsidR="009160AC" w:rsidRPr="00F6639B">
        <w:rPr>
          <w:rFonts w:ascii="Times New Roman" w:hAnsi="Times New Roman" w:cs="Times New Roman"/>
          <w:sz w:val="24"/>
          <w:szCs w:val="24"/>
        </w:rPr>
        <w:t xml:space="preserve"> </w:t>
      </w:r>
    </w:p>
    <w:p w14:paraId="2435DBC3" w14:textId="0B78B8D4" w:rsidR="000F01F3" w:rsidRPr="00F6639B" w:rsidRDefault="000F01F3" w:rsidP="007A7118">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2° La décision relative à la certification initiale : la décision relative à la certification initiale est prise, au vu des conclusions rendues sur l’examen documentaire de la demande de certification et de toute autre information pertinente.</w:t>
      </w:r>
    </w:p>
    <w:p w14:paraId="413C9D69" w14:textId="0D052B87" w:rsidR="000F01F3" w:rsidRPr="00F6639B" w:rsidRDefault="000F01F3" w:rsidP="000F01F3">
      <w:pPr>
        <w:pStyle w:val="Paragraphedeliste"/>
        <w:ind w:left="0"/>
        <w:jc w:val="both"/>
        <w:rPr>
          <w:rFonts w:ascii="Times New Roman" w:hAnsi="Times New Roman" w:cs="Times New Roman"/>
          <w:sz w:val="24"/>
          <w:szCs w:val="24"/>
        </w:rPr>
      </w:pPr>
      <w:r w:rsidRPr="00F6639B">
        <w:rPr>
          <w:rFonts w:ascii="Times New Roman" w:hAnsi="Times New Roman" w:cs="Times New Roman"/>
          <w:sz w:val="24"/>
          <w:szCs w:val="24"/>
        </w:rPr>
        <w:t xml:space="preserve">3° L’octroi ou le refus de la certification initiale : la certification initiale est accordée pour une durée de validité de 2 ans, et formalisée dans un document de certification contenant les éléments énumérés à l’article </w:t>
      </w:r>
      <w:r w:rsidR="00C54D88" w:rsidRPr="00F6639B">
        <w:rPr>
          <w:rFonts w:ascii="Times New Roman" w:hAnsi="Times New Roman" w:cs="Times New Roman"/>
          <w:sz w:val="24"/>
          <w:szCs w:val="24"/>
        </w:rPr>
        <w:t>16</w:t>
      </w:r>
      <w:r w:rsidRPr="00F6639B">
        <w:rPr>
          <w:rFonts w:ascii="Times New Roman" w:hAnsi="Times New Roman" w:cs="Times New Roman"/>
          <w:sz w:val="24"/>
          <w:szCs w:val="24"/>
        </w:rPr>
        <w:t xml:space="preserve"> du présent arrêté. Dans le cas contraire, l’organisme de certification notifie le refus de certification par écrit, en veillant à justifier les raisons de ce refus. En tout état de cause, l’organisme de certification dispose d’un délai de trois mois, à compter de la date de réception du dossier complet de demande de certification, pour octroyer ou refuser la certification initiale. </w:t>
      </w:r>
    </w:p>
    <w:p w14:paraId="049F3349" w14:textId="77777777" w:rsidR="000E3666" w:rsidRPr="00F6639B" w:rsidRDefault="000E3666" w:rsidP="000F01F3">
      <w:pPr>
        <w:pStyle w:val="Paragraphedeliste"/>
        <w:ind w:left="0"/>
        <w:jc w:val="both"/>
        <w:rPr>
          <w:rFonts w:ascii="Times New Roman" w:hAnsi="Times New Roman" w:cs="Times New Roman"/>
          <w:sz w:val="24"/>
          <w:szCs w:val="24"/>
        </w:rPr>
      </w:pPr>
    </w:p>
    <w:p w14:paraId="33641268" w14:textId="62A84445" w:rsidR="001D50CA" w:rsidRPr="00F6639B" w:rsidRDefault="000E3666" w:rsidP="00E440E2">
      <w:pPr>
        <w:spacing w:after="120" w:line="240" w:lineRule="auto"/>
        <w:jc w:val="center"/>
        <w:rPr>
          <w:rFonts w:ascii="Times New Roman" w:hAnsi="Times New Roman" w:cs="Times New Roman"/>
          <w:b/>
          <w:bCs/>
          <w:sz w:val="24"/>
          <w:szCs w:val="24"/>
        </w:rPr>
      </w:pPr>
      <w:r w:rsidRPr="00F6639B">
        <w:rPr>
          <w:rFonts w:ascii="Times New Roman" w:hAnsi="Times New Roman" w:cs="Times New Roman"/>
          <w:b/>
          <w:bCs/>
          <w:sz w:val="24"/>
          <w:szCs w:val="24"/>
        </w:rPr>
        <w:t>Art</w:t>
      </w:r>
      <w:r w:rsidR="001D50CA" w:rsidRPr="00F6639B">
        <w:rPr>
          <w:rFonts w:ascii="Times New Roman" w:hAnsi="Times New Roman" w:cs="Times New Roman"/>
          <w:b/>
          <w:bCs/>
          <w:sz w:val="24"/>
          <w:szCs w:val="24"/>
        </w:rPr>
        <w:t>icle</w:t>
      </w:r>
      <w:r w:rsidRPr="00F6639B">
        <w:rPr>
          <w:rFonts w:ascii="Times New Roman" w:hAnsi="Times New Roman" w:cs="Times New Roman"/>
          <w:b/>
          <w:bCs/>
          <w:sz w:val="24"/>
          <w:szCs w:val="24"/>
        </w:rPr>
        <w:t xml:space="preserve"> 6</w:t>
      </w:r>
    </w:p>
    <w:p w14:paraId="58D1DC77" w14:textId="64307E24" w:rsidR="00E21D7A" w:rsidRPr="00F6639B" w:rsidRDefault="00E21D7A" w:rsidP="00612559">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La phase </w:t>
      </w:r>
      <w:r w:rsidR="004F22BE" w:rsidRPr="00F6639B">
        <w:rPr>
          <w:rFonts w:ascii="Times New Roman" w:hAnsi="Times New Roman" w:cs="Times New Roman"/>
          <w:sz w:val="24"/>
          <w:szCs w:val="24"/>
        </w:rPr>
        <w:t>de</w:t>
      </w:r>
      <w:r w:rsidR="00B61CCB" w:rsidRPr="00F6639B">
        <w:rPr>
          <w:rFonts w:ascii="Times New Roman" w:hAnsi="Times New Roman" w:cs="Times New Roman"/>
          <w:sz w:val="24"/>
          <w:szCs w:val="24"/>
        </w:rPr>
        <w:t xml:space="preserve"> </w:t>
      </w:r>
      <w:r w:rsidRPr="00F6639B">
        <w:rPr>
          <w:rFonts w:ascii="Times New Roman" w:hAnsi="Times New Roman" w:cs="Times New Roman"/>
          <w:sz w:val="24"/>
          <w:szCs w:val="24"/>
        </w:rPr>
        <w:t xml:space="preserve">renouvellement de la certification comporte les étapes </w:t>
      </w:r>
      <w:r w:rsidR="00D01479" w:rsidRPr="00F6639B">
        <w:rPr>
          <w:rFonts w:ascii="Times New Roman" w:hAnsi="Times New Roman" w:cs="Times New Roman"/>
          <w:sz w:val="24"/>
          <w:szCs w:val="24"/>
        </w:rPr>
        <w:t>suivantes :</w:t>
      </w:r>
      <w:r w:rsidRPr="00F6639B">
        <w:rPr>
          <w:rFonts w:ascii="Times New Roman" w:hAnsi="Times New Roman" w:cs="Times New Roman"/>
          <w:sz w:val="24"/>
          <w:szCs w:val="24"/>
        </w:rPr>
        <w:t xml:space="preserve"> </w:t>
      </w:r>
    </w:p>
    <w:p w14:paraId="6EC99E2B" w14:textId="1CA11B60" w:rsidR="007438EA" w:rsidRPr="00F6639B" w:rsidRDefault="007438EA" w:rsidP="007438EA">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1° la vérification, par l'organisme de certification, du respect de l'exigence portant sur le nombre de références prévu </w:t>
      </w:r>
      <w:r w:rsidR="00DF4F33" w:rsidRPr="00F6639B">
        <w:rPr>
          <w:rFonts w:ascii="Times New Roman" w:hAnsi="Times New Roman" w:cs="Times New Roman"/>
          <w:sz w:val="24"/>
          <w:szCs w:val="24"/>
        </w:rPr>
        <w:t>au III de</w:t>
      </w:r>
      <w:r w:rsidRPr="00F6639B">
        <w:rPr>
          <w:rFonts w:ascii="Times New Roman" w:hAnsi="Times New Roman" w:cs="Times New Roman"/>
          <w:sz w:val="24"/>
          <w:szCs w:val="24"/>
        </w:rPr>
        <w:t xml:space="preserve"> l'article 4</w:t>
      </w:r>
      <w:r w:rsidR="00DF4F33" w:rsidRPr="00F6639B">
        <w:rPr>
          <w:rFonts w:ascii="Times New Roman" w:hAnsi="Times New Roman" w:cs="Times New Roman"/>
          <w:sz w:val="24"/>
          <w:szCs w:val="24"/>
        </w:rPr>
        <w:t xml:space="preserve"> </w:t>
      </w:r>
      <w:r w:rsidRPr="00F6639B">
        <w:rPr>
          <w:rFonts w:ascii="Times New Roman" w:hAnsi="Times New Roman" w:cs="Times New Roman"/>
          <w:sz w:val="24"/>
          <w:szCs w:val="24"/>
        </w:rPr>
        <w:t>du présent arrêté.</w:t>
      </w:r>
    </w:p>
    <w:p w14:paraId="47C5D966" w14:textId="2385B73C" w:rsidR="007438EA" w:rsidRPr="00F6639B" w:rsidRDefault="007438EA" w:rsidP="007438EA">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En l'absence de références ou du non-respect de l'exigence précitée, l'organisme de certification dispose d'un mois pour refuser par écrit, sur justification, la demande de renouvellement de la certification. </w:t>
      </w:r>
    </w:p>
    <w:p w14:paraId="53E698A7" w14:textId="77777777" w:rsidR="000250E5" w:rsidRPr="00F6639B" w:rsidRDefault="007438EA" w:rsidP="007438EA">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Si l'exigence portant sur le nombre de références est respectée, l'organisme de certification engage l'étape suivante : </w:t>
      </w:r>
    </w:p>
    <w:p w14:paraId="71B5783E" w14:textId="4A5C599C" w:rsidR="007438EA" w:rsidRPr="00F6639B" w:rsidRDefault="007438EA" w:rsidP="007438EA">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2° l’examen de la demande de renouvellement, qui consiste en la vérification</w:t>
      </w:r>
      <w:r w:rsidR="00E35F0A" w:rsidRPr="00F6639B">
        <w:rPr>
          <w:rFonts w:ascii="Times New Roman" w:hAnsi="Times New Roman" w:cs="Times New Roman"/>
          <w:sz w:val="24"/>
          <w:szCs w:val="24"/>
        </w:rPr>
        <w:t xml:space="preserve"> </w:t>
      </w:r>
      <w:r w:rsidRPr="00F6639B">
        <w:rPr>
          <w:rFonts w:ascii="Times New Roman" w:hAnsi="Times New Roman" w:cs="Times New Roman"/>
          <w:sz w:val="24"/>
          <w:szCs w:val="24"/>
        </w:rPr>
        <w:t>par l'organisme de certification :</w:t>
      </w:r>
    </w:p>
    <w:p w14:paraId="59D2DEFA" w14:textId="6C4FE6C7" w:rsidR="007438EA" w:rsidRPr="00F6639B" w:rsidRDefault="007438EA" w:rsidP="007438EA">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de la complétude et de la conformité du dossier de demande de renouvellement fourni par l’entreprise de forage, dont le contenu est défini à l’annexe IV du présent arrêté</w:t>
      </w:r>
      <w:r w:rsidR="00D375AD" w:rsidRPr="00F6639B">
        <w:rPr>
          <w:rFonts w:ascii="Times New Roman" w:hAnsi="Times New Roman" w:cs="Times New Roman"/>
          <w:sz w:val="24"/>
          <w:szCs w:val="24"/>
        </w:rPr>
        <w:t xml:space="preserve">. </w:t>
      </w:r>
      <w:r w:rsidR="00E35AA5" w:rsidRPr="00F6639B">
        <w:rPr>
          <w:rFonts w:ascii="Times New Roman" w:hAnsi="Times New Roman" w:cs="Times New Roman"/>
          <w:sz w:val="24"/>
          <w:szCs w:val="24"/>
        </w:rPr>
        <w:t xml:space="preserve">L’organisme de certification </w:t>
      </w:r>
      <w:r w:rsidR="00DF4F33" w:rsidRPr="00F6639B">
        <w:rPr>
          <w:rFonts w:ascii="Times New Roman" w:hAnsi="Times New Roman" w:cs="Times New Roman"/>
          <w:sz w:val="24"/>
          <w:szCs w:val="24"/>
        </w:rPr>
        <w:t>informe</w:t>
      </w:r>
      <w:r w:rsidR="007A4C54" w:rsidRPr="00F6639B">
        <w:rPr>
          <w:rFonts w:ascii="Times New Roman" w:hAnsi="Times New Roman" w:cs="Times New Roman"/>
          <w:sz w:val="24"/>
          <w:szCs w:val="24"/>
        </w:rPr>
        <w:t xml:space="preserve"> </w:t>
      </w:r>
      <w:r w:rsidR="00E35AA5" w:rsidRPr="00F6639B">
        <w:rPr>
          <w:rFonts w:ascii="Times New Roman" w:hAnsi="Times New Roman" w:cs="Times New Roman"/>
          <w:sz w:val="24"/>
          <w:szCs w:val="24"/>
        </w:rPr>
        <w:t xml:space="preserve">l’entreprise de forage si des documents sont manquants ou </w:t>
      </w:r>
      <w:r w:rsidR="00DF4F33" w:rsidRPr="00F6639B">
        <w:rPr>
          <w:rFonts w:ascii="Times New Roman" w:hAnsi="Times New Roman" w:cs="Times New Roman"/>
          <w:sz w:val="24"/>
          <w:szCs w:val="24"/>
        </w:rPr>
        <w:t>non conformes</w:t>
      </w:r>
      <w:r w:rsidR="00E35AA5" w:rsidRPr="00F6639B">
        <w:rPr>
          <w:rFonts w:ascii="Times New Roman" w:hAnsi="Times New Roman" w:cs="Times New Roman"/>
          <w:sz w:val="24"/>
          <w:szCs w:val="24"/>
        </w:rPr>
        <w:t xml:space="preserve">.   </w:t>
      </w:r>
    </w:p>
    <w:p w14:paraId="3919B8FC" w14:textId="31630E14" w:rsidR="007438EA" w:rsidRPr="00F6639B" w:rsidRDefault="007438EA" w:rsidP="007438EA">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de la résolution, en application de l’article </w:t>
      </w:r>
      <w:r w:rsidR="00C54D88" w:rsidRPr="00F6639B">
        <w:rPr>
          <w:rFonts w:ascii="Times New Roman" w:hAnsi="Times New Roman" w:cs="Times New Roman"/>
          <w:sz w:val="24"/>
          <w:szCs w:val="24"/>
        </w:rPr>
        <w:t>12</w:t>
      </w:r>
      <w:r w:rsidRPr="00F6639B">
        <w:rPr>
          <w:rFonts w:ascii="Times New Roman" w:hAnsi="Times New Roman" w:cs="Times New Roman"/>
          <w:sz w:val="24"/>
          <w:szCs w:val="24"/>
        </w:rPr>
        <w:t xml:space="preserve"> du présent arrêté, des éventuelles non-conformités par l’organisme de certification, dans le cadre de la surveillance prévue à l’article </w:t>
      </w:r>
      <w:r w:rsidR="00C54D88" w:rsidRPr="00F6639B">
        <w:rPr>
          <w:rFonts w:ascii="Times New Roman" w:hAnsi="Times New Roman" w:cs="Times New Roman"/>
          <w:sz w:val="24"/>
          <w:szCs w:val="24"/>
        </w:rPr>
        <w:t>7</w:t>
      </w:r>
      <w:r w:rsidRPr="00F6639B">
        <w:rPr>
          <w:rFonts w:ascii="Times New Roman" w:hAnsi="Times New Roman" w:cs="Times New Roman"/>
          <w:sz w:val="24"/>
          <w:szCs w:val="24"/>
        </w:rPr>
        <w:t xml:space="preserve"> du présent arrêté.</w:t>
      </w:r>
    </w:p>
    <w:p w14:paraId="4206F929" w14:textId="25287107" w:rsidR="0029196F" w:rsidRPr="00F6639B" w:rsidRDefault="00B8313C" w:rsidP="007438EA">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2° L</w:t>
      </w:r>
      <w:r w:rsidR="00AC2978" w:rsidRPr="00F6639B">
        <w:rPr>
          <w:rFonts w:ascii="Times New Roman" w:hAnsi="Times New Roman" w:cs="Times New Roman"/>
          <w:sz w:val="24"/>
          <w:szCs w:val="24"/>
        </w:rPr>
        <w:t xml:space="preserve">a </w:t>
      </w:r>
      <w:r w:rsidR="00E21D7A" w:rsidRPr="00F6639B">
        <w:rPr>
          <w:rFonts w:ascii="Times New Roman" w:hAnsi="Times New Roman" w:cs="Times New Roman"/>
          <w:sz w:val="24"/>
          <w:szCs w:val="24"/>
        </w:rPr>
        <w:t xml:space="preserve">décision relative au renouvellement de la certification : la décision de renouvellement de la certification est prise, au vu des conclusions </w:t>
      </w:r>
      <w:r w:rsidR="00FB3F9D" w:rsidRPr="00F6639B">
        <w:rPr>
          <w:rFonts w:ascii="Times New Roman" w:hAnsi="Times New Roman" w:cs="Times New Roman"/>
          <w:sz w:val="24"/>
          <w:szCs w:val="24"/>
        </w:rPr>
        <w:t>rendues sur</w:t>
      </w:r>
      <w:r w:rsidR="00E21D7A" w:rsidRPr="00F6639B">
        <w:rPr>
          <w:rFonts w:ascii="Times New Roman" w:hAnsi="Times New Roman" w:cs="Times New Roman"/>
          <w:sz w:val="24"/>
          <w:szCs w:val="24"/>
        </w:rPr>
        <w:t xml:space="preserve"> </w:t>
      </w:r>
      <w:r w:rsidR="0068342F" w:rsidRPr="00F6639B">
        <w:rPr>
          <w:rFonts w:ascii="Times New Roman" w:hAnsi="Times New Roman" w:cs="Times New Roman"/>
          <w:sz w:val="24"/>
          <w:szCs w:val="24"/>
        </w:rPr>
        <w:t>l’examen d</w:t>
      </w:r>
      <w:r w:rsidR="007A4C54" w:rsidRPr="00F6639B">
        <w:rPr>
          <w:rFonts w:ascii="Times New Roman" w:hAnsi="Times New Roman" w:cs="Times New Roman"/>
          <w:sz w:val="24"/>
          <w:szCs w:val="24"/>
        </w:rPr>
        <w:t>u dossier de</w:t>
      </w:r>
      <w:r w:rsidR="0068342F" w:rsidRPr="00F6639B">
        <w:rPr>
          <w:rFonts w:ascii="Times New Roman" w:hAnsi="Times New Roman" w:cs="Times New Roman"/>
          <w:sz w:val="24"/>
          <w:szCs w:val="24"/>
        </w:rPr>
        <w:t xml:space="preserve"> demande de renouvellement </w:t>
      </w:r>
      <w:r w:rsidR="00E21D7A" w:rsidRPr="00F6639B">
        <w:rPr>
          <w:rFonts w:ascii="Times New Roman" w:hAnsi="Times New Roman" w:cs="Times New Roman"/>
          <w:sz w:val="24"/>
          <w:szCs w:val="24"/>
        </w:rPr>
        <w:t xml:space="preserve">et de toute autre information </w:t>
      </w:r>
      <w:r w:rsidRPr="00F6639B">
        <w:rPr>
          <w:rFonts w:ascii="Times New Roman" w:hAnsi="Times New Roman" w:cs="Times New Roman"/>
          <w:sz w:val="24"/>
          <w:szCs w:val="24"/>
        </w:rPr>
        <w:t>pertinente.</w:t>
      </w:r>
    </w:p>
    <w:p w14:paraId="69A26F9C" w14:textId="7286E65E" w:rsidR="00D7175F" w:rsidRPr="00F6639B" w:rsidRDefault="00B8313C" w:rsidP="00B8313C">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3° L</w:t>
      </w:r>
      <w:r w:rsidR="00AC2978" w:rsidRPr="00F6639B">
        <w:rPr>
          <w:rFonts w:ascii="Times New Roman" w:hAnsi="Times New Roman" w:cs="Times New Roman"/>
          <w:sz w:val="24"/>
          <w:szCs w:val="24"/>
        </w:rPr>
        <w:t>’</w:t>
      </w:r>
      <w:r w:rsidR="00E21D7A" w:rsidRPr="00F6639B">
        <w:rPr>
          <w:rFonts w:ascii="Times New Roman" w:hAnsi="Times New Roman" w:cs="Times New Roman"/>
          <w:sz w:val="24"/>
          <w:szCs w:val="24"/>
        </w:rPr>
        <w:t xml:space="preserve">octroi </w:t>
      </w:r>
      <w:r w:rsidR="00D01479" w:rsidRPr="00F6639B">
        <w:rPr>
          <w:rFonts w:ascii="Times New Roman" w:hAnsi="Times New Roman" w:cs="Times New Roman"/>
          <w:sz w:val="24"/>
          <w:szCs w:val="24"/>
        </w:rPr>
        <w:t xml:space="preserve">ou le refus </w:t>
      </w:r>
      <w:r w:rsidR="00E21D7A" w:rsidRPr="00F6639B">
        <w:rPr>
          <w:rFonts w:ascii="Times New Roman" w:hAnsi="Times New Roman" w:cs="Times New Roman"/>
          <w:sz w:val="24"/>
          <w:szCs w:val="24"/>
        </w:rPr>
        <w:t xml:space="preserve">du renouvellement de la certification : le renouvellement de la certification est accordé pour une validité de 4 ans et formalisé dans un document de certification contenant les éléments énumérés à l’article </w:t>
      </w:r>
      <w:r w:rsidR="00C54D88" w:rsidRPr="00F6639B">
        <w:rPr>
          <w:rFonts w:ascii="Times New Roman" w:hAnsi="Times New Roman" w:cs="Times New Roman"/>
          <w:sz w:val="24"/>
          <w:szCs w:val="24"/>
        </w:rPr>
        <w:t>16</w:t>
      </w:r>
      <w:r w:rsidR="00E21D7A" w:rsidRPr="00F6639B">
        <w:rPr>
          <w:rFonts w:ascii="Times New Roman" w:hAnsi="Times New Roman" w:cs="Times New Roman"/>
          <w:sz w:val="24"/>
          <w:szCs w:val="24"/>
        </w:rPr>
        <w:t xml:space="preserve"> du présent arrêté. Le renouvellement de la certification peut être </w:t>
      </w:r>
      <w:r w:rsidR="00D01479" w:rsidRPr="00F6639B">
        <w:rPr>
          <w:rFonts w:ascii="Times New Roman" w:hAnsi="Times New Roman" w:cs="Times New Roman"/>
          <w:sz w:val="24"/>
          <w:szCs w:val="24"/>
        </w:rPr>
        <w:t>complété le</w:t>
      </w:r>
      <w:r w:rsidR="00705E46" w:rsidRPr="00F6639B">
        <w:rPr>
          <w:rFonts w:ascii="Times New Roman" w:hAnsi="Times New Roman" w:cs="Times New Roman"/>
          <w:sz w:val="24"/>
          <w:szCs w:val="24"/>
        </w:rPr>
        <w:t xml:space="preserve"> cas échéant </w:t>
      </w:r>
      <w:r w:rsidR="00E21D7A" w:rsidRPr="00F6639B">
        <w:rPr>
          <w:rFonts w:ascii="Times New Roman" w:hAnsi="Times New Roman" w:cs="Times New Roman"/>
          <w:sz w:val="24"/>
          <w:szCs w:val="24"/>
        </w:rPr>
        <w:t>de conditions</w:t>
      </w:r>
      <w:r w:rsidR="00705E46" w:rsidRPr="00F6639B">
        <w:rPr>
          <w:rFonts w:ascii="Times New Roman" w:hAnsi="Times New Roman" w:cs="Times New Roman"/>
          <w:sz w:val="24"/>
          <w:szCs w:val="24"/>
        </w:rPr>
        <w:t xml:space="preserve"> particulières</w:t>
      </w:r>
      <w:r w:rsidR="00E21D7A" w:rsidRPr="00F6639B">
        <w:rPr>
          <w:rFonts w:ascii="Times New Roman" w:hAnsi="Times New Roman" w:cs="Times New Roman"/>
          <w:sz w:val="24"/>
          <w:szCs w:val="24"/>
        </w:rPr>
        <w:t xml:space="preserve">. Dans le cas contraire, l’organisme de certification notifie </w:t>
      </w:r>
      <w:r w:rsidR="009256E6" w:rsidRPr="00F6639B">
        <w:rPr>
          <w:rFonts w:ascii="Times New Roman" w:hAnsi="Times New Roman" w:cs="Times New Roman"/>
          <w:sz w:val="24"/>
          <w:szCs w:val="24"/>
        </w:rPr>
        <w:t xml:space="preserve">le </w:t>
      </w:r>
      <w:r w:rsidR="00E21D7A" w:rsidRPr="00F6639B">
        <w:rPr>
          <w:rFonts w:ascii="Times New Roman" w:hAnsi="Times New Roman" w:cs="Times New Roman"/>
          <w:sz w:val="24"/>
          <w:szCs w:val="24"/>
        </w:rPr>
        <w:t>non-renouvellement</w:t>
      </w:r>
      <w:r w:rsidR="008C38F3" w:rsidRPr="00F6639B">
        <w:rPr>
          <w:rFonts w:ascii="Times New Roman" w:hAnsi="Times New Roman" w:cs="Times New Roman"/>
          <w:sz w:val="24"/>
          <w:szCs w:val="24"/>
        </w:rPr>
        <w:t xml:space="preserve"> en </w:t>
      </w:r>
      <w:r w:rsidR="00D06E9A" w:rsidRPr="00F6639B">
        <w:rPr>
          <w:rFonts w:ascii="Times New Roman" w:hAnsi="Times New Roman" w:cs="Times New Roman"/>
          <w:sz w:val="24"/>
          <w:szCs w:val="24"/>
        </w:rPr>
        <w:t>explicitant</w:t>
      </w:r>
      <w:r w:rsidR="008C38F3" w:rsidRPr="00F6639B">
        <w:rPr>
          <w:rFonts w:ascii="Times New Roman" w:hAnsi="Times New Roman" w:cs="Times New Roman"/>
          <w:sz w:val="24"/>
          <w:szCs w:val="24"/>
        </w:rPr>
        <w:t xml:space="preserve"> </w:t>
      </w:r>
      <w:r w:rsidR="00D06E9A" w:rsidRPr="00F6639B">
        <w:rPr>
          <w:rFonts w:ascii="Times New Roman" w:hAnsi="Times New Roman" w:cs="Times New Roman"/>
          <w:sz w:val="24"/>
          <w:szCs w:val="24"/>
        </w:rPr>
        <w:t>sa décision</w:t>
      </w:r>
      <w:r w:rsidR="00E21D7A" w:rsidRPr="00F6639B">
        <w:rPr>
          <w:rFonts w:ascii="Times New Roman" w:hAnsi="Times New Roman" w:cs="Times New Roman"/>
          <w:sz w:val="24"/>
          <w:szCs w:val="24"/>
        </w:rPr>
        <w:t>.</w:t>
      </w:r>
      <w:r w:rsidR="009D6BBE" w:rsidRPr="00F6639B">
        <w:rPr>
          <w:rFonts w:ascii="Times New Roman" w:hAnsi="Times New Roman" w:cs="Times New Roman"/>
          <w:sz w:val="24"/>
          <w:szCs w:val="24"/>
        </w:rPr>
        <w:t xml:space="preserve"> </w:t>
      </w:r>
      <w:r w:rsidR="00D7175F" w:rsidRPr="00F6639B">
        <w:rPr>
          <w:rFonts w:ascii="Times New Roman" w:hAnsi="Times New Roman" w:cs="Times New Roman"/>
          <w:sz w:val="24"/>
          <w:szCs w:val="24"/>
        </w:rPr>
        <w:t xml:space="preserve">En tout état de cause, l’organisme de certification doit octroyer ou refuser le renouvellement de la certification avant l’échéance </w:t>
      </w:r>
      <w:r w:rsidR="009D032B" w:rsidRPr="00F6639B">
        <w:rPr>
          <w:rFonts w:ascii="Times New Roman" w:hAnsi="Times New Roman" w:cs="Times New Roman"/>
          <w:sz w:val="24"/>
          <w:szCs w:val="24"/>
        </w:rPr>
        <w:t>du</w:t>
      </w:r>
      <w:r w:rsidR="00D7175F" w:rsidRPr="00F6639B">
        <w:rPr>
          <w:rFonts w:ascii="Times New Roman" w:hAnsi="Times New Roman" w:cs="Times New Roman"/>
          <w:sz w:val="24"/>
          <w:szCs w:val="24"/>
        </w:rPr>
        <w:t xml:space="preserve"> certificat.</w:t>
      </w:r>
    </w:p>
    <w:p w14:paraId="093E7FC7" w14:textId="77777777" w:rsidR="00D7175F" w:rsidRPr="00F6639B" w:rsidRDefault="00D7175F" w:rsidP="00D7175F">
      <w:pPr>
        <w:pStyle w:val="Paragraphedeliste"/>
        <w:spacing w:after="120" w:line="240" w:lineRule="auto"/>
        <w:ind w:left="360"/>
        <w:jc w:val="both"/>
        <w:rPr>
          <w:rFonts w:ascii="Times New Roman" w:hAnsi="Times New Roman" w:cs="Times New Roman"/>
          <w:sz w:val="24"/>
          <w:szCs w:val="24"/>
        </w:rPr>
      </w:pPr>
    </w:p>
    <w:p w14:paraId="7234372A" w14:textId="626BD864" w:rsidR="001D50CA" w:rsidRPr="00F6639B" w:rsidRDefault="00E21D7A" w:rsidP="00E440E2">
      <w:pPr>
        <w:spacing w:after="120" w:line="240" w:lineRule="auto"/>
        <w:jc w:val="center"/>
        <w:rPr>
          <w:rFonts w:ascii="Times New Roman" w:hAnsi="Times New Roman" w:cs="Times New Roman"/>
          <w:sz w:val="24"/>
          <w:szCs w:val="24"/>
        </w:rPr>
      </w:pPr>
      <w:r w:rsidRPr="00F6639B">
        <w:rPr>
          <w:rFonts w:ascii="Times New Roman" w:hAnsi="Times New Roman" w:cs="Times New Roman"/>
          <w:b/>
          <w:sz w:val="24"/>
          <w:szCs w:val="24"/>
        </w:rPr>
        <w:t>Art</w:t>
      </w:r>
      <w:r w:rsidR="001D50CA"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DF4F33" w:rsidRPr="00F6639B">
        <w:rPr>
          <w:rFonts w:ascii="Times New Roman" w:hAnsi="Times New Roman" w:cs="Times New Roman"/>
          <w:b/>
          <w:sz w:val="24"/>
          <w:szCs w:val="24"/>
        </w:rPr>
        <w:t>7</w:t>
      </w:r>
    </w:p>
    <w:p w14:paraId="0152CDDE" w14:textId="59F6F57A" w:rsidR="00FE2FDB" w:rsidRPr="00F6639B" w:rsidRDefault="00E35F0A" w:rsidP="00612559">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L</w:t>
      </w:r>
      <w:r w:rsidR="00E21D7A" w:rsidRPr="00F6639B">
        <w:rPr>
          <w:rFonts w:ascii="Times New Roman" w:hAnsi="Times New Roman" w:cs="Times New Roman"/>
          <w:sz w:val="24"/>
          <w:szCs w:val="24"/>
        </w:rPr>
        <w:t xml:space="preserve">’organisme de certification s’assure du maintien et du respect des conditions de certification par une surveillance </w:t>
      </w:r>
      <w:r w:rsidR="007D72B0" w:rsidRPr="00F6639B">
        <w:rPr>
          <w:rFonts w:ascii="Times New Roman" w:hAnsi="Times New Roman" w:cs="Times New Roman"/>
          <w:sz w:val="24"/>
          <w:szCs w:val="24"/>
        </w:rPr>
        <w:t>réalisée pendant la période de validité de la certification</w:t>
      </w:r>
      <w:r w:rsidR="007E28AF" w:rsidRPr="00F6639B">
        <w:rPr>
          <w:rFonts w:ascii="Times New Roman" w:hAnsi="Times New Roman" w:cs="Times New Roman"/>
          <w:sz w:val="24"/>
          <w:szCs w:val="24"/>
        </w:rPr>
        <w:t xml:space="preserve"> initiale ou renouvelée</w:t>
      </w:r>
      <w:r w:rsidR="00C13C21" w:rsidRPr="00F6639B">
        <w:rPr>
          <w:rFonts w:ascii="Times New Roman" w:hAnsi="Times New Roman" w:cs="Times New Roman"/>
          <w:sz w:val="24"/>
          <w:szCs w:val="24"/>
        </w:rPr>
        <w:t>. Cette surveillance</w:t>
      </w:r>
      <w:r w:rsidR="00F457CD" w:rsidRPr="00F6639B">
        <w:rPr>
          <w:rFonts w:ascii="Times New Roman" w:hAnsi="Times New Roman" w:cs="Times New Roman"/>
          <w:sz w:val="24"/>
          <w:szCs w:val="24"/>
        </w:rPr>
        <w:t xml:space="preserve"> </w:t>
      </w:r>
      <w:r w:rsidR="00E21D7A" w:rsidRPr="00F6639B">
        <w:rPr>
          <w:rFonts w:ascii="Times New Roman" w:hAnsi="Times New Roman" w:cs="Times New Roman"/>
          <w:sz w:val="24"/>
          <w:szCs w:val="24"/>
        </w:rPr>
        <w:t>comport</w:t>
      </w:r>
      <w:r w:rsidR="00F457CD" w:rsidRPr="00F6639B">
        <w:rPr>
          <w:rFonts w:ascii="Times New Roman" w:hAnsi="Times New Roman" w:cs="Times New Roman"/>
          <w:sz w:val="24"/>
          <w:szCs w:val="24"/>
        </w:rPr>
        <w:t>e</w:t>
      </w:r>
      <w:r w:rsidR="00E21D7A" w:rsidRPr="00F6639B">
        <w:rPr>
          <w:rFonts w:ascii="Times New Roman" w:hAnsi="Times New Roman" w:cs="Times New Roman"/>
          <w:sz w:val="24"/>
          <w:szCs w:val="24"/>
        </w:rPr>
        <w:t xml:space="preserve"> les étapes </w:t>
      </w:r>
      <w:r w:rsidR="00FE2FDB" w:rsidRPr="00F6639B">
        <w:rPr>
          <w:rFonts w:ascii="Times New Roman" w:hAnsi="Times New Roman" w:cs="Times New Roman"/>
          <w:sz w:val="24"/>
          <w:szCs w:val="24"/>
        </w:rPr>
        <w:t>énoncées ci-après.</w:t>
      </w:r>
    </w:p>
    <w:p w14:paraId="404B1DE5" w14:textId="54444B1D" w:rsidR="007D72B0" w:rsidRPr="00F6639B" w:rsidRDefault="007D72B0" w:rsidP="007D72B0">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1° L’évaluation de la conformité</w:t>
      </w:r>
      <w:r w:rsidR="001D50CA" w:rsidRPr="00F6639B">
        <w:rPr>
          <w:rFonts w:ascii="Times New Roman" w:hAnsi="Times New Roman" w:cs="Times New Roman"/>
          <w:sz w:val="24"/>
          <w:szCs w:val="24"/>
        </w:rPr>
        <w:t>,</w:t>
      </w:r>
      <w:r w:rsidRPr="00F6639B">
        <w:rPr>
          <w:rFonts w:ascii="Times New Roman" w:hAnsi="Times New Roman" w:cs="Times New Roman"/>
          <w:sz w:val="24"/>
          <w:szCs w:val="24"/>
        </w:rPr>
        <w:t xml:space="preserve"> qui comprend : </w:t>
      </w:r>
    </w:p>
    <w:p w14:paraId="1CC6B5E8" w14:textId="0EFCA0CE" w:rsidR="007D72B0" w:rsidRPr="00F6639B" w:rsidRDefault="007D72B0" w:rsidP="007D72B0">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la vérification</w:t>
      </w:r>
      <w:r w:rsidRPr="00F6639B">
        <w:rPr>
          <w:rFonts w:ascii="Times New Roman" w:hAnsi="Times New Roman" w:cs="Times New Roman"/>
          <w:i/>
          <w:sz w:val="24"/>
          <w:szCs w:val="24"/>
        </w:rPr>
        <w:t>, a minima</w:t>
      </w:r>
      <w:r w:rsidRPr="00F6639B">
        <w:rPr>
          <w:rFonts w:ascii="Times New Roman" w:hAnsi="Times New Roman" w:cs="Times New Roman"/>
          <w:sz w:val="24"/>
          <w:szCs w:val="24"/>
        </w:rPr>
        <w:t xml:space="preserve">, annuellement de la validité des attestations d'assurances prévues </w:t>
      </w:r>
      <w:r w:rsidR="00E35F0A" w:rsidRPr="00F6639B">
        <w:rPr>
          <w:rFonts w:ascii="Times New Roman" w:hAnsi="Times New Roman" w:cs="Times New Roman"/>
          <w:sz w:val="24"/>
          <w:szCs w:val="24"/>
        </w:rPr>
        <w:t xml:space="preserve">à </w:t>
      </w:r>
      <w:r w:rsidRPr="00F6639B">
        <w:rPr>
          <w:rFonts w:ascii="Times New Roman" w:hAnsi="Times New Roman" w:cs="Times New Roman"/>
          <w:sz w:val="24"/>
          <w:szCs w:val="24"/>
        </w:rPr>
        <w:t>l'article L. 164-1-1 du code minier ;</w:t>
      </w:r>
    </w:p>
    <w:p w14:paraId="0E3D4559" w14:textId="266E26B8" w:rsidR="007D72B0" w:rsidRPr="00F6639B" w:rsidRDefault="007D72B0" w:rsidP="007D72B0">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un audit de </w:t>
      </w:r>
      <w:r w:rsidR="00AB3B93" w:rsidRPr="00F6639B">
        <w:rPr>
          <w:rFonts w:ascii="Times New Roman" w:hAnsi="Times New Roman" w:cs="Times New Roman"/>
          <w:sz w:val="24"/>
          <w:szCs w:val="24"/>
        </w:rPr>
        <w:t>chantier</w:t>
      </w:r>
      <w:r w:rsidRPr="00F6639B">
        <w:rPr>
          <w:rFonts w:ascii="Times New Roman" w:hAnsi="Times New Roman" w:cs="Times New Roman"/>
          <w:sz w:val="24"/>
          <w:szCs w:val="24"/>
        </w:rPr>
        <w:t xml:space="preserve"> : l'organisme de certification réalise, dans un délai maximal de 2</w:t>
      </w:r>
      <w:r w:rsidR="0069102B" w:rsidRPr="00F6639B">
        <w:rPr>
          <w:rFonts w:ascii="Times New Roman" w:hAnsi="Times New Roman" w:cs="Times New Roman"/>
          <w:sz w:val="24"/>
          <w:szCs w:val="24"/>
        </w:rPr>
        <w:t>4</w:t>
      </w:r>
      <w:r w:rsidRPr="00F6639B">
        <w:rPr>
          <w:rFonts w:ascii="Times New Roman" w:hAnsi="Times New Roman" w:cs="Times New Roman"/>
          <w:sz w:val="24"/>
          <w:szCs w:val="24"/>
        </w:rPr>
        <w:t xml:space="preserve"> mois, suivant l’octroi de la certification initiale ou d</w:t>
      </w:r>
      <w:r w:rsidR="00B751F0" w:rsidRPr="00F6639B">
        <w:rPr>
          <w:rFonts w:ascii="Times New Roman" w:hAnsi="Times New Roman" w:cs="Times New Roman"/>
          <w:sz w:val="24"/>
          <w:szCs w:val="24"/>
        </w:rPr>
        <w:t>e</w:t>
      </w:r>
      <w:r w:rsidRPr="00F6639B">
        <w:rPr>
          <w:rFonts w:ascii="Times New Roman" w:hAnsi="Times New Roman" w:cs="Times New Roman"/>
          <w:sz w:val="24"/>
          <w:szCs w:val="24"/>
        </w:rPr>
        <w:t xml:space="preserve"> renouvellement de la certification, un audit sur le site objet de la prestation afin de s’assurer que le référentiel de certification est respecté. Les conditions et les durées de l’audit chantier sont définies à l’article </w:t>
      </w:r>
      <w:r w:rsidR="00C54D88" w:rsidRPr="00F6639B">
        <w:rPr>
          <w:rFonts w:ascii="Times New Roman" w:hAnsi="Times New Roman" w:cs="Times New Roman"/>
          <w:sz w:val="24"/>
          <w:szCs w:val="24"/>
        </w:rPr>
        <w:t>8</w:t>
      </w:r>
      <w:r w:rsidRPr="00F6639B">
        <w:rPr>
          <w:rFonts w:ascii="Times New Roman" w:hAnsi="Times New Roman" w:cs="Times New Roman"/>
          <w:sz w:val="24"/>
          <w:szCs w:val="24"/>
        </w:rPr>
        <w:t xml:space="preserve"> du présent arrêté ;</w:t>
      </w:r>
    </w:p>
    <w:p w14:paraId="5F9A266C" w14:textId="33198621" w:rsidR="007D72B0" w:rsidRPr="00F6639B" w:rsidRDefault="007D72B0" w:rsidP="007D72B0">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la vérification de référence : l'organisme de certification réalise</w:t>
      </w:r>
      <w:r w:rsidR="0069102B" w:rsidRPr="00F6639B">
        <w:rPr>
          <w:rFonts w:ascii="Times New Roman" w:hAnsi="Times New Roman" w:cs="Times New Roman"/>
          <w:sz w:val="24"/>
          <w:szCs w:val="24"/>
        </w:rPr>
        <w:t xml:space="preserve"> une vérification de référence</w:t>
      </w:r>
      <w:r w:rsidRPr="00F6639B">
        <w:rPr>
          <w:rFonts w:ascii="Times New Roman" w:hAnsi="Times New Roman" w:cs="Times New Roman"/>
          <w:sz w:val="24"/>
          <w:szCs w:val="24"/>
        </w:rPr>
        <w:t>, dans un délai maximal de 2</w:t>
      </w:r>
      <w:r w:rsidR="0069102B" w:rsidRPr="00F6639B">
        <w:rPr>
          <w:rFonts w:ascii="Times New Roman" w:hAnsi="Times New Roman" w:cs="Times New Roman"/>
          <w:sz w:val="24"/>
          <w:szCs w:val="24"/>
        </w:rPr>
        <w:t>4</w:t>
      </w:r>
      <w:r w:rsidRPr="00F6639B">
        <w:rPr>
          <w:rFonts w:ascii="Times New Roman" w:hAnsi="Times New Roman" w:cs="Times New Roman"/>
          <w:sz w:val="24"/>
          <w:szCs w:val="24"/>
        </w:rPr>
        <w:t xml:space="preserve"> mois, </w:t>
      </w:r>
      <w:r w:rsidR="0069102B" w:rsidRPr="00F6639B">
        <w:rPr>
          <w:rFonts w:ascii="Times New Roman" w:hAnsi="Times New Roman" w:cs="Times New Roman"/>
          <w:sz w:val="24"/>
          <w:szCs w:val="24"/>
        </w:rPr>
        <w:t>à compter de</w:t>
      </w:r>
      <w:r w:rsidRPr="00F6639B">
        <w:rPr>
          <w:rFonts w:ascii="Times New Roman" w:hAnsi="Times New Roman" w:cs="Times New Roman"/>
          <w:sz w:val="24"/>
          <w:szCs w:val="24"/>
        </w:rPr>
        <w:t xml:space="preserve"> l'octroi de la certification initiale. Dans le cadre d'un renouvellement de certification, l'organisme de certification réalise une vérification des références, sur une période comprise entre le </w:t>
      </w:r>
      <w:r w:rsidR="005F0AF3" w:rsidRPr="00F6639B">
        <w:rPr>
          <w:rFonts w:ascii="Times New Roman" w:hAnsi="Times New Roman" w:cs="Times New Roman"/>
          <w:sz w:val="24"/>
          <w:szCs w:val="24"/>
        </w:rPr>
        <w:t>1</w:t>
      </w:r>
      <w:r w:rsidR="007807EC" w:rsidRPr="00F6639B">
        <w:rPr>
          <w:rFonts w:ascii="Times New Roman" w:hAnsi="Times New Roman" w:cs="Times New Roman"/>
          <w:sz w:val="24"/>
          <w:szCs w:val="24"/>
          <w:vertAlign w:val="superscript"/>
        </w:rPr>
        <w:t>er</w:t>
      </w:r>
      <w:r w:rsidRPr="00F6639B">
        <w:rPr>
          <w:rFonts w:ascii="Times New Roman" w:hAnsi="Times New Roman" w:cs="Times New Roman"/>
          <w:sz w:val="24"/>
          <w:szCs w:val="24"/>
        </w:rPr>
        <w:t xml:space="preserve"> et </w:t>
      </w:r>
      <w:r w:rsidR="007807EC" w:rsidRPr="00F6639B">
        <w:rPr>
          <w:rFonts w:ascii="Times New Roman" w:hAnsi="Times New Roman" w:cs="Times New Roman"/>
          <w:sz w:val="24"/>
          <w:szCs w:val="24"/>
        </w:rPr>
        <w:t>24</w:t>
      </w:r>
      <w:r w:rsidR="007807EC" w:rsidRPr="00F6639B">
        <w:rPr>
          <w:rFonts w:ascii="Times New Roman" w:hAnsi="Times New Roman" w:cs="Times New Roman"/>
          <w:sz w:val="24"/>
          <w:szCs w:val="24"/>
          <w:vertAlign w:val="superscript"/>
        </w:rPr>
        <w:t>e</w:t>
      </w:r>
      <w:r w:rsidR="007807EC" w:rsidRPr="00F6639B">
        <w:rPr>
          <w:rFonts w:ascii="Times New Roman" w:hAnsi="Times New Roman" w:cs="Times New Roman"/>
          <w:sz w:val="24"/>
          <w:szCs w:val="24"/>
        </w:rPr>
        <w:t xml:space="preserve"> </w:t>
      </w:r>
      <w:r w:rsidRPr="00F6639B">
        <w:rPr>
          <w:rFonts w:ascii="Times New Roman" w:hAnsi="Times New Roman" w:cs="Times New Roman"/>
          <w:sz w:val="24"/>
          <w:szCs w:val="24"/>
        </w:rPr>
        <w:t xml:space="preserve">mois et entre le </w:t>
      </w:r>
      <w:r w:rsidR="005F0AF3" w:rsidRPr="00F6639B">
        <w:rPr>
          <w:rFonts w:ascii="Times New Roman" w:hAnsi="Times New Roman" w:cs="Times New Roman"/>
          <w:sz w:val="24"/>
          <w:szCs w:val="24"/>
        </w:rPr>
        <w:t>25</w:t>
      </w:r>
      <w:r w:rsidR="005F0AF3" w:rsidRPr="00F6639B">
        <w:rPr>
          <w:rFonts w:ascii="Times New Roman" w:hAnsi="Times New Roman" w:cs="Times New Roman"/>
          <w:sz w:val="24"/>
          <w:szCs w:val="24"/>
          <w:vertAlign w:val="superscript"/>
        </w:rPr>
        <w:t>e</w:t>
      </w:r>
      <w:r w:rsidRPr="00F6639B">
        <w:rPr>
          <w:rFonts w:ascii="Times New Roman" w:hAnsi="Times New Roman" w:cs="Times New Roman"/>
          <w:sz w:val="24"/>
          <w:szCs w:val="24"/>
        </w:rPr>
        <w:t xml:space="preserve"> et le </w:t>
      </w:r>
      <w:r w:rsidR="007807EC" w:rsidRPr="00F6639B">
        <w:rPr>
          <w:rFonts w:ascii="Times New Roman" w:hAnsi="Times New Roman" w:cs="Times New Roman"/>
          <w:sz w:val="24"/>
          <w:szCs w:val="24"/>
        </w:rPr>
        <w:t>48</w:t>
      </w:r>
      <w:r w:rsidR="007807EC" w:rsidRPr="00F6639B">
        <w:rPr>
          <w:rFonts w:ascii="Times New Roman" w:hAnsi="Times New Roman" w:cs="Times New Roman"/>
          <w:sz w:val="24"/>
          <w:szCs w:val="24"/>
          <w:vertAlign w:val="superscript"/>
        </w:rPr>
        <w:t>e</w:t>
      </w:r>
      <w:r w:rsidR="007807EC" w:rsidRPr="00F6639B">
        <w:rPr>
          <w:rFonts w:ascii="Times New Roman" w:hAnsi="Times New Roman" w:cs="Times New Roman"/>
          <w:sz w:val="24"/>
          <w:szCs w:val="24"/>
        </w:rPr>
        <w:t xml:space="preserve"> </w:t>
      </w:r>
      <w:r w:rsidRPr="00F6639B">
        <w:rPr>
          <w:rFonts w:ascii="Times New Roman" w:hAnsi="Times New Roman" w:cs="Times New Roman"/>
          <w:sz w:val="24"/>
          <w:szCs w:val="24"/>
        </w:rPr>
        <w:t>mois, à compter de l'octroi du renouvellement de la certification. Les modalités d</w:t>
      </w:r>
      <w:r w:rsidR="00493A85" w:rsidRPr="00F6639B">
        <w:rPr>
          <w:rFonts w:ascii="Times New Roman" w:hAnsi="Times New Roman" w:cs="Times New Roman"/>
          <w:sz w:val="24"/>
          <w:szCs w:val="24"/>
        </w:rPr>
        <w:t>u choix de la référence, des actions à mettre en œuvre par l’entreprise de forage</w:t>
      </w:r>
      <w:r w:rsidRPr="00F6639B">
        <w:rPr>
          <w:rFonts w:ascii="Times New Roman" w:hAnsi="Times New Roman" w:cs="Times New Roman"/>
          <w:sz w:val="24"/>
          <w:szCs w:val="24"/>
        </w:rPr>
        <w:t xml:space="preserve"> ainsi que les documents à transmettre sont définis à l'article </w:t>
      </w:r>
      <w:r w:rsidR="00C54D88" w:rsidRPr="00F6639B">
        <w:rPr>
          <w:rFonts w:ascii="Times New Roman" w:hAnsi="Times New Roman" w:cs="Times New Roman"/>
          <w:sz w:val="24"/>
          <w:szCs w:val="24"/>
        </w:rPr>
        <w:t>9</w:t>
      </w:r>
      <w:r w:rsidRPr="00F6639B">
        <w:rPr>
          <w:rFonts w:ascii="Times New Roman" w:hAnsi="Times New Roman" w:cs="Times New Roman"/>
          <w:sz w:val="24"/>
          <w:szCs w:val="24"/>
        </w:rPr>
        <w:t xml:space="preserve"> du présent arrêté</w:t>
      </w:r>
      <w:r w:rsidR="00A001FA" w:rsidRPr="00F6639B">
        <w:rPr>
          <w:rFonts w:ascii="Times New Roman" w:hAnsi="Times New Roman" w:cs="Times New Roman"/>
          <w:sz w:val="24"/>
          <w:szCs w:val="24"/>
        </w:rPr>
        <w:t xml:space="preserve"> </w:t>
      </w:r>
      <w:r w:rsidRPr="00F6639B">
        <w:rPr>
          <w:rFonts w:ascii="Times New Roman" w:hAnsi="Times New Roman" w:cs="Times New Roman"/>
          <w:sz w:val="24"/>
          <w:szCs w:val="24"/>
        </w:rPr>
        <w:t>;</w:t>
      </w:r>
    </w:p>
    <w:p w14:paraId="64F30912" w14:textId="5E5951E9" w:rsidR="007D72B0" w:rsidRPr="00F6639B" w:rsidRDefault="007D72B0" w:rsidP="007D72B0">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l’examen de la cohérence entre les volumes de ciment achetés</w:t>
      </w:r>
      <w:r w:rsidR="0069102B" w:rsidRPr="00F6639B">
        <w:rPr>
          <w:rFonts w:ascii="Times New Roman" w:hAnsi="Times New Roman" w:cs="Times New Roman"/>
          <w:sz w:val="24"/>
          <w:szCs w:val="24"/>
        </w:rPr>
        <w:t xml:space="preserve"> et mis en œuvre par l’entreprise de forage, pour les installations </w:t>
      </w:r>
      <w:r w:rsidR="005F0AF3" w:rsidRPr="00F6639B">
        <w:rPr>
          <w:rFonts w:ascii="Times New Roman" w:hAnsi="Times New Roman" w:cs="Times New Roman"/>
          <w:sz w:val="24"/>
          <w:szCs w:val="24"/>
        </w:rPr>
        <w:t xml:space="preserve">de géothermie de minime importance </w:t>
      </w:r>
      <w:r w:rsidR="0069102B" w:rsidRPr="00F6639B">
        <w:rPr>
          <w:rFonts w:ascii="Times New Roman" w:hAnsi="Times New Roman" w:cs="Times New Roman"/>
          <w:sz w:val="24"/>
          <w:szCs w:val="24"/>
        </w:rPr>
        <w:t>réalisées sur le dernier exercice comptable clos</w:t>
      </w:r>
      <w:r w:rsidR="007807EC" w:rsidRPr="00F6639B">
        <w:rPr>
          <w:rFonts w:ascii="Times New Roman" w:hAnsi="Times New Roman" w:cs="Times New Roman"/>
          <w:sz w:val="24"/>
          <w:szCs w:val="24"/>
        </w:rPr>
        <w:t>.</w:t>
      </w:r>
      <w:r w:rsidR="005F0AF3" w:rsidRPr="00F6639B">
        <w:rPr>
          <w:rFonts w:ascii="Times New Roman" w:hAnsi="Times New Roman" w:cs="Times New Roman"/>
          <w:sz w:val="24"/>
          <w:szCs w:val="24"/>
        </w:rPr>
        <w:t xml:space="preserve"> </w:t>
      </w:r>
      <w:r w:rsidRPr="00F6639B">
        <w:rPr>
          <w:rFonts w:ascii="Times New Roman" w:hAnsi="Times New Roman" w:cs="Times New Roman"/>
          <w:sz w:val="24"/>
          <w:szCs w:val="24"/>
        </w:rPr>
        <w:t>Cet examen est réalisé</w:t>
      </w:r>
      <w:r w:rsidR="005F0AF3" w:rsidRPr="00F6639B">
        <w:rPr>
          <w:rFonts w:ascii="Times New Roman" w:hAnsi="Times New Roman" w:cs="Times New Roman"/>
          <w:sz w:val="24"/>
          <w:szCs w:val="24"/>
        </w:rPr>
        <w:t xml:space="preserve"> sur les même</w:t>
      </w:r>
      <w:r w:rsidR="007807EC" w:rsidRPr="00F6639B">
        <w:rPr>
          <w:rFonts w:ascii="Times New Roman" w:hAnsi="Times New Roman" w:cs="Times New Roman"/>
          <w:sz w:val="24"/>
          <w:szCs w:val="24"/>
        </w:rPr>
        <w:t>s</w:t>
      </w:r>
      <w:r w:rsidR="005F0AF3" w:rsidRPr="00F6639B">
        <w:rPr>
          <w:rFonts w:ascii="Times New Roman" w:hAnsi="Times New Roman" w:cs="Times New Roman"/>
          <w:sz w:val="24"/>
          <w:szCs w:val="24"/>
        </w:rPr>
        <w:t xml:space="preserve"> périodes</w:t>
      </w:r>
      <w:r w:rsidRPr="00F6639B">
        <w:rPr>
          <w:rFonts w:ascii="Times New Roman" w:hAnsi="Times New Roman" w:cs="Times New Roman"/>
          <w:sz w:val="24"/>
          <w:szCs w:val="24"/>
        </w:rPr>
        <w:t xml:space="preserve"> </w:t>
      </w:r>
      <w:r w:rsidR="005F0AF3" w:rsidRPr="00F6639B">
        <w:rPr>
          <w:rFonts w:ascii="Times New Roman" w:hAnsi="Times New Roman" w:cs="Times New Roman"/>
          <w:sz w:val="24"/>
          <w:szCs w:val="24"/>
        </w:rPr>
        <w:t>que celles définies à l’alinéa précédent</w:t>
      </w:r>
      <w:r w:rsidRPr="00F6639B">
        <w:rPr>
          <w:rFonts w:ascii="Times New Roman" w:hAnsi="Times New Roman" w:cs="Times New Roman"/>
          <w:sz w:val="24"/>
          <w:szCs w:val="24"/>
        </w:rPr>
        <w:t xml:space="preserve"> et dans les conditions définies à l'article </w:t>
      </w:r>
      <w:r w:rsidR="00C54D88" w:rsidRPr="00F6639B">
        <w:rPr>
          <w:rFonts w:ascii="Times New Roman" w:hAnsi="Times New Roman" w:cs="Times New Roman"/>
          <w:sz w:val="24"/>
          <w:szCs w:val="24"/>
        </w:rPr>
        <w:t>10</w:t>
      </w:r>
      <w:r w:rsidRPr="00F6639B">
        <w:rPr>
          <w:rFonts w:ascii="Times New Roman" w:hAnsi="Times New Roman" w:cs="Times New Roman"/>
          <w:sz w:val="24"/>
          <w:szCs w:val="24"/>
        </w:rPr>
        <w:t xml:space="preserve"> du présent arrêté</w:t>
      </w:r>
      <w:r w:rsidR="00D719CA" w:rsidRPr="00F6639B">
        <w:rPr>
          <w:rFonts w:ascii="Times New Roman" w:hAnsi="Times New Roman" w:cs="Times New Roman"/>
          <w:sz w:val="24"/>
          <w:szCs w:val="24"/>
        </w:rPr>
        <w:t>.</w:t>
      </w:r>
    </w:p>
    <w:p w14:paraId="765DDF86" w14:textId="010DAD71" w:rsidR="00B95910" w:rsidRPr="00F6639B" w:rsidRDefault="00B8313C" w:rsidP="007D72B0">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2° </w:t>
      </w:r>
      <w:r w:rsidR="00536C21" w:rsidRPr="00F6639B">
        <w:rPr>
          <w:rFonts w:ascii="Times New Roman" w:hAnsi="Times New Roman" w:cs="Times New Roman"/>
          <w:sz w:val="24"/>
          <w:szCs w:val="24"/>
        </w:rPr>
        <w:t xml:space="preserve">La décision relative au maintien de la certification : à l’issue de </w:t>
      </w:r>
      <w:r w:rsidR="002A7EBA" w:rsidRPr="00F6639B">
        <w:rPr>
          <w:rFonts w:ascii="Times New Roman" w:hAnsi="Times New Roman" w:cs="Times New Roman"/>
          <w:sz w:val="24"/>
          <w:szCs w:val="24"/>
        </w:rPr>
        <w:t>chacune des</w:t>
      </w:r>
      <w:r w:rsidR="00536C21" w:rsidRPr="00F6639B">
        <w:rPr>
          <w:rFonts w:ascii="Times New Roman" w:hAnsi="Times New Roman" w:cs="Times New Roman"/>
          <w:sz w:val="24"/>
          <w:szCs w:val="24"/>
        </w:rPr>
        <w:t xml:space="preserve"> étape</w:t>
      </w:r>
      <w:r w:rsidR="002A7EBA" w:rsidRPr="00F6639B">
        <w:rPr>
          <w:rFonts w:ascii="Times New Roman" w:hAnsi="Times New Roman" w:cs="Times New Roman"/>
          <w:sz w:val="24"/>
          <w:szCs w:val="24"/>
        </w:rPr>
        <w:t>s</w:t>
      </w:r>
      <w:r w:rsidR="00536C21" w:rsidRPr="00F6639B">
        <w:rPr>
          <w:rFonts w:ascii="Times New Roman" w:hAnsi="Times New Roman" w:cs="Times New Roman"/>
          <w:sz w:val="24"/>
          <w:szCs w:val="24"/>
        </w:rPr>
        <w:t xml:space="preserve"> citée</w:t>
      </w:r>
      <w:r w:rsidR="002A7EBA" w:rsidRPr="00F6639B">
        <w:rPr>
          <w:rFonts w:ascii="Times New Roman" w:hAnsi="Times New Roman" w:cs="Times New Roman"/>
          <w:sz w:val="24"/>
          <w:szCs w:val="24"/>
        </w:rPr>
        <w:t>s</w:t>
      </w:r>
      <w:r w:rsidR="00536C21" w:rsidRPr="00F6639B">
        <w:rPr>
          <w:rFonts w:ascii="Times New Roman" w:hAnsi="Times New Roman" w:cs="Times New Roman"/>
          <w:sz w:val="24"/>
          <w:szCs w:val="24"/>
        </w:rPr>
        <w:t xml:space="preserve"> </w:t>
      </w:r>
      <w:r w:rsidR="002A7EBA" w:rsidRPr="00F6639B">
        <w:rPr>
          <w:rFonts w:ascii="Times New Roman" w:hAnsi="Times New Roman" w:cs="Times New Roman"/>
          <w:sz w:val="24"/>
          <w:szCs w:val="24"/>
        </w:rPr>
        <w:t>au 1° du présent article</w:t>
      </w:r>
      <w:r w:rsidR="00536C21" w:rsidRPr="00F6639B">
        <w:rPr>
          <w:rFonts w:ascii="Times New Roman" w:hAnsi="Times New Roman" w:cs="Times New Roman"/>
          <w:sz w:val="24"/>
          <w:szCs w:val="24"/>
        </w:rPr>
        <w:t xml:space="preserve">, </w:t>
      </w:r>
      <w:r w:rsidR="008373FE" w:rsidRPr="00F6639B">
        <w:rPr>
          <w:rFonts w:ascii="Times New Roman" w:hAnsi="Times New Roman" w:cs="Times New Roman"/>
          <w:sz w:val="24"/>
          <w:szCs w:val="24"/>
        </w:rPr>
        <w:t xml:space="preserve">l’organisme de certification peut être amené à prendre une décision de suspension ou de retrait. </w:t>
      </w:r>
      <w:r w:rsidR="00FC4A1A" w:rsidRPr="00F6639B">
        <w:rPr>
          <w:rFonts w:ascii="Times New Roman" w:hAnsi="Times New Roman" w:cs="Times New Roman"/>
          <w:sz w:val="24"/>
          <w:szCs w:val="24"/>
        </w:rPr>
        <w:t>Lorsque</w:t>
      </w:r>
      <w:r w:rsidR="00B95910" w:rsidRPr="00F6639B">
        <w:rPr>
          <w:rFonts w:ascii="Times New Roman" w:hAnsi="Times New Roman" w:cs="Times New Roman"/>
          <w:sz w:val="24"/>
          <w:szCs w:val="24"/>
        </w:rPr>
        <w:t>, l’organisme de certification notifie la suspension de la certification</w:t>
      </w:r>
      <w:r w:rsidR="008373FE" w:rsidRPr="00F6639B">
        <w:rPr>
          <w:rFonts w:ascii="Times New Roman" w:hAnsi="Times New Roman" w:cs="Times New Roman"/>
          <w:sz w:val="24"/>
          <w:szCs w:val="24"/>
        </w:rPr>
        <w:t>, il doit</w:t>
      </w:r>
      <w:r w:rsidR="009C7335" w:rsidRPr="00F6639B">
        <w:rPr>
          <w:rFonts w:ascii="Times New Roman" w:hAnsi="Times New Roman" w:cs="Times New Roman"/>
          <w:sz w:val="24"/>
          <w:szCs w:val="24"/>
        </w:rPr>
        <w:t xml:space="preserve"> précis</w:t>
      </w:r>
      <w:r w:rsidR="008373FE" w:rsidRPr="00F6639B">
        <w:rPr>
          <w:rFonts w:ascii="Times New Roman" w:hAnsi="Times New Roman" w:cs="Times New Roman"/>
          <w:sz w:val="24"/>
          <w:szCs w:val="24"/>
        </w:rPr>
        <w:t>er</w:t>
      </w:r>
      <w:r w:rsidR="009C7335" w:rsidRPr="00F6639B">
        <w:rPr>
          <w:rFonts w:ascii="Times New Roman" w:hAnsi="Times New Roman" w:cs="Times New Roman"/>
          <w:sz w:val="24"/>
          <w:szCs w:val="24"/>
        </w:rPr>
        <w:t xml:space="preserve"> les conditions </w:t>
      </w:r>
      <w:r w:rsidRPr="00F6639B">
        <w:rPr>
          <w:rFonts w:ascii="Times New Roman" w:hAnsi="Times New Roman" w:cs="Times New Roman"/>
          <w:sz w:val="24"/>
          <w:szCs w:val="24"/>
        </w:rPr>
        <w:t>nécessaires pour le</w:t>
      </w:r>
      <w:r w:rsidR="009C7335" w:rsidRPr="00F6639B">
        <w:rPr>
          <w:rFonts w:ascii="Times New Roman" w:hAnsi="Times New Roman" w:cs="Times New Roman"/>
          <w:sz w:val="24"/>
          <w:szCs w:val="24"/>
        </w:rPr>
        <w:t xml:space="preserve"> rétablissement de la certification</w:t>
      </w:r>
      <w:r w:rsidR="004B4251" w:rsidRPr="00F6639B">
        <w:rPr>
          <w:rFonts w:ascii="Times New Roman" w:hAnsi="Times New Roman" w:cs="Times New Roman"/>
          <w:sz w:val="24"/>
          <w:szCs w:val="24"/>
        </w:rPr>
        <w:t>.</w:t>
      </w:r>
    </w:p>
    <w:p w14:paraId="5702E53A" w14:textId="77777777" w:rsidR="00131AA3" w:rsidRPr="00F6639B" w:rsidRDefault="00131AA3" w:rsidP="00612559">
      <w:pPr>
        <w:spacing w:after="120" w:line="240" w:lineRule="auto"/>
        <w:jc w:val="both"/>
        <w:rPr>
          <w:rFonts w:ascii="Times New Roman" w:hAnsi="Times New Roman" w:cs="Times New Roman"/>
          <w:sz w:val="24"/>
          <w:szCs w:val="24"/>
        </w:rPr>
      </w:pPr>
    </w:p>
    <w:p w14:paraId="08990EFC" w14:textId="43FA7D41" w:rsidR="001D50CA" w:rsidRPr="00F6639B" w:rsidRDefault="007D72B0" w:rsidP="001D50CA">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1D50CA"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DF4F33" w:rsidRPr="00F6639B">
        <w:rPr>
          <w:rFonts w:ascii="Times New Roman" w:hAnsi="Times New Roman" w:cs="Times New Roman"/>
          <w:b/>
          <w:sz w:val="24"/>
          <w:szCs w:val="24"/>
        </w:rPr>
        <w:t>8</w:t>
      </w:r>
    </w:p>
    <w:p w14:paraId="42821D66" w14:textId="5B0276EB" w:rsidR="007D72B0" w:rsidRPr="00F6639B" w:rsidRDefault="007D72B0" w:rsidP="007D72B0">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 – L’organisme de certification sélectionne, parmi les télé-déclarations effectuées sur le téléservice dédié à l’accomplissement des procédures relatives à la géothermie de minime importance, un chantier en cours </w:t>
      </w:r>
      <w:r w:rsidR="00BD2960" w:rsidRPr="00F6639B">
        <w:rPr>
          <w:rFonts w:ascii="Times New Roman" w:hAnsi="Times New Roman" w:cs="Times New Roman"/>
          <w:sz w:val="24"/>
          <w:szCs w:val="24"/>
        </w:rPr>
        <w:t>pour</w:t>
      </w:r>
      <w:r w:rsidRPr="00F6639B">
        <w:rPr>
          <w:rFonts w:ascii="Times New Roman" w:hAnsi="Times New Roman" w:cs="Times New Roman"/>
          <w:sz w:val="24"/>
          <w:szCs w:val="24"/>
        </w:rPr>
        <w:t xml:space="preserve"> lequel il réalise un audit</w:t>
      </w:r>
      <w:r w:rsidR="001925DA" w:rsidRPr="00F6639B">
        <w:rPr>
          <w:rFonts w:ascii="Times New Roman" w:hAnsi="Times New Roman" w:cs="Times New Roman"/>
          <w:sz w:val="24"/>
          <w:szCs w:val="24"/>
        </w:rPr>
        <w:t xml:space="preserve"> de chantier.</w:t>
      </w:r>
      <w:r w:rsidRPr="00F6639B">
        <w:rPr>
          <w:rFonts w:ascii="Times New Roman" w:hAnsi="Times New Roman" w:cs="Times New Roman"/>
          <w:sz w:val="24"/>
          <w:szCs w:val="24"/>
        </w:rPr>
        <w:t xml:space="preserve"> </w:t>
      </w:r>
    </w:p>
    <w:p w14:paraId="14AEA4DA" w14:textId="74487CD2" w:rsidR="007D72B0" w:rsidRPr="00F6639B" w:rsidRDefault="007D72B0" w:rsidP="007D72B0">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II. – L</w:t>
      </w:r>
      <w:r w:rsidR="00BD2960" w:rsidRPr="00F6639B">
        <w:rPr>
          <w:rFonts w:ascii="Times New Roman" w:hAnsi="Times New Roman" w:cs="Times New Roman"/>
          <w:sz w:val="24"/>
          <w:szCs w:val="24"/>
        </w:rPr>
        <w:t>’</w:t>
      </w:r>
      <w:r w:rsidRPr="00F6639B">
        <w:rPr>
          <w:rFonts w:ascii="Times New Roman" w:hAnsi="Times New Roman" w:cs="Times New Roman"/>
          <w:sz w:val="24"/>
          <w:szCs w:val="24"/>
        </w:rPr>
        <w:t>audit</w:t>
      </w:r>
      <w:r w:rsidR="0069102B" w:rsidRPr="00F6639B">
        <w:rPr>
          <w:rFonts w:ascii="Times New Roman" w:hAnsi="Times New Roman" w:cs="Times New Roman"/>
          <w:sz w:val="24"/>
          <w:szCs w:val="24"/>
        </w:rPr>
        <w:t xml:space="preserve"> de</w:t>
      </w:r>
      <w:r w:rsidRPr="00F6639B">
        <w:rPr>
          <w:rFonts w:ascii="Times New Roman" w:hAnsi="Times New Roman" w:cs="Times New Roman"/>
          <w:sz w:val="24"/>
          <w:szCs w:val="24"/>
        </w:rPr>
        <w:t xml:space="preserve"> chantier permet d’évaluer la conformité au référentiel de certification par le contrôle du respect des exigences définies en annexes I et II lorsque la certification porte sur le module « Nappe » et en annexes I et III lorsque la certification porte sur le module « Sonde ». </w:t>
      </w:r>
    </w:p>
    <w:p w14:paraId="0AF70E06" w14:textId="47F2A22A" w:rsidR="007D72B0" w:rsidRPr="00F6639B" w:rsidRDefault="007D72B0" w:rsidP="007D72B0">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Les points de contrôle</w:t>
      </w:r>
      <w:r w:rsidR="007807EC" w:rsidRPr="00F6639B">
        <w:rPr>
          <w:rFonts w:ascii="Times New Roman" w:hAnsi="Times New Roman" w:cs="Times New Roman"/>
          <w:sz w:val="24"/>
          <w:szCs w:val="24"/>
        </w:rPr>
        <w:t xml:space="preserve"> et le modalités spécifiques d’audit</w:t>
      </w:r>
      <w:r w:rsidRPr="00F6639B">
        <w:rPr>
          <w:rFonts w:ascii="Times New Roman" w:hAnsi="Times New Roman" w:cs="Times New Roman"/>
          <w:sz w:val="24"/>
          <w:szCs w:val="24"/>
        </w:rPr>
        <w:t xml:space="preserve"> </w:t>
      </w:r>
      <w:r w:rsidR="007807EC" w:rsidRPr="00F6639B">
        <w:rPr>
          <w:rFonts w:ascii="Times New Roman" w:hAnsi="Times New Roman" w:cs="Times New Roman"/>
          <w:sz w:val="24"/>
          <w:szCs w:val="24"/>
        </w:rPr>
        <w:t xml:space="preserve">sont </w:t>
      </w:r>
      <w:r w:rsidR="00F67BE8" w:rsidRPr="00F6639B">
        <w:rPr>
          <w:rFonts w:ascii="Times New Roman" w:hAnsi="Times New Roman" w:cs="Times New Roman"/>
          <w:sz w:val="24"/>
          <w:szCs w:val="24"/>
        </w:rPr>
        <w:t xml:space="preserve">fixés </w:t>
      </w:r>
      <w:r w:rsidRPr="00F6639B">
        <w:rPr>
          <w:rFonts w:ascii="Times New Roman" w:hAnsi="Times New Roman" w:cs="Times New Roman"/>
          <w:sz w:val="24"/>
          <w:szCs w:val="24"/>
        </w:rPr>
        <w:t xml:space="preserve">dans </w:t>
      </w:r>
      <w:r w:rsidR="00490BC7" w:rsidRPr="00F6639B">
        <w:rPr>
          <w:rFonts w:ascii="Times New Roman" w:hAnsi="Times New Roman" w:cs="Times New Roman"/>
          <w:sz w:val="24"/>
          <w:szCs w:val="24"/>
        </w:rPr>
        <w:t>des</w:t>
      </w:r>
      <w:r w:rsidRPr="00F6639B">
        <w:rPr>
          <w:rFonts w:ascii="Times New Roman" w:hAnsi="Times New Roman" w:cs="Times New Roman"/>
          <w:sz w:val="24"/>
          <w:szCs w:val="24"/>
        </w:rPr>
        <w:t xml:space="preserve"> grille</w:t>
      </w:r>
      <w:r w:rsidR="00BD2960" w:rsidRPr="00F6639B">
        <w:rPr>
          <w:rFonts w:ascii="Times New Roman" w:hAnsi="Times New Roman" w:cs="Times New Roman"/>
          <w:sz w:val="24"/>
          <w:szCs w:val="24"/>
        </w:rPr>
        <w:t>s</w:t>
      </w:r>
      <w:r w:rsidRPr="00F6639B">
        <w:rPr>
          <w:rFonts w:ascii="Times New Roman" w:hAnsi="Times New Roman" w:cs="Times New Roman"/>
          <w:sz w:val="24"/>
          <w:szCs w:val="24"/>
        </w:rPr>
        <w:t xml:space="preserve"> d’analyse et un guide disponibles sur le site internet du ministère en charge de l’environnement.</w:t>
      </w:r>
    </w:p>
    <w:p w14:paraId="42E1B2F4" w14:textId="77777777" w:rsidR="007D72B0" w:rsidRPr="00F6639B" w:rsidRDefault="007D72B0" w:rsidP="007D72B0">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III. – La durée d’un audit chantier sur site est de 0,5 jour, soit 4 heures. Cette durée ne prend pas en compte les temps de déplacement des auditeurs. </w:t>
      </w:r>
    </w:p>
    <w:p w14:paraId="679B0C03" w14:textId="25224B5E" w:rsidR="007D72B0" w:rsidRPr="00F6639B" w:rsidRDefault="007D72B0" w:rsidP="007D72B0">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IV. – </w:t>
      </w:r>
      <w:r w:rsidR="00490BC7" w:rsidRPr="00F6639B">
        <w:rPr>
          <w:rFonts w:ascii="Times New Roman" w:hAnsi="Times New Roman" w:cs="Times New Roman"/>
          <w:sz w:val="24"/>
          <w:szCs w:val="24"/>
        </w:rPr>
        <w:t>À</w:t>
      </w:r>
      <w:r w:rsidR="00490BC7" w:rsidRPr="00F6639B">
        <w:rPr>
          <w:rFonts w:ascii="Times New Roman" w:hAnsi="Times New Roman" w:cs="Times New Roman"/>
          <w:i/>
          <w:iCs/>
          <w:sz w:val="24"/>
          <w:szCs w:val="24"/>
        </w:rPr>
        <w:t xml:space="preserve"> </w:t>
      </w:r>
      <w:r w:rsidR="00490BC7" w:rsidRPr="00F6639B">
        <w:rPr>
          <w:rFonts w:ascii="Times New Roman" w:hAnsi="Times New Roman" w:cs="Times New Roman"/>
          <w:iCs/>
          <w:sz w:val="24"/>
          <w:szCs w:val="24"/>
        </w:rPr>
        <w:t xml:space="preserve">l’issue de la réunion de clôture de l’audit chantier, le responsable d'audit remet à l'entreprise de forage un relevé explicite des non-conformités. En outre, </w:t>
      </w:r>
      <w:r w:rsidR="002A7EBA" w:rsidRPr="00F6639B">
        <w:rPr>
          <w:rFonts w:ascii="Times New Roman" w:hAnsi="Times New Roman" w:cs="Times New Roman"/>
          <w:iCs/>
          <w:sz w:val="24"/>
          <w:szCs w:val="24"/>
        </w:rPr>
        <w:t>il</w:t>
      </w:r>
      <w:r w:rsidR="00490BC7" w:rsidRPr="00F6639B">
        <w:rPr>
          <w:rFonts w:ascii="Times New Roman" w:hAnsi="Times New Roman" w:cs="Times New Roman"/>
          <w:iCs/>
          <w:sz w:val="24"/>
          <w:szCs w:val="24"/>
        </w:rPr>
        <w:t xml:space="preserve"> établit un rapport précisant les constats effectués sur les points de contrôle, qu’il remet à l’entreprise de forage</w:t>
      </w:r>
      <w:r w:rsidR="00490BC7" w:rsidRPr="00F6639B">
        <w:rPr>
          <w:i/>
          <w:iCs/>
        </w:rPr>
        <w:t>.</w:t>
      </w:r>
      <w:r w:rsidR="002A7EBA" w:rsidRPr="00F6639B">
        <w:rPr>
          <w:i/>
          <w:iCs/>
        </w:rPr>
        <w:t xml:space="preserve"> </w:t>
      </w:r>
      <w:r w:rsidR="00CD5875" w:rsidRPr="00F6639B">
        <w:rPr>
          <w:rFonts w:ascii="Times New Roman" w:hAnsi="Times New Roman" w:cs="Times New Roman"/>
          <w:sz w:val="24"/>
          <w:szCs w:val="24"/>
        </w:rPr>
        <w:t>Les</w:t>
      </w:r>
      <w:r w:rsidR="00ED2FB5" w:rsidRPr="00F6639B">
        <w:rPr>
          <w:rFonts w:ascii="Times New Roman" w:hAnsi="Times New Roman" w:cs="Times New Roman"/>
          <w:sz w:val="24"/>
          <w:szCs w:val="24"/>
        </w:rPr>
        <w:t xml:space="preserve"> modalités de gestion des non-conformités </w:t>
      </w:r>
      <w:r w:rsidR="00C17BDB" w:rsidRPr="00F6639B">
        <w:rPr>
          <w:rFonts w:ascii="Times New Roman" w:hAnsi="Times New Roman" w:cs="Times New Roman"/>
          <w:sz w:val="24"/>
          <w:szCs w:val="24"/>
        </w:rPr>
        <w:t>par l’entreprise de forage sont</w:t>
      </w:r>
      <w:r w:rsidR="00ED2FB5" w:rsidRPr="00F6639B">
        <w:rPr>
          <w:rFonts w:ascii="Times New Roman" w:hAnsi="Times New Roman" w:cs="Times New Roman"/>
          <w:sz w:val="24"/>
          <w:szCs w:val="24"/>
        </w:rPr>
        <w:t xml:space="preserve"> définie</w:t>
      </w:r>
      <w:r w:rsidR="00C17BDB" w:rsidRPr="00F6639B">
        <w:rPr>
          <w:rFonts w:ascii="Times New Roman" w:hAnsi="Times New Roman" w:cs="Times New Roman"/>
          <w:sz w:val="24"/>
          <w:szCs w:val="24"/>
        </w:rPr>
        <w:t>s</w:t>
      </w:r>
      <w:r w:rsidR="00ED2FB5" w:rsidRPr="00F6639B">
        <w:rPr>
          <w:rFonts w:ascii="Times New Roman" w:hAnsi="Times New Roman" w:cs="Times New Roman"/>
          <w:sz w:val="24"/>
          <w:szCs w:val="24"/>
        </w:rPr>
        <w:t xml:space="preserve"> aux articles </w:t>
      </w:r>
      <w:r w:rsidR="00C54D88" w:rsidRPr="00F6639B">
        <w:rPr>
          <w:rFonts w:ascii="Times New Roman" w:hAnsi="Times New Roman" w:cs="Times New Roman"/>
          <w:sz w:val="24"/>
          <w:szCs w:val="24"/>
        </w:rPr>
        <w:t>12</w:t>
      </w:r>
      <w:r w:rsidR="00ED2FB5" w:rsidRPr="00F6639B">
        <w:rPr>
          <w:rFonts w:ascii="Times New Roman" w:hAnsi="Times New Roman" w:cs="Times New Roman"/>
          <w:sz w:val="24"/>
          <w:szCs w:val="24"/>
        </w:rPr>
        <w:t xml:space="preserve"> et </w:t>
      </w:r>
      <w:r w:rsidR="00C54D88" w:rsidRPr="00F6639B">
        <w:rPr>
          <w:rFonts w:ascii="Times New Roman" w:hAnsi="Times New Roman" w:cs="Times New Roman"/>
          <w:sz w:val="24"/>
          <w:szCs w:val="24"/>
        </w:rPr>
        <w:t>13</w:t>
      </w:r>
      <w:r w:rsidR="00ED2FB5" w:rsidRPr="00F6639B">
        <w:rPr>
          <w:rFonts w:ascii="Times New Roman" w:hAnsi="Times New Roman" w:cs="Times New Roman"/>
          <w:sz w:val="24"/>
          <w:szCs w:val="24"/>
        </w:rPr>
        <w:t xml:space="preserve"> du présent arrêté.</w:t>
      </w:r>
    </w:p>
    <w:p w14:paraId="030E736C" w14:textId="77777777" w:rsidR="007D72B0" w:rsidRPr="00F6639B" w:rsidRDefault="007D72B0" w:rsidP="007D72B0">
      <w:pPr>
        <w:spacing w:after="120" w:line="240" w:lineRule="auto"/>
        <w:jc w:val="both"/>
        <w:rPr>
          <w:rFonts w:ascii="Times New Roman" w:hAnsi="Times New Roman" w:cs="Times New Roman"/>
          <w:sz w:val="24"/>
          <w:szCs w:val="24"/>
        </w:rPr>
      </w:pPr>
    </w:p>
    <w:p w14:paraId="4A90ECAD" w14:textId="32A20A60" w:rsidR="001D50CA" w:rsidRPr="00F6639B" w:rsidRDefault="00E21D7A" w:rsidP="001D50CA">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1D50CA"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2A7EBA" w:rsidRPr="00F6639B">
        <w:rPr>
          <w:rFonts w:ascii="Times New Roman" w:hAnsi="Times New Roman" w:cs="Times New Roman"/>
          <w:b/>
          <w:sz w:val="24"/>
          <w:szCs w:val="24"/>
        </w:rPr>
        <w:t>9</w:t>
      </w:r>
    </w:p>
    <w:p w14:paraId="377D252F" w14:textId="56DF2B67" w:rsidR="007D72B0" w:rsidRPr="00F6639B" w:rsidRDefault="00E21D7A" w:rsidP="00612559">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 </w:t>
      </w:r>
      <w:r w:rsidR="007D72B0" w:rsidRPr="00F6639B">
        <w:rPr>
          <w:rFonts w:ascii="Times New Roman" w:hAnsi="Times New Roman" w:cs="Times New Roman"/>
          <w:sz w:val="24"/>
          <w:szCs w:val="24"/>
        </w:rPr>
        <w:t xml:space="preserve">La </w:t>
      </w:r>
      <w:r w:rsidR="00DD7956" w:rsidRPr="00F6639B">
        <w:rPr>
          <w:rFonts w:ascii="Times New Roman" w:hAnsi="Times New Roman" w:cs="Times New Roman"/>
          <w:sz w:val="24"/>
          <w:szCs w:val="24"/>
        </w:rPr>
        <w:t>vérification de référence</w:t>
      </w:r>
      <w:r w:rsidR="004873FD" w:rsidRPr="00F6639B">
        <w:rPr>
          <w:rFonts w:ascii="Times New Roman" w:hAnsi="Times New Roman" w:cs="Times New Roman"/>
          <w:sz w:val="24"/>
          <w:szCs w:val="24"/>
        </w:rPr>
        <w:t xml:space="preserve">, </w:t>
      </w:r>
      <w:r w:rsidR="007D72B0" w:rsidRPr="00F6639B">
        <w:rPr>
          <w:rFonts w:ascii="Times New Roman" w:hAnsi="Times New Roman" w:cs="Times New Roman"/>
          <w:sz w:val="24"/>
          <w:szCs w:val="24"/>
        </w:rPr>
        <w:t xml:space="preserve">consiste à vérifier que l'entreprise de forage respecte les dispositions du point 4.3.3 </w:t>
      </w:r>
      <w:r w:rsidR="001925DA" w:rsidRPr="00F6639B">
        <w:rPr>
          <w:rFonts w:ascii="Times New Roman" w:hAnsi="Times New Roman" w:cs="Times New Roman"/>
          <w:sz w:val="24"/>
          <w:szCs w:val="24"/>
        </w:rPr>
        <w:t xml:space="preserve">ou </w:t>
      </w:r>
      <w:r w:rsidR="007D72B0" w:rsidRPr="00F6639B">
        <w:rPr>
          <w:rFonts w:ascii="Times New Roman" w:hAnsi="Times New Roman" w:cs="Times New Roman"/>
          <w:sz w:val="24"/>
          <w:szCs w:val="24"/>
        </w:rPr>
        <w:t xml:space="preserve">5.1.3 de l'annexe de l'arrêté du 25 juin 2015 </w:t>
      </w:r>
      <w:r w:rsidR="00E21F1D" w:rsidRPr="00F6639B">
        <w:rPr>
          <w:rFonts w:ascii="Times New Roman" w:hAnsi="Times New Roman" w:cs="Times New Roman"/>
          <w:sz w:val="24"/>
          <w:szCs w:val="24"/>
        </w:rPr>
        <w:t xml:space="preserve">relatif aux prescriptions générales applicables aux activités géothermiques de minime importance </w:t>
      </w:r>
      <w:r w:rsidR="007D72B0" w:rsidRPr="00F6639B">
        <w:rPr>
          <w:rFonts w:ascii="Times New Roman" w:hAnsi="Times New Roman" w:cs="Times New Roman"/>
          <w:sz w:val="24"/>
          <w:szCs w:val="24"/>
        </w:rPr>
        <w:t>ainsi que les dispositions de l'annexe V du présent arrêté.</w:t>
      </w:r>
    </w:p>
    <w:p w14:paraId="4DDFEBFC" w14:textId="4E9BBA3F" w:rsidR="00E21D7A" w:rsidRPr="00F6639B" w:rsidRDefault="007D72B0" w:rsidP="00612559">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Dans ce cadre, </w:t>
      </w:r>
      <w:r w:rsidR="004873FD" w:rsidRPr="00F6639B">
        <w:rPr>
          <w:rFonts w:ascii="Times New Roman" w:hAnsi="Times New Roman" w:cs="Times New Roman"/>
          <w:sz w:val="24"/>
          <w:szCs w:val="24"/>
        </w:rPr>
        <w:t>l</w:t>
      </w:r>
      <w:r w:rsidR="00E21D7A" w:rsidRPr="00F6639B">
        <w:rPr>
          <w:rFonts w:ascii="Times New Roman" w:hAnsi="Times New Roman" w:cs="Times New Roman"/>
          <w:sz w:val="24"/>
          <w:szCs w:val="24"/>
        </w:rPr>
        <w:t>’organisme de certification sélectionne</w:t>
      </w:r>
      <w:r w:rsidR="00D56399" w:rsidRPr="00F6639B">
        <w:rPr>
          <w:rFonts w:ascii="Times New Roman" w:hAnsi="Times New Roman" w:cs="Times New Roman"/>
          <w:sz w:val="24"/>
          <w:szCs w:val="24"/>
        </w:rPr>
        <w:t xml:space="preserve"> une référence</w:t>
      </w:r>
      <w:r w:rsidR="0008004F" w:rsidRPr="00F6639B">
        <w:rPr>
          <w:rFonts w:ascii="Times New Roman" w:hAnsi="Times New Roman" w:cs="Times New Roman"/>
          <w:sz w:val="24"/>
          <w:szCs w:val="24"/>
        </w:rPr>
        <w:t>,</w:t>
      </w:r>
      <w:r w:rsidR="00E04704" w:rsidRPr="00F6639B">
        <w:rPr>
          <w:rFonts w:ascii="Times New Roman" w:hAnsi="Times New Roman" w:cs="Times New Roman"/>
          <w:sz w:val="24"/>
          <w:szCs w:val="24"/>
        </w:rPr>
        <w:t xml:space="preserve"> parmi les références enregistrées sur </w:t>
      </w:r>
      <w:r w:rsidR="00FB3995" w:rsidRPr="00F6639B">
        <w:rPr>
          <w:rFonts w:ascii="Times New Roman" w:hAnsi="Times New Roman" w:cs="Times New Roman"/>
          <w:sz w:val="24"/>
          <w:szCs w:val="24"/>
        </w:rPr>
        <w:t>le</w:t>
      </w:r>
      <w:r w:rsidR="00E04704" w:rsidRPr="00F6639B">
        <w:rPr>
          <w:rFonts w:ascii="Times New Roman" w:hAnsi="Times New Roman" w:cs="Times New Roman"/>
          <w:sz w:val="24"/>
          <w:szCs w:val="24"/>
        </w:rPr>
        <w:t xml:space="preserve"> téléservice </w:t>
      </w:r>
      <w:r w:rsidR="0008004F" w:rsidRPr="00F6639B">
        <w:rPr>
          <w:rFonts w:ascii="Times New Roman" w:hAnsi="Times New Roman" w:cs="Times New Roman"/>
          <w:sz w:val="24"/>
          <w:szCs w:val="24"/>
        </w:rPr>
        <w:t>dédié</w:t>
      </w:r>
      <w:r w:rsidR="00FB3995" w:rsidRPr="00F6639B">
        <w:rPr>
          <w:rFonts w:ascii="Times New Roman" w:hAnsi="Times New Roman" w:cs="Times New Roman"/>
          <w:sz w:val="24"/>
          <w:szCs w:val="24"/>
        </w:rPr>
        <w:t xml:space="preserve"> à l’accomplissement des procédures relatives à la géothermie de minime importance</w:t>
      </w:r>
      <w:r w:rsidR="0097026D" w:rsidRPr="00F6639B">
        <w:rPr>
          <w:rFonts w:ascii="Times New Roman" w:hAnsi="Times New Roman" w:cs="Times New Roman"/>
          <w:sz w:val="24"/>
          <w:szCs w:val="24"/>
        </w:rPr>
        <w:t xml:space="preserve"> ou parmi une liste de référence</w:t>
      </w:r>
      <w:r w:rsidR="00A44380" w:rsidRPr="00F6639B">
        <w:rPr>
          <w:rFonts w:ascii="Times New Roman" w:hAnsi="Times New Roman" w:cs="Times New Roman"/>
          <w:sz w:val="24"/>
          <w:szCs w:val="24"/>
        </w:rPr>
        <w:t>s</w:t>
      </w:r>
      <w:r w:rsidR="0097026D" w:rsidRPr="00F6639B">
        <w:rPr>
          <w:rFonts w:ascii="Times New Roman" w:hAnsi="Times New Roman" w:cs="Times New Roman"/>
          <w:sz w:val="24"/>
          <w:szCs w:val="24"/>
        </w:rPr>
        <w:t xml:space="preserve"> transmise par l’entreprise de forage</w:t>
      </w:r>
      <w:r w:rsidR="00E21D7A" w:rsidRPr="00F6639B">
        <w:rPr>
          <w:rFonts w:ascii="Times New Roman" w:hAnsi="Times New Roman" w:cs="Times New Roman"/>
          <w:sz w:val="24"/>
          <w:szCs w:val="24"/>
        </w:rPr>
        <w:t xml:space="preserve">. </w:t>
      </w:r>
    </w:p>
    <w:p w14:paraId="226D1304" w14:textId="57742572" w:rsidR="00E21D7A" w:rsidRPr="00F6639B" w:rsidRDefault="00E21D7A" w:rsidP="00612559">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II.</w:t>
      </w:r>
      <w:r w:rsidR="00517318" w:rsidRPr="00F6639B">
        <w:rPr>
          <w:rFonts w:ascii="Times New Roman" w:hAnsi="Times New Roman" w:cs="Times New Roman"/>
          <w:sz w:val="24"/>
          <w:szCs w:val="24"/>
        </w:rPr>
        <w:t>– L’organisme</w:t>
      </w:r>
      <w:r w:rsidRPr="00F6639B">
        <w:rPr>
          <w:rFonts w:ascii="Times New Roman" w:hAnsi="Times New Roman" w:cs="Times New Roman"/>
          <w:sz w:val="24"/>
          <w:szCs w:val="24"/>
        </w:rPr>
        <w:t xml:space="preserve"> de certification demande à l’entreprise de forage de</w:t>
      </w:r>
      <w:r w:rsidR="005A28B0" w:rsidRPr="00F6639B">
        <w:rPr>
          <w:rFonts w:ascii="Times New Roman" w:hAnsi="Times New Roman" w:cs="Times New Roman"/>
          <w:sz w:val="24"/>
          <w:szCs w:val="24"/>
        </w:rPr>
        <w:t xml:space="preserve"> lui</w:t>
      </w:r>
      <w:r w:rsidRPr="00F6639B">
        <w:rPr>
          <w:rFonts w:ascii="Times New Roman" w:hAnsi="Times New Roman" w:cs="Times New Roman"/>
          <w:sz w:val="24"/>
          <w:szCs w:val="24"/>
        </w:rPr>
        <w:t xml:space="preserve"> transmettre</w:t>
      </w:r>
      <w:r w:rsidR="004C127B" w:rsidRPr="00F6639B">
        <w:rPr>
          <w:rFonts w:ascii="Times New Roman" w:hAnsi="Times New Roman" w:cs="Times New Roman"/>
          <w:sz w:val="24"/>
          <w:szCs w:val="24"/>
        </w:rPr>
        <w:t>, sous un délai maximal de</w:t>
      </w:r>
      <w:r w:rsidR="0059076E" w:rsidRPr="00F6639B">
        <w:rPr>
          <w:rFonts w:ascii="Times New Roman" w:hAnsi="Times New Roman" w:cs="Times New Roman"/>
          <w:sz w:val="24"/>
          <w:szCs w:val="24"/>
        </w:rPr>
        <w:t xml:space="preserve"> </w:t>
      </w:r>
      <w:r w:rsidR="007D763E" w:rsidRPr="00F6639B">
        <w:rPr>
          <w:rFonts w:ascii="Times New Roman" w:hAnsi="Times New Roman" w:cs="Times New Roman"/>
          <w:sz w:val="24"/>
          <w:szCs w:val="24"/>
        </w:rPr>
        <w:t xml:space="preserve">20 </w:t>
      </w:r>
      <w:r w:rsidR="004C127B" w:rsidRPr="00F6639B">
        <w:rPr>
          <w:rFonts w:ascii="Times New Roman" w:hAnsi="Times New Roman" w:cs="Times New Roman"/>
          <w:sz w:val="24"/>
          <w:szCs w:val="24"/>
        </w:rPr>
        <w:t>jours ouvrés,</w:t>
      </w:r>
      <w:r w:rsidRPr="00F6639B">
        <w:rPr>
          <w:rFonts w:ascii="Times New Roman" w:hAnsi="Times New Roman" w:cs="Times New Roman"/>
          <w:sz w:val="24"/>
          <w:szCs w:val="24"/>
        </w:rPr>
        <w:t xml:space="preserve"> l’ensemble des </w:t>
      </w:r>
      <w:r w:rsidR="001E3C5A" w:rsidRPr="00F6639B">
        <w:rPr>
          <w:rFonts w:ascii="Times New Roman" w:hAnsi="Times New Roman" w:cs="Times New Roman"/>
          <w:sz w:val="24"/>
          <w:szCs w:val="24"/>
        </w:rPr>
        <w:t xml:space="preserve">documents </w:t>
      </w:r>
      <w:r w:rsidR="005A28B0" w:rsidRPr="00F6639B">
        <w:rPr>
          <w:rFonts w:ascii="Times New Roman" w:hAnsi="Times New Roman" w:cs="Times New Roman"/>
          <w:sz w:val="24"/>
          <w:szCs w:val="24"/>
        </w:rPr>
        <w:t>visés</w:t>
      </w:r>
      <w:r w:rsidR="001E3C5A" w:rsidRPr="00F6639B">
        <w:rPr>
          <w:rFonts w:ascii="Times New Roman" w:hAnsi="Times New Roman" w:cs="Times New Roman"/>
          <w:sz w:val="24"/>
          <w:szCs w:val="24"/>
        </w:rPr>
        <w:t xml:space="preserve"> à l’annexe V du présent arrêté</w:t>
      </w:r>
      <w:r w:rsidR="000250E5" w:rsidRPr="00F6639B">
        <w:rPr>
          <w:rFonts w:ascii="Times New Roman" w:hAnsi="Times New Roman" w:cs="Times New Roman"/>
          <w:sz w:val="24"/>
          <w:szCs w:val="24"/>
        </w:rPr>
        <w:t>, associés à la référence sélectionnée</w:t>
      </w:r>
      <w:r w:rsidR="001E3C5A" w:rsidRPr="00F6639B">
        <w:rPr>
          <w:rFonts w:ascii="Times New Roman" w:hAnsi="Times New Roman" w:cs="Times New Roman"/>
          <w:sz w:val="24"/>
          <w:szCs w:val="24"/>
        </w:rPr>
        <w:t xml:space="preserve"> en vue de</w:t>
      </w:r>
      <w:r w:rsidRPr="00F6639B">
        <w:rPr>
          <w:rFonts w:ascii="Times New Roman" w:hAnsi="Times New Roman" w:cs="Times New Roman"/>
          <w:sz w:val="24"/>
          <w:szCs w:val="24"/>
        </w:rPr>
        <w:t xml:space="preserve"> </w:t>
      </w:r>
      <w:r w:rsidR="007807EC" w:rsidRPr="00F6639B">
        <w:rPr>
          <w:rFonts w:ascii="Times New Roman" w:hAnsi="Times New Roman" w:cs="Times New Roman"/>
          <w:sz w:val="24"/>
          <w:szCs w:val="24"/>
        </w:rPr>
        <w:t>vérifier la cohérence des documents associés à la référence sélectionnée et la traçabilité des activités de forage concernées</w:t>
      </w:r>
      <w:r w:rsidRPr="00F6639B">
        <w:rPr>
          <w:rFonts w:ascii="Times New Roman" w:hAnsi="Times New Roman" w:cs="Times New Roman"/>
          <w:sz w:val="24"/>
          <w:szCs w:val="24"/>
        </w:rPr>
        <w:t xml:space="preserve">. </w:t>
      </w:r>
    </w:p>
    <w:p w14:paraId="03A13C4B" w14:textId="3A715969" w:rsidR="00571185" w:rsidRPr="00F6639B" w:rsidRDefault="00E21D7A" w:rsidP="00612559">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III. – L’organisme de certification </w:t>
      </w:r>
      <w:r w:rsidR="00571185" w:rsidRPr="00F6639B">
        <w:rPr>
          <w:rFonts w:ascii="Times New Roman" w:hAnsi="Times New Roman" w:cs="Times New Roman"/>
          <w:sz w:val="24"/>
          <w:szCs w:val="24"/>
        </w:rPr>
        <w:t>évalue la conformité</w:t>
      </w:r>
      <w:r w:rsidRPr="00F6639B">
        <w:rPr>
          <w:rFonts w:ascii="Times New Roman" w:hAnsi="Times New Roman" w:cs="Times New Roman"/>
          <w:sz w:val="24"/>
          <w:szCs w:val="24"/>
        </w:rPr>
        <w:t xml:space="preserve"> des </w:t>
      </w:r>
      <w:r w:rsidR="001E3C5A" w:rsidRPr="00F6639B">
        <w:rPr>
          <w:rFonts w:ascii="Times New Roman" w:hAnsi="Times New Roman" w:cs="Times New Roman"/>
          <w:sz w:val="24"/>
          <w:szCs w:val="24"/>
        </w:rPr>
        <w:t xml:space="preserve">documents </w:t>
      </w:r>
      <w:r w:rsidRPr="00F6639B">
        <w:rPr>
          <w:rFonts w:ascii="Times New Roman" w:hAnsi="Times New Roman" w:cs="Times New Roman"/>
          <w:sz w:val="24"/>
          <w:szCs w:val="24"/>
        </w:rPr>
        <w:t xml:space="preserve">transmis. </w:t>
      </w:r>
      <w:r w:rsidR="00571185" w:rsidRPr="00F6639B">
        <w:rPr>
          <w:rFonts w:ascii="Times New Roman" w:hAnsi="Times New Roman" w:cs="Times New Roman"/>
          <w:sz w:val="24"/>
          <w:szCs w:val="24"/>
        </w:rPr>
        <w:t>Les points de contrôle</w:t>
      </w:r>
      <w:r w:rsidR="007807EC" w:rsidRPr="00F6639B">
        <w:rPr>
          <w:rFonts w:ascii="Times New Roman" w:hAnsi="Times New Roman" w:cs="Times New Roman"/>
          <w:sz w:val="24"/>
          <w:szCs w:val="24"/>
        </w:rPr>
        <w:t xml:space="preserve"> et les modalités de vérification associées</w:t>
      </w:r>
      <w:r w:rsidR="00571185" w:rsidRPr="00F6639B">
        <w:rPr>
          <w:rFonts w:ascii="Times New Roman" w:hAnsi="Times New Roman" w:cs="Times New Roman"/>
          <w:sz w:val="24"/>
          <w:szCs w:val="24"/>
        </w:rPr>
        <w:t xml:space="preserve"> </w:t>
      </w:r>
      <w:r w:rsidR="00F67BE8" w:rsidRPr="00F6639B">
        <w:rPr>
          <w:rFonts w:ascii="Times New Roman" w:hAnsi="Times New Roman" w:cs="Times New Roman"/>
          <w:sz w:val="24"/>
          <w:szCs w:val="24"/>
        </w:rPr>
        <w:t>sont fixés</w:t>
      </w:r>
      <w:r w:rsidR="00571185" w:rsidRPr="00F6639B">
        <w:rPr>
          <w:rFonts w:ascii="Times New Roman" w:hAnsi="Times New Roman" w:cs="Times New Roman"/>
          <w:sz w:val="24"/>
          <w:szCs w:val="24"/>
        </w:rPr>
        <w:t xml:space="preserve"> dans </w:t>
      </w:r>
      <w:r w:rsidR="00F42708" w:rsidRPr="00F6639B">
        <w:rPr>
          <w:rFonts w:ascii="Times New Roman" w:hAnsi="Times New Roman" w:cs="Times New Roman"/>
          <w:sz w:val="24"/>
          <w:szCs w:val="24"/>
        </w:rPr>
        <w:t>des</w:t>
      </w:r>
      <w:r w:rsidR="00571185" w:rsidRPr="00F6639B">
        <w:rPr>
          <w:rFonts w:ascii="Times New Roman" w:hAnsi="Times New Roman" w:cs="Times New Roman"/>
          <w:sz w:val="24"/>
          <w:szCs w:val="24"/>
        </w:rPr>
        <w:t xml:space="preserve"> grille</w:t>
      </w:r>
      <w:r w:rsidR="00F42708" w:rsidRPr="00F6639B">
        <w:rPr>
          <w:rFonts w:ascii="Times New Roman" w:hAnsi="Times New Roman" w:cs="Times New Roman"/>
          <w:sz w:val="24"/>
          <w:szCs w:val="24"/>
        </w:rPr>
        <w:t>s</w:t>
      </w:r>
      <w:r w:rsidR="00571185" w:rsidRPr="00F6639B">
        <w:rPr>
          <w:rFonts w:ascii="Times New Roman" w:hAnsi="Times New Roman" w:cs="Times New Roman"/>
          <w:sz w:val="24"/>
          <w:szCs w:val="24"/>
        </w:rPr>
        <w:t xml:space="preserve"> d’analyse </w:t>
      </w:r>
      <w:r w:rsidR="00F67BE8" w:rsidRPr="00F6639B">
        <w:rPr>
          <w:rFonts w:ascii="Times New Roman" w:hAnsi="Times New Roman" w:cs="Times New Roman"/>
          <w:sz w:val="24"/>
          <w:szCs w:val="24"/>
        </w:rPr>
        <w:t xml:space="preserve">et </w:t>
      </w:r>
      <w:r w:rsidR="00723E7E" w:rsidRPr="00F6639B">
        <w:rPr>
          <w:rFonts w:ascii="Times New Roman" w:hAnsi="Times New Roman" w:cs="Times New Roman"/>
          <w:sz w:val="24"/>
          <w:szCs w:val="24"/>
        </w:rPr>
        <w:t>un guide</w:t>
      </w:r>
      <w:r w:rsidR="00FB3995" w:rsidRPr="00F6639B">
        <w:rPr>
          <w:rFonts w:ascii="Times New Roman" w:hAnsi="Times New Roman" w:cs="Times New Roman"/>
          <w:sz w:val="24"/>
          <w:szCs w:val="24"/>
        </w:rPr>
        <w:t xml:space="preserve"> disponibles</w:t>
      </w:r>
      <w:r w:rsidR="00397425" w:rsidRPr="00F6639B">
        <w:rPr>
          <w:rFonts w:ascii="Times New Roman" w:hAnsi="Times New Roman" w:cs="Times New Roman"/>
          <w:sz w:val="24"/>
          <w:szCs w:val="24"/>
        </w:rPr>
        <w:t xml:space="preserve"> </w:t>
      </w:r>
      <w:r w:rsidR="00571185" w:rsidRPr="00F6639B">
        <w:rPr>
          <w:rFonts w:ascii="Times New Roman" w:hAnsi="Times New Roman" w:cs="Times New Roman"/>
          <w:sz w:val="24"/>
          <w:szCs w:val="24"/>
        </w:rPr>
        <w:t xml:space="preserve">sur le site internet du </w:t>
      </w:r>
      <w:r w:rsidR="005A28B0" w:rsidRPr="00F6639B">
        <w:rPr>
          <w:rFonts w:ascii="Times New Roman" w:hAnsi="Times New Roman" w:cs="Times New Roman"/>
          <w:sz w:val="24"/>
          <w:szCs w:val="24"/>
        </w:rPr>
        <w:t>ministère</w:t>
      </w:r>
      <w:r w:rsidR="00571185" w:rsidRPr="00F6639B">
        <w:rPr>
          <w:rFonts w:ascii="Times New Roman" w:hAnsi="Times New Roman" w:cs="Times New Roman"/>
          <w:sz w:val="24"/>
          <w:szCs w:val="24"/>
        </w:rPr>
        <w:t xml:space="preserve"> </w:t>
      </w:r>
      <w:r w:rsidR="005A28B0" w:rsidRPr="00F6639B">
        <w:rPr>
          <w:rFonts w:ascii="Times New Roman" w:hAnsi="Times New Roman" w:cs="Times New Roman"/>
          <w:sz w:val="24"/>
          <w:szCs w:val="24"/>
        </w:rPr>
        <w:t>en charge</w:t>
      </w:r>
      <w:r w:rsidR="00571185" w:rsidRPr="00F6639B">
        <w:rPr>
          <w:rFonts w:ascii="Times New Roman" w:hAnsi="Times New Roman" w:cs="Times New Roman"/>
          <w:sz w:val="24"/>
          <w:szCs w:val="24"/>
        </w:rPr>
        <w:t xml:space="preserve"> de l’environnement.</w:t>
      </w:r>
    </w:p>
    <w:p w14:paraId="645E07FA" w14:textId="297FEB6F" w:rsidR="00117582" w:rsidRPr="00F6639B" w:rsidRDefault="00E21D7A" w:rsidP="00612559">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IV. – </w:t>
      </w:r>
      <w:r w:rsidR="00117582" w:rsidRPr="00F6639B">
        <w:rPr>
          <w:rFonts w:ascii="Times New Roman" w:hAnsi="Times New Roman" w:cs="Times New Roman"/>
          <w:sz w:val="24"/>
          <w:szCs w:val="24"/>
        </w:rPr>
        <w:t xml:space="preserve">A l’issue de la vérification de référence, </w:t>
      </w:r>
      <w:r w:rsidR="00117582" w:rsidRPr="00F6639B">
        <w:rPr>
          <w:rFonts w:ascii="Times New Roman" w:hAnsi="Times New Roman" w:cs="Times New Roman"/>
          <w:iCs/>
          <w:sz w:val="24"/>
          <w:szCs w:val="24"/>
        </w:rPr>
        <w:t xml:space="preserve">l’organisme de certification établit un rapport </w:t>
      </w:r>
      <w:r w:rsidR="00117582" w:rsidRPr="00F6639B">
        <w:rPr>
          <w:rFonts w:ascii="Times New Roman" w:hAnsi="Times New Roman" w:cs="Times New Roman"/>
          <w:sz w:val="24"/>
          <w:szCs w:val="24"/>
        </w:rPr>
        <w:t>concluant sur la conformité des éléments transmis avec, le cas échéant, un relevé explicitant les non-conformités</w:t>
      </w:r>
      <w:r w:rsidR="00117582" w:rsidRPr="00F6639B">
        <w:rPr>
          <w:rFonts w:ascii="Times New Roman" w:hAnsi="Times New Roman" w:cs="Times New Roman"/>
          <w:iCs/>
          <w:sz w:val="24"/>
          <w:szCs w:val="24"/>
        </w:rPr>
        <w:t>, qu’il remet à l’entreprise de forage.</w:t>
      </w:r>
      <w:r w:rsidR="00117582" w:rsidRPr="00F6639B">
        <w:rPr>
          <w:rFonts w:ascii="Times New Roman" w:hAnsi="Times New Roman" w:cs="Times New Roman"/>
          <w:sz w:val="24"/>
          <w:szCs w:val="24"/>
        </w:rPr>
        <w:t xml:space="preserve"> </w:t>
      </w:r>
    </w:p>
    <w:p w14:paraId="27A9B896" w14:textId="3ADBD084" w:rsidR="00E21D7A" w:rsidRPr="00F6639B" w:rsidRDefault="00117582" w:rsidP="00612559">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La gestion de ces non-conformités est définie aux articles </w:t>
      </w:r>
      <w:r w:rsidR="00C54D88" w:rsidRPr="00F6639B">
        <w:rPr>
          <w:rFonts w:ascii="Times New Roman" w:hAnsi="Times New Roman" w:cs="Times New Roman"/>
          <w:sz w:val="24"/>
          <w:szCs w:val="24"/>
        </w:rPr>
        <w:t>12</w:t>
      </w:r>
      <w:r w:rsidRPr="00F6639B">
        <w:rPr>
          <w:rFonts w:ascii="Times New Roman" w:hAnsi="Times New Roman" w:cs="Times New Roman"/>
          <w:sz w:val="24"/>
          <w:szCs w:val="24"/>
        </w:rPr>
        <w:t xml:space="preserve"> et </w:t>
      </w:r>
      <w:r w:rsidR="00C54D88" w:rsidRPr="00F6639B">
        <w:rPr>
          <w:rFonts w:ascii="Times New Roman" w:hAnsi="Times New Roman" w:cs="Times New Roman"/>
          <w:sz w:val="24"/>
          <w:szCs w:val="24"/>
        </w:rPr>
        <w:t>13</w:t>
      </w:r>
      <w:r w:rsidRPr="00F6639B">
        <w:rPr>
          <w:rFonts w:ascii="Times New Roman" w:hAnsi="Times New Roman" w:cs="Times New Roman"/>
          <w:sz w:val="24"/>
          <w:szCs w:val="24"/>
        </w:rPr>
        <w:t xml:space="preserve"> du présent arrêté.</w:t>
      </w:r>
    </w:p>
    <w:p w14:paraId="22496CBD" w14:textId="77777777" w:rsidR="00117582" w:rsidRPr="00F6639B" w:rsidRDefault="00117582" w:rsidP="00612559">
      <w:pPr>
        <w:spacing w:after="120" w:line="240" w:lineRule="auto"/>
        <w:jc w:val="both"/>
        <w:rPr>
          <w:rFonts w:ascii="Times New Roman" w:hAnsi="Times New Roman" w:cs="Times New Roman"/>
          <w:sz w:val="24"/>
          <w:szCs w:val="24"/>
        </w:rPr>
      </w:pPr>
    </w:p>
    <w:p w14:paraId="7707F807" w14:textId="26BF93BE" w:rsidR="001D50CA" w:rsidRPr="00F6639B" w:rsidRDefault="007D72B0" w:rsidP="001D50CA">
      <w:pPr>
        <w:spacing w:before="120" w:after="120" w:line="240" w:lineRule="auto"/>
        <w:jc w:val="center"/>
        <w:rPr>
          <w:rFonts w:ascii="Times New Roman" w:hAnsi="Times New Roman" w:cs="Times New Roman"/>
          <w:sz w:val="24"/>
          <w:szCs w:val="24"/>
        </w:rPr>
      </w:pPr>
      <w:r w:rsidRPr="00F6639B">
        <w:rPr>
          <w:rFonts w:ascii="Times New Roman" w:hAnsi="Times New Roman" w:cs="Times New Roman"/>
          <w:b/>
          <w:sz w:val="24"/>
          <w:szCs w:val="24"/>
        </w:rPr>
        <w:t>Art</w:t>
      </w:r>
      <w:r w:rsidR="001D50CA"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117582" w:rsidRPr="00F6639B">
        <w:rPr>
          <w:rFonts w:ascii="Times New Roman" w:hAnsi="Times New Roman" w:cs="Times New Roman"/>
          <w:b/>
          <w:sz w:val="24"/>
          <w:szCs w:val="24"/>
        </w:rPr>
        <w:t>10</w:t>
      </w:r>
    </w:p>
    <w:p w14:paraId="6F1CCD9B" w14:textId="7A8FBB0E" w:rsidR="00E344AE" w:rsidRPr="00F6639B" w:rsidRDefault="00E344AE" w:rsidP="00E344AE">
      <w:pPr>
        <w:spacing w:after="0" w:line="240" w:lineRule="auto"/>
        <w:jc w:val="both"/>
        <w:rPr>
          <w:rFonts w:ascii="Times New Roman" w:hAnsi="Times New Roman" w:cs="Times New Roman"/>
          <w:color w:val="FF0000"/>
          <w:sz w:val="24"/>
          <w:szCs w:val="24"/>
        </w:rPr>
      </w:pPr>
      <w:r w:rsidRPr="00F6639B">
        <w:rPr>
          <w:rFonts w:ascii="Times New Roman" w:hAnsi="Times New Roman" w:cs="Times New Roman"/>
          <w:sz w:val="24"/>
          <w:szCs w:val="24"/>
        </w:rPr>
        <w:t xml:space="preserve">L'examen de la cohérence des volumes de cimentation au regard des chantiers réalisés sur le dernier exercice comptable clos consiste à vérifier que l'entreprise de forage </w:t>
      </w:r>
      <w:r w:rsidR="0096184F" w:rsidRPr="00F6639B">
        <w:rPr>
          <w:rFonts w:ascii="Times New Roman" w:hAnsi="Times New Roman" w:cs="Times New Roman"/>
          <w:sz w:val="24"/>
          <w:szCs w:val="24"/>
        </w:rPr>
        <w:t>met en œuvre une</w:t>
      </w:r>
      <w:r w:rsidR="001906B8" w:rsidRPr="00F6639B">
        <w:rPr>
          <w:rFonts w:ascii="Times New Roman" w:hAnsi="Times New Roman" w:cs="Times New Roman"/>
          <w:sz w:val="24"/>
          <w:szCs w:val="24"/>
        </w:rPr>
        <w:t xml:space="preserve"> cimentation</w:t>
      </w:r>
      <w:r w:rsidR="0096184F" w:rsidRPr="00F6639B">
        <w:rPr>
          <w:rFonts w:ascii="Times New Roman" w:hAnsi="Times New Roman" w:cs="Times New Roman"/>
          <w:sz w:val="24"/>
          <w:szCs w:val="24"/>
        </w:rPr>
        <w:t xml:space="preserve"> permettant de préserver l’environnement </w:t>
      </w:r>
      <w:r w:rsidR="00493A85" w:rsidRPr="00F6639B">
        <w:rPr>
          <w:rFonts w:ascii="Times New Roman" w:hAnsi="Times New Roman" w:cs="Times New Roman"/>
          <w:sz w:val="24"/>
          <w:szCs w:val="24"/>
        </w:rPr>
        <w:t>et</w:t>
      </w:r>
      <w:r w:rsidR="0096184F" w:rsidRPr="00F6639B">
        <w:rPr>
          <w:rFonts w:ascii="Times New Roman" w:hAnsi="Times New Roman" w:cs="Times New Roman"/>
          <w:sz w:val="24"/>
          <w:szCs w:val="24"/>
        </w:rPr>
        <w:t xml:space="preserve"> la pérennité des</w:t>
      </w:r>
      <w:r w:rsidR="001906B8" w:rsidRPr="00F6639B">
        <w:rPr>
          <w:rFonts w:ascii="Times New Roman" w:hAnsi="Times New Roman" w:cs="Times New Roman"/>
          <w:sz w:val="24"/>
          <w:szCs w:val="24"/>
        </w:rPr>
        <w:t xml:space="preserve"> </w:t>
      </w:r>
      <w:r w:rsidR="00D20E29" w:rsidRPr="00F6639B">
        <w:rPr>
          <w:rFonts w:ascii="Times New Roman" w:hAnsi="Times New Roman" w:cs="Times New Roman"/>
          <w:sz w:val="24"/>
          <w:szCs w:val="24"/>
        </w:rPr>
        <w:t>installations</w:t>
      </w:r>
      <w:r w:rsidR="00CE0FE1" w:rsidRPr="00F6639B">
        <w:rPr>
          <w:rFonts w:ascii="Times New Roman" w:hAnsi="Times New Roman" w:cs="Times New Roman"/>
          <w:sz w:val="24"/>
          <w:szCs w:val="24"/>
        </w:rPr>
        <w:t xml:space="preserve"> de géothermie de minime importance</w:t>
      </w:r>
      <w:r w:rsidR="001906B8" w:rsidRPr="00F6639B">
        <w:rPr>
          <w:rFonts w:ascii="Times New Roman" w:hAnsi="Times New Roman" w:cs="Times New Roman"/>
          <w:sz w:val="24"/>
          <w:szCs w:val="24"/>
        </w:rPr>
        <w:t xml:space="preserve"> réalisé</w:t>
      </w:r>
      <w:r w:rsidR="00D20E29" w:rsidRPr="00F6639B">
        <w:rPr>
          <w:rFonts w:ascii="Times New Roman" w:hAnsi="Times New Roman" w:cs="Times New Roman"/>
          <w:sz w:val="24"/>
          <w:szCs w:val="24"/>
        </w:rPr>
        <w:t>e</w:t>
      </w:r>
      <w:r w:rsidR="001906B8" w:rsidRPr="00F6639B">
        <w:rPr>
          <w:rFonts w:ascii="Times New Roman" w:hAnsi="Times New Roman" w:cs="Times New Roman"/>
          <w:sz w:val="24"/>
          <w:szCs w:val="24"/>
        </w:rPr>
        <w:t>s.</w:t>
      </w:r>
    </w:p>
    <w:p w14:paraId="3F08ADBE" w14:textId="77777777" w:rsidR="00E344AE" w:rsidRPr="00F6639B" w:rsidRDefault="00E344AE" w:rsidP="00E344AE">
      <w:pPr>
        <w:spacing w:after="0" w:line="240" w:lineRule="auto"/>
        <w:jc w:val="both"/>
        <w:rPr>
          <w:rFonts w:ascii="Times New Roman" w:hAnsi="Times New Roman" w:cs="Times New Roman"/>
          <w:color w:val="FF0000"/>
          <w:sz w:val="24"/>
          <w:szCs w:val="24"/>
        </w:rPr>
      </w:pPr>
    </w:p>
    <w:p w14:paraId="1F870E3A" w14:textId="2CB2F98D" w:rsidR="001906B8" w:rsidRPr="00F6639B" w:rsidRDefault="00E344AE" w:rsidP="00117582">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Dans ce cadre, l’organisme de certification demande à l'entreprise de forage de lui transmettre</w:t>
      </w:r>
      <w:r w:rsidR="0096184F" w:rsidRPr="00F6639B">
        <w:rPr>
          <w:rFonts w:ascii="Times New Roman" w:hAnsi="Times New Roman" w:cs="Times New Roman"/>
          <w:sz w:val="24"/>
          <w:szCs w:val="24"/>
        </w:rPr>
        <w:t xml:space="preserve"> pour chaque chantier réalisé au cours du dernier exercice comptable clos</w:t>
      </w:r>
      <w:r w:rsidR="001906B8" w:rsidRPr="00F6639B">
        <w:rPr>
          <w:rFonts w:ascii="Times New Roman" w:hAnsi="Times New Roman" w:cs="Times New Roman"/>
          <w:sz w:val="24"/>
          <w:szCs w:val="24"/>
        </w:rPr>
        <w:t> :</w:t>
      </w:r>
    </w:p>
    <w:p w14:paraId="4AFFC433" w14:textId="36258494" w:rsidR="001925DA" w:rsidRPr="00F6639B" w:rsidRDefault="007807EC" w:rsidP="001925DA">
      <w:pPr>
        <w:spacing w:after="0" w:line="240" w:lineRule="auto"/>
        <w:jc w:val="both"/>
        <w:rPr>
          <w:rFonts w:ascii="Times New Roman" w:hAnsi="Times New Roman" w:cs="Times New Roman"/>
          <w:sz w:val="24"/>
          <w:szCs w:val="24"/>
        </w:rPr>
      </w:pPr>
      <w:r w:rsidRPr="00F6639B">
        <w:rPr>
          <w:rFonts w:ascii="Times New Roman" w:hAnsi="Times New Roman" w:cs="Times New Roman"/>
          <w:sz w:val="24"/>
          <w:szCs w:val="24"/>
        </w:rPr>
        <w:t>-</w:t>
      </w:r>
      <w:r w:rsidR="001925DA" w:rsidRPr="00F6639B">
        <w:rPr>
          <w:rFonts w:ascii="Times New Roman" w:hAnsi="Times New Roman" w:cs="Times New Roman"/>
          <w:sz w:val="24"/>
          <w:szCs w:val="24"/>
        </w:rPr>
        <w:t xml:space="preserve"> pour les entreprises certifiées pour le « module nappe » : la longueur de forage géothermique, la longueur cimentée et le diamètre de </w:t>
      </w:r>
      <w:proofErr w:type="spellStart"/>
      <w:r w:rsidR="001925DA" w:rsidRPr="00F6639B">
        <w:rPr>
          <w:rFonts w:ascii="Times New Roman" w:hAnsi="Times New Roman" w:cs="Times New Roman"/>
          <w:sz w:val="24"/>
          <w:szCs w:val="24"/>
        </w:rPr>
        <w:t>foration</w:t>
      </w:r>
      <w:proofErr w:type="spellEnd"/>
      <w:r w:rsidR="001925DA" w:rsidRPr="00F6639B">
        <w:rPr>
          <w:rFonts w:ascii="Times New Roman" w:hAnsi="Times New Roman" w:cs="Times New Roman"/>
          <w:sz w:val="24"/>
          <w:szCs w:val="24"/>
        </w:rPr>
        <w:t xml:space="preserve"> ; </w:t>
      </w:r>
    </w:p>
    <w:p w14:paraId="5116AB66" w14:textId="12552A40" w:rsidR="001925DA" w:rsidRPr="00F6639B" w:rsidRDefault="001925DA" w:rsidP="001925DA">
      <w:pPr>
        <w:spacing w:after="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pour les entreprises certifiées pour le « module sonde » : la longueur de forage géothermique et le diamètre de </w:t>
      </w:r>
      <w:proofErr w:type="spellStart"/>
      <w:r w:rsidRPr="00F6639B">
        <w:rPr>
          <w:rFonts w:ascii="Times New Roman" w:hAnsi="Times New Roman" w:cs="Times New Roman"/>
          <w:sz w:val="24"/>
          <w:szCs w:val="24"/>
        </w:rPr>
        <w:t>foration</w:t>
      </w:r>
      <w:proofErr w:type="spellEnd"/>
      <w:r w:rsidRPr="00F6639B">
        <w:rPr>
          <w:rFonts w:ascii="Times New Roman" w:hAnsi="Times New Roman" w:cs="Times New Roman"/>
          <w:sz w:val="24"/>
          <w:szCs w:val="24"/>
        </w:rPr>
        <w:t xml:space="preserve"> ; </w:t>
      </w:r>
    </w:p>
    <w:p w14:paraId="40DAE17F" w14:textId="585BE8DF" w:rsidR="001906B8" w:rsidRPr="00F6639B" w:rsidRDefault="00117582" w:rsidP="00117582">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1906B8" w:rsidRPr="00F6639B">
        <w:rPr>
          <w:rFonts w:ascii="Times New Roman" w:hAnsi="Times New Roman" w:cs="Times New Roman"/>
          <w:sz w:val="24"/>
          <w:szCs w:val="24"/>
        </w:rPr>
        <w:t xml:space="preserve">la quantité totale de ciment achetée durant le dernier exercice comptable clos. </w:t>
      </w:r>
    </w:p>
    <w:p w14:paraId="1353822E" w14:textId="77777777" w:rsidR="00385AB3" w:rsidRPr="00F6639B" w:rsidRDefault="00385AB3" w:rsidP="001906B8">
      <w:pPr>
        <w:spacing w:after="0" w:line="240" w:lineRule="auto"/>
        <w:jc w:val="both"/>
        <w:rPr>
          <w:rFonts w:ascii="Times New Roman" w:hAnsi="Times New Roman" w:cs="Times New Roman"/>
          <w:sz w:val="24"/>
          <w:szCs w:val="24"/>
        </w:rPr>
      </w:pPr>
    </w:p>
    <w:p w14:paraId="3BBB6847" w14:textId="6FA63BC7" w:rsidR="00385AB3" w:rsidRPr="00F6639B" w:rsidRDefault="00A52B66" w:rsidP="001906B8">
      <w:pPr>
        <w:spacing w:after="0" w:line="240" w:lineRule="auto"/>
        <w:jc w:val="both"/>
        <w:rPr>
          <w:rFonts w:ascii="Times New Roman" w:hAnsi="Times New Roman" w:cs="Times New Roman"/>
          <w:sz w:val="24"/>
          <w:szCs w:val="24"/>
        </w:rPr>
      </w:pPr>
      <w:r w:rsidRPr="00F6639B">
        <w:rPr>
          <w:rFonts w:ascii="Times New Roman" w:hAnsi="Times New Roman" w:cs="Times New Roman"/>
          <w:sz w:val="24"/>
          <w:szCs w:val="24"/>
        </w:rPr>
        <w:t>A partir des éléments transmis</w:t>
      </w:r>
      <w:r w:rsidR="00D20E29" w:rsidRPr="00F6639B">
        <w:rPr>
          <w:rFonts w:ascii="Times New Roman" w:hAnsi="Times New Roman" w:cs="Times New Roman"/>
          <w:sz w:val="24"/>
          <w:szCs w:val="24"/>
        </w:rPr>
        <w:t>, l</w:t>
      </w:r>
      <w:r w:rsidR="00E344AE" w:rsidRPr="00F6639B">
        <w:rPr>
          <w:rFonts w:ascii="Times New Roman" w:hAnsi="Times New Roman" w:cs="Times New Roman"/>
          <w:sz w:val="24"/>
          <w:szCs w:val="24"/>
        </w:rPr>
        <w:t>'organisme de certification évalue la cohérence</w:t>
      </w:r>
      <w:r w:rsidR="00385AB3" w:rsidRPr="00F6639B">
        <w:rPr>
          <w:rFonts w:ascii="Times New Roman" w:hAnsi="Times New Roman" w:cs="Times New Roman"/>
          <w:sz w:val="24"/>
          <w:szCs w:val="24"/>
        </w:rPr>
        <w:t> :</w:t>
      </w:r>
    </w:p>
    <w:p w14:paraId="106449B1" w14:textId="5750459E" w:rsidR="00385AB3" w:rsidRPr="00F6639B" w:rsidRDefault="00385AB3" w:rsidP="001906B8">
      <w:pPr>
        <w:spacing w:after="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541C1F" w:rsidRPr="00F6639B">
        <w:rPr>
          <w:rFonts w:ascii="Times New Roman" w:hAnsi="Times New Roman" w:cs="Times New Roman"/>
          <w:sz w:val="24"/>
          <w:szCs w:val="24"/>
        </w:rPr>
        <w:t>de</w:t>
      </w:r>
      <w:r w:rsidR="001906B8" w:rsidRPr="00F6639B">
        <w:rPr>
          <w:rFonts w:ascii="Times New Roman" w:hAnsi="Times New Roman" w:cs="Times New Roman"/>
          <w:sz w:val="24"/>
          <w:szCs w:val="24"/>
        </w:rPr>
        <w:t xml:space="preserve"> </w:t>
      </w:r>
      <w:r w:rsidR="007807EC" w:rsidRPr="00F6639B">
        <w:rPr>
          <w:rFonts w:ascii="Times New Roman" w:hAnsi="Times New Roman" w:cs="Times New Roman"/>
          <w:sz w:val="24"/>
          <w:szCs w:val="24"/>
        </w:rPr>
        <w:t>la longueur totale cimentée par rapport à la longueur totale forée</w:t>
      </w:r>
      <w:r w:rsidRPr="00F6639B">
        <w:rPr>
          <w:rFonts w:ascii="Times New Roman" w:hAnsi="Times New Roman" w:cs="Times New Roman"/>
          <w:sz w:val="24"/>
          <w:szCs w:val="24"/>
        </w:rPr>
        <w:t>,</w:t>
      </w:r>
    </w:p>
    <w:p w14:paraId="3DD91A86" w14:textId="17DEFDE6" w:rsidR="00385AB3" w:rsidRPr="00F6639B" w:rsidRDefault="00385AB3" w:rsidP="001906B8">
      <w:pPr>
        <w:spacing w:after="0" w:line="240" w:lineRule="auto"/>
        <w:jc w:val="both"/>
        <w:rPr>
          <w:rFonts w:ascii="Times New Roman" w:hAnsi="Times New Roman" w:cs="Times New Roman"/>
          <w:sz w:val="24"/>
          <w:szCs w:val="24"/>
        </w:rPr>
      </w:pPr>
      <w:r w:rsidRPr="00F6639B">
        <w:rPr>
          <w:rFonts w:ascii="Times New Roman" w:hAnsi="Times New Roman" w:cs="Times New Roman"/>
          <w:sz w:val="24"/>
          <w:szCs w:val="24"/>
        </w:rPr>
        <w:t>-</w:t>
      </w:r>
      <w:r w:rsidR="007807EC" w:rsidRPr="00F6639B">
        <w:rPr>
          <w:rFonts w:ascii="Times New Roman" w:hAnsi="Times New Roman" w:cs="Times New Roman"/>
          <w:sz w:val="24"/>
          <w:szCs w:val="24"/>
        </w:rPr>
        <w:t xml:space="preserve"> </w:t>
      </w:r>
      <w:r w:rsidR="00541C1F" w:rsidRPr="00F6639B">
        <w:rPr>
          <w:rFonts w:ascii="Times New Roman" w:hAnsi="Times New Roman" w:cs="Times New Roman"/>
          <w:sz w:val="24"/>
          <w:szCs w:val="24"/>
        </w:rPr>
        <w:t>de</w:t>
      </w:r>
      <w:r w:rsidR="007807EC" w:rsidRPr="00F6639B">
        <w:rPr>
          <w:rFonts w:ascii="Times New Roman" w:hAnsi="Times New Roman" w:cs="Times New Roman"/>
          <w:sz w:val="24"/>
          <w:szCs w:val="24"/>
        </w:rPr>
        <w:t xml:space="preserve"> </w:t>
      </w:r>
      <w:r w:rsidRPr="00F6639B">
        <w:rPr>
          <w:rFonts w:ascii="Times New Roman" w:hAnsi="Times New Roman" w:cs="Times New Roman"/>
          <w:sz w:val="24"/>
          <w:szCs w:val="24"/>
        </w:rPr>
        <w:t>la quantité</w:t>
      </w:r>
      <w:r w:rsidR="00A52B66" w:rsidRPr="00F6639B">
        <w:rPr>
          <w:rFonts w:ascii="Times New Roman" w:hAnsi="Times New Roman" w:cs="Times New Roman"/>
          <w:sz w:val="24"/>
          <w:szCs w:val="24"/>
        </w:rPr>
        <w:t xml:space="preserve"> de ciment</w:t>
      </w:r>
      <w:r w:rsidR="00541C1F" w:rsidRPr="00F6639B">
        <w:rPr>
          <w:rFonts w:ascii="Times New Roman" w:hAnsi="Times New Roman" w:cs="Times New Roman"/>
          <w:sz w:val="24"/>
          <w:szCs w:val="24"/>
        </w:rPr>
        <w:t xml:space="preserve"> achetée par rapport aux chantiers réalisés</w:t>
      </w:r>
      <w:r w:rsidR="001906B8" w:rsidRPr="00F6639B">
        <w:rPr>
          <w:rFonts w:ascii="Times New Roman" w:hAnsi="Times New Roman" w:cs="Times New Roman"/>
          <w:sz w:val="24"/>
          <w:szCs w:val="24"/>
        </w:rPr>
        <w:t>.</w:t>
      </w:r>
      <w:r w:rsidR="00A52B66" w:rsidRPr="00F6639B">
        <w:rPr>
          <w:rFonts w:ascii="Times New Roman" w:hAnsi="Times New Roman" w:cs="Times New Roman"/>
          <w:sz w:val="24"/>
          <w:szCs w:val="24"/>
        </w:rPr>
        <w:t xml:space="preserve"> </w:t>
      </w:r>
    </w:p>
    <w:p w14:paraId="1D3C8AE9" w14:textId="77777777" w:rsidR="00E440E2" w:rsidRPr="00F6639B" w:rsidRDefault="00E440E2" w:rsidP="001906B8">
      <w:pPr>
        <w:spacing w:after="0" w:line="240" w:lineRule="auto"/>
        <w:jc w:val="both"/>
        <w:rPr>
          <w:rFonts w:ascii="Times New Roman" w:hAnsi="Times New Roman" w:cs="Times New Roman"/>
          <w:sz w:val="24"/>
          <w:szCs w:val="24"/>
        </w:rPr>
      </w:pPr>
    </w:p>
    <w:p w14:paraId="79C5E798" w14:textId="60BF12AE" w:rsidR="00A52B66" w:rsidRPr="00F6639B" w:rsidRDefault="00117582" w:rsidP="001906B8">
      <w:pPr>
        <w:spacing w:after="0" w:line="240" w:lineRule="auto"/>
        <w:jc w:val="both"/>
        <w:rPr>
          <w:rFonts w:ascii="Times New Roman" w:hAnsi="Times New Roman" w:cs="Times New Roman"/>
          <w:sz w:val="24"/>
          <w:szCs w:val="24"/>
        </w:rPr>
      </w:pPr>
      <w:r w:rsidRPr="00F6639B">
        <w:rPr>
          <w:rFonts w:ascii="Times New Roman" w:hAnsi="Times New Roman" w:cs="Times New Roman"/>
          <w:sz w:val="24"/>
          <w:szCs w:val="24"/>
        </w:rPr>
        <w:t>L’organisme</w:t>
      </w:r>
      <w:r w:rsidR="001906B8" w:rsidRPr="00F6639B">
        <w:rPr>
          <w:rFonts w:ascii="Times New Roman" w:hAnsi="Times New Roman" w:cs="Times New Roman"/>
          <w:sz w:val="24"/>
          <w:szCs w:val="24"/>
        </w:rPr>
        <w:t xml:space="preserve"> de certification peut être amené à demander des informations complémentaires</w:t>
      </w:r>
      <w:r w:rsidR="00A52B66" w:rsidRPr="00F6639B">
        <w:rPr>
          <w:rFonts w:ascii="Times New Roman" w:hAnsi="Times New Roman" w:cs="Times New Roman"/>
          <w:sz w:val="24"/>
          <w:szCs w:val="24"/>
        </w:rPr>
        <w:t>.</w:t>
      </w:r>
    </w:p>
    <w:p w14:paraId="0A940D03" w14:textId="4DDCC6EA" w:rsidR="00A52B66" w:rsidRPr="00F6639B" w:rsidRDefault="00A52B66" w:rsidP="001906B8">
      <w:pPr>
        <w:spacing w:after="0" w:line="240" w:lineRule="auto"/>
        <w:jc w:val="both"/>
        <w:rPr>
          <w:rFonts w:ascii="Times New Roman" w:hAnsi="Times New Roman" w:cs="Times New Roman"/>
          <w:color w:val="FF0000"/>
          <w:sz w:val="24"/>
          <w:szCs w:val="24"/>
        </w:rPr>
      </w:pPr>
    </w:p>
    <w:p w14:paraId="29C7E908" w14:textId="3622AFEF" w:rsidR="00117582" w:rsidRPr="00F6639B" w:rsidRDefault="00117582" w:rsidP="001906B8">
      <w:pPr>
        <w:spacing w:after="0" w:line="240" w:lineRule="auto"/>
        <w:jc w:val="both"/>
        <w:rPr>
          <w:rFonts w:ascii="Times New Roman" w:hAnsi="Times New Roman" w:cs="Times New Roman"/>
          <w:iCs/>
          <w:sz w:val="24"/>
          <w:szCs w:val="24"/>
        </w:rPr>
      </w:pPr>
      <w:r w:rsidRPr="00F6639B">
        <w:rPr>
          <w:rFonts w:ascii="Times New Roman" w:hAnsi="Times New Roman" w:cs="Times New Roman"/>
          <w:sz w:val="24"/>
          <w:szCs w:val="24"/>
        </w:rPr>
        <w:t xml:space="preserve">A l’issue de cet examen, </w:t>
      </w:r>
      <w:r w:rsidRPr="00F6639B">
        <w:rPr>
          <w:rFonts w:ascii="Times New Roman" w:hAnsi="Times New Roman" w:cs="Times New Roman"/>
          <w:iCs/>
          <w:sz w:val="24"/>
          <w:szCs w:val="24"/>
        </w:rPr>
        <w:t>l’organisme de certification indique à l’entreprise de forage, dans les modalités qu’il aura définies, les éventuels écarts constatés</w:t>
      </w:r>
      <w:r w:rsidR="001925DA" w:rsidRPr="00F6639B">
        <w:rPr>
          <w:rFonts w:ascii="Times New Roman" w:hAnsi="Times New Roman" w:cs="Times New Roman"/>
          <w:iCs/>
          <w:sz w:val="24"/>
          <w:szCs w:val="24"/>
        </w:rPr>
        <w:t xml:space="preserve"> </w:t>
      </w:r>
      <w:r w:rsidR="00385AB3" w:rsidRPr="00F6639B">
        <w:rPr>
          <w:rFonts w:ascii="Times New Roman" w:hAnsi="Times New Roman" w:cs="Times New Roman"/>
          <w:iCs/>
          <w:sz w:val="24"/>
          <w:szCs w:val="24"/>
        </w:rPr>
        <w:t>selon les modalités définies aux articles 12 et 13</w:t>
      </w:r>
      <w:r w:rsidR="001D50CA" w:rsidRPr="00F6639B">
        <w:rPr>
          <w:rFonts w:ascii="Times New Roman" w:hAnsi="Times New Roman" w:cs="Times New Roman"/>
          <w:iCs/>
          <w:sz w:val="24"/>
          <w:szCs w:val="24"/>
        </w:rPr>
        <w:t xml:space="preserve"> </w:t>
      </w:r>
      <w:r w:rsidR="00385AB3" w:rsidRPr="00F6639B">
        <w:rPr>
          <w:rFonts w:ascii="Times New Roman" w:hAnsi="Times New Roman" w:cs="Times New Roman"/>
          <w:iCs/>
          <w:sz w:val="24"/>
          <w:szCs w:val="24"/>
        </w:rPr>
        <w:t>du présent arrêté</w:t>
      </w:r>
      <w:r w:rsidRPr="00F6639B">
        <w:rPr>
          <w:rFonts w:ascii="Times New Roman" w:hAnsi="Times New Roman" w:cs="Times New Roman"/>
          <w:iCs/>
          <w:sz w:val="24"/>
          <w:szCs w:val="24"/>
        </w:rPr>
        <w:t xml:space="preserve">. </w:t>
      </w:r>
    </w:p>
    <w:p w14:paraId="41D66DA7" w14:textId="6AEE5620" w:rsidR="007D72B0" w:rsidRPr="00F6639B" w:rsidRDefault="007D72B0" w:rsidP="001906B8">
      <w:pPr>
        <w:pStyle w:val="Commentaire"/>
        <w:rPr>
          <w:rFonts w:ascii="Times New Roman" w:hAnsi="Times New Roman" w:cs="Times New Roman"/>
          <w:b/>
          <w:sz w:val="24"/>
          <w:szCs w:val="24"/>
        </w:rPr>
      </w:pPr>
    </w:p>
    <w:p w14:paraId="33200C82" w14:textId="4F36AC18" w:rsidR="001D50CA" w:rsidRPr="00F6639B" w:rsidRDefault="00E21D7A" w:rsidP="001D50CA">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1D50CA"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EC6397" w:rsidRPr="00F6639B">
        <w:rPr>
          <w:rFonts w:ascii="Times New Roman" w:hAnsi="Times New Roman" w:cs="Times New Roman"/>
          <w:b/>
          <w:sz w:val="24"/>
          <w:szCs w:val="24"/>
        </w:rPr>
        <w:t>1</w:t>
      </w:r>
      <w:r w:rsidR="000A3243" w:rsidRPr="00F6639B">
        <w:rPr>
          <w:rFonts w:ascii="Times New Roman" w:hAnsi="Times New Roman" w:cs="Times New Roman"/>
          <w:b/>
          <w:sz w:val="24"/>
          <w:szCs w:val="24"/>
        </w:rPr>
        <w:t>1</w:t>
      </w:r>
    </w:p>
    <w:p w14:paraId="1A2976FC" w14:textId="629CC435" w:rsidR="000A3243" w:rsidRPr="00F6639B" w:rsidRDefault="00E21D7A" w:rsidP="00612559">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L’absence de transposition de l’une des exigences du référentiel de certification dans les documents d’organisation de l’entreprise, ou la non-satisfaction à l’une des exigences du référentiel de certification ou des documents d’organisation mis en place pour s’assurer du respect du référentiel de certification est considérée comme une non-conformité.</w:t>
      </w:r>
      <w:r w:rsidR="00372203" w:rsidRPr="00F6639B">
        <w:rPr>
          <w:rFonts w:ascii="Times New Roman" w:hAnsi="Times New Roman" w:cs="Times New Roman"/>
          <w:sz w:val="24"/>
          <w:szCs w:val="24"/>
        </w:rPr>
        <w:t xml:space="preserve"> </w:t>
      </w:r>
    </w:p>
    <w:p w14:paraId="686A6AD2" w14:textId="77777777" w:rsidR="004003F2" w:rsidRPr="00F6639B" w:rsidRDefault="004003F2" w:rsidP="004003F2">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Le classement des non-conformités (majeure, mineure) est fixé dans des grilles d’analyse et un guide disponibles sur le site du ministère en charge de l’environnement.</w:t>
      </w:r>
    </w:p>
    <w:p w14:paraId="3900B0B1" w14:textId="77777777" w:rsidR="00DF53A5" w:rsidRPr="00F6639B" w:rsidRDefault="00DF53A5" w:rsidP="00612559">
      <w:pPr>
        <w:spacing w:after="120" w:line="240" w:lineRule="auto"/>
        <w:jc w:val="both"/>
        <w:rPr>
          <w:rFonts w:ascii="Times New Roman" w:hAnsi="Times New Roman" w:cs="Times New Roman"/>
          <w:sz w:val="24"/>
          <w:szCs w:val="24"/>
        </w:rPr>
      </w:pPr>
    </w:p>
    <w:p w14:paraId="63394C06" w14:textId="13F6E90C" w:rsidR="001D50CA" w:rsidRPr="00F6639B" w:rsidRDefault="00E21D7A" w:rsidP="00E440E2">
      <w:pPr>
        <w:spacing w:before="120" w:after="120" w:line="240" w:lineRule="auto"/>
        <w:jc w:val="center"/>
        <w:rPr>
          <w:rFonts w:ascii="Times New Roman" w:hAnsi="Times New Roman" w:cs="Times New Roman"/>
          <w:sz w:val="24"/>
          <w:szCs w:val="24"/>
        </w:rPr>
      </w:pPr>
      <w:r w:rsidRPr="00F6639B">
        <w:rPr>
          <w:rFonts w:ascii="Times New Roman" w:hAnsi="Times New Roman" w:cs="Times New Roman"/>
          <w:b/>
          <w:sz w:val="24"/>
          <w:szCs w:val="24"/>
        </w:rPr>
        <w:t>Art</w:t>
      </w:r>
      <w:r w:rsidR="001D50CA" w:rsidRPr="00F6639B">
        <w:rPr>
          <w:rFonts w:ascii="Times New Roman" w:hAnsi="Times New Roman" w:cs="Times New Roman"/>
          <w:b/>
          <w:sz w:val="24"/>
          <w:szCs w:val="24"/>
        </w:rPr>
        <w:t xml:space="preserve">icle </w:t>
      </w:r>
      <w:r w:rsidR="000A3243" w:rsidRPr="00F6639B">
        <w:rPr>
          <w:rFonts w:ascii="Times New Roman" w:hAnsi="Times New Roman" w:cs="Times New Roman"/>
          <w:b/>
          <w:sz w:val="24"/>
          <w:szCs w:val="24"/>
        </w:rPr>
        <w:t>12</w:t>
      </w:r>
    </w:p>
    <w:p w14:paraId="79BFD7BE" w14:textId="6BC44288" w:rsidR="000A3243" w:rsidRPr="00F6639B" w:rsidRDefault="0099392E" w:rsidP="000A3243">
      <w:pPr>
        <w:spacing w:after="0" w:line="240" w:lineRule="auto"/>
        <w:jc w:val="both"/>
        <w:rPr>
          <w:rFonts w:ascii="Times New Roman" w:hAnsi="Times New Roman" w:cs="Times New Roman"/>
          <w:sz w:val="24"/>
          <w:szCs w:val="24"/>
        </w:rPr>
      </w:pPr>
      <w:r w:rsidRPr="00F6639B">
        <w:rPr>
          <w:rFonts w:ascii="Times New Roman" w:hAnsi="Times New Roman" w:cs="Times New Roman"/>
          <w:sz w:val="24"/>
          <w:szCs w:val="24"/>
        </w:rPr>
        <w:t>I.</w:t>
      </w:r>
      <w:r w:rsidRPr="00F6639B">
        <w:rPr>
          <w:rFonts w:ascii="Times New Roman" w:hAnsi="Times New Roman" w:cs="Times New Roman"/>
          <w:b/>
          <w:sz w:val="24"/>
          <w:szCs w:val="24"/>
        </w:rPr>
        <w:t xml:space="preserve"> </w:t>
      </w:r>
      <w:r w:rsidRPr="00F6639B">
        <w:rPr>
          <w:rFonts w:ascii="Times New Roman" w:hAnsi="Times New Roman" w:cs="Times New Roman"/>
          <w:sz w:val="24"/>
          <w:szCs w:val="24"/>
        </w:rPr>
        <w:t>–</w:t>
      </w:r>
      <w:r w:rsidR="000A3243" w:rsidRPr="00F6639B">
        <w:rPr>
          <w:rFonts w:ascii="Times New Roman" w:hAnsi="Times New Roman" w:cs="Times New Roman"/>
          <w:sz w:val="24"/>
          <w:szCs w:val="24"/>
        </w:rPr>
        <w:t xml:space="preserve"> Les non-conformités sont notifiées par l’organisme de certification, selon les modalités définies aux articles </w:t>
      </w:r>
      <w:r w:rsidR="00C54D88" w:rsidRPr="00F6639B">
        <w:rPr>
          <w:rFonts w:ascii="Times New Roman" w:hAnsi="Times New Roman" w:cs="Times New Roman"/>
          <w:sz w:val="24"/>
          <w:szCs w:val="24"/>
        </w:rPr>
        <w:t>8</w:t>
      </w:r>
      <w:r w:rsidR="000A3243" w:rsidRPr="00F6639B">
        <w:rPr>
          <w:rFonts w:ascii="Times New Roman" w:hAnsi="Times New Roman" w:cs="Times New Roman"/>
          <w:sz w:val="24"/>
          <w:szCs w:val="24"/>
        </w:rPr>
        <w:t xml:space="preserve">, </w:t>
      </w:r>
      <w:r w:rsidR="00C54D88" w:rsidRPr="00F6639B">
        <w:rPr>
          <w:rFonts w:ascii="Times New Roman" w:hAnsi="Times New Roman" w:cs="Times New Roman"/>
          <w:sz w:val="24"/>
          <w:szCs w:val="24"/>
        </w:rPr>
        <w:t>9</w:t>
      </w:r>
      <w:r w:rsidR="000A3243" w:rsidRPr="00F6639B">
        <w:rPr>
          <w:rFonts w:ascii="Times New Roman" w:hAnsi="Times New Roman" w:cs="Times New Roman"/>
          <w:sz w:val="24"/>
          <w:szCs w:val="24"/>
        </w:rPr>
        <w:t xml:space="preserve"> et </w:t>
      </w:r>
      <w:r w:rsidR="00C54D88" w:rsidRPr="00F6639B">
        <w:rPr>
          <w:rFonts w:ascii="Times New Roman" w:hAnsi="Times New Roman" w:cs="Times New Roman"/>
          <w:sz w:val="24"/>
          <w:szCs w:val="24"/>
        </w:rPr>
        <w:t>10</w:t>
      </w:r>
      <w:r w:rsidR="000A3243" w:rsidRPr="00F6639B">
        <w:rPr>
          <w:rFonts w:ascii="Times New Roman" w:hAnsi="Times New Roman" w:cs="Times New Roman"/>
          <w:sz w:val="24"/>
          <w:szCs w:val="24"/>
        </w:rPr>
        <w:t>.</w:t>
      </w:r>
    </w:p>
    <w:p w14:paraId="0E0A9752" w14:textId="77777777" w:rsidR="001925DA" w:rsidRPr="00F6639B" w:rsidRDefault="001925DA" w:rsidP="000A3243">
      <w:pPr>
        <w:spacing w:after="0" w:line="240" w:lineRule="auto"/>
        <w:jc w:val="both"/>
        <w:rPr>
          <w:rFonts w:ascii="Times New Roman" w:hAnsi="Times New Roman" w:cs="Times New Roman"/>
          <w:sz w:val="24"/>
          <w:szCs w:val="24"/>
        </w:rPr>
      </w:pPr>
    </w:p>
    <w:p w14:paraId="75A4010E" w14:textId="02572178" w:rsidR="00456B62" w:rsidRPr="00F6639B" w:rsidRDefault="000667B8" w:rsidP="000A3243">
      <w:pPr>
        <w:spacing w:after="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II. – </w:t>
      </w:r>
      <w:r w:rsidR="000A3243" w:rsidRPr="00F6639B">
        <w:rPr>
          <w:rFonts w:ascii="Times New Roman" w:hAnsi="Times New Roman" w:cs="Times New Roman"/>
          <w:sz w:val="24"/>
          <w:szCs w:val="24"/>
        </w:rPr>
        <w:t xml:space="preserve">Toute non-conformité notifiée fait l’objet d’une réponse à l’organisme de certification. Dans un délai maximal d’un mois qui suit la </w:t>
      </w:r>
      <w:r w:rsidR="00D56399" w:rsidRPr="00F6639B">
        <w:rPr>
          <w:rFonts w:ascii="Times New Roman" w:hAnsi="Times New Roman" w:cs="Times New Roman"/>
          <w:sz w:val="24"/>
          <w:szCs w:val="24"/>
        </w:rPr>
        <w:t xml:space="preserve">notification </w:t>
      </w:r>
      <w:r w:rsidR="000A3243" w:rsidRPr="00F6639B">
        <w:rPr>
          <w:rFonts w:ascii="Times New Roman" w:hAnsi="Times New Roman" w:cs="Times New Roman"/>
          <w:sz w:val="24"/>
          <w:szCs w:val="24"/>
        </w:rPr>
        <w:t>des non-conformités, l’entreprise de forage transmet à l’organisme de certification un plan d’actions pour répondre à chaque non-conformité majeure ou mineure.</w:t>
      </w:r>
    </w:p>
    <w:p w14:paraId="5128B3C6" w14:textId="77777777" w:rsidR="000667B8" w:rsidRPr="00F6639B" w:rsidRDefault="000667B8" w:rsidP="000A3243">
      <w:pPr>
        <w:spacing w:after="0" w:line="240" w:lineRule="auto"/>
        <w:jc w:val="both"/>
        <w:rPr>
          <w:rFonts w:ascii="Times New Roman" w:hAnsi="Times New Roman" w:cs="Times New Roman"/>
          <w:sz w:val="24"/>
          <w:szCs w:val="24"/>
        </w:rPr>
      </w:pPr>
    </w:p>
    <w:p w14:paraId="31B8A071" w14:textId="119C0AEB" w:rsidR="0099392E" w:rsidRPr="00F6639B" w:rsidRDefault="00456B62" w:rsidP="0099392E">
      <w:pPr>
        <w:spacing w:after="0" w:line="240" w:lineRule="auto"/>
        <w:jc w:val="both"/>
        <w:rPr>
          <w:rFonts w:ascii="Times New Roman" w:hAnsi="Times New Roman" w:cs="Times New Roman"/>
          <w:sz w:val="24"/>
          <w:szCs w:val="24"/>
        </w:rPr>
      </w:pPr>
      <w:r w:rsidRPr="00F6639B">
        <w:rPr>
          <w:rFonts w:ascii="Times New Roman" w:hAnsi="Times New Roman" w:cs="Times New Roman"/>
          <w:sz w:val="24"/>
          <w:szCs w:val="24"/>
        </w:rPr>
        <w:t>L</w:t>
      </w:r>
      <w:r w:rsidR="0099392E" w:rsidRPr="00F6639B">
        <w:rPr>
          <w:rFonts w:ascii="Times New Roman" w:hAnsi="Times New Roman" w:cs="Times New Roman"/>
          <w:sz w:val="24"/>
          <w:szCs w:val="24"/>
        </w:rPr>
        <w:t xml:space="preserve">e plan d’actions doit comprendre des actions pour corriger </w:t>
      </w:r>
      <w:r w:rsidR="007E5EE9" w:rsidRPr="00F6639B">
        <w:rPr>
          <w:rFonts w:ascii="Times New Roman" w:hAnsi="Times New Roman" w:cs="Times New Roman"/>
          <w:sz w:val="24"/>
          <w:szCs w:val="24"/>
        </w:rPr>
        <w:t>les écarts</w:t>
      </w:r>
      <w:r w:rsidR="0099392E" w:rsidRPr="00F6639B">
        <w:rPr>
          <w:rFonts w:ascii="Times New Roman" w:hAnsi="Times New Roman" w:cs="Times New Roman"/>
          <w:sz w:val="24"/>
          <w:szCs w:val="24"/>
        </w:rPr>
        <w:t xml:space="preserve"> et des actions correctives</w:t>
      </w:r>
      <w:r w:rsidR="00D56399" w:rsidRPr="00F6639B">
        <w:rPr>
          <w:rFonts w:ascii="Times New Roman" w:hAnsi="Times New Roman" w:cs="Times New Roman"/>
          <w:sz w:val="24"/>
          <w:szCs w:val="24"/>
        </w:rPr>
        <w:t>.</w:t>
      </w:r>
      <w:r w:rsidR="0099392E" w:rsidRPr="00F6639B">
        <w:rPr>
          <w:rFonts w:ascii="Times New Roman" w:hAnsi="Times New Roman" w:cs="Times New Roman"/>
          <w:sz w:val="24"/>
          <w:szCs w:val="24"/>
        </w:rPr>
        <w:t xml:space="preserve"> Il est évalué par l’organisme de certification afin de déterminer si le plan d’actions est pertinent, avant de prendre une décision </w:t>
      </w:r>
      <w:r w:rsidR="00C17BDB" w:rsidRPr="00F6639B">
        <w:rPr>
          <w:rFonts w:ascii="Times New Roman" w:hAnsi="Times New Roman" w:cs="Times New Roman"/>
          <w:sz w:val="24"/>
          <w:szCs w:val="24"/>
        </w:rPr>
        <w:t xml:space="preserve">sur la </w:t>
      </w:r>
      <w:r w:rsidR="0099392E" w:rsidRPr="00F6639B">
        <w:rPr>
          <w:rFonts w:ascii="Times New Roman" w:hAnsi="Times New Roman" w:cs="Times New Roman"/>
          <w:sz w:val="24"/>
          <w:szCs w:val="24"/>
        </w:rPr>
        <w:t xml:space="preserve">certification. </w:t>
      </w:r>
    </w:p>
    <w:p w14:paraId="12EFDD94" w14:textId="77777777" w:rsidR="0099392E" w:rsidRPr="00F6639B" w:rsidRDefault="0099392E" w:rsidP="0099392E">
      <w:pPr>
        <w:spacing w:after="0" w:line="240" w:lineRule="auto"/>
        <w:jc w:val="both"/>
        <w:rPr>
          <w:rFonts w:ascii="Times New Roman" w:hAnsi="Times New Roman" w:cs="Times New Roman"/>
          <w:sz w:val="24"/>
          <w:szCs w:val="24"/>
        </w:rPr>
      </w:pPr>
      <w:bookmarkStart w:id="0" w:name="_GoBack"/>
      <w:bookmarkEnd w:id="0"/>
    </w:p>
    <w:p w14:paraId="6E5EB83A" w14:textId="63AB9D3B" w:rsidR="00E21D7A" w:rsidRPr="00F6639B" w:rsidRDefault="0099392E" w:rsidP="0099392E">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Pour les non-conformités majeures, le plan d’actions ci-dessus doit être accompagné des preuves tangibles de réalisation du plan d’actions. A défaut de transmission dans les </w:t>
      </w:r>
      <w:r w:rsidR="00372203" w:rsidRPr="00F6639B">
        <w:rPr>
          <w:rFonts w:ascii="Times New Roman" w:hAnsi="Times New Roman" w:cs="Times New Roman"/>
          <w:sz w:val="24"/>
          <w:szCs w:val="24"/>
        </w:rPr>
        <w:t>deux</w:t>
      </w:r>
      <w:r w:rsidRPr="00F6639B">
        <w:rPr>
          <w:rFonts w:ascii="Times New Roman" w:hAnsi="Times New Roman" w:cs="Times New Roman"/>
          <w:sz w:val="24"/>
          <w:szCs w:val="24"/>
        </w:rPr>
        <w:t xml:space="preserve"> mois qui suivent la </w:t>
      </w:r>
      <w:r w:rsidR="00372203" w:rsidRPr="00F6639B">
        <w:rPr>
          <w:rFonts w:ascii="Times New Roman" w:hAnsi="Times New Roman" w:cs="Times New Roman"/>
          <w:sz w:val="24"/>
          <w:szCs w:val="24"/>
        </w:rPr>
        <w:t>notification des non-conformités à l’entreprise de forage</w:t>
      </w:r>
      <w:r w:rsidRPr="00F6639B">
        <w:rPr>
          <w:rFonts w:ascii="Times New Roman" w:hAnsi="Times New Roman" w:cs="Times New Roman"/>
          <w:sz w:val="24"/>
          <w:szCs w:val="24"/>
        </w:rPr>
        <w:t xml:space="preserve"> la certification est suspendue ou </w:t>
      </w:r>
      <w:r w:rsidR="001925DA" w:rsidRPr="00F6639B">
        <w:rPr>
          <w:rFonts w:ascii="Times New Roman" w:hAnsi="Times New Roman" w:cs="Times New Roman"/>
          <w:sz w:val="24"/>
          <w:szCs w:val="24"/>
        </w:rPr>
        <w:t xml:space="preserve">retirée </w:t>
      </w:r>
      <w:r w:rsidRPr="00F6639B">
        <w:rPr>
          <w:rFonts w:ascii="Times New Roman" w:hAnsi="Times New Roman" w:cs="Times New Roman"/>
          <w:sz w:val="24"/>
          <w:szCs w:val="24"/>
        </w:rPr>
        <w:t xml:space="preserve">par l’organisme de certification. </w:t>
      </w:r>
    </w:p>
    <w:p w14:paraId="4DC28038" w14:textId="314FE872" w:rsidR="00A459CC" w:rsidRPr="00F6639B" w:rsidRDefault="00E21D7A" w:rsidP="00612559">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I</w:t>
      </w:r>
      <w:r w:rsidR="000667B8" w:rsidRPr="00F6639B">
        <w:rPr>
          <w:rFonts w:ascii="Times New Roman" w:hAnsi="Times New Roman" w:cs="Times New Roman"/>
          <w:sz w:val="24"/>
          <w:szCs w:val="24"/>
        </w:rPr>
        <w:t>I</w:t>
      </w:r>
      <w:r w:rsidRPr="00F6639B">
        <w:rPr>
          <w:rFonts w:ascii="Times New Roman" w:hAnsi="Times New Roman" w:cs="Times New Roman"/>
          <w:sz w:val="24"/>
          <w:szCs w:val="24"/>
        </w:rPr>
        <w:t>I. – L’entreprise</w:t>
      </w:r>
      <w:r w:rsidR="00397425" w:rsidRPr="00F6639B">
        <w:rPr>
          <w:rFonts w:ascii="Times New Roman" w:hAnsi="Times New Roman" w:cs="Times New Roman"/>
          <w:sz w:val="24"/>
          <w:szCs w:val="24"/>
        </w:rPr>
        <w:t xml:space="preserve"> de forage</w:t>
      </w:r>
      <w:r w:rsidRPr="00F6639B">
        <w:rPr>
          <w:rFonts w:ascii="Times New Roman" w:hAnsi="Times New Roman" w:cs="Times New Roman"/>
          <w:sz w:val="24"/>
          <w:szCs w:val="24"/>
        </w:rPr>
        <w:t xml:space="preserve"> est tenue de vérifier qu’une non-conformité majeure identifiée sur une prestation donnée ne remet pas en cause la bonne réalisation d’autres prestations réalisées ou en cours de réalisation</w:t>
      </w:r>
      <w:r w:rsidR="0008638E" w:rsidRPr="00F6639B">
        <w:rPr>
          <w:rFonts w:ascii="Times New Roman" w:hAnsi="Times New Roman" w:cs="Times New Roman"/>
          <w:sz w:val="24"/>
          <w:szCs w:val="24"/>
        </w:rPr>
        <w:t xml:space="preserve"> (cela correspond à l’analyse de l’étendue de l’écart)</w:t>
      </w:r>
      <w:r w:rsidRPr="00F6639B">
        <w:rPr>
          <w:rFonts w:ascii="Times New Roman" w:hAnsi="Times New Roman" w:cs="Times New Roman"/>
          <w:sz w:val="24"/>
          <w:szCs w:val="24"/>
        </w:rPr>
        <w:t xml:space="preserve">. Si elle les remet en cause, </w:t>
      </w:r>
      <w:r w:rsidR="00A459CC" w:rsidRPr="00F6639B">
        <w:rPr>
          <w:rFonts w:ascii="Times New Roman" w:hAnsi="Times New Roman" w:cs="Times New Roman"/>
          <w:sz w:val="24"/>
          <w:szCs w:val="24"/>
        </w:rPr>
        <w:t xml:space="preserve">une ou des </w:t>
      </w:r>
      <w:r w:rsidRPr="00F6639B">
        <w:rPr>
          <w:rFonts w:ascii="Times New Roman" w:hAnsi="Times New Roman" w:cs="Times New Roman"/>
          <w:sz w:val="24"/>
          <w:szCs w:val="24"/>
        </w:rPr>
        <w:t>correction</w:t>
      </w:r>
      <w:r w:rsidR="00A459CC" w:rsidRPr="00F6639B">
        <w:rPr>
          <w:rFonts w:ascii="Times New Roman" w:hAnsi="Times New Roman" w:cs="Times New Roman"/>
          <w:sz w:val="24"/>
          <w:szCs w:val="24"/>
        </w:rPr>
        <w:t xml:space="preserve">s, lorsque celles-ci sont possibles et, une ou des </w:t>
      </w:r>
      <w:r w:rsidRPr="00F6639B">
        <w:rPr>
          <w:rFonts w:ascii="Times New Roman" w:hAnsi="Times New Roman" w:cs="Times New Roman"/>
          <w:sz w:val="24"/>
          <w:szCs w:val="24"/>
        </w:rPr>
        <w:t>action</w:t>
      </w:r>
      <w:r w:rsidR="00A459CC" w:rsidRPr="00F6639B">
        <w:rPr>
          <w:rFonts w:ascii="Times New Roman" w:hAnsi="Times New Roman" w:cs="Times New Roman"/>
          <w:sz w:val="24"/>
          <w:szCs w:val="24"/>
        </w:rPr>
        <w:t>s</w:t>
      </w:r>
      <w:r w:rsidRPr="00F6639B">
        <w:rPr>
          <w:rFonts w:ascii="Times New Roman" w:hAnsi="Times New Roman" w:cs="Times New Roman"/>
          <w:sz w:val="24"/>
          <w:szCs w:val="24"/>
        </w:rPr>
        <w:t xml:space="preserve"> corrective</w:t>
      </w:r>
      <w:r w:rsidR="00A459CC" w:rsidRPr="00F6639B">
        <w:rPr>
          <w:rFonts w:ascii="Times New Roman" w:hAnsi="Times New Roman" w:cs="Times New Roman"/>
          <w:sz w:val="24"/>
          <w:szCs w:val="24"/>
        </w:rPr>
        <w:t>s</w:t>
      </w:r>
      <w:r w:rsidRPr="00F6639B">
        <w:rPr>
          <w:rFonts w:ascii="Times New Roman" w:hAnsi="Times New Roman" w:cs="Times New Roman"/>
          <w:sz w:val="24"/>
          <w:szCs w:val="24"/>
        </w:rPr>
        <w:t xml:space="preserve"> associée sont </w:t>
      </w:r>
      <w:r w:rsidR="00A459CC" w:rsidRPr="00F6639B">
        <w:rPr>
          <w:rFonts w:ascii="Times New Roman" w:hAnsi="Times New Roman" w:cs="Times New Roman"/>
          <w:sz w:val="24"/>
          <w:szCs w:val="24"/>
        </w:rPr>
        <w:t>engagées</w:t>
      </w:r>
      <w:r w:rsidRPr="00F6639B">
        <w:rPr>
          <w:rFonts w:ascii="Times New Roman" w:hAnsi="Times New Roman" w:cs="Times New Roman"/>
          <w:sz w:val="24"/>
          <w:szCs w:val="24"/>
        </w:rPr>
        <w:t xml:space="preserve"> </w:t>
      </w:r>
      <w:r w:rsidR="00A459CC" w:rsidRPr="00F6639B">
        <w:rPr>
          <w:rFonts w:ascii="Times New Roman" w:hAnsi="Times New Roman" w:cs="Times New Roman"/>
          <w:sz w:val="24"/>
          <w:szCs w:val="24"/>
        </w:rPr>
        <w:t>vis-à-vis-des</w:t>
      </w:r>
      <w:r w:rsidRPr="00F6639B">
        <w:rPr>
          <w:rFonts w:ascii="Times New Roman" w:hAnsi="Times New Roman" w:cs="Times New Roman"/>
          <w:sz w:val="24"/>
          <w:szCs w:val="24"/>
        </w:rPr>
        <w:t xml:space="preserve"> prestations impactées. Les clients des prestations </w:t>
      </w:r>
      <w:r w:rsidR="00A459CC" w:rsidRPr="00F6639B">
        <w:rPr>
          <w:rFonts w:ascii="Times New Roman" w:hAnsi="Times New Roman" w:cs="Times New Roman"/>
          <w:sz w:val="24"/>
          <w:szCs w:val="24"/>
        </w:rPr>
        <w:t xml:space="preserve">impactées </w:t>
      </w:r>
      <w:r w:rsidRPr="00F6639B">
        <w:rPr>
          <w:rFonts w:ascii="Times New Roman" w:hAnsi="Times New Roman" w:cs="Times New Roman"/>
          <w:sz w:val="24"/>
          <w:szCs w:val="24"/>
        </w:rPr>
        <w:t xml:space="preserve">font l’objet </w:t>
      </w:r>
      <w:r w:rsidR="00B8313C" w:rsidRPr="00F6639B">
        <w:rPr>
          <w:rFonts w:ascii="Times New Roman" w:hAnsi="Times New Roman" w:cs="Times New Roman"/>
          <w:sz w:val="24"/>
          <w:szCs w:val="24"/>
        </w:rPr>
        <w:t xml:space="preserve">également </w:t>
      </w:r>
      <w:r w:rsidRPr="00F6639B">
        <w:rPr>
          <w:rFonts w:ascii="Times New Roman" w:hAnsi="Times New Roman" w:cs="Times New Roman"/>
          <w:sz w:val="24"/>
          <w:szCs w:val="24"/>
        </w:rPr>
        <w:t>d’une information</w:t>
      </w:r>
      <w:r w:rsidR="006007A3" w:rsidRPr="00F6639B">
        <w:rPr>
          <w:rFonts w:ascii="Times New Roman" w:hAnsi="Times New Roman" w:cs="Times New Roman"/>
          <w:sz w:val="24"/>
          <w:szCs w:val="24"/>
        </w:rPr>
        <w:t>, par l’entreprise de forage,</w:t>
      </w:r>
      <w:r w:rsidRPr="00F6639B">
        <w:rPr>
          <w:rFonts w:ascii="Times New Roman" w:hAnsi="Times New Roman" w:cs="Times New Roman"/>
          <w:sz w:val="24"/>
          <w:szCs w:val="24"/>
        </w:rPr>
        <w:t xml:space="preserve"> précisant la nature de la non-conformité et</w:t>
      </w:r>
      <w:r w:rsidR="00A459CC" w:rsidRPr="00F6639B">
        <w:rPr>
          <w:rFonts w:ascii="Times New Roman" w:hAnsi="Times New Roman" w:cs="Times New Roman"/>
          <w:sz w:val="24"/>
          <w:szCs w:val="24"/>
        </w:rPr>
        <w:t>, le cas échéant,</w:t>
      </w:r>
      <w:r w:rsidRPr="00F6639B">
        <w:rPr>
          <w:rFonts w:ascii="Times New Roman" w:hAnsi="Times New Roman" w:cs="Times New Roman"/>
          <w:sz w:val="24"/>
          <w:szCs w:val="24"/>
        </w:rPr>
        <w:t xml:space="preserve"> la correction</w:t>
      </w:r>
      <w:r w:rsidR="00397425" w:rsidRPr="00F6639B">
        <w:rPr>
          <w:rFonts w:ascii="Times New Roman" w:hAnsi="Times New Roman" w:cs="Times New Roman"/>
          <w:sz w:val="24"/>
          <w:szCs w:val="24"/>
        </w:rPr>
        <w:t xml:space="preserve"> apportée</w:t>
      </w:r>
      <w:r w:rsidRPr="00F6639B">
        <w:rPr>
          <w:rFonts w:ascii="Times New Roman" w:hAnsi="Times New Roman" w:cs="Times New Roman"/>
          <w:sz w:val="24"/>
          <w:szCs w:val="24"/>
        </w:rPr>
        <w:t>.</w:t>
      </w:r>
    </w:p>
    <w:p w14:paraId="79DA1F6D" w14:textId="53BA55CB" w:rsidR="0099392E" w:rsidRPr="00F6639B" w:rsidRDefault="0099392E" w:rsidP="00D0126D">
      <w:pPr>
        <w:spacing w:after="120" w:line="240" w:lineRule="auto"/>
        <w:jc w:val="both"/>
        <w:rPr>
          <w:rFonts w:ascii="Times New Roman" w:hAnsi="Times New Roman" w:cs="Times New Roman"/>
          <w:sz w:val="24"/>
          <w:szCs w:val="24"/>
        </w:rPr>
      </w:pPr>
    </w:p>
    <w:p w14:paraId="67F08358" w14:textId="30A43642" w:rsidR="001D50CA" w:rsidRPr="00F6639B" w:rsidRDefault="00E21D7A" w:rsidP="001D50CA">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1D50CA"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D0126D" w:rsidRPr="00F6639B">
        <w:rPr>
          <w:rFonts w:ascii="Times New Roman" w:hAnsi="Times New Roman" w:cs="Times New Roman"/>
          <w:b/>
          <w:sz w:val="24"/>
          <w:szCs w:val="24"/>
        </w:rPr>
        <w:t>13</w:t>
      </w:r>
    </w:p>
    <w:p w14:paraId="533CC215" w14:textId="1D65DD89" w:rsidR="007421E4" w:rsidRPr="00F6639B" w:rsidRDefault="00450794" w:rsidP="00D0126D">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 –  </w:t>
      </w:r>
      <w:r w:rsidR="007421E4" w:rsidRPr="00F6639B">
        <w:rPr>
          <w:rFonts w:ascii="Times New Roman" w:hAnsi="Times New Roman" w:cs="Times New Roman"/>
          <w:sz w:val="24"/>
          <w:szCs w:val="24"/>
        </w:rPr>
        <w:t>En fonction de l’analyse de l’étendue de l’écart et de la pertinence du plan d’actions, l’organisme de certification peut décider de réaliser une évaluation supplémentaire identique (audit de</w:t>
      </w:r>
      <w:r w:rsidR="00D0126D" w:rsidRPr="00F6639B">
        <w:rPr>
          <w:rFonts w:ascii="Times New Roman" w:hAnsi="Times New Roman" w:cs="Times New Roman"/>
          <w:sz w:val="24"/>
          <w:szCs w:val="24"/>
        </w:rPr>
        <w:t xml:space="preserve"> </w:t>
      </w:r>
      <w:r w:rsidR="00A426CB" w:rsidRPr="00F6639B">
        <w:rPr>
          <w:rFonts w:ascii="Times New Roman" w:hAnsi="Times New Roman" w:cs="Times New Roman"/>
          <w:sz w:val="24"/>
          <w:szCs w:val="24"/>
        </w:rPr>
        <w:t>chantier</w:t>
      </w:r>
      <w:r w:rsidR="007421E4" w:rsidRPr="00F6639B">
        <w:rPr>
          <w:rFonts w:ascii="Times New Roman" w:hAnsi="Times New Roman" w:cs="Times New Roman"/>
          <w:sz w:val="24"/>
          <w:szCs w:val="24"/>
        </w:rPr>
        <w:t xml:space="preserve">, vérification de référence), et vérifie l’efficacité du plan d’action au plus tard : </w:t>
      </w:r>
    </w:p>
    <w:p w14:paraId="5CEE8468" w14:textId="649F958A" w:rsidR="007421E4" w:rsidRPr="00F6639B" w:rsidRDefault="007421E4" w:rsidP="001906B8">
      <w:pPr>
        <w:pStyle w:val="Paragraphedeliste"/>
        <w:numPr>
          <w:ilvl w:val="0"/>
          <w:numId w:val="54"/>
        </w:numPr>
        <w:spacing w:after="0" w:line="240" w:lineRule="auto"/>
        <w:jc w:val="both"/>
        <w:rPr>
          <w:rFonts w:ascii="Times New Roman" w:hAnsi="Times New Roman" w:cs="Times New Roman"/>
          <w:sz w:val="24"/>
          <w:szCs w:val="24"/>
        </w:rPr>
      </w:pPr>
      <w:proofErr w:type="gramStart"/>
      <w:r w:rsidRPr="00F6639B">
        <w:rPr>
          <w:rFonts w:ascii="Times New Roman" w:hAnsi="Times New Roman" w:cs="Times New Roman"/>
          <w:sz w:val="24"/>
          <w:szCs w:val="24"/>
        </w:rPr>
        <w:t>lors</w:t>
      </w:r>
      <w:proofErr w:type="gramEnd"/>
      <w:r w:rsidRPr="00F6639B">
        <w:rPr>
          <w:rFonts w:ascii="Times New Roman" w:hAnsi="Times New Roman" w:cs="Times New Roman"/>
          <w:sz w:val="24"/>
          <w:szCs w:val="24"/>
        </w:rPr>
        <w:t xml:space="preserve"> de la vérification de référence suivante (pour les non-conformités portant sur une vérification de référence) ;</w:t>
      </w:r>
    </w:p>
    <w:p w14:paraId="04199708" w14:textId="1EE901E3" w:rsidR="007421E4" w:rsidRPr="00F6639B" w:rsidRDefault="007421E4" w:rsidP="001906B8">
      <w:pPr>
        <w:pStyle w:val="Paragraphedeliste"/>
        <w:numPr>
          <w:ilvl w:val="0"/>
          <w:numId w:val="54"/>
        </w:numPr>
        <w:spacing w:after="0" w:line="240" w:lineRule="auto"/>
        <w:jc w:val="both"/>
        <w:rPr>
          <w:rFonts w:ascii="Times New Roman" w:hAnsi="Times New Roman" w:cs="Times New Roman"/>
          <w:sz w:val="24"/>
          <w:szCs w:val="24"/>
        </w:rPr>
      </w:pPr>
      <w:proofErr w:type="gramStart"/>
      <w:r w:rsidRPr="00F6639B">
        <w:rPr>
          <w:rFonts w:ascii="Times New Roman" w:hAnsi="Times New Roman" w:cs="Times New Roman"/>
          <w:sz w:val="24"/>
          <w:szCs w:val="24"/>
        </w:rPr>
        <w:t>lors</w:t>
      </w:r>
      <w:proofErr w:type="gramEnd"/>
      <w:r w:rsidRPr="00F6639B">
        <w:rPr>
          <w:rFonts w:ascii="Times New Roman" w:hAnsi="Times New Roman" w:cs="Times New Roman"/>
          <w:sz w:val="24"/>
          <w:szCs w:val="24"/>
        </w:rPr>
        <w:t xml:space="preserve"> de l’audit chantier suivant (pour les non-conformités portant sur un audit chantier).</w:t>
      </w:r>
    </w:p>
    <w:p w14:paraId="6BFA238D" w14:textId="77777777" w:rsidR="007421E4" w:rsidRPr="00F6639B" w:rsidRDefault="007421E4" w:rsidP="001906B8">
      <w:pPr>
        <w:spacing w:after="0" w:line="240" w:lineRule="auto"/>
        <w:jc w:val="both"/>
        <w:rPr>
          <w:rFonts w:ascii="Times New Roman" w:hAnsi="Times New Roman" w:cs="Times New Roman"/>
          <w:sz w:val="24"/>
          <w:szCs w:val="24"/>
        </w:rPr>
      </w:pPr>
    </w:p>
    <w:p w14:paraId="30956688" w14:textId="067A92EF" w:rsidR="00450794" w:rsidRPr="00F6639B" w:rsidRDefault="00450794" w:rsidP="00450794">
      <w:pPr>
        <w:spacing w:after="0" w:line="240" w:lineRule="auto"/>
        <w:jc w:val="both"/>
        <w:rPr>
          <w:rFonts w:ascii="Times New Roman" w:hAnsi="Times New Roman" w:cs="Times New Roman"/>
          <w:sz w:val="24"/>
          <w:szCs w:val="24"/>
        </w:rPr>
      </w:pPr>
      <w:r w:rsidRPr="00F6639B">
        <w:rPr>
          <w:rFonts w:ascii="Times New Roman" w:hAnsi="Times New Roman" w:cs="Times New Roman"/>
          <w:sz w:val="24"/>
          <w:szCs w:val="24"/>
        </w:rPr>
        <w:t>II. – Lorsqu</w:t>
      </w:r>
      <w:r w:rsidR="00003585" w:rsidRPr="00F6639B">
        <w:rPr>
          <w:rFonts w:ascii="Times New Roman" w:hAnsi="Times New Roman" w:cs="Times New Roman"/>
          <w:sz w:val="24"/>
          <w:szCs w:val="24"/>
        </w:rPr>
        <w:t>’un</w:t>
      </w:r>
      <w:r w:rsidRPr="00F6639B">
        <w:rPr>
          <w:rFonts w:ascii="Times New Roman" w:hAnsi="Times New Roman" w:cs="Times New Roman"/>
          <w:sz w:val="24"/>
          <w:szCs w:val="24"/>
        </w:rPr>
        <w:t xml:space="preserve">e non-conformité majeure et/ou </w:t>
      </w:r>
      <w:r w:rsidR="00003585" w:rsidRPr="00F6639B">
        <w:rPr>
          <w:rFonts w:ascii="Times New Roman" w:hAnsi="Times New Roman" w:cs="Times New Roman"/>
          <w:sz w:val="24"/>
          <w:szCs w:val="24"/>
        </w:rPr>
        <w:t xml:space="preserve">cinq </w:t>
      </w:r>
      <w:r w:rsidRPr="00F6639B">
        <w:rPr>
          <w:rFonts w:ascii="Times New Roman" w:hAnsi="Times New Roman" w:cs="Times New Roman"/>
          <w:sz w:val="24"/>
          <w:szCs w:val="24"/>
        </w:rPr>
        <w:t xml:space="preserve">non-conformités mineures sont relevées lors d’un audit chantier, un audit chantier supplémentaire est réalisé suivant les modalités définies à l’article </w:t>
      </w:r>
      <w:r w:rsidR="00D56399" w:rsidRPr="00F6639B">
        <w:rPr>
          <w:rFonts w:ascii="Times New Roman" w:hAnsi="Times New Roman" w:cs="Times New Roman"/>
          <w:sz w:val="24"/>
          <w:szCs w:val="24"/>
        </w:rPr>
        <w:t>8</w:t>
      </w:r>
      <w:r w:rsidRPr="00F6639B">
        <w:rPr>
          <w:rFonts w:ascii="Times New Roman" w:hAnsi="Times New Roman" w:cs="Times New Roman"/>
          <w:sz w:val="24"/>
          <w:szCs w:val="24"/>
        </w:rPr>
        <w:t>, dans un délai maximal d’un an afin de vérifier la mise en œuvre du plan d’actions.</w:t>
      </w:r>
    </w:p>
    <w:p w14:paraId="6E5540C6" w14:textId="77777777" w:rsidR="00450794" w:rsidRPr="00F6639B" w:rsidRDefault="00450794" w:rsidP="00612559">
      <w:pPr>
        <w:spacing w:after="120" w:line="240" w:lineRule="auto"/>
        <w:jc w:val="both"/>
        <w:rPr>
          <w:rFonts w:ascii="Times New Roman" w:hAnsi="Times New Roman" w:cs="Times New Roman"/>
          <w:sz w:val="24"/>
          <w:szCs w:val="24"/>
        </w:rPr>
      </w:pPr>
    </w:p>
    <w:p w14:paraId="20279E8C" w14:textId="3FE91AE2" w:rsidR="00003585" w:rsidRPr="00F6639B" w:rsidRDefault="00E21D7A" w:rsidP="00003585">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003585"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D0126D" w:rsidRPr="00F6639B">
        <w:rPr>
          <w:rFonts w:ascii="Times New Roman" w:hAnsi="Times New Roman" w:cs="Times New Roman"/>
          <w:b/>
          <w:sz w:val="24"/>
          <w:szCs w:val="24"/>
        </w:rPr>
        <w:t>14</w:t>
      </w:r>
    </w:p>
    <w:p w14:paraId="7A46E611" w14:textId="6CB9290A" w:rsidR="00E21D7A" w:rsidRPr="00F6639B" w:rsidRDefault="00E21D7A" w:rsidP="00612559">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I.– Au regard de toute autre information pertinente, notamment les plaintes reçu</w:t>
      </w:r>
      <w:r w:rsidR="002E712B" w:rsidRPr="00F6639B">
        <w:rPr>
          <w:rFonts w:ascii="Times New Roman" w:hAnsi="Times New Roman" w:cs="Times New Roman"/>
          <w:sz w:val="24"/>
          <w:szCs w:val="24"/>
        </w:rPr>
        <w:t>e</w:t>
      </w:r>
      <w:r w:rsidRPr="00F6639B">
        <w:rPr>
          <w:rFonts w:ascii="Times New Roman" w:hAnsi="Times New Roman" w:cs="Times New Roman"/>
          <w:sz w:val="24"/>
          <w:szCs w:val="24"/>
        </w:rPr>
        <w:t xml:space="preserve">s par l’organisme de certification, ou en cas de modifications organisationnelles susceptibles d’avoir un impact sur le respect d’un référentiel de certification, l’organisme de certification programme, le cas échéant, de manière inopinée ou non, une ou des </w:t>
      </w:r>
      <w:r w:rsidR="00016E29" w:rsidRPr="00F6639B">
        <w:rPr>
          <w:rFonts w:ascii="Times New Roman" w:hAnsi="Times New Roman" w:cs="Times New Roman"/>
          <w:sz w:val="24"/>
          <w:szCs w:val="24"/>
        </w:rPr>
        <w:t xml:space="preserve">évaluations </w:t>
      </w:r>
      <w:r w:rsidRPr="00F6639B">
        <w:rPr>
          <w:rFonts w:ascii="Times New Roman" w:hAnsi="Times New Roman" w:cs="Times New Roman"/>
          <w:sz w:val="24"/>
          <w:szCs w:val="24"/>
        </w:rPr>
        <w:t>supplémentaires au processus de certification</w:t>
      </w:r>
      <w:r w:rsidR="00016E29" w:rsidRPr="00F6639B">
        <w:rPr>
          <w:rFonts w:ascii="Times New Roman" w:hAnsi="Times New Roman" w:cs="Times New Roman"/>
          <w:sz w:val="24"/>
          <w:szCs w:val="24"/>
        </w:rPr>
        <w:t xml:space="preserve"> (audit chantier ou</w:t>
      </w:r>
      <w:r w:rsidR="00967795" w:rsidRPr="00F6639B">
        <w:rPr>
          <w:rFonts w:ascii="Times New Roman" w:hAnsi="Times New Roman" w:cs="Times New Roman"/>
          <w:sz w:val="24"/>
          <w:szCs w:val="24"/>
        </w:rPr>
        <w:t xml:space="preserve"> </w:t>
      </w:r>
      <w:r w:rsidR="00DD7956" w:rsidRPr="00F6639B">
        <w:rPr>
          <w:rFonts w:ascii="Times New Roman" w:hAnsi="Times New Roman" w:cs="Times New Roman"/>
          <w:sz w:val="24"/>
          <w:szCs w:val="24"/>
        </w:rPr>
        <w:t>vérification de référence</w:t>
      </w:r>
      <w:r w:rsidR="00016E29" w:rsidRPr="00F6639B">
        <w:rPr>
          <w:rFonts w:ascii="Times New Roman" w:hAnsi="Times New Roman" w:cs="Times New Roman"/>
          <w:sz w:val="24"/>
          <w:szCs w:val="24"/>
        </w:rPr>
        <w:t>)</w:t>
      </w:r>
      <w:r w:rsidRPr="00F6639B">
        <w:rPr>
          <w:rFonts w:ascii="Times New Roman" w:hAnsi="Times New Roman" w:cs="Times New Roman"/>
          <w:sz w:val="24"/>
          <w:szCs w:val="24"/>
        </w:rPr>
        <w:t xml:space="preserve">. </w:t>
      </w:r>
    </w:p>
    <w:p w14:paraId="3301A167" w14:textId="4A920854" w:rsidR="00E21D7A" w:rsidRPr="00F6639B" w:rsidRDefault="00E21D7A" w:rsidP="00612559">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II.– A l’issue de ces </w:t>
      </w:r>
      <w:r w:rsidR="00723E7E" w:rsidRPr="00F6639B">
        <w:rPr>
          <w:rFonts w:ascii="Times New Roman" w:hAnsi="Times New Roman" w:cs="Times New Roman"/>
          <w:sz w:val="24"/>
          <w:szCs w:val="24"/>
        </w:rPr>
        <w:t xml:space="preserve">évaluations </w:t>
      </w:r>
      <w:r w:rsidRPr="00F6639B">
        <w:rPr>
          <w:rFonts w:ascii="Times New Roman" w:hAnsi="Times New Roman" w:cs="Times New Roman"/>
          <w:sz w:val="24"/>
          <w:szCs w:val="24"/>
        </w:rPr>
        <w:t>supplémentaires</w:t>
      </w:r>
      <w:r w:rsidR="00723E7E" w:rsidRPr="00F6639B">
        <w:rPr>
          <w:rFonts w:ascii="Times New Roman" w:hAnsi="Times New Roman" w:cs="Times New Roman"/>
          <w:sz w:val="24"/>
          <w:szCs w:val="24"/>
        </w:rPr>
        <w:t xml:space="preserve"> et en cas de non-conformités constatées</w:t>
      </w:r>
      <w:r w:rsidRPr="00F6639B">
        <w:rPr>
          <w:rFonts w:ascii="Times New Roman" w:hAnsi="Times New Roman" w:cs="Times New Roman"/>
          <w:sz w:val="24"/>
          <w:szCs w:val="24"/>
        </w:rPr>
        <w:t xml:space="preserve">, l’organisme de certification </w:t>
      </w:r>
      <w:r w:rsidR="00FB3F9D" w:rsidRPr="00F6639B">
        <w:rPr>
          <w:rFonts w:ascii="Times New Roman" w:hAnsi="Times New Roman" w:cs="Times New Roman"/>
          <w:sz w:val="24"/>
          <w:szCs w:val="24"/>
        </w:rPr>
        <w:t>réévalue la</w:t>
      </w:r>
      <w:r w:rsidRPr="00F6639B">
        <w:rPr>
          <w:rFonts w:ascii="Times New Roman" w:hAnsi="Times New Roman" w:cs="Times New Roman"/>
          <w:sz w:val="24"/>
          <w:szCs w:val="24"/>
        </w:rPr>
        <w:t xml:space="preserve"> décision relative à la certification</w:t>
      </w:r>
      <w:r w:rsidR="00FB3F9D" w:rsidRPr="00F6639B">
        <w:rPr>
          <w:rFonts w:ascii="Times New Roman" w:hAnsi="Times New Roman" w:cs="Times New Roman"/>
          <w:sz w:val="24"/>
          <w:szCs w:val="24"/>
        </w:rPr>
        <w:t xml:space="preserve"> délivrée</w:t>
      </w:r>
      <w:r w:rsidRPr="00F6639B">
        <w:rPr>
          <w:rFonts w:ascii="Times New Roman" w:hAnsi="Times New Roman" w:cs="Times New Roman"/>
          <w:sz w:val="24"/>
          <w:szCs w:val="24"/>
        </w:rPr>
        <w:t xml:space="preserve">. </w:t>
      </w:r>
    </w:p>
    <w:p w14:paraId="3496BEBB" w14:textId="77777777" w:rsidR="00E21D7A" w:rsidRPr="00F6639B" w:rsidRDefault="00E21D7A" w:rsidP="00612559">
      <w:pPr>
        <w:spacing w:after="120" w:line="240" w:lineRule="auto"/>
        <w:jc w:val="both"/>
        <w:rPr>
          <w:rFonts w:ascii="Times New Roman" w:hAnsi="Times New Roman" w:cs="Times New Roman"/>
          <w:sz w:val="24"/>
          <w:szCs w:val="24"/>
        </w:rPr>
      </w:pPr>
    </w:p>
    <w:p w14:paraId="11A48585" w14:textId="42DD2791" w:rsidR="00003585" w:rsidRPr="00F6639B" w:rsidRDefault="00E21D7A" w:rsidP="00003585">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003585"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091162" w:rsidRPr="00F6639B">
        <w:rPr>
          <w:rFonts w:ascii="Times New Roman" w:hAnsi="Times New Roman" w:cs="Times New Roman"/>
          <w:b/>
          <w:sz w:val="24"/>
          <w:szCs w:val="24"/>
        </w:rPr>
        <w:t>15</w:t>
      </w:r>
    </w:p>
    <w:p w14:paraId="5FCD5077" w14:textId="5B922BBB" w:rsidR="00E21D7A" w:rsidRPr="00F6639B" w:rsidRDefault="00E21D7A" w:rsidP="00612559">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Le document de certification est identifié par un numéro unique et comporte notamment les informations suivantes :</w:t>
      </w:r>
    </w:p>
    <w:p w14:paraId="6294DCD0" w14:textId="09C62332" w:rsidR="00E21D7A" w:rsidRPr="00F6639B" w:rsidRDefault="00BD169B" w:rsidP="0051051C">
      <w:pPr>
        <w:pStyle w:val="Paragraphedeliste"/>
        <w:numPr>
          <w:ilvl w:val="0"/>
          <w:numId w:val="3"/>
        </w:numPr>
        <w:spacing w:after="120" w:line="240" w:lineRule="auto"/>
        <w:jc w:val="both"/>
        <w:rPr>
          <w:rFonts w:ascii="Times New Roman" w:hAnsi="Times New Roman" w:cs="Times New Roman"/>
          <w:sz w:val="24"/>
          <w:szCs w:val="24"/>
        </w:rPr>
      </w:pPr>
      <w:proofErr w:type="gramStart"/>
      <w:r w:rsidRPr="00F6639B">
        <w:rPr>
          <w:rFonts w:ascii="Times New Roman" w:hAnsi="Times New Roman" w:cs="Times New Roman"/>
          <w:sz w:val="24"/>
          <w:szCs w:val="24"/>
        </w:rPr>
        <w:t>l</w:t>
      </w:r>
      <w:r w:rsidR="00D01479" w:rsidRPr="00F6639B">
        <w:rPr>
          <w:rFonts w:ascii="Times New Roman" w:hAnsi="Times New Roman" w:cs="Times New Roman"/>
          <w:sz w:val="24"/>
          <w:szCs w:val="24"/>
        </w:rPr>
        <w:t>a</w:t>
      </w:r>
      <w:proofErr w:type="gramEnd"/>
      <w:r w:rsidR="00E21D7A" w:rsidRPr="00F6639B">
        <w:rPr>
          <w:rFonts w:ascii="Times New Roman" w:hAnsi="Times New Roman" w:cs="Times New Roman"/>
          <w:sz w:val="24"/>
          <w:szCs w:val="24"/>
        </w:rPr>
        <w:t xml:space="preserve"> dénomination sociale et le numéro SIRET de l’entreprise, </w:t>
      </w:r>
    </w:p>
    <w:p w14:paraId="03E813DF" w14:textId="02016F11" w:rsidR="00E21D7A" w:rsidRPr="00F6639B" w:rsidRDefault="00BD169B" w:rsidP="0051051C">
      <w:pPr>
        <w:pStyle w:val="Paragraphedeliste"/>
        <w:numPr>
          <w:ilvl w:val="0"/>
          <w:numId w:val="3"/>
        </w:numPr>
        <w:spacing w:after="120" w:line="240" w:lineRule="auto"/>
        <w:jc w:val="both"/>
        <w:rPr>
          <w:rFonts w:ascii="Times New Roman" w:hAnsi="Times New Roman" w:cs="Times New Roman"/>
          <w:sz w:val="24"/>
          <w:szCs w:val="24"/>
        </w:rPr>
      </w:pPr>
      <w:proofErr w:type="gramStart"/>
      <w:r w:rsidRPr="00F6639B">
        <w:rPr>
          <w:rFonts w:ascii="Times New Roman" w:hAnsi="Times New Roman" w:cs="Times New Roman"/>
          <w:sz w:val="24"/>
          <w:szCs w:val="24"/>
        </w:rPr>
        <w:t>l</w:t>
      </w:r>
      <w:r w:rsidR="00D01479" w:rsidRPr="00F6639B">
        <w:rPr>
          <w:rFonts w:ascii="Times New Roman" w:hAnsi="Times New Roman" w:cs="Times New Roman"/>
          <w:sz w:val="24"/>
          <w:szCs w:val="24"/>
        </w:rPr>
        <w:t>a</w:t>
      </w:r>
      <w:proofErr w:type="gramEnd"/>
      <w:r w:rsidR="00E21D7A" w:rsidRPr="00F6639B">
        <w:rPr>
          <w:rFonts w:ascii="Times New Roman" w:hAnsi="Times New Roman" w:cs="Times New Roman"/>
          <w:sz w:val="24"/>
          <w:szCs w:val="24"/>
        </w:rPr>
        <w:t xml:space="preserve"> portée de la certification, en précisant le module Nappe ou module Sonde, </w:t>
      </w:r>
    </w:p>
    <w:p w14:paraId="794F1299" w14:textId="265A175D" w:rsidR="00E21D7A" w:rsidRPr="00F6639B" w:rsidRDefault="00BD169B" w:rsidP="0051051C">
      <w:pPr>
        <w:pStyle w:val="Paragraphedeliste"/>
        <w:numPr>
          <w:ilvl w:val="0"/>
          <w:numId w:val="3"/>
        </w:numPr>
        <w:spacing w:after="120" w:line="240" w:lineRule="auto"/>
        <w:jc w:val="both"/>
        <w:rPr>
          <w:rFonts w:ascii="Times New Roman" w:hAnsi="Times New Roman" w:cs="Times New Roman"/>
          <w:sz w:val="24"/>
          <w:szCs w:val="24"/>
        </w:rPr>
      </w:pPr>
      <w:proofErr w:type="gramStart"/>
      <w:r w:rsidRPr="00F6639B">
        <w:rPr>
          <w:rFonts w:ascii="Times New Roman" w:hAnsi="Times New Roman" w:cs="Times New Roman"/>
          <w:sz w:val="24"/>
          <w:szCs w:val="24"/>
        </w:rPr>
        <w:t>l</w:t>
      </w:r>
      <w:r w:rsidR="00D01479" w:rsidRPr="00F6639B">
        <w:rPr>
          <w:rFonts w:ascii="Times New Roman" w:hAnsi="Times New Roman" w:cs="Times New Roman"/>
          <w:sz w:val="24"/>
          <w:szCs w:val="24"/>
        </w:rPr>
        <w:t>a</w:t>
      </w:r>
      <w:proofErr w:type="gramEnd"/>
      <w:r w:rsidR="00E21D7A" w:rsidRPr="00F6639B">
        <w:rPr>
          <w:rFonts w:ascii="Times New Roman" w:hAnsi="Times New Roman" w:cs="Times New Roman"/>
          <w:sz w:val="24"/>
          <w:szCs w:val="24"/>
        </w:rPr>
        <w:t xml:space="preserve"> marque de certification </w:t>
      </w:r>
      <w:proofErr w:type="spellStart"/>
      <w:r w:rsidR="00E21D7A" w:rsidRPr="00F6639B">
        <w:rPr>
          <w:rFonts w:ascii="Times New Roman" w:hAnsi="Times New Roman" w:cs="Times New Roman"/>
          <w:sz w:val="24"/>
          <w:szCs w:val="24"/>
        </w:rPr>
        <w:t>CertiForage</w:t>
      </w:r>
      <w:proofErr w:type="spellEnd"/>
      <w:r w:rsidR="00E21D7A" w:rsidRPr="00F6639B">
        <w:rPr>
          <w:rFonts w:ascii="Times New Roman" w:hAnsi="Times New Roman" w:cs="Times New Roman"/>
          <w:sz w:val="24"/>
          <w:szCs w:val="24"/>
        </w:rPr>
        <w:t xml:space="preserve"> définit à l’article </w:t>
      </w:r>
      <w:r w:rsidR="00C816ED" w:rsidRPr="00F6639B">
        <w:rPr>
          <w:rFonts w:ascii="Times New Roman" w:hAnsi="Times New Roman" w:cs="Times New Roman"/>
          <w:sz w:val="24"/>
          <w:szCs w:val="24"/>
        </w:rPr>
        <w:t xml:space="preserve">38 </w:t>
      </w:r>
      <w:r w:rsidR="00E21D7A" w:rsidRPr="00F6639B">
        <w:rPr>
          <w:rFonts w:ascii="Times New Roman" w:hAnsi="Times New Roman" w:cs="Times New Roman"/>
          <w:sz w:val="24"/>
          <w:szCs w:val="24"/>
        </w:rPr>
        <w:t>du présent arrêté,</w:t>
      </w:r>
    </w:p>
    <w:p w14:paraId="69896773" w14:textId="7EE58A8A" w:rsidR="00E21D7A" w:rsidRPr="00F6639B" w:rsidRDefault="00236B86" w:rsidP="0051051C">
      <w:pPr>
        <w:pStyle w:val="Paragraphedeliste"/>
        <w:numPr>
          <w:ilvl w:val="0"/>
          <w:numId w:val="3"/>
        </w:numPr>
        <w:spacing w:after="120" w:line="240" w:lineRule="auto"/>
        <w:jc w:val="both"/>
        <w:rPr>
          <w:rFonts w:ascii="Times New Roman" w:hAnsi="Times New Roman" w:cs="Times New Roman"/>
          <w:sz w:val="24"/>
          <w:szCs w:val="24"/>
        </w:rPr>
      </w:pPr>
      <w:proofErr w:type="gramStart"/>
      <w:r w:rsidRPr="00F6639B">
        <w:rPr>
          <w:rFonts w:ascii="Times New Roman" w:hAnsi="Times New Roman" w:cs="Times New Roman"/>
          <w:sz w:val="24"/>
          <w:szCs w:val="24"/>
        </w:rPr>
        <w:t>la</w:t>
      </w:r>
      <w:proofErr w:type="gramEnd"/>
      <w:r w:rsidRPr="00F6639B">
        <w:rPr>
          <w:rFonts w:ascii="Times New Roman" w:hAnsi="Times New Roman" w:cs="Times New Roman"/>
          <w:sz w:val="24"/>
          <w:szCs w:val="24"/>
        </w:rPr>
        <w:t xml:space="preserve"> référence à l’accréditation concernée selon les règles de l’organisme d’accréditation </w:t>
      </w:r>
      <w:r w:rsidR="00E21D7A" w:rsidRPr="00F6639B">
        <w:rPr>
          <w:rFonts w:ascii="Times New Roman" w:hAnsi="Times New Roman" w:cs="Times New Roman"/>
          <w:sz w:val="24"/>
          <w:szCs w:val="24"/>
        </w:rPr>
        <w:t>,</w:t>
      </w:r>
    </w:p>
    <w:p w14:paraId="575287F5" w14:textId="79146B75" w:rsidR="00E21D7A" w:rsidRPr="00F6639B" w:rsidRDefault="00BD169B" w:rsidP="0051051C">
      <w:pPr>
        <w:pStyle w:val="Paragraphedeliste"/>
        <w:numPr>
          <w:ilvl w:val="0"/>
          <w:numId w:val="3"/>
        </w:numPr>
        <w:spacing w:after="120" w:line="240" w:lineRule="auto"/>
        <w:jc w:val="both"/>
        <w:rPr>
          <w:rFonts w:ascii="Times New Roman" w:hAnsi="Times New Roman" w:cs="Times New Roman"/>
          <w:sz w:val="24"/>
          <w:szCs w:val="24"/>
        </w:rPr>
      </w:pPr>
      <w:proofErr w:type="gramStart"/>
      <w:r w:rsidRPr="00F6639B">
        <w:rPr>
          <w:rFonts w:ascii="Times New Roman" w:hAnsi="Times New Roman" w:cs="Times New Roman"/>
          <w:sz w:val="24"/>
          <w:szCs w:val="24"/>
        </w:rPr>
        <w:t>l</w:t>
      </w:r>
      <w:r w:rsidR="00D01479" w:rsidRPr="00F6639B">
        <w:rPr>
          <w:rFonts w:ascii="Times New Roman" w:hAnsi="Times New Roman" w:cs="Times New Roman"/>
          <w:sz w:val="24"/>
          <w:szCs w:val="24"/>
        </w:rPr>
        <w:t>e</w:t>
      </w:r>
      <w:proofErr w:type="gramEnd"/>
      <w:r w:rsidR="00E21D7A" w:rsidRPr="00F6639B">
        <w:rPr>
          <w:rFonts w:ascii="Times New Roman" w:hAnsi="Times New Roman" w:cs="Times New Roman"/>
          <w:sz w:val="24"/>
          <w:szCs w:val="24"/>
        </w:rPr>
        <w:t xml:space="preserve"> nom de l’organisme de certification,</w:t>
      </w:r>
    </w:p>
    <w:p w14:paraId="65D18C57" w14:textId="77777777" w:rsidR="007A7118" w:rsidRPr="00F6639B" w:rsidRDefault="00BD169B" w:rsidP="0051051C">
      <w:pPr>
        <w:pStyle w:val="Paragraphedeliste"/>
        <w:numPr>
          <w:ilvl w:val="0"/>
          <w:numId w:val="3"/>
        </w:numPr>
        <w:spacing w:after="120" w:line="240" w:lineRule="auto"/>
        <w:jc w:val="both"/>
        <w:rPr>
          <w:rFonts w:ascii="Times New Roman" w:hAnsi="Times New Roman" w:cs="Times New Roman"/>
          <w:sz w:val="24"/>
          <w:szCs w:val="24"/>
        </w:rPr>
      </w:pPr>
      <w:proofErr w:type="gramStart"/>
      <w:r w:rsidRPr="00F6639B">
        <w:rPr>
          <w:rFonts w:ascii="Times New Roman" w:hAnsi="Times New Roman" w:cs="Times New Roman"/>
          <w:sz w:val="24"/>
          <w:szCs w:val="24"/>
        </w:rPr>
        <w:t>u</w:t>
      </w:r>
      <w:r w:rsidR="00D01479" w:rsidRPr="00F6639B">
        <w:rPr>
          <w:rFonts w:ascii="Times New Roman" w:hAnsi="Times New Roman" w:cs="Times New Roman"/>
          <w:sz w:val="24"/>
          <w:szCs w:val="24"/>
        </w:rPr>
        <w:t>ne</w:t>
      </w:r>
      <w:proofErr w:type="gramEnd"/>
      <w:r w:rsidR="00E21D7A" w:rsidRPr="00F6639B">
        <w:rPr>
          <w:rFonts w:ascii="Times New Roman" w:hAnsi="Times New Roman" w:cs="Times New Roman"/>
          <w:sz w:val="24"/>
          <w:szCs w:val="24"/>
        </w:rPr>
        <w:t xml:space="preserve"> information permettant la vérification de la validité du certificat</w:t>
      </w:r>
    </w:p>
    <w:p w14:paraId="1436B266" w14:textId="23C1E9C0" w:rsidR="00E21D7A" w:rsidRPr="00F6639B" w:rsidRDefault="007A7118" w:rsidP="0051051C">
      <w:pPr>
        <w:pStyle w:val="Paragraphedeliste"/>
        <w:numPr>
          <w:ilvl w:val="0"/>
          <w:numId w:val="3"/>
        </w:numPr>
        <w:spacing w:after="120" w:line="240" w:lineRule="auto"/>
        <w:jc w:val="both"/>
        <w:rPr>
          <w:rFonts w:ascii="Times New Roman" w:hAnsi="Times New Roman" w:cs="Times New Roman"/>
          <w:sz w:val="24"/>
          <w:szCs w:val="24"/>
        </w:rPr>
      </w:pPr>
      <w:proofErr w:type="gramStart"/>
      <w:r w:rsidRPr="00F6639B">
        <w:rPr>
          <w:rFonts w:ascii="Times New Roman" w:hAnsi="Times New Roman" w:cs="Times New Roman"/>
          <w:sz w:val="24"/>
          <w:szCs w:val="24"/>
        </w:rPr>
        <w:t>la</w:t>
      </w:r>
      <w:proofErr w:type="gramEnd"/>
      <w:r w:rsidRPr="00F6639B">
        <w:rPr>
          <w:rFonts w:ascii="Times New Roman" w:hAnsi="Times New Roman" w:cs="Times New Roman"/>
          <w:sz w:val="24"/>
          <w:szCs w:val="24"/>
        </w:rPr>
        <w:t xml:space="preserve"> mention certification initiale ou certification renouvelée</w:t>
      </w:r>
      <w:r w:rsidR="00E21D7A" w:rsidRPr="00F6639B">
        <w:rPr>
          <w:rFonts w:ascii="Times New Roman" w:hAnsi="Times New Roman" w:cs="Times New Roman"/>
          <w:sz w:val="24"/>
          <w:szCs w:val="24"/>
        </w:rPr>
        <w:t>.</w:t>
      </w:r>
    </w:p>
    <w:p w14:paraId="7DCEDB9C" w14:textId="77777777" w:rsidR="00517318" w:rsidRPr="00F6639B" w:rsidRDefault="00517318" w:rsidP="00517318">
      <w:pPr>
        <w:pStyle w:val="Paragraphedeliste"/>
        <w:spacing w:after="120" w:line="240" w:lineRule="auto"/>
        <w:ind w:left="360"/>
        <w:jc w:val="both"/>
        <w:rPr>
          <w:rFonts w:ascii="Times New Roman" w:hAnsi="Times New Roman" w:cs="Times New Roman"/>
          <w:sz w:val="24"/>
          <w:szCs w:val="24"/>
        </w:rPr>
      </w:pPr>
    </w:p>
    <w:p w14:paraId="44F7C486" w14:textId="57460722" w:rsidR="00003585" w:rsidRPr="00F6639B" w:rsidRDefault="00E21D7A" w:rsidP="00003585">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003585"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091162" w:rsidRPr="00F6639B">
        <w:rPr>
          <w:rFonts w:ascii="Times New Roman" w:hAnsi="Times New Roman" w:cs="Times New Roman"/>
          <w:b/>
          <w:sz w:val="24"/>
          <w:szCs w:val="24"/>
        </w:rPr>
        <w:t>16</w:t>
      </w:r>
    </w:p>
    <w:p w14:paraId="6AD82F30" w14:textId="0E649D6B" w:rsidR="00734B2B" w:rsidRPr="00F6639B" w:rsidRDefault="00E21D7A" w:rsidP="00517318">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Les documents de certification ou à défaut, les informations contenues dans les documents de certification, sont tenus à jour par l’organisme de certification et accessibles au public via un site internet. Ces documents sont également fournis sur demande. </w:t>
      </w:r>
    </w:p>
    <w:p w14:paraId="246A4532" w14:textId="1BED535A" w:rsidR="00091162" w:rsidRPr="00F6639B" w:rsidRDefault="00091162" w:rsidP="00517318">
      <w:pPr>
        <w:spacing w:after="120" w:line="240" w:lineRule="auto"/>
        <w:jc w:val="both"/>
        <w:rPr>
          <w:rFonts w:ascii="Times New Roman" w:hAnsi="Times New Roman" w:cs="Times New Roman"/>
          <w:sz w:val="24"/>
          <w:szCs w:val="24"/>
        </w:rPr>
      </w:pPr>
    </w:p>
    <w:p w14:paraId="35DA71A1" w14:textId="572410D6" w:rsidR="00003585" w:rsidRPr="00F6639B" w:rsidRDefault="00091162" w:rsidP="00003585">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003585"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17</w:t>
      </w:r>
    </w:p>
    <w:p w14:paraId="69033141" w14:textId="1A25C3EF" w:rsidR="00091162" w:rsidRPr="00F6639B" w:rsidRDefault="00091162" w:rsidP="00091162">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L’entreprise de forage, ayant fait l’objet d’un retrait de certification suite à la reconduction de non-conformités, ne peut pas déposer une nouvelle demande de certification sur le même module avant un délai de six mois à compter de la date du retrait de la certification. </w:t>
      </w:r>
    </w:p>
    <w:p w14:paraId="7AA36268" w14:textId="3A858605" w:rsidR="00091162" w:rsidRPr="00F6639B" w:rsidRDefault="00091162" w:rsidP="00091162">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Ce délai passé, l’entreprise indique à l’organisme de certification les non-conformités qui lui ont été signalées et démontre qu’elles ont été résolues.</w:t>
      </w:r>
    </w:p>
    <w:p w14:paraId="275EC114" w14:textId="77777777" w:rsidR="00517318" w:rsidRPr="00F6639B" w:rsidRDefault="00517318" w:rsidP="00517318">
      <w:pPr>
        <w:spacing w:after="120" w:line="240" w:lineRule="auto"/>
        <w:jc w:val="both"/>
        <w:rPr>
          <w:rFonts w:ascii="Times New Roman" w:hAnsi="Times New Roman" w:cs="Times New Roman"/>
          <w:bCs/>
          <w:sz w:val="24"/>
          <w:szCs w:val="24"/>
        </w:rPr>
      </w:pPr>
    </w:p>
    <w:p w14:paraId="5464B4F3" w14:textId="6CA0AB4A" w:rsidR="00AD7F45" w:rsidRPr="00F6639B" w:rsidRDefault="00AD7F45" w:rsidP="00AD7F45">
      <w:pPr>
        <w:autoSpaceDE w:val="0"/>
        <w:autoSpaceDN w:val="0"/>
        <w:adjustRightInd w:val="0"/>
        <w:spacing w:after="120" w:line="240" w:lineRule="auto"/>
        <w:rPr>
          <w:rFonts w:ascii="Times New Roman" w:hAnsi="Times New Roman" w:cs="Times New Roman"/>
          <w:b/>
          <w:bCs/>
          <w:sz w:val="24"/>
          <w:szCs w:val="24"/>
        </w:rPr>
      </w:pPr>
      <w:r w:rsidRPr="00F6639B">
        <w:rPr>
          <w:rFonts w:ascii="Times New Roman" w:hAnsi="Times New Roman" w:cs="Times New Roman"/>
          <w:b/>
          <w:bCs/>
          <w:sz w:val="24"/>
          <w:szCs w:val="24"/>
        </w:rPr>
        <w:t>Section 4 – Exigences pour les organismes de certification</w:t>
      </w:r>
    </w:p>
    <w:p w14:paraId="0337B0DE" w14:textId="77777777" w:rsidR="00005BC3" w:rsidRPr="00F6639B" w:rsidRDefault="00005BC3" w:rsidP="00AD7F45">
      <w:pPr>
        <w:spacing w:after="120" w:line="240" w:lineRule="auto"/>
        <w:jc w:val="both"/>
        <w:rPr>
          <w:rFonts w:ascii="Times New Roman" w:hAnsi="Times New Roman" w:cs="Times New Roman"/>
          <w:b/>
          <w:sz w:val="24"/>
          <w:szCs w:val="24"/>
        </w:rPr>
      </w:pPr>
    </w:p>
    <w:p w14:paraId="24A464B2" w14:textId="32D3B18A" w:rsidR="00003585" w:rsidRPr="00F6639B" w:rsidRDefault="00AD7F45" w:rsidP="00003585">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003585"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7A7118" w:rsidRPr="00F6639B">
        <w:rPr>
          <w:rFonts w:ascii="Times New Roman" w:hAnsi="Times New Roman" w:cs="Times New Roman"/>
          <w:b/>
          <w:sz w:val="24"/>
          <w:szCs w:val="24"/>
        </w:rPr>
        <w:t>18</w:t>
      </w:r>
    </w:p>
    <w:p w14:paraId="3FD4121F" w14:textId="1DA6D775" w:rsidR="00AD7F45" w:rsidRPr="00F6639B" w:rsidRDefault="00AD7F45" w:rsidP="00AD7F4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I.– L’organisme de certification s’appuie, pour la réalisation des audits</w:t>
      </w:r>
      <w:r w:rsidR="004D0FFF" w:rsidRPr="00F6639B">
        <w:rPr>
          <w:rFonts w:ascii="Times New Roman" w:hAnsi="Times New Roman" w:cs="Times New Roman"/>
          <w:sz w:val="24"/>
          <w:szCs w:val="24"/>
        </w:rPr>
        <w:t xml:space="preserve"> de chantier prévus à l’article </w:t>
      </w:r>
      <w:r w:rsidR="00C54D88" w:rsidRPr="00F6639B">
        <w:rPr>
          <w:rFonts w:ascii="Times New Roman" w:hAnsi="Times New Roman" w:cs="Times New Roman"/>
          <w:sz w:val="24"/>
          <w:szCs w:val="24"/>
        </w:rPr>
        <w:t>8</w:t>
      </w:r>
      <w:r w:rsidR="004D0FFF" w:rsidRPr="00F6639B">
        <w:rPr>
          <w:rFonts w:ascii="Times New Roman" w:hAnsi="Times New Roman" w:cs="Times New Roman"/>
          <w:sz w:val="24"/>
          <w:szCs w:val="24"/>
        </w:rPr>
        <w:t xml:space="preserve"> du présent arrêté</w:t>
      </w:r>
      <w:r w:rsidRPr="00F6639B">
        <w:rPr>
          <w:rFonts w:ascii="Times New Roman" w:hAnsi="Times New Roman" w:cs="Times New Roman"/>
          <w:sz w:val="24"/>
          <w:szCs w:val="24"/>
        </w:rPr>
        <w:t>, sur des équipes d’audit</w:t>
      </w:r>
      <w:r w:rsidR="00806BC0" w:rsidRPr="00F6639B">
        <w:rPr>
          <w:rFonts w:ascii="Times New Roman" w:hAnsi="Times New Roman" w:cs="Times New Roman"/>
          <w:sz w:val="24"/>
          <w:szCs w:val="24"/>
        </w:rPr>
        <w:t>eurs</w:t>
      </w:r>
      <w:r w:rsidRPr="00F6639B">
        <w:rPr>
          <w:rFonts w:ascii="Times New Roman" w:hAnsi="Times New Roman" w:cs="Times New Roman"/>
          <w:sz w:val="24"/>
          <w:szCs w:val="24"/>
        </w:rPr>
        <w:t xml:space="preserve"> composées au minimum d’un auditeur. </w:t>
      </w:r>
    </w:p>
    <w:p w14:paraId="45C80654" w14:textId="77777777" w:rsidR="00AD7F45" w:rsidRPr="00F6639B" w:rsidRDefault="00AD7F45" w:rsidP="00AD7F4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II.– L’organisme de certification désigne un auditeur responsable d’audit parmi les membres qui composent l’équipe d’audit. Les responsables d’audit justifient :</w:t>
      </w:r>
    </w:p>
    <w:p w14:paraId="25A7A0E7" w14:textId="16E8414B" w:rsidR="00AD7F45" w:rsidRPr="00F6639B" w:rsidRDefault="00D0126D" w:rsidP="00D0126D">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BD169B" w:rsidRPr="00F6639B">
        <w:rPr>
          <w:rFonts w:ascii="Times New Roman" w:hAnsi="Times New Roman" w:cs="Times New Roman"/>
          <w:sz w:val="24"/>
          <w:szCs w:val="24"/>
        </w:rPr>
        <w:t>d</w:t>
      </w:r>
      <w:r w:rsidR="00517318" w:rsidRPr="00F6639B">
        <w:rPr>
          <w:rFonts w:ascii="Times New Roman" w:hAnsi="Times New Roman" w:cs="Times New Roman"/>
          <w:sz w:val="24"/>
          <w:szCs w:val="24"/>
        </w:rPr>
        <w:t>’une</w:t>
      </w:r>
      <w:r w:rsidR="00AD7F45" w:rsidRPr="00F6639B">
        <w:rPr>
          <w:rFonts w:ascii="Times New Roman" w:hAnsi="Times New Roman" w:cs="Times New Roman"/>
          <w:sz w:val="24"/>
          <w:szCs w:val="24"/>
        </w:rPr>
        <w:t xml:space="preserve"> expérience de 20 jours dans la pratique de l’audit tierce partie ;</w:t>
      </w:r>
    </w:p>
    <w:p w14:paraId="2AD49656" w14:textId="6C601E55" w:rsidR="00AD7F45" w:rsidRPr="00F6639B" w:rsidRDefault="00D0126D" w:rsidP="00D0126D">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BD169B" w:rsidRPr="00F6639B">
        <w:rPr>
          <w:rFonts w:ascii="Times New Roman" w:hAnsi="Times New Roman" w:cs="Times New Roman"/>
          <w:sz w:val="24"/>
          <w:szCs w:val="24"/>
        </w:rPr>
        <w:t>d</w:t>
      </w:r>
      <w:r w:rsidR="00517318" w:rsidRPr="00F6639B">
        <w:rPr>
          <w:rFonts w:ascii="Times New Roman" w:hAnsi="Times New Roman" w:cs="Times New Roman"/>
          <w:sz w:val="24"/>
          <w:szCs w:val="24"/>
        </w:rPr>
        <w:t>’une</w:t>
      </w:r>
      <w:r w:rsidR="00AD7F45" w:rsidRPr="00F6639B">
        <w:rPr>
          <w:rFonts w:ascii="Times New Roman" w:hAnsi="Times New Roman" w:cs="Times New Roman"/>
          <w:sz w:val="24"/>
          <w:szCs w:val="24"/>
        </w:rPr>
        <w:t xml:space="preserve"> formation </w:t>
      </w:r>
      <w:r w:rsidR="00967795" w:rsidRPr="00F6639B">
        <w:rPr>
          <w:rFonts w:ascii="Times New Roman" w:hAnsi="Times New Roman" w:cs="Times New Roman"/>
          <w:sz w:val="24"/>
          <w:szCs w:val="24"/>
        </w:rPr>
        <w:t xml:space="preserve">d’au moins </w:t>
      </w:r>
      <w:r w:rsidR="00AD7F45" w:rsidRPr="00F6639B">
        <w:rPr>
          <w:rFonts w:ascii="Times New Roman" w:hAnsi="Times New Roman" w:cs="Times New Roman"/>
          <w:sz w:val="24"/>
          <w:szCs w:val="24"/>
        </w:rPr>
        <w:t xml:space="preserve">2 jours dont l’objectif est d’acquérir les connaissances de base en géologie, hydrogéologie et les bonnes pratiques relatives au processus de forages géothermique nécessaire au contrôle qualité associé à la qualification RGE des entreprises de </w:t>
      </w:r>
      <w:r w:rsidR="00A8699B" w:rsidRPr="00F6639B">
        <w:rPr>
          <w:rFonts w:ascii="Times New Roman" w:hAnsi="Times New Roman" w:cs="Times New Roman"/>
          <w:sz w:val="24"/>
          <w:szCs w:val="24"/>
        </w:rPr>
        <w:t>f</w:t>
      </w:r>
      <w:r w:rsidR="00AD7F45" w:rsidRPr="00F6639B">
        <w:rPr>
          <w:rFonts w:ascii="Times New Roman" w:hAnsi="Times New Roman" w:cs="Times New Roman"/>
          <w:sz w:val="24"/>
          <w:szCs w:val="24"/>
        </w:rPr>
        <w:t>orage ;</w:t>
      </w:r>
    </w:p>
    <w:p w14:paraId="606E90D8" w14:textId="2FE0168E" w:rsidR="00F44C38" w:rsidRPr="00F6639B" w:rsidRDefault="00D0126D" w:rsidP="00D0126D">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BD169B" w:rsidRPr="00F6639B">
        <w:rPr>
          <w:rFonts w:ascii="Times New Roman" w:hAnsi="Times New Roman" w:cs="Times New Roman"/>
          <w:sz w:val="24"/>
          <w:szCs w:val="24"/>
        </w:rPr>
        <w:t>d</w:t>
      </w:r>
      <w:r w:rsidR="00F74892" w:rsidRPr="00F6639B">
        <w:rPr>
          <w:rFonts w:ascii="Times New Roman" w:hAnsi="Times New Roman" w:cs="Times New Roman"/>
          <w:sz w:val="24"/>
          <w:szCs w:val="24"/>
        </w:rPr>
        <w:t>’un t</w:t>
      </w:r>
      <w:r w:rsidR="00F44C38" w:rsidRPr="00F6639B">
        <w:rPr>
          <w:rFonts w:ascii="Times New Roman" w:hAnsi="Times New Roman" w:cs="Times New Roman"/>
          <w:sz w:val="24"/>
          <w:szCs w:val="24"/>
        </w:rPr>
        <w:t xml:space="preserve">utorat sur au moins </w:t>
      </w:r>
      <w:r w:rsidR="001F72B6" w:rsidRPr="00F6639B">
        <w:rPr>
          <w:rFonts w:ascii="Times New Roman" w:hAnsi="Times New Roman" w:cs="Times New Roman"/>
          <w:sz w:val="24"/>
          <w:szCs w:val="24"/>
        </w:rPr>
        <w:t xml:space="preserve">1 </w:t>
      </w:r>
      <w:r w:rsidR="00F44C38" w:rsidRPr="00F6639B">
        <w:rPr>
          <w:rFonts w:ascii="Times New Roman" w:hAnsi="Times New Roman" w:cs="Times New Roman"/>
          <w:sz w:val="24"/>
          <w:szCs w:val="24"/>
        </w:rPr>
        <w:t>mission FORAGE en immersion avec un auditeur compétent habilité à la réalisation d’audits FORAGE.</w:t>
      </w:r>
      <w:r w:rsidR="00A037BC" w:rsidRPr="00F6639B">
        <w:rPr>
          <w:rFonts w:ascii="Times New Roman" w:hAnsi="Times New Roman" w:cs="Times New Roman"/>
          <w:sz w:val="24"/>
          <w:szCs w:val="24"/>
        </w:rPr>
        <w:t xml:space="preserve"> Dans le cas où l’organisme de certification démarre </w:t>
      </w:r>
      <w:r w:rsidR="006D2C20" w:rsidRPr="00F6639B">
        <w:rPr>
          <w:rFonts w:ascii="Times New Roman" w:hAnsi="Times New Roman" w:cs="Times New Roman"/>
          <w:sz w:val="24"/>
          <w:szCs w:val="24"/>
        </w:rPr>
        <w:t>ses</w:t>
      </w:r>
      <w:r w:rsidR="00A037BC" w:rsidRPr="00F6639B">
        <w:rPr>
          <w:rFonts w:ascii="Times New Roman" w:hAnsi="Times New Roman" w:cs="Times New Roman"/>
          <w:sz w:val="24"/>
          <w:szCs w:val="24"/>
        </w:rPr>
        <w:t xml:space="preserve"> activité</w:t>
      </w:r>
      <w:r w:rsidR="006D2C20" w:rsidRPr="00F6639B">
        <w:rPr>
          <w:rFonts w:ascii="Times New Roman" w:hAnsi="Times New Roman" w:cs="Times New Roman"/>
          <w:sz w:val="24"/>
          <w:szCs w:val="24"/>
        </w:rPr>
        <w:t>s</w:t>
      </w:r>
      <w:r w:rsidR="00A037BC" w:rsidRPr="00F6639B">
        <w:rPr>
          <w:rFonts w:ascii="Times New Roman" w:hAnsi="Times New Roman" w:cs="Times New Roman"/>
          <w:sz w:val="24"/>
          <w:szCs w:val="24"/>
        </w:rPr>
        <w:t>, le premier auditeur est exempté de cette obligation.</w:t>
      </w:r>
    </w:p>
    <w:p w14:paraId="311FCE8A" w14:textId="5CBCA447" w:rsidR="00AD7F45" w:rsidRPr="00F6639B" w:rsidRDefault="00AD7F45" w:rsidP="00AD7F4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III.– En complément des critères de qualifications</w:t>
      </w:r>
      <w:r w:rsidR="00806BC0" w:rsidRPr="00F6639B">
        <w:rPr>
          <w:rFonts w:ascii="Times New Roman" w:hAnsi="Times New Roman" w:cs="Times New Roman"/>
          <w:sz w:val="24"/>
          <w:szCs w:val="24"/>
        </w:rPr>
        <w:t xml:space="preserve"> des auditeurs</w:t>
      </w:r>
      <w:r w:rsidRPr="00F6639B">
        <w:rPr>
          <w:rFonts w:ascii="Times New Roman" w:hAnsi="Times New Roman" w:cs="Times New Roman"/>
          <w:sz w:val="24"/>
          <w:szCs w:val="24"/>
        </w:rPr>
        <w:t xml:space="preserve"> mentionnés au II du présent article, l’organisme de certification s’assure que les responsables d’audit </w:t>
      </w:r>
      <w:r w:rsidR="00967795" w:rsidRPr="00F6639B">
        <w:rPr>
          <w:rFonts w:ascii="Times New Roman" w:hAnsi="Times New Roman" w:cs="Times New Roman"/>
          <w:sz w:val="24"/>
          <w:szCs w:val="24"/>
        </w:rPr>
        <w:t>ont une bonne connaissance du</w:t>
      </w:r>
      <w:r w:rsidRPr="00F6639B">
        <w:rPr>
          <w:rFonts w:ascii="Times New Roman" w:hAnsi="Times New Roman" w:cs="Times New Roman"/>
          <w:sz w:val="24"/>
          <w:szCs w:val="24"/>
        </w:rPr>
        <w:t xml:space="preserve"> référentiel de certification défini à l’article 2 du présent arrêté</w:t>
      </w:r>
      <w:r w:rsidR="00967795" w:rsidRPr="00F6639B">
        <w:rPr>
          <w:rFonts w:ascii="Times New Roman" w:hAnsi="Times New Roman" w:cs="Times New Roman"/>
          <w:sz w:val="24"/>
          <w:szCs w:val="24"/>
        </w:rPr>
        <w:t xml:space="preserve"> et une maîtrise des critères de contrôles de réalisation sur chantier définis aux annexes II et III du présent arrêté</w:t>
      </w:r>
      <w:r w:rsidRPr="00F6639B">
        <w:rPr>
          <w:rFonts w:ascii="Times New Roman" w:hAnsi="Times New Roman" w:cs="Times New Roman"/>
          <w:sz w:val="24"/>
          <w:szCs w:val="24"/>
        </w:rPr>
        <w:t xml:space="preserve">. </w:t>
      </w:r>
    </w:p>
    <w:p w14:paraId="2BE3F463" w14:textId="67BA5AC2" w:rsidR="00AD7F45" w:rsidRPr="00F6639B" w:rsidRDefault="006677B6" w:rsidP="00AD7F4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I</w:t>
      </w:r>
      <w:r w:rsidR="00AD7F45" w:rsidRPr="00F6639B">
        <w:rPr>
          <w:rFonts w:ascii="Times New Roman" w:hAnsi="Times New Roman" w:cs="Times New Roman"/>
          <w:sz w:val="24"/>
          <w:szCs w:val="24"/>
        </w:rPr>
        <w:t xml:space="preserve">V.– Pour mener les audits supplémentaires prévus </w:t>
      </w:r>
      <w:r w:rsidR="00C54D88" w:rsidRPr="00F6639B">
        <w:rPr>
          <w:rFonts w:ascii="Times New Roman" w:hAnsi="Times New Roman" w:cs="Times New Roman"/>
          <w:sz w:val="24"/>
          <w:szCs w:val="24"/>
        </w:rPr>
        <w:t>à l’article 13</w:t>
      </w:r>
      <w:r w:rsidR="00AD7F45" w:rsidRPr="00F6639B">
        <w:rPr>
          <w:rFonts w:ascii="Times New Roman" w:hAnsi="Times New Roman" w:cs="Times New Roman"/>
          <w:sz w:val="24"/>
          <w:szCs w:val="24"/>
        </w:rPr>
        <w:t xml:space="preserve"> du présent arrêté, l’organisme de certification peut compléter son équipe d’audit en faisant appel à un expert technique externe </w:t>
      </w:r>
      <w:r w:rsidRPr="00F6639B">
        <w:rPr>
          <w:rFonts w:ascii="Times New Roman" w:hAnsi="Times New Roman" w:cs="Times New Roman"/>
          <w:sz w:val="24"/>
          <w:szCs w:val="24"/>
        </w:rPr>
        <w:t>dont la compétence est reconnue dans le domaine de la géothermie de minime importance et dûment qualifié par l’organisme de certification.</w:t>
      </w:r>
      <w:r w:rsidR="00AD7F45" w:rsidRPr="00F6639B">
        <w:rPr>
          <w:rFonts w:ascii="Times New Roman" w:hAnsi="Times New Roman" w:cs="Times New Roman"/>
          <w:sz w:val="24"/>
          <w:szCs w:val="24"/>
        </w:rPr>
        <w:t xml:space="preserve"> </w:t>
      </w:r>
    </w:p>
    <w:p w14:paraId="79F2AD59" w14:textId="77777777" w:rsidR="00F74892" w:rsidRPr="00F6639B" w:rsidRDefault="00F74892" w:rsidP="00AD7F45">
      <w:pPr>
        <w:spacing w:after="120" w:line="240" w:lineRule="auto"/>
        <w:jc w:val="both"/>
        <w:rPr>
          <w:rFonts w:ascii="Times New Roman" w:hAnsi="Times New Roman" w:cs="Times New Roman"/>
          <w:sz w:val="24"/>
          <w:szCs w:val="24"/>
        </w:rPr>
      </w:pPr>
    </w:p>
    <w:p w14:paraId="08BBF1C9" w14:textId="767C0294" w:rsidR="00003585" w:rsidRPr="00F6639B" w:rsidRDefault="00AD7F45" w:rsidP="00003585">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003585"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7A7118" w:rsidRPr="00F6639B">
        <w:rPr>
          <w:rFonts w:ascii="Times New Roman" w:hAnsi="Times New Roman" w:cs="Times New Roman"/>
          <w:b/>
          <w:sz w:val="24"/>
          <w:szCs w:val="24"/>
        </w:rPr>
        <w:t>19</w:t>
      </w:r>
    </w:p>
    <w:p w14:paraId="1A6E3F5D" w14:textId="68A122AB" w:rsidR="00AD7F45" w:rsidRPr="00F6639B" w:rsidRDefault="00AD7F45" w:rsidP="00AD7F4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L’organisme de certification nomme un représentant chargé des relations avec la direction générale de la prévention des risques du ministère chargé de l’environnement et en informe celle-ci. </w:t>
      </w:r>
    </w:p>
    <w:p w14:paraId="12819C85" w14:textId="77777777" w:rsidR="00AD7F45" w:rsidRPr="00F6639B" w:rsidRDefault="00AD7F45" w:rsidP="00AD7F45">
      <w:pPr>
        <w:spacing w:after="120" w:line="240" w:lineRule="auto"/>
        <w:jc w:val="both"/>
        <w:rPr>
          <w:rFonts w:ascii="Times New Roman" w:hAnsi="Times New Roman" w:cs="Times New Roman"/>
          <w:sz w:val="24"/>
          <w:szCs w:val="24"/>
        </w:rPr>
      </w:pPr>
    </w:p>
    <w:p w14:paraId="292F7E01" w14:textId="17458830" w:rsidR="00003585" w:rsidRPr="00F6639B" w:rsidRDefault="00AD7F45" w:rsidP="00003585">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003585"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7A7118" w:rsidRPr="00F6639B">
        <w:rPr>
          <w:rFonts w:ascii="Times New Roman" w:hAnsi="Times New Roman" w:cs="Times New Roman"/>
          <w:b/>
          <w:sz w:val="24"/>
          <w:szCs w:val="24"/>
        </w:rPr>
        <w:t>20</w:t>
      </w:r>
    </w:p>
    <w:p w14:paraId="610C143E" w14:textId="1E01C83A" w:rsidR="00AD7F45" w:rsidRPr="00F6639B" w:rsidRDefault="00AD7F45" w:rsidP="00AD7F4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 L’organisme de certification </w:t>
      </w:r>
      <w:r w:rsidR="00343A8E" w:rsidRPr="00F6639B">
        <w:rPr>
          <w:rFonts w:ascii="Times New Roman" w:hAnsi="Times New Roman" w:cs="Times New Roman"/>
          <w:sz w:val="24"/>
          <w:szCs w:val="24"/>
        </w:rPr>
        <w:t xml:space="preserve">conserve </w:t>
      </w:r>
      <w:r w:rsidRPr="00F6639B">
        <w:rPr>
          <w:rFonts w:ascii="Times New Roman" w:hAnsi="Times New Roman" w:cs="Times New Roman"/>
          <w:sz w:val="24"/>
          <w:szCs w:val="24"/>
        </w:rPr>
        <w:t xml:space="preserve">toutes les non-conformités </w:t>
      </w:r>
      <w:r w:rsidR="00FF77A2" w:rsidRPr="00F6639B">
        <w:rPr>
          <w:rFonts w:ascii="Times New Roman" w:hAnsi="Times New Roman" w:cs="Times New Roman"/>
          <w:sz w:val="24"/>
          <w:szCs w:val="24"/>
        </w:rPr>
        <w:t xml:space="preserve">relevées </w:t>
      </w:r>
      <w:r w:rsidR="00096C47" w:rsidRPr="00F6639B">
        <w:rPr>
          <w:rFonts w:ascii="Times New Roman" w:hAnsi="Times New Roman" w:cs="Times New Roman"/>
          <w:sz w:val="24"/>
          <w:szCs w:val="24"/>
        </w:rPr>
        <w:t>pendant un délai de</w:t>
      </w:r>
      <w:r w:rsidR="00003585" w:rsidRPr="00F6639B">
        <w:rPr>
          <w:rFonts w:ascii="Times New Roman" w:hAnsi="Times New Roman" w:cs="Times New Roman"/>
          <w:sz w:val="24"/>
          <w:szCs w:val="24"/>
        </w:rPr>
        <w:t xml:space="preserve"> </w:t>
      </w:r>
      <w:r w:rsidR="00A232BE" w:rsidRPr="00F6639B">
        <w:rPr>
          <w:rFonts w:ascii="Times New Roman" w:hAnsi="Times New Roman" w:cs="Times New Roman"/>
          <w:sz w:val="24"/>
          <w:szCs w:val="24"/>
        </w:rPr>
        <w:t>10</w:t>
      </w:r>
      <w:r w:rsidR="00096C47" w:rsidRPr="00F6639B">
        <w:rPr>
          <w:rFonts w:ascii="Times New Roman" w:hAnsi="Times New Roman" w:cs="Times New Roman"/>
          <w:sz w:val="24"/>
          <w:szCs w:val="24"/>
        </w:rPr>
        <w:t xml:space="preserve"> ans.</w:t>
      </w:r>
      <w:r w:rsidR="00BB27A5" w:rsidRPr="00F6639B" w:rsidDel="007219FD">
        <w:rPr>
          <w:rFonts w:ascii="Times New Roman" w:hAnsi="Times New Roman" w:cs="Times New Roman"/>
          <w:sz w:val="24"/>
          <w:szCs w:val="24"/>
        </w:rPr>
        <w:t xml:space="preserve"> </w:t>
      </w:r>
    </w:p>
    <w:p w14:paraId="48AE7C10" w14:textId="7B2CDD0D" w:rsidR="00AD7F45" w:rsidRPr="00F6639B" w:rsidRDefault="00AD7F45" w:rsidP="00AD7F4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II.– L’organisme de certification conserve tous les documents liés au processus de certification, y compris les évaluations supplémentaires mentionné</w:t>
      </w:r>
      <w:r w:rsidR="00343A8E" w:rsidRPr="00F6639B">
        <w:rPr>
          <w:rFonts w:ascii="Times New Roman" w:hAnsi="Times New Roman" w:cs="Times New Roman"/>
          <w:sz w:val="24"/>
          <w:szCs w:val="24"/>
        </w:rPr>
        <w:t>e</w:t>
      </w:r>
      <w:r w:rsidRPr="00F6639B">
        <w:rPr>
          <w:rFonts w:ascii="Times New Roman" w:hAnsi="Times New Roman" w:cs="Times New Roman"/>
          <w:sz w:val="24"/>
          <w:szCs w:val="24"/>
        </w:rPr>
        <w:t xml:space="preserve">s </w:t>
      </w:r>
      <w:r w:rsidR="00C54D88" w:rsidRPr="00F6639B">
        <w:rPr>
          <w:rFonts w:ascii="Times New Roman" w:hAnsi="Times New Roman" w:cs="Times New Roman"/>
          <w:sz w:val="24"/>
          <w:szCs w:val="24"/>
        </w:rPr>
        <w:t>à l’article 13</w:t>
      </w:r>
      <w:r w:rsidRPr="00F6639B">
        <w:rPr>
          <w:rFonts w:ascii="Times New Roman" w:hAnsi="Times New Roman" w:cs="Times New Roman"/>
          <w:sz w:val="24"/>
          <w:szCs w:val="24"/>
        </w:rPr>
        <w:t>, et les plaintes reçu</w:t>
      </w:r>
      <w:r w:rsidR="002E712B" w:rsidRPr="00F6639B">
        <w:rPr>
          <w:rFonts w:ascii="Times New Roman" w:hAnsi="Times New Roman" w:cs="Times New Roman"/>
          <w:sz w:val="24"/>
          <w:szCs w:val="24"/>
        </w:rPr>
        <w:t>e</w:t>
      </w:r>
      <w:r w:rsidRPr="00F6639B">
        <w:rPr>
          <w:rFonts w:ascii="Times New Roman" w:hAnsi="Times New Roman" w:cs="Times New Roman"/>
          <w:sz w:val="24"/>
          <w:szCs w:val="24"/>
        </w:rPr>
        <w:t xml:space="preserve">s </w:t>
      </w:r>
      <w:r w:rsidR="00BB27A5" w:rsidRPr="00F6639B">
        <w:rPr>
          <w:rFonts w:ascii="Times New Roman" w:hAnsi="Times New Roman" w:cs="Times New Roman"/>
          <w:sz w:val="24"/>
          <w:szCs w:val="24"/>
        </w:rPr>
        <w:t>p</w:t>
      </w:r>
      <w:r w:rsidR="00096C47" w:rsidRPr="00F6639B">
        <w:rPr>
          <w:rFonts w:ascii="Times New Roman" w:hAnsi="Times New Roman" w:cs="Times New Roman"/>
          <w:sz w:val="24"/>
          <w:szCs w:val="24"/>
        </w:rPr>
        <w:t xml:space="preserve">endant un délai de </w:t>
      </w:r>
      <w:r w:rsidR="00A232BE" w:rsidRPr="00F6639B">
        <w:rPr>
          <w:rFonts w:ascii="Times New Roman" w:hAnsi="Times New Roman" w:cs="Times New Roman"/>
          <w:sz w:val="24"/>
          <w:szCs w:val="24"/>
        </w:rPr>
        <w:t xml:space="preserve">10 </w:t>
      </w:r>
      <w:r w:rsidR="00096C47" w:rsidRPr="00F6639B">
        <w:rPr>
          <w:rFonts w:ascii="Times New Roman" w:hAnsi="Times New Roman" w:cs="Times New Roman"/>
          <w:sz w:val="24"/>
          <w:szCs w:val="24"/>
        </w:rPr>
        <w:t>ans.</w:t>
      </w:r>
    </w:p>
    <w:p w14:paraId="12EC95B1" w14:textId="1937589B" w:rsidR="00B01E9B" w:rsidRPr="00F6639B" w:rsidRDefault="00B01E9B" w:rsidP="00AD7F45">
      <w:pPr>
        <w:spacing w:after="120" w:line="240" w:lineRule="auto"/>
        <w:jc w:val="both"/>
        <w:rPr>
          <w:rFonts w:ascii="Times New Roman" w:hAnsi="Times New Roman" w:cs="Times New Roman"/>
          <w:sz w:val="24"/>
          <w:szCs w:val="24"/>
        </w:rPr>
      </w:pPr>
    </w:p>
    <w:p w14:paraId="23F3783F" w14:textId="604300F7" w:rsidR="00003585" w:rsidRPr="00F6639B" w:rsidRDefault="00AD7F45" w:rsidP="00003585">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w:t>
      </w:r>
      <w:r w:rsidR="00BD169B" w:rsidRPr="00F6639B">
        <w:rPr>
          <w:rFonts w:ascii="Times New Roman" w:hAnsi="Times New Roman" w:cs="Times New Roman"/>
          <w:b/>
          <w:sz w:val="24"/>
          <w:szCs w:val="24"/>
        </w:rPr>
        <w:t>t</w:t>
      </w:r>
      <w:r w:rsidR="00003585"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7A7118" w:rsidRPr="00F6639B">
        <w:rPr>
          <w:rFonts w:ascii="Times New Roman" w:hAnsi="Times New Roman" w:cs="Times New Roman"/>
          <w:b/>
          <w:sz w:val="24"/>
          <w:szCs w:val="24"/>
        </w:rPr>
        <w:t>21</w:t>
      </w:r>
    </w:p>
    <w:p w14:paraId="7D8F3823" w14:textId="2D39F833" w:rsidR="00AD7F45" w:rsidRPr="00F6639B" w:rsidRDefault="00AD7F45" w:rsidP="00AD7F4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Chaque année, avant la fin du mois de </w:t>
      </w:r>
      <w:r w:rsidR="00967795" w:rsidRPr="00F6639B">
        <w:rPr>
          <w:rFonts w:ascii="Times New Roman" w:hAnsi="Times New Roman" w:cs="Times New Roman"/>
          <w:sz w:val="24"/>
          <w:szCs w:val="24"/>
        </w:rPr>
        <w:t>mars</w:t>
      </w:r>
      <w:r w:rsidRPr="00F6639B">
        <w:rPr>
          <w:rFonts w:ascii="Times New Roman" w:hAnsi="Times New Roman" w:cs="Times New Roman"/>
          <w:sz w:val="24"/>
          <w:szCs w:val="24"/>
        </w:rPr>
        <w:t>, l’organisme de certification adresse à la direction générale de la prévention des risques du ministère chargé de l’environnement, un rapport annuel en français. Ce rapport annuel comprend</w:t>
      </w:r>
      <w:r w:rsidR="0034234B" w:rsidRPr="00F6639B">
        <w:rPr>
          <w:rFonts w:ascii="Times New Roman" w:hAnsi="Times New Roman" w:cs="Times New Roman"/>
          <w:sz w:val="24"/>
          <w:szCs w:val="24"/>
        </w:rPr>
        <w:t xml:space="preserve"> notamment</w:t>
      </w:r>
      <w:r w:rsidRPr="00F6639B">
        <w:rPr>
          <w:rFonts w:ascii="Times New Roman" w:hAnsi="Times New Roman" w:cs="Times New Roman"/>
          <w:sz w:val="24"/>
          <w:szCs w:val="24"/>
        </w:rPr>
        <w:t xml:space="preserve"> :</w:t>
      </w:r>
    </w:p>
    <w:p w14:paraId="7A699B42" w14:textId="02306468" w:rsidR="00AD7F45" w:rsidRPr="00F6639B" w:rsidRDefault="00736535" w:rsidP="0073653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BD169B" w:rsidRPr="00F6639B">
        <w:rPr>
          <w:rFonts w:ascii="Times New Roman" w:hAnsi="Times New Roman" w:cs="Times New Roman"/>
          <w:sz w:val="24"/>
          <w:szCs w:val="24"/>
        </w:rPr>
        <w:t>l</w:t>
      </w:r>
      <w:r w:rsidR="00BE07E3" w:rsidRPr="00F6639B">
        <w:rPr>
          <w:rFonts w:ascii="Times New Roman" w:hAnsi="Times New Roman" w:cs="Times New Roman"/>
          <w:sz w:val="24"/>
          <w:szCs w:val="24"/>
        </w:rPr>
        <w:t>e</w:t>
      </w:r>
      <w:r w:rsidR="00AD7F45" w:rsidRPr="00F6639B">
        <w:rPr>
          <w:rFonts w:ascii="Times New Roman" w:hAnsi="Times New Roman" w:cs="Times New Roman"/>
          <w:sz w:val="24"/>
          <w:szCs w:val="24"/>
        </w:rPr>
        <w:t xml:space="preserve"> nombre de demandes de certification initiales instruites ou en cours d’instruction par module</w:t>
      </w:r>
      <w:r w:rsidR="00806BC0" w:rsidRPr="00F6639B">
        <w:rPr>
          <w:rFonts w:ascii="Times New Roman" w:hAnsi="Times New Roman" w:cs="Times New Roman"/>
          <w:sz w:val="24"/>
          <w:szCs w:val="24"/>
        </w:rPr>
        <w:t xml:space="preserve"> sonde ou nappe ;</w:t>
      </w:r>
    </w:p>
    <w:p w14:paraId="40763F9E" w14:textId="01113A3A" w:rsidR="00AD7F45" w:rsidRPr="00F6639B" w:rsidRDefault="00736535" w:rsidP="0073653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BD169B" w:rsidRPr="00F6639B">
        <w:rPr>
          <w:rFonts w:ascii="Times New Roman" w:hAnsi="Times New Roman" w:cs="Times New Roman"/>
          <w:sz w:val="24"/>
          <w:szCs w:val="24"/>
        </w:rPr>
        <w:t>l</w:t>
      </w:r>
      <w:r w:rsidR="00BE07E3" w:rsidRPr="00F6639B">
        <w:rPr>
          <w:rFonts w:ascii="Times New Roman" w:hAnsi="Times New Roman" w:cs="Times New Roman"/>
          <w:sz w:val="24"/>
          <w:szCs w:val="24"/>
        </w:rPr>
        <w:t>e</w:t>
      </w:r>
      <w:r w:rsidR="00AD7F45" w:rsidRPr="00F6639B">
        <w:rPr>
          <w:rFonts w:ascii="Times New Roman" w:hAnsi="Times New Roman" w:cs="Times New Roman"/>
          <w:sz w:val="24"/>
          <w:szCs w:val="24"/>
        </w:rPr>
        <w:t xml:space="preserve"> nombre de renouvellement</w:t>
      </w:r>
      <w:r w:rsidR="003146F9" w:rsidRPr="00F6639B">
        <w:rPr>
          <w:rFonts w:ascii="Times New Roman" w:hAnsi="Times New Roman" w:cs="Times New Roman"/>
          <w:sz w:val="24"/>
          <w:szCs w:val="24"/>
        </w:rPr>
        <w:t>s</w:t>
      </w:r>
      <w:r w:rsidR="00AD7F45" w:rsidRPr="00F6639B">
        <w:rPr>
          <w:rFonts w:ascii="Times New Roman" w:hAnsi="Times New Roman" w:cs="Times New Roman"/>
          <w:sz w:val="24"/>
          <w:szCs w:val="24"/>
        </w:rPr>
        <w:t xml:space="preserve"> de certification par module</w:t>
      </w:r>
      <w:r w:rsidR="00806BC0" w:rsidRPr="00F6639B">
        <w:rPr>
          <w:rFonts w:ascii="Times New Roman" w:hAnsi="Times New Roman" w:cs="Times New Roman"/>
          <w:sz w:val="24"/>
          <w:szCs w:val="24"/>
        </w:rPr>
        <w:t> ;</w:t>
      </w:r>
    </w:p>
    <w:p w14:paraId="137367FE" w14:textId="12C4F85D" w:rsidR="00AD7F45" w:rsidRPr="00F6639B" w:rsidRDefault="00736535" w:rsidP="0073653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BD169B" w:rsidRPr="00F6639B">
        <w:rPr>
          <w:rFonts w:ascii="Times New Roman" w:hAnsi="Times New Roman" w:cs="Times New Roman"/>
          <w:sz w:val="24"/>
          <w:szCs w:val="24"/>
        </w:rPr>
        <w:t>l</w:t>
      </w:r>
      <w:r w:rsidR="00BE07E3" w:rsidRPr="00F6639B">
        <w:rPr>
          <w:rFonts w:ascii="Times New Roman" w:hAnsi="Times New Roman" w:cs="Times New Roman"/>
          <w:sz w:val="24"/>
          <w:szCs w:val="24"/>
        </w:rPr>
        <w:t>e</w:t>
      </w:r>
      <w:r w:rsidR="00AD7F45" w:rsidRPr="00F6639B">
        <w:rPr>
          <w:rFonts w:ascii="Times New Roman" w:hAnsi="Times New Roman" w:cs="Times New Roman"/>
          <w:sz w:val="24"/>
          <w:szCs w:val="24"/>
        </w:rPr>
        <w:t xml:space="preserve"> nombre de certificats en cours de validité délivrés par module</w:t>
      </w:r>
      <w:r w:rsidR="00806BC0" w:rsidRPr="00F6639B">
        <w:rPr>
          <w:rFonts w:ascii="Times New Roman" w:hAnsi="Times New Roman" w:cs="Times New Roman"/>
          <w:sz w:val="24"/>
          <w:szCs w:val="24"/>
        </w:rPr>
        <w:t> ;</w:t>
      </w:r>
    </w:p>
    <w:p w14:paraId="4D693BB6" w14:textId="0CF367DD" w:rsidR="00AD7F45" w:rsidRPr="00F6639B" w:rsidRDefault="00736535" w:rsidP="0073653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BD169B" w:rsidRPr="00F6639B">
        <w:rPr>
          <w:rFonts w:ascii="Times New Roman" w:hAnsi="Times New Roman" w:cs="Times New Roman"/>
          <w:sz w:val="24"/>
          <w:szCs w:val="24"/>
        </w:rPr>
        <w:t>l</w:t>
      </w:r>
      <w:r w:rsidR="00BE07E3" w:rsidRPr="00F6639B">
        <w:rPr>
          <w:rFonts w:ascii="Times New Roman" w:hAnsi="Times New Roman" w:cs="Times New Roman"/>
          <w:sz w:val="24"/>
          <w:szCs w:val="24"/>
        </w:rPr>
        <w:t>e</w:t>
      </w:r>
      <w:r w:rsidR="00AD7F45" w:rsidRPr="00F6639B">
        <w:rPr>
          <w:rFonts w:ascii="Times New Roman" w:hAnsi="Times New Roman" w:cs="Times New Roman"/>
          <w:sz w:val="24"/>
          <w:szCs w:val="24"/>
        </w:rPr>
        <w:t xml:space="preserve"> nombre de refus de certification, de suspension</w:t>
      </w:r>
      <w:r w:rsidR="003146F9" w:rsidRPr="00F6639B">
        <w:rPr>
          <w:rFonts w:ascii="Times New Roman" w:hAnsi="Times New Roman" w:cs="Times New Roman"/>
          <w:sz w:val="24"/>
          <w:szCs w:val="24"/>
        </w:rPr>
        <w:t>s</w:t>
      </w:r>
      <w:r w:rsidR="00090C6E" w:rsidRPr="00F6639B">
        <w:rPr>
          <w:rFonts w:ascii="Times New Roman" w:hAnsi="Times New Roman" w:cs="Times New Roman"/>
          <w:sz w:val="24"/>
          <w:szCs w:val="24"/>
        </w:rPr>
        <w:t xml:space="preserve"> sur la période concernée</w:t>
      </w:r>
      <w:r w:rsidR="00AD7F45" w:rsidRPr="00F6639B">
        <w:rPr>
          <w:rFonts w:ascii="Times New Roman" w:hAnsi="Times New Roman" w:cs="Times New Roman"/>
          <w:sz w:val="24"/>
          <w:szCs w:val="24"/>
        </w:rPr>
        <w:t xml:space="preserve"> et de retrait de certification par module</w:t>
      </w:r>
      <w:r w:rsidR="00806BC0" w:rsidRPr="00F6639B">
        <w:rPr>
          <w:rFonts w:ascii="Times New Roman" w:hAnsi="Times New Roman" w:cs="Times New Roman"/>
          <w:sz w:val="24"/>
          <w:szCs w:val="24"/>
        </w:rPr>
        <w:t> ;</w:t>
      </w:r>
    </w:p>
    <w:p w14:paraId="7C832FF7" w14:textId="0E150846" w:rsidR="009F01E4" w:rsidRPr="00F6639B" w:rsidRDefault="00736535" w:rsidP="0073653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9F01E4" w:rsidRPr="00F6639B">
        <w:rPr>
          <w:rFonts w:ascii="Times New Roman" w:hAnsi="Times New Roman" w:cs="Times New Roman"/>
          <w:sz w:val="24"/>
          <w:szCs w:val="24"/>
        </w:rPr>
        <w:t>le nombre de plaintes reçues par l’organisme de certification ;</w:t>
      </w:r>
    </w:p>
    <w:p w14:paraId="5924970C" w14:textId="38C734C8" w:rsidR="00AD7F45" w:rsidRPr="00F6639B" w:rsidRDefault="00736535" w:rsidP="0073653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BD169B" w:rsidRPr="00F6639B">
        <w:rPr>
          <w:rFonts w:ascii="Times New Roman" w:hAnsi="Times New Roman" w:cs="Times New Roman"/>
          <w:sz w:val="24"/>
          <w:szCs w:val="24"/>
        </w:rPr>
        <w:t>u</w:t>
      </w:r>
      <w:r w:rsidR="00BE07E3" w:rsidRPr="00F6639B">
        <w:rPr>
          <w:rFonts w:ascii="Times New Roman" w:hAnsi="Times New Roman" w:cs="Times New Roman"/>
          <w:sz w:val="24"/>
          <w:szCs w:val="24"/>
        </w:rPr>
        <w:t>n</w:t>
      </w:r>
      <w:r w:rsidR="00AD7F45" w:rsidRPr="00F6639B">
        <w:rPr>
          <w:rFonts w:ascii="Times New Roman" w:hAnsi="Times New Roman" w:cs="Times New Roman"/>
          <w:sz w:val="24"/>
          <w:szCs w:val="24"/>
        </w:rPr>
        <w:t xml:space="preserve"> bilan des non-conformités relevées au cours de l’année antérieure. Ce bilan précise notamment le nombre et la nature de non-conformités pour chacun des modules. </w:t>
      </w:r>
    </w:p>
    <w:p w14:paraId="6BC390B5" w14:textId="6A14DA81" w:rsidR="00AD7F45" w:rsidRPr="00F6639B" w:rsidRDefault="00AD7F45" w:rsidP="00AD7F45">
      <w:pPr>
        <w:spacing w:after="120" w:line="240" w:lineRule="auto"/>
        <w:jc w:val="both"/>
        <w:rPr>
          <w:rFonts w:ascii="Times New Roman" w:hAnsi="Times New Roman" w:cs="Times New Roman"/>
          <w:sz w:val="24"/>
          <w:szCs w:val="24"/>
        </w:rPr>
      </w:pPr>
    </w:p>
    <w:p w14:paraId="7EFE7414" w14:textId="45D29BC1" w:rsidR="00003585" w:rsidRPr="00F6639B" w:rsidRDefault="00A768B7" w:rsidP="00003585">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003585"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2</w:t>
      </w:r>
      <w:r w:rsidR="007A7118" w:rsidRPr="00F6639B">
        <w:rPr>
          <w:rFonts w:ascii="Times New Roman" w:hAnsi="Times New Roman" w:cs="Times New Roman"/>
          <w:b/>
          <w:sz w:val="24"/>
          <w:szCs w:val="24"/>
        </w:rPr>
        <w:t>2</w:t>
      </w:r>
    </w:p>
    <w:p w14:paraId="435ED169" w14:textId="5F564F36" w:rsidR="00A768B7" w:rsidRPr="00F6639B" w:rsidRDefault="00A768B7" w:rsidP="00AD7F4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Lorsqu’une ou plusieurs non-conformités majeures, nécessitant d’être signalées, sont relevées au cours d’un audit chantier ou en cas de plaintes d’un tiers, l’organisme de certification en informe dans les plus brefs délais la direction générale de la prévention des risques selon les modalités </w:t>
      </w:r>
      <w:r w:rsidR="00F67BE8" w:rsidRPr="00F6639B">
        <w:rPr>
          <w:rFonts w:ascii="Times New Roman" w:hAnsi="Times New Roman" w:cs="Times New Roman"/>
          <w:sz w:val="24"/>
          <w:szCs w:val="24"/>
        </w:rPr>
        <w:t xml:space="preserve">fixées </w:t>
      </w:r>
      <w:r w:rsidRPr="00F6639B">
        <w:rPr>
          <w:rFonts w:ascii="Times New Roman" w:hAnsi="Times New Roman" w:cs="Times New Roman"/>
          <w:sz w:val="24"/>
          <w:szCs w:val="24"/>
        </w:rPr>
        <w:t xml:space="preserve">dans un </w:t>
      </w:r>
      <w:bookmarkStart w:id="1" w:name="_Hlk147827031"/>
      <w:r w:rsidRPr="00F6639B">
        <w:rPr>
          <w:rFonts w:ascii="Times New Roman" w:hAnsi="Times New Roman" w:cs="Times New Roman"/>
          <w:sz w:val="24"/>
          <w:szCs w:val="24"/>
        </w:rPr>
        <w:t>guide disponible sur le site du ministère en charge de l’environnement.</w:t>
      </w:r>
      <w:bookmarkEnd w:id="1"/>
    </w:p>
    <w:p w14:paraId="56308538" w14:textId="77777777" w:rsidR="004337CD" w:rsidRPr="00F6639B" w:rsidRDefault="004337CD" w:rsidP="00AD7F45">
      <w:pPr>
        <w:spacing w:after="120" w:line="240" w:lineRule="auto"/>
        <w:jc w:val="both"/>
        <w:rPr>
          <w:rFonts w:ascii="Times New Roman" w:hAnsi="Times New Roman" w:cs="Times New Roman"/>
          <w:sz w:val="24"/>
          <w:szCs w:val="24"/>
        </w:rPr>
      </w:pPr>
    </w:p>
    <w:p w14:paraId="627768D7" w14:textId="5528F27D" w:rsidR="00003585" w:rsidRPr="00F6639B" w:rsidRDefault="00AD7F45" w:rsidP="00003585">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003585"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2A6D6C" w:rsidRPr="00F6639B">
        <w:rPr>
          <w:rFonts w:ascii="Times New Roman" w:hAnsi="Times New Roman" w:cs="Times New Roman"/>
          <w:b/>
          <w:sz w:val="24"/>
          <w:szCs w:val="24"/>
        </w:rPr>
        <w:t>23</w:t>
      </w:r>
    </w:p>
    <w:p w14:paraId="05E26F0F" w14:textId="288070E2" w:rsidR="00AD7F45" w:rsidRPr="00F6639B" w:rsidRDefault="00AD7F45" w:rsidP="00AD7F45">
      <w:pPr>
        <w:spacing w:after="120" w:line="240" w:lineRule="auto"/>
        <w:jc w:val="both"/>
        <w:rPr>
          <w:rFonts w:ascii="Times New Roman" w:hAnsi="Times New Roman" w:cs="Times New Roman"/>
          <w:strike/>
          <w:sz w:val="24"/>
          <w:szCs w:val="24"/>
        </w:rPr>
      </w:pPr>
      <w:r w:rsidRPr="00F6639B">
        <w:rPr>
          <w:rFonts w:ascii="Times New Roman" w:hAnsi="Times New Roman" w:cs="Times New Roman"/>
          <w:sz w:val="24"/>
          <w:szCs w:val="24"/>
        </w:rPr>
        <w:t>I.– L’organisme de certification tient à jour sur son site internet la liste des entreprises</w:t>
      </w:r>
      <w:r w:rsidR="00694A16" w:rsidRPr="00F6639B">
        <w:rPr>
          <w:rFonts w:ascii="Times New Roman" w:hAnsi="Times New Roman" w:cs="Times New Roman"/>
          <w:sz w:val="24"/>
          <w:szCs w:val="24"/>
        </w:rPr>
        <w:t xml:space="preserve"> de forage</w:t>
      </w:r>
      <w:r w:rsidRPr="00F6639B">
        <w:rPr>
          <w:rFonts w:ascii="Times New Roman" w:hAnsi="Times New Roman" w:cs="Times New Roman"/>
          <w:sz w:val="24"/>
          <w:szCs w:val="24"/>
        </w:rPr>
        <w:t xml:space="preserve"> certifiées ainsi que le champ de la certification obtenue par chaque entreprise. </w:t>
      </w:r>
    </w:p>
    <w:p w14:paraId="48526B91" w14:textId="1EEB7822" w:rsidR="00150A38" w:rsidRPr="00F6639B" w:rsidRDefault="00AD7F45" w:rsidP="00AD7F4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II.– L’organisme de certification met en place des </w:t>
      </w:r>
      <w:r w:rsidR="00003585" w:rsidRPr="00F6639B">
        <w:rPr>
          <w:rFonts w:ascii="Times New Roman" w:hAnsi="Times New Roman" w:cs="Times New Roman"/>
          <w:sz w:val="24"/>
          <w:szCs w:val="24"/>
        </w:rPr>
        <w:t xml:space="preserve">modalités </w:t>
      </w:r>
      <w:r w:rsidRPr="00F6639B">
        <w:rPr>
          <w:rFonts w:ascii="Times New Roman" w:hAnsi="Times New Roman" w:cs="Times New Roman"/>
          <w:sz w:val="24"/>
          <w:szCs w:val="24"/>
        </w:rPr>
        <w:t>permettant le transfert des données de liste des entreprises</w:t>
      </w:r>
      <w:r w:rsidR="00694A16" w:rsidRPr="00F6639B">
        <w:rPr>
          <w:rFonts w:ascii="Times New Roman" w:hAnsi="Times New Roman" w:cs="Times New Roman"/>
          <w:sz w:val="24"/>
          <w:szCs w:val="24"/>
        </w:rPr>
        <w:t xml:space="preserve"> de forage</w:t>
      </w:r>
      <w:r w:rsidRPr="00F6639B">
        <w:rPr>
          <w:rFonts w:ascii="Times New Roman" w:hAnsi="Times New Roman" w:cs="Times New Roman"/>
          <w:sz w:val="24"/>
          <w:szCs w:val="24"/>
        </w:rPr>
        <w:t xml:space="preserve"> certifiées vers le site de l’ADEME. </w:t>
      </w:r>
      <w:r w:rsidR="00150A38" w:rsidRPr="00F6639B">
        <w:rPr>
          <w:rFonts w:ascii="Times New Roman" w:hAnsi="Times New Roman" w:cs="Times New Roman"/>
          <w:sz w:val="24"/>
          <w:szCs w:val="24"/>
        </w:rPr>
        <w:t xml:space="preserve"> </w:t>
      </w:r>
    </w:p>
    <w:p w14:paraId="5ACB4D91" w14:textId="4A6C7835" w:rsidR="00AD7F45" w:rsidRPr="00F6639B" w:rsidRDefault="00150A38" w:rsidP="00AD7F4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L’organisme de certification met également en place des </w:t>
      </w:r>
      <w:r w:rsidR="00003585" w:rsidRPr="00F6639B">
        <w:rPr>
          <w:rFonts w:ascii="Times New Roman" w:hAnsi="Times New Roman" w:cs="Times New Roman"/>
          <w:sz w:val="24"/>
          <w:szCs w:val="24"/>
        </w:rPr>
        <w:t xml:space="preserve">modalités </w:t>
      </w:r>
      <w:r w:rsidRPr="00F6639B">
        <w:rPr>
          <w:rFonts w:ascii="Times New Roman" w:hAnsi="Times New Roman" w:cs="Times New Roman"/>
          <w:sz w:val="24"/>
          <w:szCs w:val="24"/>
        </w:rPr>
        <w:t>permettant le transfert quotidien, des données de liste des entreprises de forage certifiées vers le site de téléservice dédié à l’accomplissement des procédures relatives à la géothermie de minime importance.</w:t>
      </w:r>
    </w:p>
    <w:p w14:paraId="446B9994" w14:textId="3E60881E" w:rsidR="00AD7F45" w:rsidRPr="00F6639B" w:rsidRDefault="00AD7F45" w:rsidP="00AD7F4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III.– L’organisme de certification tient à jour sur son site internet la liste des entreprises </w:t>
      </w:r>
      <w:r w:rsidR="00694A16" w:rsidRPr="00F6639B">
        <w:rPr>
          <w:rFonts w:ascii="Times New Roman" w:hAnsi="Times New Roman" w:cs="Times New Roman"/>
          <w:sz w:val="24"/>
          <w:szCs w:val="24"/>
        </w:rPr>
        <w:t xml:space="preserve">de forage </w:t>
      </w:r>
      <w:r w:rsidRPr="00F6639B">
        <w:rPr>
          <w:rFonts w:ascii="Times New Roman" w:hAnsi="Times New Roman" w:cs="Times New Roman"/>
          <w:sz w:val="24"/>
          <w:szCs w:val="24"/>
        </w:rPr>
        <w:t>dont la certification est suspendue, en précisant la date de suspension, et la liste des entreprises</w:t>
      </w:r>
      <w:r w:rsidR="00694A16" w:rsidRPr="00F6639B">
        <w:rPr>
          <w:rFonts w:ascii="Times New Roman" w:hAnsi="Times New Roman" w:cs="Times New Roman"/>
          <w:sz w:val="24"/>
          <w:szCs w:val="24"/>
        </w:rPr>
        <w:t xml:space="preserve"> de forage</w:t>
      </w:r>
      <w:r w:rsidRPr="00F6639B">
        <w:rPr>
          <w:rFonts w:ascii="Times New Roman" w:hAnsi="Times New Roman" w:cs="Times New Roman"/>
          <w:sz w:val="24"/>
          <w:szCs w:val="24"/>
        </w:rPr>
        <w:t xml:space="preserve"> ayant fait l’objet d’un retrait de la certification durant les douze derniers mois, en précisant la date d’effet du retrait. </w:t>
      </w:r>
    </w:p>
    <w:p w14:paraId="6EEF9DCD" w14:textId="149EF497" w:rsidR="00AD7F45" w:rsidRPr="00F6639B" w:rsidRDefault="00AD7F45" w:rsidP="00AD7F4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IV.– L’organisme de certification est tenu d’informer les entreprises</w:t>
      </w:r>
      <w:r w:rsidR="00694A16" w:rsidRPr="00F6639B">
        <w:rPr>
          <w:rFonts w:ascii="Times New Roman" w:hAnsi="Times New Roman" w:cs="Times New Roman"/>
          <w:sz w:val="24"/>
          <w:szCs w:val="24"/>
        </w:rPr>
        <w:t xml:space="preserve"> de forage</w:t>
      </w:r>
      <w:r w:rsidRPr="00F6639B">
        <w:rPr>
          <w:rFonts w:ascii="Times New Roman" w:hAnsi="Times New Roman" w:cs="Times New Roman"/>
          <w:sz w:val="24"/>
          <w:szCs w:val="24"/>
        </w:rPr>
        <w:t xml:space="preserve"> certifiées, y compris celles dont la certification est suspendue, de toute modification du référentiel de certification et du processus de certification les concernant </w:t>
      </w:r>
      <w:r w:rsidR="00527622" w:rsidRPr="00F6639B">
        <w:rPr>
          <w:rFonts w:ascii="Times New Roman" w:hAnsi="Times New Roman" w:cs="Times New Roman"/>
          <w:iCs/>
          <w:sz w:val="24"/>
          <w:szCs w:val="24"/>
        </w:rPr>
        <w:t>lors de l’entrée en vigueur du référentiel de certification ou lors de l’entrée en vigueur d’une modification les impactant</w:t>
      </w:r>
      <w:r w:rsidRPr="00F6639B">
        <w:rPr>
          <w:rFonts w:ascii="Times New Roman" w:hAnsi="Times New Roman" w:cs="Times New Roman"/>
          <w:sz w:val="24"/>
          <w:szCs w:val="24"/>
        </w:rPr>
        <w:t>.</w:t>
      </w:r>
    </w:p>
    <w:p w14:paraId="401A27E1" w14:textId="77777777" w:rsidR="00E727C8" w:rsidRPr="00F6639B" w:rsidRDefault="00E727C8" w:rsidP="00AD7F45">
      <w:pPr>
        <w:spacing w:after="120" w:line="240" w:lineRule="auto"/>
        <w:jc w:val="both"/>
        <w:rPr>
          <w:rFonts w:ascii="Times New Roman" w:hAnsi="Times New Roman" w:cs="Times New Roman"/>
          <w:sz w:val="24"/>
          <w:szCs w:val="24"/>
        </w:rPr>
      </w:pPr>
    </w:p>
    <w:p w14:paraId="5E59B90A" w14:textId="14B531F7" w:rsidR="00003585" w:rsidRPr="00F6639B" w:rsidRDefault="00AD7F45" w:rsidP="00003585">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003585"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2A6D6C" w:rsidRPr="00F6639B">
        <w:rPr>
          <w:rFonts w:ascii="Times New Roman" w:hAnsi="Times New Roman" w:cs="Times New Roman"/>
          <w:b/>
          <w:sz w:val="24"/>
          <w:szCs w:val="24"/>
        </w:rPr>
        <w:t>24</w:t>
      </w:r>
    </w:p>
    <w:p w14:paraId="3FC025B0" w14:textId="7C54DAC5" w:rsidR="00AD7F45" w:rsidRPr="00F6639B" w:rsidRDefault="00AD7F45" w:rsidP="00AD7F4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 L’organisme de certification dispose d’une instance consultative. Sur proposition de l’organisme de certification, cette instance est consultée pour avis sur </w:t>
      </w:r>
      <w:r w:rsidR="00542783" w:rsidRPr="00F6639B">
        <w:rPr>
          <w:rFonts w:ascii="Times New Roman" w:hAnsi="Times New Roman" w:cs="Times New Roman"/>
          <w:sz w:val="24"/>
          <w:szCs w:val="24"/>
        </w:rPr>
        <w:t xml:space="preserve">des </w:t>
      </w:r>
      <w:r w:rsidRPr="00F6639B">
        <w:rPr>
          <w:rFonts w:ascii="Times New Roman" w:hAnsi="Times New Roman" w:cs="Times New Roman"/>
          <w:sz w:val="24"/>
          <w:szCs w:val="24"/>
        </w:rPr>
        <w:t>décisions de certification. La composition de cette instance comprend de manière paritaire des représentants des entreprises de forage certifiées, des appuis techniques du ministère en charge de l’environnement. La direction générale de la prévention des risques du ministère chargé de l’environnement dispose d’un siège pour cette instance.</w:t>
      </w:r>
    </w:p>
    <w:p w14:paraId="4972AFCC" w14:textId="667BAAD0" w:rsidR="00AD7F45" w:rsidRPr="00F6639B" w:rsidRDefault="00AD7F45" w:rsidP="00AD7F4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II.</w:t>
      </w:r>
      <w:r w:rsidR="0072606D" w:rsidRPr="00F6639B">
        <w:rPr>
          <w:rFonts w:ascii="Times New Roman" w:hAnsi="Times New Roman" w:cs="Times New Roman"/>
          <w:sz w:val="24"/>
          <w:szCs w:val="24"/>
        </w:rPr>
        <w:t>– Dans</w:t>
      </w:r>
      <w:r w:rsidRPr="00F6639B">
        <w:rPr>
          <w:rFonts w:ascii="Times New Roman" w:hAnsi="Times New Roman" w:cs="Times New Roman"/>
          <w:sz w:val="24"/>
          <w:szCs w:val="24"/>
        </w:rPr>
        <w:t xml:space="preserve"> le cas où plusieurs organismes de certification sont accrédités pour la mise en œuvre du présent arrêté, la direction générale de la prévention des risques du ministère chargé de l’environnement est en charge de l’organisation d’une instance commune aux organismes de certification. Cette instance a la même composition que l’instance mentionnée au I du présent article. En complément, des rôles mentionnés au I du présent article, cette instance établit des documents en vue d’harmoniser les pratiques entre organismes de certification. </w:t>
      </w:r>
    </w:p>
    <w:p w14:paraId="261FFDD7" w14:textId="77777777" w:rsidR="00BE07E3" w:rsidRPr="00F6639B" w:rsidRDefault="00BE07E3" w:rsidP="00EE4D5B">
      <w:pPr>
        <w:spacing w:after="120" w:line="240" w:lineRule="auto"/>
        <w:rPr>
          <w:rFonts w:ascii="Times New Roman" w:hAnsi="Times New Roman" w:cs="Times New Roman"/>
          <w:sz w:val="24"/>
          <w:szCs w:val="24"/>
        </w:rPr>
      </w:pPr>
    </w:p>
    <w:p w14:paraId="575D13B5" w14:textId="426D32A4" w:rsidR="0051535D" w:rsidRPr="00F6639B" w:rsidRDefault="007A7118" w:rsidP="009C143A">
      <w:pPr>
        <w:spacing w:after="120" w:line="240" w:lineRule="auto"/>
        <w:rPr>
          <w:rFonts w:ascii="Times New Roman" w:hAnsi="Times New Roman" w:cs="Times New Roman"/>
          <w:b/>
          <w:bCs/>
          <w:sz w:val="24"/>
          <w:szCs w:val="24"/>
        </w:rPr>
      </w:pPr>
      <w:r w:rsidRPr="00F6639B">
        <w:rPr>
          <w:rFonts w:ascii="Times New Roman" w:hAnsi="Times New Roman" w:cs="Times New Roman"/>
          <w:b/>
          <w:bCs/>
          <w:sz w:val="24"/>
          <w:szCs w:val="24"/>
        </w:rPr>
        <w:t xml:space="preserve">Section 5 – Accréditation </w:t>
      </w:r>
    </w:p>
    <w:p w14:paraId="723C9FCE" w14:textId="67B69CFD" w:rsidR="007A7118" w:rsidRPr="00F6639B" w:rsidRDefault="007A7118" w:rsidP="009C143A">
      <w:pPr>
        <w:spacing w:after="120" w:line="240" w:lineRule="auto"/>
        <w:rPr>
          <w:rFonts w:ascii="Times New Roman" w:hAnsi="Times New Roman" w:cs="Times New Roman"/>
          <w:b/>
          <w:bCs/>
          <w:sz w:val="24"/>
          <w:szCs w:val="24"/>
        </w:rPr>
      </w:pPr>
    </w:p>
    <w:p w14:paraId="4F668986" w14:textId="41955ABD" w:rsidR="00003585" w:rsidRPr="00F6639B" w:rsidRDefault="007A7118" w:rsidP="00003585">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003585"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2A6D6C" w:rsidRPr="00F6639B">
        <w:rPr>
          <w:rFonts w:ascii="Times New Roman" w:hAnsi="Times New Roman" w:cs="Times New Roman"/>
          <w:b/>
          <w:sz w:val="24"/>
          <w:szCs w:val="24"/>
        </w:rPr>
        <w:t>25</w:t>
      </w:r>
    </w:p>
    <w:p w14:paraId="5073FC0F" w14:textId="0D29BC83" w:rsidR="007A7118" w:rsidRPr="00F6639B" w:rsidRDefault="007A7118" w:rsidP="007A7118">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Les organismes accordant des certifications aux entreprises de forage d'un gîte géothermique de minime importance sont accrédités à cet effet par </w:t>
      </w:r>
      <w:r w:rsidR="003146F9" w:rsidRPr="00F6639B">
        <w:rPr>
          <w:rFonts w:ascii="Times New Roman" w:hAnsi="Times New Roman" w:cs="Times New Roman"/>
          <w:sz w:val="24"/>
          <w:szCs w:val="24"/>
        </w:rPr>
        <w:t>une instance</w:t>
      </w:r>
      <w:r w:rsidRPr="00F6639B">
        <w:rPr>
          <w:rFonts w:ascii="Times New Roman" w:hAnsi="Times New Roman" w:cs="Times New Roman"/>
          <w:sz w:val="24"/>
          <w:szCs w:val="24"/>
        </w:rPr>
        <w:t xml:space="preserve"> national</w:t>
      </w:r>
      <w:r w:rsidR="003146F9" w:rsidRPr="00F6639B">
        <w:rPr>
          <w:rFonts w:ascii="Times New Roman" w:hAnsi="Times New Roman" w:cs="Times New Roman"/>
          <w:sz w:val="24"/>
          <w:szCs w:val="24"/>
        </w:rPr>
        <w:t>e</w:t>
      </w:r>
      <w:r w:rsidRPr="00F6639B">
        <w:rPr>
          <w:rFonts w:ascii="Times New Roman" w:hAnsi="Times New Roman" w:cs="Times New Roman"/>
          <w:sz w:val="24"/>
          <w:szCs w:val="24"/>
        </w:rPr>
        <w:t xml:space="preserve"> d’accréditation, soit en France, par le comité français d’accréditation ou par un autre organisme d’accréditation visé par le règlement (CE) n° 765/2008 du Parlement européen et du Conseil du 9 juillet 2008 fixant les prescriptions relatives à l’accréditation et abrogeant le règlement (CEE) n° 339/93 du Conseil, signataire d’un accord de reconnaissance multilatéral pris dans le cadre de la coordination européenne des organismes d’accréditation. L'accréditation porte sur l'ensemble des exigences fixées par le présent arrêté et ses annexes</w:t>
      </w:r>
      <w:r w:rsidRPr="00F6639B">
        <w:t xml:space="preserve"> </w:t>
      </w:r>
      <w:r w:rsidRPr="00F6639B">
        <w:rPr>
          <w:rFonts w:ascii="Times New Roman" w:hAnsi="Times New Roman" w:cs="Times New Roman"/>
          <w:sz w:val="24"/>
          <w:szCs w:val="24"/>
        </w:rPr>
        <w:t>ainsi que sur la norme relative aux « exigences pour les organismes de certifiant les produits, les procédés et les services » en vigueur.</w:t>
      </w:r>
    </w:p>
    <w:p w14:paraId="09CD9700" w14:textId="6996F95A" w:rsidR="00003585" w:rsidRPr="00F6639B" w:rsidRDefault="007A7118" w:rsidP="00003585">
      <w:pPr>
        <w:jc w:val="center"/>
        <w:rPr>
          <w:rFonts w:ascii="Times New Roman" w:hAnsi="Times New Roman" w:cs="Times New Roman"/>
          <w:b/>
          <w:sz w:val="24"/>
          <w:szCs w:val="24"/>
        </w:rPr>
      </w:pPr>
      <w:r w:rsidRPr="00F6639B">
        <w:rPr>
          <w:rFonts w:ascii="Times New Roman" w:hAnsi="Times New Roman" w:cs="Times New Roman"/>
          <w:b/>
          <w:sz w:val="24"/>
          <w:szCs w:val="24"/>
        </w:rPr>
        <w:t>Art</w:t>
      </w:r>
      <w:r w:rsidR="00003585"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2A6D6C" w:rsidRPr="00F6639B">
        <w:rPr>
          <w:rFonts w:ascii="Times New Roman" w:hAnsi="Times New Roman" w:cs="Times New Roman"/>
          <w:b/>
          <w:sz w:val="24"/>
          <w:szCs w:val="24"/>
        </w:rPr>
        <w:t>26</w:t>
      </w:r>
    </w:p>
    <w:p w14:paraId="05271738" w14:textId="566207AF" w:rsidR="007A7118" w:rsidRPr="00F6639B" w:rsidRDefault="007A7118" w:rsidP="007A7118">
      <w:pPr>
        <w:jc w:val="both"/>
        <w:rPr>
          <w:rFonts w:ascii="Times New Roman" w:hAnsi="Times New Roman" w:cs="Times New Roman"/>
          <w:sz w:val="24"/>
          <w:szCs w:val="24"/>
        </w:rPr>
      </w:pPr>
      <w:r w:rsidRPr="00F6639B">
        <w:rPr>
          <w:rFonts w:ascii="Times New Roman" w:hAnsi="Times New Roman" w:cs="Times New Roman"/>
          <w:sz w:val="24"/>
          <w:szCs w:val="24"/>
        </w:rPr>
        <w:t xml:space="preserve">Les candidats au statut d’organisme de certification déposent un dossier de demande d’accréditation auprès de leur instance nationale d’accréditation, selon les modalités définies par cette dernière, pour la certification dont le référentiel est défini par le présent arrêté. </w:t>
      </w:r>
    </w:p>
    <w:p w14:paraId="0E467F80" w14:textId="5929FEDB" w:rsidR="006677B6" w:rsidRPr="00F6639B" w:rsidRDefault="006677B6" w:rsidP="007A7118">
      <w:pPr>
        <w:jc w:val="both"/>
        <w:rPr>
          <w:rFonts w:ascii="Times New Roman" w:hAnsi="Times New Roman" w:cs="Times New Roman"/>
          <w:sz w:val="24"/>
          <w:szCs w:val="24"/>
        </w:rPr>
      </w:pPr>
      <w:r w:rsidRPr="00F6639B">
        <w:rPr>
          <w:rFonts w:ascii="Times New Roman" w:hAnsi="Times New Roman" w:cs="Times New Roman"/>
          <w:sz w:val="24"/>
          <w:szCs w:val="24"/>
        </w:rPr>
        <w:t xml:space="preserve">Un organisme de certification non encore accrédité pour la certification considérée peut effectuer les certifications susmentionnées dès lors qu'il a déposé une demande d'accréditation et que </w:t>
      </w:r>
      <w:r w:rsidR="00F67BE8" w:rsidRPr="00F6639B">
        <w:rPr>
          <w:rFonts w:ascii="Times New Roman" w:hAnsi="Times New Roman" w:cs="Times New Roman"/>
          <w:sz w:val="24"/>
          <w:szCs w:val="24"/>
        </w:rPr>
        <w:t xml:space="preserve">son </w:t>
      </w:r>
      <w:r w:rsidR="003146F9" w:rsidRPr="00F6639B">
        <w:rPr>
          <w:rFonts w:ascii="Times New Roman" w:hAnsi="Times New Roman" w:cs="Times New Roman"/>
          <w:sz w:val="24"/>
          <w:szCs w:val="24"/>
        </w:rPr>
        <w:t>instance</w:t>
      </w:r>
      <w:r w:rsidR="00F67BE8" w:rsidRPr="00F6639B">
        <w:rPr>
          <w:rFonts w:ascii="Times New Roman" w:hAnsi="Times New Roman" w:cs="Times New Roman"/>
          <w:sz w:val="24"/>
          <w:szCs w:val="24"/>
        </w:rPr>
        <w:t xml:space="preserve"> national</w:t>
      </w:r>
      <w:r w:rsidR="003146F9" w:rsidRPr="00F6639B">
        <w:rPr>
          <w:rFonts w:ascii="Times New Roman" w:hAnsi="Times New Roman" w:cs="Times New Roman"/>
          <w:sz w:val="24"/>
          <w:szCs w:val="24"/>
        </w:rPr>
        <w:t>e</w:t>
      </w:r>
      <w:r w:rsidRPr="00F6639B">
        <w:rPr>
          <w:rFonts w:ascii="Times New Roman" w:hAnsi="Times New Roman" w:cs="Times New Roman"/>
          <w:sz w:val="24"/>
          <w:szCs w:val="24"/>
        </w:rPr>
        <w:t xml:space="preserve"> d'accréditation a admis la recevabilité de cette demande. Il peut continuer à exercer l'activité de certification en cause pendant une durée d'un an au maximum à compter de la notification de la recevabilité de sa demande.</w:t>
      </w:r>
    </w:p>
    <w:p w14:paraId="24504F70" w14:textId="3B230DF2" w:rsidR="007A7118" w:rsidRPr="00F6639B" w:rsidRDefault="007A7118" w:rsidP="007A7118">
      <w:pPr>
        <w:jc w:val="both"/>
        <w:rPr>
          <w:rFonts w:ascii="Times New Roman" w:hAnsi="Times New Roman" w:cs="Times New Roman"/>
          <w:sz w:val="24"/>
          <w:szCs w:val="24"/>
        </w:rPr>
      </w:pPr>
      <w:r w:rsidRPr="00F6639B">
        <w:rPr>
          <w:rFonts w:ascii="Times New Roman" w:hAnsi="Times New Roman" w:cs="Times New Roman"/>
          <w:sz w:val="24"/>
          <w:szCs w:val="24"/>
        </w:rPr>
        <w:t xml:space="preserve">Si l’accréditation n’est pas obtenue dans le délai précité, l’organisme de certification en informe ses clients pour qu’ils prennent contact avec un autre organisme de certification pour obtenir un nouveau certificat. Les certificats émis pendant la période durant laquelle l’organisme de certification candidat est autorisé à délivrer des certificats sont réémis sous accréditation selon les modalités définies par </w:t>
      </w:r>
      <w:r w:rsidR="003146F9" w:rsidRPr="00F6639B">
        <w:rPr>
          <w:rFonts w:ascii="Times New Roman" w:hAnsi="Times New Roman" w:cs="Times New Roman"/>
          <w:sz w:val="24"/>
          <w:szCs w:val="24"/>
        </w:rPr>
        <w:t xml:space="preserve">l’instance </w:t>
      </w:r>
      <w:r w:rsidRPr="00F6639B">
        <w:rPr>
          <w:rFonts w:ascii="Times New Roman" w:hAnsi="Times New Roman" w:cs="Times New Roman"/>
          <w:sz w:val="24"/>
          <w:szCs w:val="24"/>
        </w:rPr>
        <w:t xml:space="preserve">d’accréditation. </w:t>
      </w:r>
    </w:p>
    <w:p w14:paraId="380437EE" w14:textId="77777777" w:rsidR="007A7118" w:rsidRPr="00F6639B" w:rsidRDefault="007A7118" w:rsidP="007A7118">
      <w:pPr>
        <w:jc w:val="both"/>
        <w:rPr>
          <w:rFonts w:ascii="Times New Roman" w:hAnsi="Times New Roman" w:cs="Times New Roman"/>
          <w:sz w:val="24"/>
          <w:szCs w:val="24"/>
        </w:rPr>
      </w:pPr>
      <w:r w:rsidRPr="00F6639B">
        <w:rPr>
          <w:rFonts w:ascii="Times New Roman" w:hAnsi="Times New Roman" w:cs="Times New Roman"/>
          <w:sz w:val="24"/>
          <w:szCs w:val="24"/>
        </w:rPr>
        <w:t xml:space="preserve">En outre, pour les besoins de l’évaluation menée par l’instance d’accréditation, et sur demande motivée, la direction générale de la prévention des risques du ministère chargé de l’environnement peut prolonger le délai dans la limite de trois mois. </w:t>
      </w:r>
    </w:p>
    <w:p w14:paraId="63B181BB" w14:textId="77777777" w:rsidR="007A7118" w:rsidRPr="00F6639B" w:rsidRDefault="007A7118" w:rsidP="009C143A">
      <w:pPr>
        <w:spacing w:after="120" w:line="240" w:lineRule="auto"/>
        <w:rPr>
          <w:rFonts w:ascii="Times New Roman" w:hAnsi="Times New Roman" w:cs="Times New Roman"/>
          <w:b/>
          <w:bCs/>
          <w:sz w:val="24"/>
          <w:szCs w:val="24"/>
        </w:rPr>
      </w:pPr>
    </w:p>
    <w:p w14:paraId="61F00070" w14:textId="3F1D1FA4" w:rsidR="00773EAE" w:rsidRPr="00F6639B" w:rsidRDefault="007A7118" w:rsidP="00773EAE">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773EAE"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2A6D6C" w:rsidRPr="00F6639B">
        <w:rPr>
          <w:rFonts w:ascii="Times New Roman" w:hAnsi="Times New Roman" w:cs="Times New Roman"/>
          <w:b/>
          <w:sz w:val="24"/>
          <w:szCs w:val="24"/>
        </w:rPr>
        <w:t>27</w:t>
      </w:r>
    </w:p>
    <w:p w14:paraId="7C7B2428" w14:textId="57B8A71E" w:rsidR="007A7118" w:rsidRPr="00F6639B" w:rsidRDefault="007A7118" w:rsidP="007A7118">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Après que l’instance nationale d’accréditation a statué sur la recevabilité de la demande d’accréditation, l’organisme de certification demande au Bureau de Recherches Géologiques et Minières l’ouverture d’un accès </w:t>
      </w:r>
      <w:bookmarkStart w:id="2" w:name="_Hlk141964722"/>
      <w:r w:rsidRPr="00F6639B">
        <w:rPr>
          <w:rFonts w:ascii="Times New Roman" w:hAnsi="Times New Roman" w:cs="Times New Roman"/>
          <w:sz w:val="24"/>
          <w:szCs w:val="24"/>
        </w:rPr>
        <w:t>au téléservice dédié à l’accomplissement des procédures relatives à la géothermie de minime importance</w:t>
      </w:r>
      <w:bookmarkStart w:id="3" w:name="_Hlk141434011"/>
      <w:bookmarkEnd w:id="2"/>
      <w:r w:rsidRPr="00F6639B">
        <w:rPr>
          <w:rFonts w:ascii="Times New Roman" w:hAnsi="Times New Roman" w:cs="Times New Roman"/>
          <w:sz w:val="24"/>
          <w:szCs w:val="24"/>
        </w:rPr>
        <w:t xml:space="preserve">. </w:t>
      </w:r>
      <w:bookmarkEnd w:id="3"/>
    </w:p>
    <w:p w14:paraId="11D4C2CB" w14:textId="6580CF72" w:rsidR="007A7118" w:rsidRPr="00F6639B" w:rsidRDefault="007A7118" w:rsidP="009C143A">
      <w:pPr>
        <w:spacing w:after="120" w:line="240" w:lineRule="auto"/>
        <w:rPr>
          <w:rFonts w:ascii="Times New Roman" w:hAnsi="Times New Roman" w:cs="Times New Roman"/>
          <w:b/>
          <w:bCs/>
          <w:sz w:val="24"/>
          <w:szCs w:val="24"/>
        </w:rPr>
      </w:pPr>
    </w:p>
    <w:p w14:paraId="7205EE15" w14:textId="49584408" w:rsidR="00773EAE" w:rsidRPr="00F6639B" w:rsidRDefault="007A7118" w:rsidP="00773EAE">
      <w:pPr>
        <w:spacing w:line="259"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773EAE"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2A6D6C" w:rsidRPr="00F6639B">
        <w:rPr>
          <w:rFonts w:ascii="Times New Roman" w:hAnsi="Times New Roman" w:cs="Times New Roman"/>
          <w:b/>
          <w:sz w:val="24"/>
          <w:szCs w:val="24"/>
        </w:rPr>
        <w:t>28</w:t>
      </w:r>
    </w:p>
    <w:p w14:paraId="261A7E9C" w14:textId="64A03B0A" w:rsidR="007A7118" w:rsidRPr="00F6639B" w:rsidRDefault="003146F9" w:rsidP="007A7118">
      <w:pPr>
        <w:spacing w:line="259"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L’instance </w:t>
      </w:r>
      <w:r w:rsidR="007A7118" w:rsidRPr="00F6639B">
        <w:rPr>
          <w:rFonts w:ascii="Times New Roman" w:hAnsi="Times New Roman" w:cs="Times New Roman"/>
          <w:sz w:val="24"/>
          <w:szCs w:val="24"/>
        </w:rPr>
        <w:t>d’accréditation et l’organisme de certification informent la direction générale de la prévention des risques de toute suspension, retrait ou résiliation de son accréditation.</w:t>
      </w:r>
    </w:p>
    <w:p w14:paraId="78B5F41F" w14:textId="77777777" w:rsidR="007A7118" w:rsidRPr="00F6639B" w:rsidRDefault="007A7118" w:rsidP="00513F55">
      <w:pPr>
        <w:spacing w:after="120" w:line="240" w:lineRule="auto"/>
        <w:rPr>
          <w:rFonts w:ascii="Times New Roman" w:hAnsi="Times New Roman" w:cs="Times New Roman"/>
          <w:sz w:val="24"/>
          <w:szCs w:val="24"/>
        </w:rPr>
      </w:pPr>
    </w:p>
    <w:p w14:paraId="3EA83D77" w14:textId="579489F3" w:rsidR="00773EAE" w:rsidRPr="00F6639B" w:rsidRDefault="007A7118" w:rsidP="00773EAE">
      <w:pPr>
        <w:spacing w:line="259"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773EAE"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2A6D6C" w:rsidRPr="00F6639B">
        <w:rPr>
          <w:rFonts w:ascii="Times New Roman" w:hAnsi="Times New Roman" w:cs="Times New Roman"/>
          <w:b/>
          <w:sz w:val="24"/>
          <w:szCs w:val="24"/>
        </w:rPr>
        <w:t>29</w:t>
      </w:r>
    </w:p>
    <w:p w14:paraId="6177EED3" w14:textId="3A829559" w:rsidR="007A7118" w:rsidRPr="00F6639B" w:rsidRDefault="007A7118" w:rsidP="007A7118">
      <w:pPr>
        <w:spacing w:line="259" w:lineRule="auto"/>
        <w:jc w:val="both"/>
        <w:rPr>
          <w:rFonts w:ascii="Times New Roman" w:hAnsi="Times New Roman" w:cs="Times New Roman"/>
          <w:sz w:val="24"/>
          <w:szCs w:val="24"/>
        </w:rPr>
      </w:pPr>
      <w:r w:rsidRPr="00F6639B">
        <w:rPr>
          <w:rFonts w:ascii="Times New Roman" w:hAnsi="Times New Roman" w:cs="Times New Roman"/>
          <w:sz w:val="24"/>
          <w:szCs w:val="24"/>
        </w:rPr>
        <w:t>Dès la réception de la décision de suspension de son accréditation, l’organisme de certification informe ses clients et cesse toute nouvelle référence à l’accréditation. L’organisme de certification suspendu n’est plus autorisé à délivrer de nouveaux certificats jusqu’à la levée de cette suspension par l’instance d’accréditation, il ne doit plus accepter de nouveaux clients, ni réaliser d’étude de dossier de demande de certification, ni rendre de décisions de renouvellement de certification.</w:t>
      </w:r>
    </w:p>
    <w:p w14:paraId="511211C8" w14:textId="1E40DA2F" w:rsidR="007A7118" w:rsidRPr="00F6639B" w:rsidRDefault="007A7118" w:rsidP="007A7118">
      <w:pPr>
        <w:spacing w:line="259"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Les certificats délivrés avant la suspension de l’accréditation restent valides jusqu’à leur date d’échéance, sous réserve, le cas échéant, des conclusions des audits. </w:t>
      </w:r>
    </w:p>
    <w:p w14:paraId="38FEFA11" w14:textId="77777777" w:rsidR="00513F55" w:rsidRPr="00F6639B" w:rsidRDefault="00513F55" w:rsidP="00513F55">
      <w:pPr>
        <w:spacing w:after="120" w:line="240" w:lineRule="auto"/>
        <w:rPr>
          <w:rFonts w:ascii="Times New Roman" w:hAnsi="Times New Roman" w:cs="Times New Roman"/>
          <w:sz w:val="24"/>
          <w:szCs w:val="24"/>
        </w:rPr>
      </w:pPr>
    </w:p>
    <w:p w14:paraId="45F72058" w14:textId="33C3A54C" w:rsidR="00773EAE" w:rsidRPr="00F6639B" w:rsidRDefault="007A7118" w:rsidP="00773EAE">
      <w:pPr>
        <w:jc w:val="center"/>
        <w:rPr>
          <w:rFonts w:ascii="Times New Roman" w:hAnsi="Times New Roman" w:cs="Times New Roman"/>
          <w:b/>
          <w:sz w:val="24"/>
          <w:szCs w:val="24"/>
        </w:rPr>
      </w:pPr>
      <w:r w:rsidRPr="00F6639B">
        <w:rPr>
          <w:rFonts w:ascii="Times New Roman" w:hAnsi="Times New Roman" w:cs="Times New Roman"/>
          <w:b/>
          <w:sz w:val="24"/>
          <w:szCs w:val="24"/>
        </w:rPr>
        <w:t>Art</w:t>
      </w:r>
      <w:r w:rsidR="00773EAE"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2A6D6C" w:rsidRPr="00F6639B">
        <w:rPr>
          <w:rFonts w:ascii="Times New Roman" w:hAnsi="Times New Roman" w:cs="Times New Roman"/>
          <w:b/>
          <w:sz w:val="24"/>
          <w:szCs w:val="24"/>
        </w:rPr>
        <w:t>30</w:t>
      </w:r>
    </w:p>
    <w:p w14:paraId="3D410C89" w14:textId="337FB95E" w:rsidR="007A7118" w:rsidRPr="00F6639B" w:rsidRDefault="007A7118" w:rsidP="007A7118">
      <w:pPr>
        <w:jc w:val="both"/>
        <w:rPr>
          <w:rFonts w:ascii="Times New Roman" w:hAnsi="Times New Roman" w:cs="Times New Roman"/>
          <w:sz w:val="24"/>
          <w:szCs w:val="24"/>
        </w:rPr>
      </w:pPr>
      <w:r w:rsidRPr="00F6639B">
        <w:rPr>
          <w:rFonts w:ascii="Times New Roman" w:hAnsi="Times New Roman" w:cs="Times New Roman"/>
          <w:sz w:val="24"/>
          <w:szCs w:val="24"/>
        </w:rPr>
        <w:t xml:space="preserve">En cas de retrait de l’accréditation, l’organisme de certification n’est plus autorisé à délivrer de certificats. Les certificats qu’il a délivrés restent valides durant une période de six mois à compter de la notification de la décision de retrait d’accréditation à l’organisme de certification par l’instance d’accréditation, ou jusqu’à l’échéance du certificat lorsque celui-ci expire moins de six mois après cette date. L’organisme </w:t>
      </w:r>
      <w:r w:rsidR="003146F9" w:rsidRPr="00F6639B">
        <w:rPr>
          <w:rFonts w:ascii="Times New Roman" w:hAnsi="Times New Roman" w:cs="Times New Roman"/>
          <w:sz w:val="24"/>
          <w:szCs w:val="24"/>
        </w:rPr>
        <w:t xml:space="preserve">de certification </w:t>
      </w:r>
      <w:r w:rsidRPr="00F6639B">
        <w:rPr>
          <w:rFonts w:ascii="Times New Roman" w:hAnsi="Times New Roman" w:cs="Times New Roman"/>
          <w:sz w:val="24"/>
          <w:szCs w:val="24"/>
        </w:rPr>
        <w:t xml:space="preserve">informe les entreprises qu’il a certifiées du retrait de son accréditation et des modalités de transfert de certification, dans un délai qui ne peut excéder quinze jours ouvrés à compter de la notification de la décision de retrait d’accréditation, et en apporte la preuve à la direction générale de la prévention des risques du ministère chargé de l’environnement ainsi que le bureau de recherche géologique et minière. </w:t>
      </w:r>
    </w:p>
    <w:p w14:paraId="038AA64F" w14:textId="4A99BF05" w:rsidR="007A7118" w:rsidRPr="00F6639B" w:rsidRDefault="007A7118" w:rsidP="007A7118">
      <w:pPr>
        <w:jc w:val="both"/>
        <w:rPr>
          <w:rFonts w:ascii="Times New Roman" w:hAnsi="Times New Roman" w:cs="Times New Roman"/>
          <w:sz w:val="24"/>
          <w:szCs w:val="24"/>
        </w:rPr>
      </w:pPr>
      <w:r w:rsidRPr="00F6639B">
        <w:rPr>
          <w:rFonts w:ascii="Times New Roman" w:hAnsi="Times New Roman" w:cs="Times New Roman"/>
          <w:sz w:val="24"/>
          <w:szCs w:val="24"/>
        </w:rPr>
        <w:t xml:space="preserve">Les entreprises de forage titulaires d’un certificat délivré par ledit organisme de certification sollicitent un autre organisme de certification accrédité pour transférer leur certification, dans les conditions prévues à la section </w:t>
      </w:r>
      <w:r w:rsidR="00C54D88" w:rsidRPr="00F6639B">
        <w:rPr>
          <w:rFonts w:ascii="Times New Roman" w:hAnsi="Times New Roman" w:cs="Times New Roman"/>
          <w:sz w:val="24"/>
          <w:szCs w:val="24"/>
        </w:rPr>
        <w:t>6</w:t>
      </w:r>
      <w:r w:rsidRPr="00F6639B">
        <w:rPr>
          <w:rFonts w:ascii="Times New Roman" w:hAnsi="Times New Roman" w:cs="Times New Roman"/>
          <w:sz w:val="24"/>
          <w:szCs w:val="24"/>
        </w:rPr>
        <w:t xml:space="preserve"> du présent arrêté. </w:t>
      </w:r>
    </w:p>
    <w:p w14:paraId="07420E6B" w14:textId="77777777" w:rsidR="00A101CD" w:rsidRPr="00F6639B" w:rsidRDefault="00A101CD" w:rsidP="007A7118">
      <w:pPr>
        <w:jc w:val="both"/>
        <w:rPr>
          <w:rFonts w:ascii="Times New Roman" w:hAnsi="Times New Roman" w:cs="Times New Roman"/>
          <w:sz w:val="24"/>
          <w:szCs w:val="24"/>
        </w:rPr>
      </w:pPr>
    </w:p>
    <w:p w14:paraId="1083C89E" w14:textId="6169BC07" w:rsidR="00773EAE" w:rsidRPr="00F6639B" w:rsidRDefault="007A7118" w:rsidP="00773EAE">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773EAE"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2A6D6C" w:rsidRPr="00F6639B">
        <w:rPr>
          <w:rFonts w:ascii="Times New Roman" w:hAnsi="Times New Roman" w:cs="Times New Roman"/>
          <w:b/>
          <w:sz w:val="24"/>
          <w:szCs w:val="24"/>
        </w:rPr>
        <w:t>31</w:t>
      </w:r>
    </w:p>
    <w:p w14:paraId="791AE390" w14:textId="7D325F6D" w:rsidR="007A7118" w:rsidRPr="00F6639B" w:rsidRDefault="007A7118" w:rsidP="007A7118">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En cas de cessation d’activité de l’organisme de certification, quelle qu’en soit la cause, l’organisme n’est plus autorisé à délivrer de certificats. Les certificats qu’il a délivrés restent valides durant une période de six mois à compter de la date de cessation d’activité de l’organisme de certification. Il informe les entreprises de forage qu’il a certifiées de sa cessation d’activité et des modalités de transfert de certification, et en apporte la preuve à la direction générale de la prévention des risques du ministère chargé de l’environnement. Les entreprises de forage concernées sollicitent un autre organisme de certification accrédité afin de transférer, le cas échéant, leur certification, dans les conditions prévues à la section 5 du présent arrêté.</w:t>
      </w:r>
    </w:p>
    <w:p w14:paraId="19A33AFB" w14:textId="77777777" w:rsidR="007A7118" w:rsidRPr="00F6639B" w:rsidRDefault="007A7118" w:rsidP="009C143A">
      <w:pPr>
        <w:spacing w:after="120" w:line="240" w:lineRule="auto"/>
        <w:rPr>
          <w:rFonts w:ascii="Times New Roman" w:hAnsi="Times New Roman" w:cs="Times New Roman"/>
          <w:b/>
          <w:bCs/>
          <w:sz w:val="24"/>
          <w:szCs w:val="24"/>
        </w:rPr>
      </w:pPr>
    </w:p>
    <w:p w14:paraId="3A6EE136" w14:textId="305F4976" w:rsidR="00414792" w:rsidRPr="00F6639B" w:rsidRDefault="00414792" w:rsidP="00414792">
      <w:pPr>
        <w:autoSpaceDE w:val="0"/>
        <w:autoSpaceDN w:val="0"/>
        <w:adjustRightInd w:val="0"/>
        <w:spacing w:after="120" w:line="240" w:lineRule="auto"/>
        <w:rPr>
          <w:rFonts w:ascii="Times New Roman" w:hAnsi="Times New Roman" w:cs="Times New Roman"/>
          <w:b/>
          <w:bCs/>
          <w:sz w:val="24"/>
          <w:szCs w:val="24"/>
        </w:rPr>
      </w:pPr>
      <w:r w:rsidRPr="00F6639B">
        <w:rPr>
          <w:rFonts w:ascii="Times New Roman" w:hAnsi="Times New Roman" w:cs="Times New Roman"/>
          <w:b/>
          <w:bCs/>
          <w:sz w:val="24"/>
          <w:szCs w:val="24"/>
        </w:rPr>
        <w:t xml:space="preserve">Section </w:t>
      </w:r>
      <w:r w:rsidR="00DA71FA" w:rsidRPr="00F6639B">
        <w:rPr>
          <w:rFonts w:ascii="Times New Roman" w:hAnsi="Times New Roman" w:cs="Times New Roman"/>
          <w:b/>
          <w:bCs/>
          <w:sz w:val="24"/>
          <w:szCs w:val="24"/>
        </w:rPr>
        <w:t xml:space="preserve">6 </w:t>
      </w:r>
      <w:r w:rsidRPr="00F6639B">
        <w:rPr>
          <w:rFonts w:ascii="Times New Roman" w:hAnsi="Times New Roman" w:cs="Times New Roman"/>
          <w:b/>
          <w:bCs/>
          <w:sz w:val="24"/>
          <w:szCs w:val="24"/>
        </w:rPr>
        <w:t>– Transfert de certification</w:t>
      </w:r>
    </w:p>
    <w:p w14:paraId="4AC29E32" w14:textId="77777777" w:rsidR="00414792" w:rsidRPr="00F6639B" w:rsidRDefault="00414792" w:rsidP="00414792">
      <w:pPr>
        <w:spacing w:after="120" w:line="240" w:lineRule="auto"/>
        <w:jc w:val="both"/>
        <w:rPr>
          <w:rFonts w:ascii="Times New Roman" w:hAnsi="Times New Roman" w:cs="Times New Roman"/>
          <w:sz w:val="24"/>
          <w:szCs w:val="24"/>
        </w:rPr>
      </w:pPr>
    </w:p>
    <w:p w14:paraId="1D70BBBC" w14:textId="1214FC5C" w:rsidR="00703E07" w:rsidRPr="00F6639B" w:rsidRDefault="00414792" w:rsidP="00703E07">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703E07" w:rsidRPr="00F6639B">
        <w:rPr>
          <w:rFonts w:ascii="Times New Roman" w:hAnsi="Times New Roman" w:cs="Times New Roman"/>
          <w:b/>
          <w:sz w:val="24"/>
          <w:szCs w:val="24"/>
        </w:rPr>
        <w:t>icle</w:t>
      </w:r>
      <w:r w:rsidR="00FB30B4" w:rsidRPr="00F6639B">
        <w:rPr>
          <w:rFonts w:ascii="Times New Roman" w:hAnsi="Times New Roman" w:cs="Times New Roman"/>
          <w:b/>
          <w:sz w:val="24"/>
          <w:szCs w:val="24"/>
        </w:rPr>
        <w:t xml:space="preserve"> </w:t>
      </w:r>
      <w:r w:rsidR="002A6D6C" w:rsidRPr="00F6639B">
        <w:rPr>
          <w:rFonts w:ascii="Times New Roman" w:hAnsi="Times New Roman" w:cs="Times New Roman"/>
          <w:b/>
          <w:sz w:val="24"/>
          <w:szCs w:val="24"/>
        </w:rPr>
        <w:t>32</w:t>
      </w:r>
    </w:p>
    <w:p w14:paraId="3C172577" w14:textId="52A84BCC" w:rsidR="00414792" w:rsidRPr="00F6639B" w:rsidRDefault="00414792" w:rsidP="00414792">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Le transfert d’une certification est la reconnaissance par un organisme de certification d’une certification valide accordée par un autre organisme de certification. Le transfert d’une certification n’est possible que si les organismes de certification disposent d’une accréditation en cours de validité.</w:t>
      </w:r>
    </w:p>
    <w:p w14:paraId="5F050FE2" w14:textId="77777777" w:rsidR="00414792" w:rsidRPr="00F6639B" w:rsidRDefault="00414792" w:rsidP="00414792">
      <w:pPr>
        <w:spacing w:after="120" w:line="240" w:lineRule="auto"/>
        <w:jc w:val="both"/>
        <w:rPr>
          <w:rFonts w:ascii="Times New Roman" w:hAnsi="Times New Roman" w:cs="Times New Roman"/>
          <w:sz w:val="24"/>
          <w:szCs w:val="24"/>
        </w:rPr>
      </w:pPr>
    </w:p>
    <w:p w14:paraId="0399889E" w14:textId="5E429DC9" w:rsidR="00703E07" w:rsidRPr="00F6639B" w:rsidRDefault="00414792" w:rsidP="00703E07">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703E07"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2A6D6C" w:rsidRPr="00F6639B">
        <w:rPr>
          <w:rFonts w:ascii="Times New Roman" w:hAnsi="Times New Roman" w:cs="Times New Roman"/>
          <w:b/>
          <w:sz w:val="24"/>
          <w:szCs w:val="24"/>
        </w:rPr>
        <w:t>33</w:t>
      </w:r>
    </w:p>
    <w:p w14:paraId="758CAC9F" w14:textId="6453F2E1" w:rsidR="00414792" w:rsidRPr="00F6639B" w:rsidRDefault="00414792" w:rsidP="00414792">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I.– L’entreprise</w:t>
      </w:r>
      <w:r w:rsidR="00694A16" w:rsidRPr="00F6639B">
        <w:rPr>
          <w:rFonts w:ascii="Times New Roman" w:hAnsi="Times New Roman" w:cs="Times New Roman"/>
          <w:sz w:val="24"/>
          <w:szCs w:val="24"/>
        </w:rPr>
        <w:t xml:space="preserve"> de forage</w:t>
      </w:r>
      <w:r w:rsidRPr="00F6639B">
        <w:rPr>
          <w:rFonts w:ascii="Times New Roman" w:hAnsi="Times New Roman" w:cs="Times New Roman"/>
          <w:sz w:val="24"/>
          <w:szCs w:val="24"/>
        </w:rPr>
        <w:t xml:space="preserve">, souhaitant transférer sa certification d’un organisme de certification à un autre, les informe de son intention et précise la date d’effet souhaitée. </w:t>
      </w:r>
    </w:p>
    <w:p w14:paraId="30C74028" w14:textId="6E5F2025" w:rsidR="00414792" w:rsidRPr="00F6639B" w:rsidRDefault="00414792" w:rsidP="00414792">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II.– Préalablement au transfert d’une certification, l’organisme de certification désigné pour reconnaître la certification s’assure que la certification concernée entre dans le cadre de la portée de son accréditation et que l’entreprise </w:t>
      </w:r>
      <w:r w:rsidR="00694A16" w:rsidRPr="00F6639B">
        <w:rPr>
          <w:rFonts w:ascii="Times New Roman" w:hAnsi="Times New Roman" w:cs="Times New Roman"/>
          <w:sz w:val="24"/>
          <w:szCs w:val="24"/>
        </w:rPr>
        <w:t xml:space="preserve">de forage </w:t>
      </w:r>
      <w:r w:rsidRPr="00F6639B">
        <w:rPr>
          <w:rFonts w:ascii="Times New Roman" w:hAnsi="Times New Roman" w:cs="Times New Roman"/>
          <w:sz w:val="24"/>
          <w:szCs w:val="24"/>
        </w:rPr>
        <w:t>souhaitant transférer sa certification possède une certification valide et conforme au dispositif en vigueur. Il informe l’entreprise</w:t>
      </w:r>
      <w:r w:rsidR="00694A16" w:rsidRPr="00F6639B">
        <w:rPr>
          <w:rFonts w:ascii="Times New Roman" w:hAnsi="Times New Roman" w:cs="Times New Roman"/>
          <w:sz w:val="24"/>
          <w:szCs w:val="24"/>
        </w:rPr>
        <w:t xml:space="preserve"> de forage</w:t>
      </w:r>
      <w:r w:rsidRPr="00F6639B">
        <w:rPr>
          <w:rFonts w:ascii="Times New Roman" w:hAnsi="Times New Roman" w:cs="Times New Roman"/>
          <w:sz w:val="24"/>
          <w:szCs w:val="24"/>
        </w:rPr>
        <w:t xml:space="preserve"> et l’organisme de certification ayant attribué la certification de sa capacité à reconnaître ladite certification.</w:t>
      </w:r>
    </w:p>
    <w:p w14:paraId="66F503B0" w14:textId="77777777" w:rsidR="00414792" w:rsidRPr="00F6639B" w:rsidRDefault="00414792" w:rsidP="00414792">
      <w:pPr>
        <w:spacing w:after="120" w:line="240" w:lineRule="auto"/>
        <w:jc w:val="both"/>
        <w:rPr>
          <w:rFonts w:ascii="Times New Roman" w:hAnsi="Times New Roman" w:cs="Times New Roman"/>
          <w:sz w:val="24"/>
          <w:szCs w:val="24"/>
        </w:rPr>
      </w:pPr>
    </w:p>
    <w:p w14:paraId="549D30F2" w14:textId="1807290C" w:rsidR="00703E07" w:rsidRPr="00F6639B" w:rsidRDefault="00414792" w:rsidP="00703E07">
      <w:pPr>
        <w:spacing w:after="120" w:line="240" w:lineRule="auto"/>
        <w:jc w:val="center"/>
        <w:rPr>
          <w:rFonts w:ascii="Times New Roman" w:hAnsi="Times New Roman" w:cs="Times New Roman"/>
          <w:sz w:val="24"/>
          <w:szCs w:val="24"/>
        </w:rPr>
      </w:pPr>
      <w:r w:rsidRPr="00F6639B">
        <w:rPr>
          <w:rFonts w:ascii="Times New Roman" w:hAnsi="Times New Roman" w:cs="Times New Roman"/>
          <w:b/>
          <w:sz w:val="24"/>
          <w:szCs w:val="24"/>
        </w:rPr>
        <w:t>Art</w:t>
      </w:r>
      <w:r w:rsidR="00703E07" w:rsidRPr="00F6639B">
        <w:rPr>
          <w:rFonts w:ascii="Times New Roman" w:hAnsi="Times New Roman" w:cs="Times New Roman"/>
          <w:b/>
          <w:sz w:val="24"/>
          <w:szCs w:val="24"/>
        </w:rPr>
        <w:t>icle</w:t>
      </w:r>
      <w:r w:rsidR="00FB30B4" w:rsidRPr="00F6639B">
        <w:rPr>
          <w:rFonts w:ascii="Times New Roman" w:hAnsi="Times New Roman" w:cs="Times New Roman"/>
          <w:b/>
          <w:sz w:val="24"/>
          <w:szCs w:val="24"/>
        </w:rPr>
        <w:t xml:space="preserve"> </w:t>
      </w:r>
      <w:r w:rsidR="002A6D6C" w:rsidRPr="00F6639B">
        <w:rPr>
          <w:rFonts w:ascii="Times New Roman" w:hAnsi="Times New Roman" w:cs="Times New Roman"/>
          <w:b/>
          <w:sz w:val="24"/>
          <w:szCs w:val="24"/>
        </w:rPr>
        <w:t>34</w:t>
      </w:r>
    </w:p>
    <w:p w14:paraId="4539A8A4" w14:textId="57AAF59B" w:rsidR="00414792" w:rsidRPr="00F6639B" w:rsidRDefault="00414792" w:rsidP="00414792">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 L’organisme de certification ayant attribué la certification transmet, sous un délai de </w:t>
      </w:r>
      <w:r w:rsidR="00037B63" w:rsidRPr="00F6639B">
        <w:rPr>
          <w:rFonts w:ascii="Times New Roman" w:hAnsi="Times New Roman" w:cs="Times New Roman"/>
          <w:sz w:val="24"/>
          <w:szCs w:val="24"/>
        </w:rPr>
        <w:t xml:space="preserve">vingt </w:t>
      </w:r>
      <w:r w:rsidRPr="00F6639B">
        <w:rPr>
          <w:rFonts w:ascii="Times New Roman" w:hAnsi="Times New Roman" w:cs="Times New Roman"/>
          <w:sz w:val="24"/>
          <w:szCs w:val="24"/>
        </w:rPr>
        <w:t>jours</w:t>
      </w:r>
      <w:r w:rsidR="00AA4466" w:rsidRPr="00F6639B">
        <w:rPr>
          <w:rFonts w:ascii="Times New Roman" w:hAnsi="Times New Roman" w:cs="Times New Roman"/>
          <w:sz w:val="24"/>
          <w:szCs w:val="24"/>
        </w:rPr>
        <w:t xml:space="preserve"> ouvrés</w:t>
      </w:r>
      <w:r w:rsidRPr="00F6639B">
        <w:rPr>
          <w:rFonts w:ascii="Times New Roman" w:hAnsi="Times New Roman" w:cs="Times New Roman"/>
          <w:sz w:val="24"/>
          <w:szCs w:val="24"/>
        </w:rPr>
        <w:t xml:space="preserve">, à l’organisme de certification désigné pour reconnaître la certification, après que celui-ci l’ait informé de sa capacité à reconnaître cette certification : </w:t>
      </w:r>
    </w:p>
    <w:p w14:paraId="5007757E" w14:textId="65BE7970" w:rsidR="00414792" w:rsidRPr="00F6639B" w:rsidRDefault="0049616A" w:rsidP="0049616A">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703E07" w:rsidRPr="00F6639B">
        <w:rPr>
          <w:rFonts w:ascii="Times New Roman" w:hAnsi="Times New Roman" w:cs="Times New Roman"/>
          <w:sz w:val="24"/>
          <w:szCs w:val="24"/>
        </w:rPr>
        <w:t>u</w:t>
      </w:r>
      <w:r w:rsidR="0072606D" w:rsidRPr="00F6639B">
        <w:rPr>
          <w:rFonts w:ascii="Times New Roman" w:hAnsi="Times New Roman" w:cs="Times New Roman"/>
          <w:sz w:val="24"/>
          <w:szCs w:val="24"/>
        </w:rPr>
        <w:t>ne</w:t>
      </w:r>
      <w:r w:rsidR="00414792" w:rsidRPr="00F6639B">
        <w:rPr>
          <w:rFonts w:ascii="Times New Roman" w:hAnsi="Times New Roman" w:cs="Times New Roman"/>
          <w:sz w:val="24"/>
          <w:szCs w:val="24"/>
        </w:rPr>
        <w:t xml:space="preserve"> copie du document de certification en cours de validité</w:t>
      </w:r>
      <w:r w:rsidR="007B4C6B" w:rsidRPr="00F6639B">
        <w:rPr>
          <w:rFonts w:ascii="Times New Roman" w:hAnsi="Times New Roman" w:cs="Times New Roman"/>
          <w:sz w:val="24"/>
          <w:szCs w:val="24"/>
        </w:rPr>
        <w:t xml:space="preserve"> </w:t>
      </w:r>
      <w:r w:rsidR="00414792" w:rsidRPr="00F6639B">
        <w:rPr>
          <w:rFonts w:ascii="Times New Roman" w:hAnsi="Times New Roman" w:cs="Times New Roman"/>
          <w:sz w:val="24"/>
          <w:szCs w:val="24"/>
        </w:rPr>
        <w:t xml:space="preserve">; </w:t>
      </w:r>
    </w:p>
    <w:p w14:paraId="49333B6A" w14:textId="5745B3D9" w:rsidR="00414792" w:rsidRPr="00F6639B" w:rsidRDefault="0049616A" w:rsidP="0049616A">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703E07" w:rsidRPr="00F6639B">
        <w:rPr>
          <w:rFonts w:ascii="Times New Roman" w:hAnsi="Times New Roman" w:cs="Times New Roman"/>
          <w:sz w:val="24"/>
          <w:szCs w:val="24"/>
        </w:rPr>
        <w:t>l</w:t>
      </w:r>
      <w:r w:rsidR="0072606D" w:rsidRPr="00F6639B">
        <w:rPr>
          <w:rFonts w:ascii="Times New Roman" w:hAnsi="Times New Roman" w:cs="Times New Roman"/>
          <w:sz w:val="24"/>
          <w:szCs w:val="24"/>
        </w:rPr>
        <w:t>e</w:t>
      </w:r>
      <w:r w:rsidR="00414792" w:rsidRPr="00F6639B">
        <w:rPr>
          <w:rFonts w:ascii="Times New Roman" w:hAnsi="Times New Roman" w:cs="Times New Roman"/>
          <w:sz w:val="24"/>
          <w:szCs w:val="24"/>
        </w:rPr>
        <w:t xml:space="preserve"> dernier rapport d’audit chantier</w:t>
      </w:r>
      <w:r w:rsidR="007B4C6B" w:rsidRPr="00F6639B">
        <w:rPr>
          <w:rFonts w:ascii="Times New Roman" w:hAnsi="Times New Roman" w:cs="Times New Roman"/>
          <w:sz w:val="24"/>
          <w:szCs w:val="24"/>
        </w:rPr>
        <w:t xml:space="preserve"> </w:t>
      </w:r>
      <w:r w:rsidR="00414792" w:rsidRPr="00F6639B">
        <w:rPr>
          <w:rFonts w:ascii="Times New Roman" w:hAnsi="Times New Roman" w:cs="Times New Roman"/>
          <w:sz w:val="24"/>
          <w:szCs w:val="24"/>
        </w:rPr>
        <w:t xml:space="preserve">; </w:t>
      </w:r>
    </w:p>
    <w:p w14:paraId="4D7B26C7" w14:textId="281176D5" w:rsidR="00414792" w:rsidRPr="00F6639B" w:rsidRDefault="0049616A" w:rsidP="0049616A">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703E07" w:rsidRPr="00F6639B">
        <w:rPr>
          <w:rFonts w:ascii="Times New Roman" w:hAnsi="Times New Roman" w:cs="Times New Roman"/>
          <w:sz w:val="24"/>
          <w:szCs w:val="24"/>
        </w:rPr>
        <w:t>l</w:t>
      </w:r>
      <w:r w:rsidR="0072606D" w:rsidRPr="00F6639B">
        <w:rPr>
          <w:rFonts w:ascii="Times New Roman" w:hAnsi="Times New Roman" w:cs="Times New Roman"/>
          <w:sz w:val="24"/>
          <w:szCs w:val="24"/>
        </w:rPr>
        <w:t>e</w:t>
      </w:r>
      <w:r w:rsidR="00414792" w:rsidRPr="00F6639B">
        <w:rPr>
          <w:rFonts w:ascii="Times New Roman" w:hAnsi="Times New Roman" w:cs="Times New Roman"/>
          <w:sz w:val="24"/>
          <w:szCs w:val="24"/>
        </w:rPr>
        <w:t xml:space="preserve"> dernier rapport de </w:t>
      </w:r>
      <w:r w:rsidR="00DD7956" w:rsidRPr="00F6639B">
        <w:rPr>
          <w:rFonts w:ascii="Times New Roman" w:hAnsi="Times New Roman" w:cs="Times New Roman"/>
          <w:sz w:val="24"/>
          <w:szCs w:val="24"/>
        </w:rPr>
        <w:t>vérification de référence</w:t>
      </w:r>
      <w:r w:rsidR="007B4C6B" w:rsidRPr="00F6639B">
        <w:rPr>
          <w:rFonts w:ascii="Times New Roman" w:hAnsi="Times New Roman" w:cs="Times New Roman"/>
          <w:sz w:val="24"/>
          <w:szCs w:val="24"/>
        </w:rPr>
        <w:t xml:space="preserve"> </w:t>
      </w:r>
      <w:r w:rsidR="00414792" w:rsidRPr="00F6639B">
        <w:rPr>
          <w:rFonts w:ascii="Times New Roman" w:hAnsi="Times New Roman" w:cs="Times New Roman"/>
          <w:sz w:val="24"/>
          <w:szCs w:val="24"/>
        </w:rPr>
        <w:t>;</w:t>
      </w:r>
    </w:p>
    <w:p w14:paraId="088B6EE5" w14:textId="41088B8A" w:rsidR="00414792" w:rsidRPr="00F6639B" w:rsidRDefault="0049616A" w:rsidP="0049616A">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703E07" w:rsidRPr="00F6639B">
        <w:rPr>
          <w:rFonts w:ascii="Times New Roman" w:hAnsi="Times New Roman" w:cs="Times New Roman"/>
          <w:sz w:val="24"/>
          <w:szCs w:val="24"/>
        </w:rPr>
        <w:t>u</w:t>
      </w:r>
      <w:r w:rsidRPr="00F6639B">
        <w:rPr>
          <w:rFonts w:ascii="Times New Roman" w:hAnsi="Times New Roman" w:cs="Times New Roman"/>
          <w:sz w:val="24"/>
          <w:szCs w:val="24"/>
        </w:rPr>
        <w:t>n</w:t>
      </w:r>
      <w:r w:rsidR="00D67CE4" w:rsidRPr="00F6639B">
        <w:rPr>
          <w:rFonts w:ascii="Times New Roman" w:hAnsi="Times New Roman" w:cs="Times New Roman"/>
          <w:sz w:val="24"/>
          <w:szCs w:val="24"/>
        </w:rPr>
        <w:t xml:space="preserve"> dossier détaillant les non-conformités détectées et le plan d’action associé pour y remédier</w:t>
      </w:r>
      <w:r w:rsidR="00414792" w:rsidRPr="00F6639B">
        <w:rPr>
          <w:rFonts w:ascii="Times New Roman" w:hAnsi="Times New Roman" w:cs="Times New Roman"/>
          <w:sz w:val="24"/>
          <w:szCs w:val="24"/>
        </w:rPr>
        <w:t> ;</w:t>
      </w:r>
    </w:p>
    <w:p w14:paraId="0DC3177F" w14:textId="7FDE15E1" w:rsidR="0072606D" w:rsidRPr="00F6639B" w:rsidRDefault="0049616A" w:rsidP="0049616A">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703E07" w:rsidRPr="00F6639B">
        <w:rPr>
          <w:rFonts w:ascii="Times New Roman" w:hAnsi="Times New Roman" w:cs="Times New Roman"/>
          <w:sz w:val="24"/>
          <w:szCs w:val="24"/>
        </w:rPr>
        <w:t>l</w:t>
      </w:r>
      <w:r w:rsidR="0072606D" w:rsidRPr="00F6639B">
        <w:rPr>
          <w:rFonts w:ascii="Times New Roman" w:hAnsi="Times New Roman" w:cs="Times New Roman"/>
          <w:sz w:val="24"/>
          <w:szCs w:val="24"/>
        </w:rPr>
        <w:t>e</w:t>
      </w:r>
      <w:r w:rsidR="00414792" w:rsidRPr="00F6639B">
        <w:rPr>
          <w:rFonts w:ascii="Times New Roman" w:hAnsi="Times New Roman" w:cs="Times New Roman"/>
          <w:sz w:val="24"/>
          <w:szCs w:val="24"/>
        </w:rPr>
        <w:t xml:space="preserve"> cas échéant, la liste des </w:t>
      </w:r>
      <w:r w:rsidR="00F81C49" w:rsidRPr="00F6639B">
        <w:rPr>
          <w:rFonts w:ascii="Times New Roman" w:hAnsi="Times New Roman" w:cs="Times New Roman"/>
          <w:sz w:val="24"/>
          <w:szCs w:val="24"/>
        </w:rPr>
        <w:t>évaluations</w:t>
      </w:r>
      <w:r w:rsidR="00414792" w:rsidRPr="00F6639B">
        <w:rPr>
          <w:rFonts w:ascii="Times New Roman" w:hAnsi="Times New Roman" w:cs="Times New Roman"/>
          <w:sz w:val="24"/>
          <w:szCs w:val="24"/>
        </w:rPr>
        <w:t xml:space="preserve"> supplémentaires</w:t>
      </w:r>
      <w:r w:rsidR="00FD3312" w:rsidRPr="00F6639B">
        <w:rPr>
          <w:rFonts w:ascii="Times New Roman" w:hAnsi="Times New Roman" w:cs="Times New Roman"/>
          <w:sz w:val="24"/>
          <w:szCs w:val="24"/>
        </w:rPr>
        <w:t xml:space="preserve"> </w:t>
      </w:r>
      <w:r w:rsidR="00F81C49" w:rsidRPr="00F6639B">
        <w:rPr>
          <w:rFonts w:ascii="Times New Roman" w:hAnsi="Times New Roman" w:cs="Times New Roman"/>
          <w:sz w:val="24"/>
          <w:szCs w:val="24"/>
        </w:rPr>
        <w:t>(audit de chantier ou</w:t>
      </w:r>
      <w:r w:rsidR="00A768B7" w:rsidRPr="00F6639B">
        <w:rPr>
          <w:rFonts w:ascii="Times New Roman" w:hAnsi="Times New Roman" w:cs="Times New Roman"/>
          <w:sz w:val="24"/>
          <w:szCs w:val="24"/>
        </w:rPr>
        <w:t xml:space="preserve"> </w:t>
      </w:r>
      <w:r w:rsidR="003D4B3E" w:rsidRPr="00F6639B">
        <w:rPr>
          <w:rFonts w:ascii="Times New Roman" w:hAnsi="Times New Roman" w:cs="Times New Roman"/>
          <w:sz w:val="24"/>
          <w:szCs w:val="24"/>
        </w:rPr>
        <w:t>vérification de référence</w:t>
      </w:r>
      <w:r w:rsidR="00F81C49" w:rsidRPr="00F6639B">
        <w:rPr>
          <w:rFonts w:ascii="Times New Roman" w:hAnsi="Times New Roman" w:cs="Times New Roman"/>
          <w:sz w:val="24"/>
          <w:szCs w:val="24"/>
        </w:rPr>
        <w:t xml:space="preserve">) </w:t>
      </w:r>
      <w:r w:rsidR="00C477A7" w:rsidRPr="00F6639B">
        <w:rPr>
          <w:rFonts w:ascii="Times New Roman" w:hAnsi="Times New Roman" w:cs="Times New Roman"/>
          <w:sz w:val="24"/>
          <w:szCs w:val="24"/>
        </w:rPr>
        <w:t>réalisées au cours du cycle de certification en cours ;</w:t>
      </w:r>
    </w:p>
    <w:p w14:paraId="2CA35F0B" w14:textId="05FA5666" w:rsidR="0072606D" w:rsidRPr="00F6639B" w:rsidRDefault="0049616A" w:rsidP="0049616A">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 </w:t>
      </w:r>
      <w:r w:rsidR="00703E07" w:rsidRPr="00F6639B">
        <w:rPr>
          <w:rFonts w:ascii="Times New Roman" w:hAnsi="Times New Roman" w:cs="Times New Roman"/>
          <w:sz w:val="24"/>
          <w:szCs w:val="24"/>
        </w:rPr>
        <w:t>l</w:t>
      </w:r>
      <w:r w:rsidR="0072606D" w:rsidRPr="00F6639B">
        <w:rPr>
          <w:rFonts w:ascii="Times New Roman" w:hAnsi="Times New Roman" w:cs="Times New Roman"/>
          <w:sz w:val="24"/>
          <w:szCs w:val="24"/>
        </w:rPr>
        <w:t>e</w:t>
      </w:r>
      <w:r w:rsidR="00414792" w:rsidRPr="00F6639B">
        <w:rPr>
          <w:rFonts w:ascii="Times New Roman" w:hAnsi="Times New Roman" w:cs="Times New Roman"/>
          <w:sz w:val="24"/>
          <w:szCs w:val="24"/>
        </w:rPr>
        <w:t xml:space="preserve"> cas échéant, la liste des réclamations</w:t>
      </w:r>
      <w:r w:rsidR="00F81C49" w:rsidRPr="00F6639B">
        <w:rPr>
          <w:rFonts w:ascii="Times New Roman" w:hAnsi="Times New Roman" w:cs="Times New Roman"/>
          <w:sz w:val="24"/>
          <w:szCs w:val="24"/>
        </w:rPr>
        <w:t>/plaintes</w:t>
      </w:r>
      <w:r w:rsidR="00FD3312" w:rsidRPr="00F6639B">
        <w:rPr>
          <w:rFonts w:ascii="Times New Roman" w:hAnsi="Times New Roman" w:cs="Times New Roman"/>
          <w:sz w:val="24"/>
          <w:szCs w:val="24"/>
        </w:rPr>
        <w:t xml:space="preserve"> </w:t>
      </w:r>
      <w:r w:rsidR="00C477A7" w:rsidRPr="00F6639B">
        <w:rPr>
          <w:rFonts w:ascii="Times New Roman" w:hAnsi="Times New Roman" w:cs="Times New Roman"/>
          <w:sz w:val="24"/>
          <w:szCs w:val="24"/>
        </w:rPr>
        <w:t>intervenues au cours du cycle de certification en cours.</w:t>
      </w:r>
    </w:p>
    <w:p w14:paraId="3811043B" w14:textId="77777777" w:rsidR="0072606D" w:rsidRPr="00F6639B" w:rsidRDefault="0072606D" w:rsidP="0072606D">
      <w:pPr>
        <w:pStyle w:val="Paragraphedeliste"/>
        <w:spacing w:after="120" w:line="240" w:lineRule="auto"/>
        <w:jc w:val="both"/>
        <w:rPr>
          <w:rFonts w:ascii="Times New Roman" w:hAnsi="Times New Roman" w:cs="Times New Roman"/>
          <w:sz w:val="24"/>
          <w:szCs w:val="24"/>
        </w:rPr>
      </w:pPr>
    </w:p>
    <w:p w14:paraId="5B58811B" w14:textId="6FD12BB1" w:rsidR="00414792" w:rsidRPr="00F6639B" w:rsidRDefault="00414792" w:rsidP="0072606D">
      <w:pPr>
        <w:pStyle w:val="Paragraphedeliste"/>
        <w:spacing w:after="120" w:line="240" w:lineRule="auto"/>
        <w:ind w:left="0"/>
        <w:jc w:val="both"/>
        <w:rPr>
          <w:rFonts w:ascii="Times New Roman" w:hAnsi="Times New Roman" w:cs="Times New Roman"/>
          <w:sz w:val="24"/>
          <w:szCs w:val="24"/>
        </w:rPr>
      </w:pPr>
      <w:r w:rsidRPr="00F6639B">
        <w:rPr>
          <w:rFonts w:ascii="Times New Roman" w:hAnsi="Times New Roman" w:cs="Times New Roman"/>
          <w:sz w:val="24"/>
          <w:szCs w:val="24"/>
        </w:rPr>
        <w:t xml:space="preserve">II.– L’organisme désigné pour reconnaître la certification analyse les documents transmis par l’organisme de certification ayant attribué la certification. La décision de reconnaître la certification est prise, </w:t>
      </w:r>
      <w:r w:rsidR="004D380F" w:rsidRPr="00F6639B">
        <w:rPr>
          <w:rFonts w:ascii="Times New Roman" w:hAnsi="Times New Roman" w:cs="Times New Roman"/>
          <w:sz w:val="24"/>
          <w:szCs w:val="24"/>
        </w:rPr>
        <w:t xml:space="preserve">dans un délai </w:t>
      </w:r>
      <w:r w:rsidR="00527622" w:rsidRPr="00F6639B">
        <w:rPr>
          <w:rFonts w:ascii="Times New Roman" w:hAnsi="Times New Roman" w:cs="Times New Roman"/>
          <w:sz w:val="24"/>
          <w:szCs w:val="24"/>
        </w:rPr>
        <w:t>permettant de statuer avant l’échéance du certificat</w:t>
      </w:r>
      <w:r w:rsidR="00DA71FA" w:rsidRPr="00F6639B">
        <w:rPr>
          <w:rFonts w:ascii="Times New Roman" w:hAnsi="Times New Roman" w:cs="Times New Roman"/>
          <w:sz w:val="24"/>
          <w:szCs w:val="24"/>
        </w:rPr>
        <w:t xml:space="preserve"> et n’excédant pas trois mois</w:t>
      </w:r>
      <w:r w:rsidR="004D380F" w:rsidRPr="00F6639B">
        <w:rPr>
          <w:rFonts w:ascii="Times New Roman" w:hAnsi="Times New Roman" w:cs="Times New Roman"/>
          <w:sz w:val="24"/>
          <w:szCs w:val="24"/>
        </w:rPr>
        <w:t xml:space="preserve"> après réception </w:t>
      </w:r>
      <w:r w:rsidRPr="00F6639B">
        <w:rPr>
          <w:rFonts w:ascii="Times New Roman" w:hAnsi="Times New Roman" w:cs="Times New Roman"/>
          <w:sz w:val="24"/>
          <w:szCs w:val="24"/>
        </w:rPr>
        <w:t xml:space="preserve">de l’ensemble des éléments mentionnés au I du présent article, au vu des conclusions de l’analyse réalisée et de toute autre information pertinente. </w:t>
      </w:r>
    </w:p>
    <w:p w14:paraId="6D5DCA83" w14:textId="6E5EF741" w:rsidR="00414792" w:rsidRPr="00F6639B" w:rsidRDefault="00414792" w:rsidP="00414792">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III.– A défaut de réception de tout ou partie des documents listés au I du présent article, l’organisme de certification désigné pour reconnaître la certification ne </w:t>
      </w:r>
      <w:r w:rsidR="00342E93" w:rsidRPr="00F6639B">
        <w:rPr>
          <w:rFonts w:ascii="Times New Roman" w:hAnsi="Times New Roman" w:cs="Times New Roman"/>
          <w:sz w:val="24"/>
          <w:szCs w:val="24"/>
        </w:rPr>
        <w:t>peut</w:t>
      </w:r>
      <w:r w:rsidRPr="00F6639B">
        <w:rPr>
          <w:rFonts w:ascii="Times New Roman" w:hAnsi="Times New Roman" w:cs="Times New Roman"/>
          <w:sz w:val="24"/>
          <w:szCs w:val="24"/>
        </w:rPr>
        <w:t xml:space="preserve"> pas transférer la certification en l’état et </w:t>
      </w:r>
      <w:r w:rsidR="00342E93" w:rsidRPr="00F6639B">
        <w:rPr>
          <w:rFonts w:ascii="Times New Roman" w:hAnsi="Times New Roman" w:cs="Times New Roman"/>
          <w:sz w:val="24"/>
          <w:szCs w:val="24"/>
        </w:rPr>
        <w:t>doit</w:t>
      </w:r>
      <w:r w:rsidRPr="00F6639B">
        <w:rPr>
          <w:rFonts w:ascii="Times New Roman" w:hAnsi="Times New Roman" w:cs="Times New Roman"/>
          <w:sz w:val="24"/>
          <w:szCs w:val="24"/>
        </w:rPr>
        <w:t xml:space="preserve"> débuter un nouveau processus de certification en commençant par une demande initiale, tel que prévu à l’article </w:t>
      </w:r>
      <w:r w:rsidR="00C54D88" w:rsidRPr="00F6639B">
        <w:rPr>
          <w:rFonts w:ascii="Times New Roman" w:hAnsi="Times New Roman" w:cs="Times New Roman"/>
          <w:sz w:val="24"/>
          <w:szCs w:val="24"/>
        </w:rPr>
        <w:t>5</w:t>
      </w:r>
      <w:r w:rsidRPr="00F6639B">
        <w:rPr>
          <w:rFonts w:ascii="Times New Roman" w:hAnsi="Times New Roman" w:cs="Times New Roman"/>
          <w:sz w:val="24"/>
          <w:szCs w:val="24"/>
        </w:rPr>
        <w:t xml:space="preserve"> du présent arrêté.</w:t>
      </w:r>
    </w:p>
    <w:p w14:paraId="422EFE66" w14:textId="7F0F5966" w:rsidR="00414792" w:rsidRPr="00F6639B" w:rsidRDefault="00414792" w:rsidP="00414792">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IV.– Dans les six mois qui suivent le transfert d’une certification, l’organisme de certification ayant reconnu la certification réalise une</w:t>
      </w:r>
      <w:r w:rsidR="00FA5DCB" w:rsidRPr="00F6639B">
        <w:rPr>
          <w:rFonts w:ascii="Times New Roman" w:hAnsi="Times New Roman" w:cs="Times New Roman"/>
          <w:sz w:val="24"/>
          <w:szCs w:val="24"/>
        </w:rPr>
        <w:t xml:space="preserve"> </w:t>
      </w:r>
      <w:r w:rsidR="003D4B3E" w:rsidRPr="00F6639B">
        <w:rPr>
          <w:rFonts w:ascii="Times New Roman" w:hAnsi="Times New Roman" w:cs="Times New Roman"/>
          <w:sz w:val="24"/>
          <w:szCs w:val="24"/>
        </w:rPr>
        <w:t>vérification de référence</w:t>
      </w:r>
      <w:r w:rsidRPr="00F6639B">
        <w:rPr>
          <w:rFonts w:ascii="Times New Roman" w:hAnsi="Times New Roman" w:cs="Times New Roman"/>
          <w:sz w:val="24"/>
          <w:szCs w:val="24"/>
        </w:rPr>
        <w:t>.</w:t>
      </w:r>
    </w:p>
    <w:p w14:paraId="0AE592CC" w14:textId="3A40FA12" w:rsidR="004D380F" w:rsidRPr="00F6639B" w:rsidRDefault="004D380F" w:rsidP="00414792">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V. – </w:t>
      </w:r>
      <w:r w:rsidRPr="00F6639B">
        <w:rPr>
          <w:rFonts w:ascii="Times New Roman" w:hAnsi="Times New Roman" w:cs="Times New Roman"/>
          <w:iCs/>
          <w:sz w:val="24"/>
          <w:szCs w:val="24"/>
        </w:rPr>
        <w:t xml:space="preserve">L’organisme </w:t>
      </w:r>
      <w:r w:rsidR="00A101CD" w:rsidRPr="00F6639B">
        <w:rPr>
          <w:rFonts w:ascii="Times New Roman" w:hAnsi="Times New Roman" w:cs="Times New Roman"/>
          <w:iCs/>
          <w:sz w:val="24"/>
          <w:szCs w:val="24"/>
        </w:rPr>
        <w:t xml:space="preserve">de certification </w:t>
      </w:r>
      <w:r w:rsidRPr="00F6639B">
        <w:rPr>
          <w:rFonts w:ascii="Times New Roman" w:hAnsi="Times New Roman" w:cs="Times New Roman"/>
          <w:iCs/>
          <w:sz w:val="24"/>
          <w:szCs w:val="24"/>
        </w:rPr>
        <w:t xml:space="preserve">récepteur informe l’ancien organisme </w:t>
      </w:r>
      <w:r w:rsidR="00A101CD" w:rsidRPr="00F6639B">
        <w:rPr>
          <w:rFonts w:ascii="Times New Roman" w:hAnsi="Times New Roman" w:cs="Times New Roman"/>
          <w:iCs/>
          <w:sz w:val="24"/>
          <w:szCs w:val="24"/>
        </w:rPr>
        <w:t xml:space="preserve">de certification </w:t>
      </w:r>
      <w:r w:rsidRPr="00F6639B">
        <w:rPr>
          <w:rFonts w:ascii="Times New Roman" w:hAnsi="Times New Roman" w:cs="Times New Roman"/>
          <w:iCs/>
          <w:sz w:val="24"/>
          <w:szCs w:val="24"/>
        </w:rPr>
        <w:t xml:space="preserve">de sa décision </w:t>
      </w:r>
      <w:r w:rsidR="00A101CD" w:rsidRPr="00F6639B">
        <w:rPr>
          <w:rFonts w:ascii="Times New Roman" w:hAnsi="Times New Roman" w:cs="Times New Roman"/>
          <w:iCs/>
          <w:sz w:val="24"/>
          <w:szCs w:val="24"/>
        </w:rPr>
        <w:t xml:space="preserve">d’accepter </w:t>
      </w:r>
      <w:r w:rsidRPr="00F6639B">
        <w:rPr>
          <w:rFonts w:ascii="Times New Roman" w:hAnsi="Times New Roman" w:cs="Times New Roman"/>
          <w:iCs/>
          <w:sz w:val="24"/>
          <w:szCs w:val="24"/>
        </w:rPr>
        <w:t>ou de refus</w:t>
      </w:r>
      <w:r w:rsidR="005132DB" w:rsidRPr="00F6639B">
        <w:rPr>
          <w:rFonts w:ascii="Times New Roman" w:hAnsi="Times New Roman" w:cs="Times New Roman"/>
          <w:iCs/>
          <w:sz w:val="24"/>
          <w:szCs w:val="24"/>
        </w:rPr>
        <w:t>er</w:t>
      </w:r>
      <w:r w:rsidRPr="00F6639B">
        <w:rPr>
          <w:rFonts w:ascii="Times New Roman" w:hAnsi="Times New Roman" w:cs="Times New Roman"/>
          <w:iCs/>
          <w:sz w:val="24"/>
          <w:szCs w:val="24"/>
        </w:rPr>
        <w:t xml:space="preserve"> </w:t>
      </w:r>
      <w:r w:rsidR="005132DB" w:rsidRPr="00F6639B">
        <w:rPr>
          <w:rFonts w:ascii="Times New Roman" w:hAnsi="Times New Roman" w:cs="Times New Roman"/>
          <w:iCs/>
          <w:sz w:val="24"/>
          <w:szCs w:val="24"/>
        </w:rPr>
        <w:t xml:space="preserve">le </w:t>
      </w:r>
      <w:r w:rsidRPr="00F6639B">
        <w:rPr>
          <w:rFonts w:ascii="Times New Roman" w:hAnsi="Times New Roman" w:cs="Times New Roman"/>
          <w:iCs/>
          <w:sz w:val="24"/>
          <w:szCs w:val="24"/>
        </w:rPr>
        <w:t>transfert de certification. La décision de transfert de certification fait l’objet de l’émission d’un nouveau certificat qui reprend l’échéance du certificat antérieur</w:t>
      </w:r>
      <w:r w:rsidR="005132DB" w:rsidRPr="00F6639B">
        <w:rPr>
          <w:rFonts w:ascii="Times New Roman" w:hAnsi="Times New Roman" w:cs="Times New Roman"/>
          <w:iCs/>
          <w:sz w:val="24"/>
          <w:szCs w:val="24"/>
        </w:rPr>
        <w:t xml:space="preserve"> </w:t>
      </w:r>
      <w:r w:rsidR="005132DB" w:rsidRPr="00F6639B">
        <w:rPr>
          <w:rFonts w:ascii="Times New Roman" w:hAnsi="Times New Roman" w:cs="Times New Roman"/>
          <w:sz w:val="24"/>
          <w:szCs w:val="24"/>
        </w:rPr>
        <w:t>dont la fin de validité est identique à la fin de validité du certificat objet du transfert</w:t>
      </w:r>
      <w:r w:rsidRPr="00F6639B">
        <w:rPr>
          <w:rFonts w:ascii="Times New Roman" w:hAnsi="Times New Roman" w:cs="Times New Roman"/>
          <w:iCs/>
          <w:sz w:val="24"/>
          <w:szCs w:val="24"/>
        </w:rPr>
        <w:t>. La délivrance du certificat par le nouvel organisme certificateur entraîne la caducité du certificat précédemment émis par l’ancien organisme certificateur.</w:t>
      </w:r>
    </w:p>
    <w:p w14:paraId="1FE25DCE" w14:textId="77777777" w:rsidR="00414792" w:rsidRPr="00F6639B" w:rsidRDefault="00414792" w:rsidP="00414792">
      <w:pPr>
        <w:pStyle w:val="Paragraphedeliste"/>
        <w:spacing w:after="120" w:line="240" w:lineRule="auto"/>
        <w:ind w:left="360"/>
        <w:rPr>
          <w:rFonts w:ascii="Times New Roman" w:hAnsi="Times New Roman" w:cs="Times New Roman"/>
          <w:sz w:val="24"/>
          <w:szCs w:val="24"/>
        </w:rPr>
      </w:pPr>
    </w:p>
    <w:p w14:paraId="3AD1564B" w14:textId="06593745" w:rsidR="00703E07" w:rsidRPr="00F6639B" w:rsidRDefault="00414792" w:rsidP="00703E07">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703E07" w:rsidRPr="00F6639B">
        <w:rPr>
          <w:rFonts w:ascii="Times New Roman" w:hAnsi="Times New Roman" w:cs="Times New Roman"/>
          <w:b/>
          <w:sz w:val="24"/>
          <w:szCs w:val="24"/>
        </w:rPr>
        <w:t>icle</w:t>
      </w:r>
      <w:r w:rsidR="00FB30B4" w:rsidRPr="00F6639B">
        <w:rPr>
          <w:rFonts w:ascii="Times New Roman" w:hAnsi="Times New Roman" w:cs="Times New Roman"/>
          <w:b/>
          <w:sz w:val="24"/>
          <w:szCs w:val="24"/>
        </w:rPr>
        <w:t xml:space="preserve"> </w:t>
      </w:r>
      <w:r w:rsidR="002A6D6C" w:rsidRPr="00F6639B">
        <w:rPr>
          <w:rFonts w:ascii="Times New Roman" w:hAnsi="Times New Roman" w:cs="Times New Roman"/>
          <w:b/>
          <w:sz w:val="24"/>
          <w:szCs w:val="24"/>
        </w:rPr>
        <w:t>35</w:t>
      </w:r>
    </w:p>
    <w:p w14:paraId="0D3149A4" w14:textId="05E8F121" w:rsidR="00734B2B" w:rsidRPr="00F6639B" w:rsidRDefault="00414792" w:rsidP="00AA0F04">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Les dispositions relatives aux transferts de certification mentionnées à l’article </w:t>
      </w:r>
      <w:r w:rsidR="002A6D6C" w:rsidRPr="00F6639B">
        <w:rPr>
          <w:rFonts w:ascii="Times New Roman" w:hAnsi="Times New Roman" w:cs="Times New Roman"/>
          <w:sz w:val="24"/>
          <w:szCs w:val="24"/>
        </w:rPr>
        <w:t xml:space="preserve">33 </w:t>
      </w:r>
      <w:r w:rsidRPr="00F6639B">
        <w:rPr>
          <w:rFonts w:ascii="Times New Roman" w:hAnsi="Times New Roman" w:cs="Times New Roman"/>
          <w:sz w:val="24"/>
          <w:szCs w:val="24"/>
        </w:rPr>
        <w:t>s’appliquent uniquement aux certifications valides ne faisant pas l’objet de suspension.</w:t>
      </w:r>
    </w:p>
    <w:p w14:paraId="6572A872" w14:textId="77777777" w:rsidR="00AA0F04" w:rsidRPr="00F6639B" w:rsidRDefault="00AA0F04" w:rsidP="00AA0F04">
      <w:pPr>
        <w:spacing w:after="120" w:line="240" w:lineRule="auto"/>
        <w:jc w:val="both"/>
        <w:rPr>
          <w:rFonts w:ascii="Times New Roman" w:hAnsi="Times New Roman" w:cs="Times New Roman"/>
          <w:b/>
          <w:bCs/>
          <w:sz w:val="24"/>
          <w:szCs w:val="24"/>
        </w:rPr>
      </w:pPr>
    </w:p>
    <w:p w14:paraId="6964039D" w14:textId="54773D07" w:rsidR="00FB30B4" w:rsidRPr="00F6639B" w:rsidRDefault="00FB30B4" w:rsidP="00FB30B4">
      <w:pPr>
        <w:autoSpaceDE w:val="0"/>
        <w:autoSpaceDN w:val="0"/>
        <w:adjustRightInd w:val="0"/>
        <w:spacing w:after="120" w:line="240" w:lineRule="auto"/>
        <w:rPr>
          <w:rFonts w:ascii="Times New Roman" w:hAnsi="Times New Roman" w:cs="Times New Roman"/>
          <w:b/>
          <w:bCs/>
          <w:sz w:val="24"/>
          <w:szCs w:val="24"/>
        </w:rPr>
      </w:pPr>
      <w:r w:rsidRPr="00F6639B">
        <w:rPr>
          <w:rFonts w:ascii="Times New Roman" w:hAnsi="Times New Roman" w:cs="Times New Roman"/>
          <w:b/>
          <w:bCs/>
          <w:sz w:val="24"/>
          <w:szCs w:val="24"/>
        </w:rPr>
        <w:t xml:space="preserve">Section </w:t>
      </w:r>
      <w:r w:rsidR="00DA71FA" w:rsidRPr="00F6639B">
        <w:rPr>
          <w:rFonts w:ascii="Times New Roman" w:hAnsi="Times New Roman" w:cs="Times New Roman"/>
          <w:b/>
          <w:bCs/>
          <w:sz w:val="24"/>
          <w:szCs w:val="24"/>
        </w:rPr>
        <w:t xml:space="preserve">7 </w:t>
      </w:r>
      <w:r w:rsidRPr="00F6639B">
        <w:rPr>
          <w:rFonts w:ascii="Times New Roman" w:hAnsi="Times New Roman" w:cs="Times New Roman"/>
          <w:b/>
          <w:bCs/>
          <w:sz w:val="24"/>
          <w:szCs w:val="24"/>
        </w:rPr>
        <w:t>– Dispositions transitoires</w:t>
      </w:r>
      <w:r w:rsidR="00342E93" w:rsidRPr="00F6639B">
        <w:rPr>
          <w:rFonts w:ascii="Times New Roman" w:hAnsi="Times New Roman" w:cs="Times New Roman"/>
          <w:b/>
          <w:bCs/>
          <w:sz w:val="24"/>
          <w:szCs w:val="24"/>
        </w:rPr>
        <w:t xml:space="preserve"> </w:t>
      </w:r>
    </w:p>
    <w:p w14:paraId="3478EEF9" w14:textId="340E08CF" w:rsidR="00FB30B4" w:rsidRPr="00F6639B" w:rsidRDefault="00FB30B4" w:rsidP="00FB30B4">
      <w:pPr>
        <w:rPr>
          <w:rFonts w:ascii="Times New Roman" w:hAnsi="Times New Roman" w:cs="Times New Roman"/>
          <w:sz w:val="24"/>
          <w:szCs w:val="24"/>
        </w:rPr>
      </w:pPr>
    </w:p>
    <w:p w14:paraId="62F07141" w14:textId="190B5CAB" w:rsidR="00703E07" w:rsidRPr="00F6639B" w:rsidRDefault="00FB30B4" w:rsidP="00703E07">
      <w:pPr>
        <w:jc w:val="center"/>
        <w:rPr>
          <w:rFonts w:ascii="Times New Roman" w:hAnsi="Times New Roman" w:cs="Times New Roman"/>
          <w:b/>
          <w:sz w:val="24"/>
          <w:szCs w:val="24"/>
        </w:rPr>
      </w:pPr>
      <w:r w:rsidRPr="00F6639B">
        <w:rPr>
          <w:rFonts w:ascii="Times New Roman" w:hAnsi="Times New Roman" w:cs="Times New Roman"/>
          <w:b/>
          <w:sz w:val="24"/>
          <w:szCs w:val="24"/>
        </w:rPr>
        <w:t>Art</w:t>
      </w:r>
      <w:r w:rsidR="00703E07"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6456D5" w:rsidRPr="00F6639B">
        <w:rPr>
          <w:rFonts w:ascii="Times New Roman" w:hAnsi="Times New Roman" w:cs="Times New Roman"/>
          <w:b/>
          <w:sz w:val="24"/>
          <w:szCs w:val="24"/>
        </w:rPr>
        <w:t>36</w:t>
      </w:r>
    </w:p>
    <w:p w14:paraId="7A8F9CC7" w14:textId="0458EFB4" w:rsidR="00FB30B4" w:rsidRPr="00F6639B" w:rsidRDefault="00FB30B4" w:rsidP="00FB30B4">
      <w:pPr>
        <w:jc w:val="both"/>
        <w:rPr>
          <w:rFonts w:ascii="Times New Roman" w:hAnsi="Times New Roman" w:cs="Times New Roman"/>
          <w:sz w:val="24"/>
          <w:szCs w:val="24"/>
        </w:rPr>
      </w:pPr>
      <w:r w:rsidRPr="00F6639B">
        <w:rPr>
          <w:rFonts w:ascii="Times New Roman" w:hAnsi="Times New Roman" w:cs="Times New Roman"/>
          <w:sz w:val="24"/>
          <w:szCs w:val="24"/>
        </w:rPr>
        <w:t xml:space="preserve">A la date </w:t>
      </w:r>
      <w:r w:rsidR="00342E93" w:rsidRPr="00F6639B">
        <w:rPr>
          <w:rFonts w:ascii="Times New Roman" w:hAnsi="Times New Roman" w:cs="Times New Roman"/>
          <w:sz w:val="24"/>
          <w:szCs w:val="24"/>
        </w:rPr>
        <w:t>d’entrée en vigueur</w:t>
      </w:r>
      <w:r w:rsidRPr="00F6639B">
        <w:rPr>
          <w:rFonts w:ascii="Times New Roman" w:hAnsi="Times New Roman" w:cs="Times New Roman"/>
          <w:sz w:val="24"/>
          <w:szCs w:val="24"/>
        </w:rPr>
        <w:t xml:space="preserve"> du présent arrêté, les organismes de qualification détenant une accréditation pour délivrer la qualification des entreprises de forage valide avant le 1</w:t>
      </w:r>
      <w:r w:rsidRPr="00F6639B">
        <w:rPr>
          <w:rFonts w:ascii="Times New Roman" w:hAnsi="Times New Roman" w:cs="Times New Roman"/>
          <w:sz w:val="24"/>
          <w:szCs w:val="24"/>
          <w:vertAlign w:val="superscript"/>
        </w:rPr>
        <w:t>er</w:t>
      </w:r>
      <w:r w:rsidRPr="00F6639B">
        <w:rPr>
          <w:rFonts w:ascii="Times New Roman" w:hAnsi="Times New Roman" w:cs="Times New Roman"/>
          <w:sz w:val="24"/>
          <w:szCs w:val="24"/>
        </w:rPr>
        <w:t xml:space="preserve"> </w:t>
      </w:r>
      <w:r w:rsidR="007465E2" w:rsidRPr="00F6639B">
        <w:rPr>
          <w:rFonts w:ascii="Times New Roman" w:hAnsi="Times New Roman" w:cs="Times New Roman"/>
          <w:sz w:val="24"/>
          <w:szCs w:val="24"/>
        </w:rPr>
        <w:t xml:space="preserve">juillet </w:t>
      </w:r>
      <w:r w:rsidRPr="00F6639B">
        <w:rPr>
          <w:rFonts w:ascii="Times New Roman" w:hAnsi="Times New Roman" w:cs="Times New Roman"/>
          <w:sz w:val="24"/>
          <w:szCs w:val="24"/>
        </w:rPr>
        <w:t xml:space="preserve">2024 </w:t>
      </w:r>
      <w:r w:rsidR="007B4C6B" w:rsidRPr="00F6639B">
        <w:rPr>
          <w:rFonts w:ascii="Times New Roman" w:hAnsi="Times New Roman" w:cs="Times New Roman"/>
          <w:sz w:val="24"/>
          <w:szCs w:val="24"/>
        </w:rPr>
        <w:t>peuvent continuer à exercer leur activité dans les conditions prévues par leur accréditation.</w:t>
      </w:r>
    </w:p>
    <w:p w14:paraId="727E86E2" w14:textId="77777777" w:rsidR="00FB30B4" w:rsidRPr="00F6639B" w:rsidRDefault="00FB30B4" w:rsidP="00FB30B4">
      <w:pPr>
        <w:rPr>
          <w:rFonts w:ascii="Times New Roman" w:hAnsi="Times New Roman" w:cs="Times New Roman"/>
          <w:sz w:val="24"/>
          <w:szCs w:val="24"/>
        </w:rPr>
      </w:pPr>
    </w:p>
    <w:p w14:paraId="3D533792" w14:textId="3FADF710" w:rsidR="00703E07" w:rsidRPr="00F6639B" w:rsidRDefault="00FB30B4" w:rsidP="00703E07">
      <w:pPr>
        <w:jc w:val="center"/>
        <w:rPr>
          <w:rFonts w:ascii="Times New Roman" w:hAnsi="Times New Roman" w:cs="Times New Roman"/>
          <w:b/>
          <w:sz w:val="24"/>
          <w:szCs w:val="24"/>
        </w:rPr>
      </w:pPr>
      <w:r w:rsidRPr="00F6639B">
        <w:rPr>
          <w:rFonts w:ascii="Times New Roman" w:hAnsi="Times New Roman" w:cs="Times New Roman"/>
          <w:b/>
          <w:sz w:val="24"/>
          <w:szCs w:val="24"/>
        </w:rPr>
        <w:t>Art</w:t>
      </w:r>
      <w:r w:rsidR="00703E07" w:rsidRPr="00F6639B">
        <w:rPr>
          <w:rFonts w:ascii="Times New Roman" w:hAnsi="Times New Roman" w:cs="Times New Roman"/>
          <w:b/>
          <w:sz w:val="24"/>
          <w:szCs w:val="24"/>
        </w:rPr>
        <w:t>icle</w:t>
      </w:r>
      <w:r w:rsidR="00D01479" w:rsidRPr="00F6639B">
        <w:rPr>
          <w:rFonts w:ascii="Times New Roman" w:hAnsi="Times New Roman" w:cs="Times New Roman"/>
          <w:b/>
          <w:sz w:val="24"/>
          <w:szCs w:val="24"/>
        </w:rPr>
        <w:t xml:space="preserve"> </w:t>
      </w:r>
      <w:r w:rsidR="006456D5" w:rsidRPr="00F6639B">
        <w:rPr>
          <w:rFonts w:ascii="Times New Roman" w:hAnsi="Times New Roman" w:cs="Times New Roman"/>
          <w:b/>
          <w:sz w:val="24"/>
          <w:szCs w:val="24"/>
        </w:rPr>
        <w:t>37</w:t>
      </w:r>
    </w:p>
    <w:p w14:paraId="391BD54A" w14:textId="7C5AAAB1" w:rsidR="00FB30B4" w:rsidRPr="00F6639B" w:rsidRDefault="00FB30B4" w:rsidP="00FB30B4">
      <w:pPr>
        <w:jc w:val="both"/>
        <w:rPr>
          <w:rFonts w:ascii="Times New Roman" w:hAnsi="Times New Roman" w:cs="Times New Roman"/>
          <w:sz w:val="24"/>
          <w:szCs w:val="24"/>
        </w:rPr>
      </w:pPr>
      <w:r w:rsidRPr="00F6639B">
        <w:rPr>
          <w:rFonts w:ascii="Times New Roman" w:hAnsi="Times New Roman" w:cs="Times New Roman"/>
          <w:sz w:val="24"/>
          <w:szCs w:val="24"/>
        </w:rPr>
        <w:t>I.– A la date d</w:t>
      </w:r>
      <w:r w:rsidR="0034234B" w:rsidRPr="00F6639B">
        <w:rPr>
          <w:rFonts w:ascii="Times New Roman" w:hAnsi="Times New Roman" w:cs="Times New Roman"/>
          <w:sz w:val="24"/>
          <w:szCs w:val="24"/>
        </w:rPr>
        <w:t xml:space="preserve">’entrée en vigueur </w:t>
      </w:r>
      <w:r w:rsidRPr="00F6639B">
        <w:rPr>
          <w:rFonts w:ascii="Times New Roman" w:hAnsi="Times New Roman" w:cs="Times New Roman"/>
          <w:sz w:val="24"/>
          <w:szCs w:val="24"/>
        </w:rPr>
        <w:t>du présent arrêté, les entreprises de forage disposant d'une attestation de qualification en cours de validité selon les référentiels de qualifications définis à l’article 2 de l'arrêté du 25 juin 2015 relatif à la qualification des entreprises de forage intervenant en matière de géothermie de minime importance, sont réputées satisfaire aux obligations de certification mentionnée à l’article L. 164-1-1 du code minier, sous réserve du respect des règles édictées par leur organisme de certification, jusqu'à la date d'expiration de l’attestation de qualification délivrée par leur organisme de qualification et au plus tard le 30 juin 2025.</w:t>
      </w:r>
    </w:p>
    <w:p w14:paraId="7BD24CA0" w14:textId="28CFEB14" w:rsidR="00FB30B4" w:rsidRPr="00F6639B" w:rsidRDefault="00FB30B4" w:rsidP="00FB30B4">
      <w:pPr>
        <w:jc w:val="both"/>
        <w:rPr>
          <w:rFonts w:ascii="Times New Roman" w:hAnsi="Times New Roman" w:cs="Times New Roman"/>
          <w:sz w:val="24"/>
          <w:szCs w:val="24"/>
        </w:rPr>
      </w:pPr>
      <w:r w:rsidRPr="00F6639B">
        <w:rPr>
          <w:rFonts w:ascii="Times New Roman" w:hAnsi="Times New Roman" w:cs="Times New Roman"/>
          <w:sz w:val="24"/>
          <w:szCs w:val="24"/>
        </w:rPr>
        <w:t>I</w:t>
      </w:r>
      <w:r w:rsidR="00271633" w:rsidRPr="00F6639B">
        <w:rPr>
          <w:rFonts w:ascii="Times New Roman" w:hAnsi="Times New Roman" w:cs="Times New Roman"/>
          <w:sz w:val="24"/>
          <w:szCs w:val="24"/>
        </w:rPr>
        <w:t>I</w:t>
      </w:r>
      <w:r w:rsidRPr="00F6639B">
        <w:rPr>
          <w:rFonts w:ascii="Times New Roman" w:hAnsi="Times New Roman" w:cs="Times New Roman"/>
          <w:sz w:val="24"/>
          <w:szCs w:val="24"/>
        </w:rPr>
        <w:t>.– Les entreprises</w:t>
      </w:r>
      <w:r w:rsidR="00694A16" w:rsidRPr="00F6639B">
        <w:rPr>
          <w:rFonts w:ascii="Times New Roman" w:hAnsi="Times New Roman" w:cs="Times New Roman"/>
          <w:sz w:val="24"/>
          <w:szCs w:val="24"/>
        </w:rPr>
        <w:t xml:space="preserve"> de forage</w:t>
      </w:r>
      <w:r w:rsidRPr="00F6639B">
        <w:rPr>
          <w:rFonts w:ascii="Times New Roman" w:hAnsi="Times New Roman" w:cs="Times New Roman"/>
          <w:sz w:val="24"/>
          <w:szCs w:val="24"/>
        </w:rPr>
        <w:t xml:space="preserve"> satisfaisant au I du présent article, peuvent demander la certification pour les modules définis à l’article 2 du présent arrêté à compter de la date </w:t>
      </w:r>
      <w:r w:rsidR="00897D88" w:rsidRPr="00F6639B">
        <w:rPr>
          <w:rFonts w:ascii="Times New Roman" w:hAnsi="Times New Roman" w:cs="Times New Roman"/>
          <w:sz w:val="24"/>
          <w:szCs w:val="24"/>
        </w:rPr>
        <w:t>d’entrée en vigueur</w:t>
      </w:r>
      <w:r w:rsidRPr="00F6639B">
        <w:rPr>
          <w:rFonts w:ascii="Times New Roman" w:hAnsi="Times New Roman" w:cs="Times New Roman"/>
          <w:sz w:val="24"/>
          <w:szCs w:val="24"/>
        </w:rPr>
        <w:t xml:space="preserve"> du présent arrêté</w:t>
      </w:r>
      <w:r w:rsidR="00897D88" w:rsidRPr="00F6639B">
        <w:rPr>
          <w:rFonts w:ascii="Times New Roman" w:hAnsi="Times New Roman" w:cs="Times New Roman"/>
          <w:sz w:val="24"/>
          <w:szCs w:val="24"/>
        </w:rPr>
        <w:t>,</w:t>
      </w:r>
      <w:r w:rsidRPr="00F6639B">
        <w:rPr>
          <w:rFonts w:ascii="Times New Roman" w:hAnsi="Times New Roman" w:cs="Times New Roman"/>
          <w:sz w:val="24"/>
          <w:szCs w:val="24"/>
        </w:rPr>
        <w:t xml:space="preserve"> suivant les modalités définies </w:t>
      </w:r>
      <w:r w:rsidR="00E76C80" w:rsidRPr="00F6639B">
        <w:rPr>
          <w:rFonts w:ascii="Times New Roman" w:hAnsi="Times New Roman" w:cs="Times New Roman"/>
          <w:sz w:val="24"/>
          <w:szCs w:val="24"/>
        </w:rPr>
        <w:t>à</w:t>
      </w:r>
      <w:r w:rsidRPr="00F6639B">
        <w:rPr>
          <w:rFonts w:ascii="Times New Roman" w:hAnsi="Times New Roman" w:cs="Times New Roman"/>
          <w:sz w:val="24"/>
          <w:szCs w:val="24"/>
        </w:rPr>
        <w:t xml:space="preserve"> l’article </w:t>
      </w:r>
      <w:r w:rsidR="00537454" w:rsidRPr="00F6639B">
        <w:rPr>
          <w:rFonts w:ascii="Times New Roman" w:hAnsi="Times New Roman" w:cs="Times New Roman"/>
          <w:sz w:val="24"/>
          <w:szCs w:val="24"/>
        </w:rPr>
        <w:t>6</w:t>
      </w:r>
      <w:r w:rsidRPr="00F6639B">
        <w:rPr>
          <w:rFonts w:ascii="Times New Roman" w:hAnsi="Times New Roman" w:cs="Times New Roman"/>
          <w:sz w:val="24"/>
          <w:szCs w:val="24"/>
        </w:rPr>
        <w:t xml:space="preserve"> du présent arrêté hors évaluation de la conformité de la </w:t>
      </w:r>
      <w:r w:rsidR="003D4B3E" w:rsidRPr="00F6639B">
        <w:rPr>
          <w:rFonts w:ascii="Times New Roman" w:hAnsi="Times New Roman" w:cs="Times New Roman"/>
          <w:sz w:val="24"/>
          <w:szCs w:val="24"/>
        </w:rPr>
        <w:t>vérification de référence</w:t>
      </w:r>
      <w:r w:rsidRPr="00F6639B">
        <w:rPr>
          <w:rFonts w:ascii="Times New Roman" w:hAnsi="Times New Roman" w:cs="Times New Roman"/>
          <w:sz w:val="24"/>
          <w:szCs w:val="24"/>
        </w:rPr>
        <w:t>. En complément, l’entreprise de forage fournit un rapport d’audit chantier datant de moins de 4 ans.</w:t>
      </w:r>
    </w:p>
    <w:p w14:paraId="4DD280AC" w14:textId="3C534905" w:rsidR="00FB30B4" w:rsidRPr="00F6639B" w:rsidRDefault="00FB30B4" w:rsidP="00FB30B4">
      <w:pPr>
        <w:jc w:val="both"/>
        <w:rPr>
          <w:rFonts w:ascii="Times New Roman" w:hAnsi="Times New Roman" w:cs="Times New Roman"/>
          <w:sz w:val="24"/>
          <w:szCs w:val="24"/>
        </w:rPr>
      </w:pPr>
      <w:r w:rsidRPr="00F6639B">
        <w:rPr>
          <w:rFonts w:ascii="Times New Roman" w:hAnsi="Times New Roman" w:cs="Times New Roman"/>
          <w:sz w:val="24"/>
          <w:szCs w:val="24"/>
        </w:rPr>
        <w:t>I</w:t>
      </w:r>
      <w:r w:rsidR="00271633" w:rsidRPr="00F6639B">
        <w:rPr>
          <w:rFonts w:ascii="Times New Roman" w:hAnsi="Times New Roman" w:cs="Times New Roman"/>
          <w:sz w:val="24"/>
          <w:szCs w:val="24"/>
        </w:rPr>
        <w:t>II</w:t>
      </w:r>
      <w:r w:rsidRPr="00F6639B">
        <w:rPr>
          <w:rFonts w:ascii="Times New Roman" w:hAnsi="Times New Roman" w:cs="Times New Roman"/>
          <w:sz w:val="24"/>
          <w:szCs w:val="24"/>
        </w:rPr>
        <w:t xml:space="preserve">.– Dans le cas où l’entreprise de forage satisfaisant au I du présent article, ne satisfait pas au II du présent article, la demande est instruite suivant les dispositions définies </w:t>
      </w:r>
      <w:r w:rsidR="00E76C80" w:rsidRPr="00F6639B">
        <w:rPr>
          <w:rFonts w:ascii="Times New Roman" w:hAnsi="Times New Roman" w:cs="Times New Roman"/>
          <w:sz w:val="24"/>
          <w:szCs w:val="24"/>
        </w:rPr>
        <w:t>à</w:t>
      </w:r>
      <w:r w:rsidRPr="00F6639B">
        <w:rPr>
          <w:rFonts w:ascii="Times New Roman" w:hAnsi="Times New Roman" w:cs="Times New Roman"/>
          <w:sz w:val="24"/>
          <w:szCs w:val="24"/>
        </w:rPr>
        <w:t xml:space="preserve"> l’article </w:t>
      </w:r>
      <w:r w:rsidR="00537454" w:rsidRPr="00F6639B">
        <w:rPr>
          <w:rFonts w:ascii="Times New Roman" w:hAnsi="Times New Roman" w:cs="Times New Roman"/>
          <w:sz w:val="24"/>
          <w:szCs w:val="24"/>
        </w:rPr>
        <w:t>5</w:t>
      </w:r>
      <w:r w:rsidRPr="00F6639B">
        <w:rPr>
          <w:rFonts w:ascii="Times New Roman" w:hAnsi="Times New Roman" w:cs="Times New Roman"/>
          <w:sz w:val="24"/>
          <w:szCs w:val="24"/>
        </w:rPr>
        <w:t xml:space="preserve"> du présent arrêté.</w:t>
      </w:r>
    </w:p>
    <w:p w14:paraId="1F9F2BB7" w14:textId="06F29E4C" w:rsidR="00FB30B4" w:rsidRPr="00F6639B" w:rsidRDefault="00271633" w:rsidP="00FB30B4">
      <w:pPr>
        <w:jc w:val="both"/>
        <w:rPr>
          <w:rFonts w:ascii="Times New Roman" w:hAnsi="Times New Roman" w:cs="Times New Roman"/>
          <w:sz w:val="24"/>
          <w:szCs w:val="24"/>
        </w:rPr>
      </w:pPr>
      <w:r w:rsidRPr="00F6639B">
        <w:rPr>
          <w:rFonts w:ascii="Times New Roman" w:hAnsi="Times New Roman" w:cs="Times New Roman"/>
          <w:sz w:val="24"/>
          <w:szCs w:val="24"/>
        </w:rPr>
        <w:t>I</w:t>
      </w:r>
      <w:r w:rsidR="00FB30B4" w:rsidRPr="00F6639B">
        <w:rPr>
          <w:rFonts w:ascii="Times New Roman" w:hAnsi="Times New Roman" w:cs="Times New Roman"/>
          <w:sz w:val="24"/>
          <w:szCs w:val="24"/>
        </w:rPr>
        <w:t>V.– Pour les entreprises</w:t>
      </w:r>
      <w:r w:rsidR="00663A0A" w:rsidRPr="00F6639B">
        <w:rPr>
          <w:rFonts w:ascii="Times New Roman" w:hAnsi="Times New Roman" w:cs="Times New Roman"/>
          <w:sz w:val="24"/>
          <w:szCs w:val="24"/>
        </w:rPr>
        <w:t xml:space="preserve"> qui ne répondent pas </w:t>
      </w:r>
      <w:r w:rsidR="00495C87" w:rsidRPr="00F6639B">
        <w:rPr>
          <w:rFonts w:ascii="Times New Roman" w:hAnsi="Times New Roman" w:cs="Times New Roman"/>
          <w:sz w:val="24"/>
          <w:szCs w:val="24"/>
        </w:rPr>
        <w:t xml:space="preserve">aux </w:t>
      </w:r>
      <w:r w:rsidR="00663A0A" w:rsidRPr="00F6639B">
        <w:rPr>
          <w:rFonts w:ascii="Times New Roman" w:hAnsi="Times New Roman" w:cs="Times New Roman"/>
          <w:sz w:val="24"/>
          <w:szCs w:val="24"/>
        </w:rPr>
        <w:t>dispositions précitées</w:t>
      </w:r>
      <w:r w:rsidR="00FB30B4" w:rsidRPr="00F6639B">
        <w:rPr>
          <w:rFonts w:ascii="Times New Roman" w:hAnsi="Times New Roman" w:cs="Times New Roman"/>
          <w:sz w:val="24"/>
          <w:szCs w:val="24"/>
        </w:rPr>
        <w:t xml:space="preserve">, </w:t>
      </w:r>
      <w:r w:rsidR="00342E93" w:rsidRPr="00F6639B">
        <w:rPr>
          <w:rFonts w:ascii="Times New Roman" w:hAnsi="Times New Roman" w:cs="Times New Roman"/>
          <w:sz w:val="24"/>
          <w:szCs w:val="24"/>
        </w:rPr>
        <w:t>leurs</w:t>
      </w:r>
      <w:r w:rsidR="00FB30B4" w:rsidRPr="00F6639B">
        <w:rPr>
          <w:rFonts w:ascii="Times New Roman" w:hAnsi="Times New Roman" w:cs="Times New Roman"/>
          <w:sz w:val="24"/>
          <w:szCs w:val="24"/>
        </w:rPr>
        <w:t xml:space="preserve"> demande</w:t>
      </w:r>
      <w:r w:rsidR="00342E93" w:rsidRPr="00F6639B">
        <w:rPr>
          <w:rFonts w:ascii="Times New Roman" w:hAnsi="Times New Roman" w:cs="Times New Roman"/>
          <w:sz w:val="24"/>
          <w:szCs w:val="24"/>
        </w:rPr>
        <w:t>s</w:t>
      </w:r>
      <w:r w:rsidR="00FB30B4" w:rsidRPr="00F6639B">
        <w:rPr>
          <w:rFonts w:ascii="Times New Roman" w:hAnsi="Times New Roman" w:cs="Times New Roman"/>
          <w:sz w:val="24"/>
          <w:szCs w:val="24"/>
        </w:rPr>
        <w:t xml:space="preserve"> s’inscri</w:t>
      </w:r>
      <w:r w:rsidR="00342E93" w:rsidRPr="00F6639B">
        <w:rPr>
          <w:rFonts w:ascii="Times New Roman" w:hAnsi="Times New Roman" w:cs="Times New Roman"/>
          <w:sz w:val="24"/>
          <w:szCs w:val="24"/>
        </w:rPr>
        <w:t>ven</w:t>
      </w:r>
      <w:r w:rsidR="00FB30B4" w:rsidRPr="00F6639B">
        <w:rPr>
          <w:rFonts w:ascii="Times New Roman" w:hAnsi="Times New Roman" w:cs="Times New Roman"/>
          <w:sz w:val="24"/>
          <w:szCs w:val="24"/>
        </w:rPr>
        <w:t xml:space="preserve">t dans le cadre d’une demande de certification initiale définis </w:t>
      </w:r>
      <w:r w:rsidR="00E55120" w:rsidRPr="00F6639B">
        <w:rPr>
          <w:rFonts w:ascii="Times New Roman" w:hAnsi="Times New Roman" w:cs="Times New Roman"/>
          <w:sz w:val="24"/>
          <w:szCs w:val="24"/>
        </w:rPr>
        <w:t>à</w:t>
      </w:r>
      <w:r w:rsidR="00FB30B4" w:rsidRPr="00F6639B">
        <w:rPr>
          <w:rFonts w:ascii="Times New Roman" w:hAnsi="Times New Roman" w:cs="Times New Roman"/>
          <w:sz w:val="24"/>
          <w:szCs w:val="24"/>
        </w:rPr>
        <w:t xml:space="preserve"> l’article </w:t>
      </w:r>
      <w:r w:rsidR="00C54D88" w:rsidRPr="00F6639B">
        <w:rPr>
          <w:rFonts w:ascii="Times New Roman" w:hAnsi="Times New Roman" w:cs="Times New Roman"/>
          <w:sz w:val="24"/>
          <w:szCs w:val="24"/>
        </w:rPr>
        <w:t>5</w:t>
      </w:r>
      <w:r w:rsidR="00FB30B4" w:rsidRPr="00F6639B">
        <w:rPr>
          <w:rFonts w:ascii="Times New Roman" w:hAnsi="Times New Roman" w:cs="Times New Roman"/>
          <w:sz w:val="24"/>
          <w:szCs w:val="24"/>
        </w:rPr>
        <w:t xml:space="preserve"> du présent arrêté.</w:t>
      </w:r>
    </w:p>
    <w:p w14:paraId="7F7C3DEF" w14:textId="550D833E" w:rsidR="00734B2B" w:rsidRPr="00F6639B" w:rsidRDefault="00734B2B">
      <w:pPr>
        <w:spacing w:line="259" w:lineRule="auto"/>
        <w:rPr>
          <w:rFonts w:ascii="Times New Roman" w:hAnsi="Times New Roman" w:cs="Times New Roman"/>
          <w:b/>
          <w:bCs/>
          <w:sz w:val="24"/>
          <w:szCs w:val="24"/>
        </w:rPr>
      </w:pPr>
    </w:p>
    <w:p w14:paraId="6160DDCE" w14:textId="0FEC0093" w:rsidR="0037669A" w:rsidRPr="00F6639B" w:rsidRDefault="0037669A" w:rsidP="0037669A">
      <w:pPr>
        <w:autoSpaceDE w:val="0"/>
        <w:autoSpaceDN w:val="0"/>
        <w:adjustRightInd w:val="0"/>
        <w:spacing w:after="120" w:line="240" w:lineRule="auto"/>
        <w:rPr>
          <w:rFonts w:ascii="Times New Roman" w:hAnsi="Times New Roman" w:cs="Times New Roman"/>
          <w:b/>
          <w:bCs/>
          <w:sz w:val="24"/>
          <w:szCs w:val="24"/>
        </w:rPr>
      </w:pPr>
      <w:r w:rsidRPr="00F6639B">
        <w:rPr>
          <w:rFonts w:ascii="Times New Roman" w:hAnsi="Times New Roman" w:cs="Times New Roman"/>
          <w:b/>
          <w:bCs/>
          <w:sz w:val="24"/>
          <w:szCs w:val="24"/>
        </w:rPr>
        <w:t xml:space="preserve">Section </w:t>
      </w:r>
      <w:r w:rsidR="00DA71FA" w:rsidRPr="00F6639B">
        <w:rPr>
          <w:rFonts w:ascii="Times New Roman" w:hAnsi="Times New Roman" w:cs="Times New Roman"/>
          <w:b/>
          <w:bCs/>
          <w:sz w:val="24"/>
          <w:szCs w:val="24"/>
        </w:rPr>
        <w:t xml:space="preserve">8 </w:t>
      </w:r>
      <w:r w:rsidRPr="00F6639B">
        <w:rPr>
          <w:rFonts w:ascii="Times New Roman" w:hAnsi="Times New Roman" w:cs="Times New Roman"/>
          <w:b/>
          <w:bCs/>
          <w:sz w:val="24"/>
          <w:szCs w:val="24"/>
        </w:rPr>
        <w:t>: Dispositions diverses</w:t>
      </w:r>
    </w:p>
    <w:p w14:paraId="3A43AB49" w14:textId="77777777" w:rsidR="00342E93" w:rsidRPr="00F6639B" w:rsidRDefault="00342E93" w:rsidP="00A54620">
      <w:pPr>
        <w:spacing w:after="120" w:line="240" w:lineRule="auto"/>
        <w:jc w:val="both"/>
        <w:rPr>
          <w:rFonts w:ascii="Times New Roman" w:hAnsi="Times New Roman" w:cs="Times New Roman"/>
          <w:b/>
          <w:sz w:val="24"/>
          <w:szCs w:val="24"/>
        </w:rPr>
      </w:pPr>
    </w:p>
    <w:p w14:paraId="1EDAFC56" w14:textId="71CD58E1" w:rsidR="00703E07" w:rsidRPr="00F6639B" w:rsidRDefault="0037669A" w:rsidP="00703E07">
      <w:pPr>
        <w:spacing w:after="120" w:line="240" w:lineRule="auto"/>
        <w:jc w:val="center"/>
        <w:rPr>
          <w:rFonts w:ascii="Times New Roman" w:hAnsi="Times New Roman" w:cs="Times New Roman"/>
          <w:b/>
          <w:sz w:val="24"/>
          <w:szCs w:val="24"/>
        </w:rPr>
      </w:pPr>
      <w:r w:rsidRPr="00F6639B">
        <w:rPr>
          <w:rFonts w:ascii="Times New Roman" w:hAnsi="Times New Roman" w:cs="Times New Roman"/>
          <w:b/>
          <w:sz w:val="24"/>
          <w:szCs w:val="24"/>
        </w:rPr>
        <w:t>Art</w:t>
      </w:r>
      <w:r w:rsidR="00703E07" w:rsidRPr="00F6639B">
        <w:rPr>
          <w:rFonts w:ascii="Times New Roman" w:hAnsi="Times New Roman" w:cs="Times New Roman"/>
          <w:b/>
          <w:sz w:val="24"/>
          <w:szCs w:val="24"/>
        </w:rPr>
        <w:t>icle</w:t>
      </w:r>
      <w:r w:rsidRPr="00F6639B">
        <w:rPr>
          <w:rFonts w:ascii="Times New Roman" w:hAnsi="Times New Roman" w:cs="Times New Roman"/>
          <w:b/>
          <w:sz w:val="24"/>
          <w:szCs w:val="24"/>
        </w:rPr>
        <w:t xml:space="preserve"> </w:t>
      </w:r>
      <w:r w:rsidR="00C816ED" w:rsidRPr="00F6639B">
        <w:rPr>
          <w:rFonts w:ascii="Times New Roman" w:hAnsi="Times New Roman" w:cs="Times New Roman"/>
          <w:b/>
          <w:sz w:val="24"/>
          <w:szCs w:val="24"/>
        </w:rPr>
        <w:t>38</w:t>
      </w:r>
    </w:p>
    <w:p w14:paraId="62E64668" w14:textId="0499E460" w:rsidR="0037669A" w:rsidRPr="00F6639B" w:rsidRDefault="0037669A" w:rsidP="00A54620">
      <w:pPr>
        <w:spacing w:after="120" w:line="240" w:lineRule="auto"/>
        <w:jc w:val="both"/>
        <w:rPr>
          <w:rFonts w:ascii="Times New Roman" w:eastAsia="Times New Roman" w:hAnsi="Times New Roman" w:cs="Times New Roman"/>
          <w:sz w:val="24"/>
          <w:szCs w:val="24"/>
          <w:lang w:eastAsia="fr-FR"/>
        </w:rPr>
      </w:pPr>
      <w:r w:rsidRPr="00F6639B">
        <w:rPr>
          <w:rFonts w:ascii="Times New Roman" w:hAnsi="Times New Roman" w:cs="Times New Roman"/>
          <w:sz w:val="24"/>
          <w:szCs w:val="24"/>
        </w:rPr>
        <w:t>La marque de certification</w:t>
      </w:r>
      <w:r w:rsidRPr="00F6639B">
        <w:rPr>
          <w:rFonts w:ascii="Times New Roman" w:eastAsia="Times New Roman" w:hAnsi="Times New Roman" w:cs="Times New Roman"/>
          <w:sz w:val="24"/>
          <w:szCs w:val="24"/>
          <w:lang w:eastAsia="fr-FR"/>
        </w:rPr>
        <w:t xml:space="preserve"> </w:t>
      </w:r>
      <w:proofErr w:type="spellStart"/>
      <w:r w:rsidRPr="00F6639B">
        <w:rPr>
          <w:rFonts w:ascii="Times New Roman" w:eastAsia="Times New Roman" w:hAnsi="Times New Roman" w:cs="Times New Roman"/>
          <w:sz w:val="24"/>
          <w:szCs w:val="24"/>
          <w:lang w:eastAsia="fr-FR"/>
        </w:rPr>
        <w:t>CertiForage</w:t>
      </w:r>
      <w:proofErr w:type="spellEnd"/>
      <w:r w:rsidRPr="00F6639B">
        <w:rPr>
          <w:rFonts w:ascii="Times New Roman" w:eastAsia="Times New Roman" w:hAnsi="Times New Roman" w:cs="Times New Roman"/>
          <w:sz w:val="24"/>
          <w:szCs w:val="24"/>
          <w:lang w:eastAsia="fr-FR"/>
        </w:rPr>
        <w:t xml:space="preserve"> est matérialisée par le logo suivant :</w:t>
      </w:r>
    </w:p>
    <w:p w14:paraId="3728003D" w14:textId="63B5D162" w:rsidR="0037669A" w:rsidRPr="00F6639B" w:rsidRDefault="00B965F1" w:rsidP="00A54620">
      <w:pPr>
        <w:spacing w:after="120" w:line="240" w:lineRule="auto"/>
        <w:jc w:val="both"/>
        <w:rPr>
          <w:rFonts w:ascii="Times New Roman" w:eastAsia="Times New Roman" w:hAnsi="Times New Roman" w:cs="Times New Roman"/>
          <w:sz w:val="24"/>
          <w:szCs w:val="24"/>
          <w:lang w:eastAsia="fr-FR"/>
        </w:rPr>
      </w:pPr>
      <w:r w:rsidRPr="00F6639B">
        <w:rPr>
          <w:rFonts w:ascii="Times New Roman" w:hAnsi="Times New Roman" w:cs="Times New Roman"/>
          <w:noProof/>
          <w:sz w:val="24"/>
          <w:szCs w:val="24"/>
          <w:lang w:eastAsia="fr-FR"/>
        </w:rPr>
        <w:drawing>
          <wp:inline distT="0" distB="0" distL="0" distR="0" wp14:anchorId="1D4E1365" wp14:editId="27182570">
            <wp:extent cx="5760720" cy="3222280"/>
            <wp:effectExtent l="0" t="0" r="0" b="0"/>
            <wp:docPr id="5" name="Image 5" descr="C:\Users\olivierp\AppData\Local\Microsoft\Windows\INetCache\Content.Word\certiforage-vdef_avec-men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ivierp\AppData\Local\Microsoft\Windows\INetCache\Content.Word\certiforage-vdef_avec-mention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222280"/>
                    </a:xfrm>
                    <a:prstGeom prst="rect">
                      <a:avLst/>
                    </a:prstGeom>
                    <a:noFill/>
                    <a:ln>
                      <a:noFill/>
                    </a:ln>
                  </pic:spPr>
                </pic:pic>
              </a:graphicData>
            </a:graphic>
          </wp:inline>
        </w:drawing>
      </w:r>
    </w:p>
    <w:p w14:paraId="149DF2B0" w14:textId="77777777" w:rsidR="0037669A" w:rsidRPr="00F6639B" w:rsidRDefault="0037669A" w:rsidP="00A54620">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Les couleurs du logo de certification ont les caractéristiques suivantes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7632BB" w:rsidRPr="00F6639B" w14:paraId="5DA3A3FA" w14:textId="77777777" w:rsidTr="004873FD">
        <w:tc>
          <w:tcPr>
            <w:tcW w:w="3020" w:type="dxa"/>
          </w:tcPr>
          <w:p w14:paraId="0A740B34" w14:textId="5A667EC6" w:rsidR="0037669A" w:rsidRPr="00F6639B" w:rsidRDefault="0037669A" w:rsidP="00A54620">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noProof/>
                <w:sz w:val="24"/>
                <w:szCs w:val="24"/>
                <w:lang w:eastAsia="fr-FR"/>
              </w:rPr>
              <w:drawing>
                <wp:inline distT="0" distB="0" distL="0" distR="0" wp14:anchorId="3EEF1291" wp14:editId="2C022976">
                  <wp:extent cx="1620000" cy="508316"/>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20000" cy="508316"/>
                          </a:xfrm>
                          <a:prstGeom prst="rect">
                            <a:avLst/>
                          </a:prstGeom>
                        </pic:spPr>
                      </pic:pic>
                    </a:graphicData>
                  </a:graphic>
                </wp:inline>
              </w:drawing>
            </w:r>
          </w:p>
        </w:tc>
        <w:tc>
          <w:tcPr>
            <w:tcW w:w="3021" w:type="dxa"/>
          </w:tcPr>
          <w:p w14:paraId="20DE8563" w14:textId="08CB3FE9" w:rsidR="0037669A" w:rsidRPr="00F6639B" w:rsidRDefault="0037669A" w:rsidP="00A54620">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noProof/>
                <w:sz w:val="24"/>
                <w:szCs w:val="24"/>
                <w:lang w:eastAsia="fr-FR"/>
              </w:rPr>
              <w:drawing>
                <wp:inline distT="0" distB="0" distL="0" distR="0" wp14:anchorId="711A7A73" wp14:editId="6DC27196">
                  <wp:extent cx="1620000" cy="47687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476876"/>
                          </a:xfrm>
                          <a:prstGeom prst="rect">
                            <a:avLst/>
                          </a:prstGeom>
                          <a:noFill/>
                        </pic:spPr>
                      </pic:pic>
                    </a:graphicData>
                  </a:graphic>
                </wp:inline>
              </w:drawing>
            </w:r>
          </w:p>
        </w:tc>
        <w:tc>
          <w:tcPr>
            <w:tcW w:w="3021" w:type="dxa"/>
          </w:tcPr>
          <w:p w14:paraId="13AFE2FC" w14:textId="66CC9C56" w:rsidR="0037669A" w:rsidRPr="00F6639B" w:rsidRDefault="0037669A" w:rsidP="00A54620">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noProof/>
                <w:sz w:val="24"/>
                <w:szCs w:val="24"/>
                <w:lang w:eastAsia="fr-FR"/>
              </w:rPr>
              <w:drawing>
                <wp:inline distT="0" distB="0" distL="0" distR="0" wp14:anchorId="500B3C1B" wp14:editId="429874B7">
                  <wp:extent cx="1620000" cy="460426"/>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000" cy="460426"/>
                          </a:xfrm>
                          <a:prstGeom prst="rect">
                            <a:avLst/>
                          </a:prstGeom>
                          <a:noFill/>
                        </pic:spPr>
                      </pic:pic>
                    </a:graphicData>
                  </a:graphic>
                </wp:inline>
              </w:drawing>
            </w:r>
          </w:p>
        </w:tc>
      </w:tr>
    </w:tbl>
    <w:p w14:paraId="69D6A421" w14:textId="31B50C1D" w:rsidR="0037669A" w:rsidRPr="00F6639B" w:rsidRDefault="0037669A" w:rsidP="00A54620">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La police utilisée est Arial.</w:t>
      </w:r>
    </w:p>
    <w:p w14:paraId="6A637EEC" w14:textId="77777777" w:rsidR="0037669A" w:rsidRPr="00F6639B" w:rsidRDefault="0037669A" w:rsidP="00A54620">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La mention « certifié par XXX » est à adapter avec le nom de l’organisme de certification.</w:t>
      </w:r>
    </w:p>
    <w:p w14:paraId="516DBEE3" w14:textId="3E17CC04" w:rsidR="0037669A" w:rsidRPr="00F6639B" w:rsidRDefault="0037669A" w:rsidP="00A54620">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La mention « Module</w:t>
      </w:r>
      <w:r w:rsidR="00E440E2"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 xml:space="preserve">» est à adapter avec la mention « Module </w:t>
      </w:r>
      <w:r w:rsidR="00703E07" w:rsidRPr="00F6639B">
        <w:rPr>
          <w:rFonts w:ascii="Times New Roman" w:eastAsia="Times New Roman" w:hAnsi="Times New Roman" w:cs="Times New Roman"/>
          <w:sz w:val="24"/>
          <w:szCs w:val="24"/>
          <w:lang w:eastAsia="fr-FR"/>
        </w:rPr>
        <w:t>n</w:t>
      </w:r>
      <w:r w:rsidRPr="00F6639B">
        <w:rPr>
          <w:rFonts w:ascii="Times New Roman" w:eastAsia="Times New Roman" w:hAnsi="Times New Roman" w:cs="Times New Roman"/>
          <w:sz w:val="24"/>
          <w:szCs w:val="24"/>
          <w:lang w:eastAsia="fr-FR"/>
        </w:rPr>
        <w:t xml:space="preserve">appe », « Module </w:t>
      </w:r>
      <w:r w:rsidR="00703E07" w:rsidRPr="00F6639B">
        <w:rPr>
          <w:rFonts w:ascii="Times New Roman" w:eastAsia="Times New Roman" w:hAnsi="Times New Roman" w:cs="Times New Roman"/>
          <w:sz w:val="24"/>
          <w:szCs w:val="24"/>
          <w:lang w:eastAsia="fr-FR"/>
        </w:rPr>
        <w:t>s</w:t>
      </w:r>
      <w:r w:rsidRPr="00F6639B">
        <w:rPr>
          <w:rFonts w:ascii="Times New Roman" w:eastAsia="Times New Roman" w:hAnsi="Times New Roman" w:cs="Times New Roman"/>
          <w:sz w:val="24"/>
          <w:szCs w:val="24"/>
          <w:lang w:eastAsia="fr-FR"/>
        </w:rPr>
        <w:t xml:space="preserve">onde » ou « Modules </w:t>
      </w:r>
      <w:r w:rsidR="00703E07" w:rsidRPr="00F6639B">
        <w:rPr>
          <w:rFonts w:ascii="Times New Roman" w:eastAsia="Times New Roman" w:hAnsi="Times New Roman" w:cs="Times New Roman"/>
          <w:sz w:val="24"/>
          <w:szCs w:val="24"/>
          <w:lang w:eastAsia="fr-FR"/>
        </w:rPr>
        <w:t>n</w:t>
      </w:r>
      <w:r w:rsidRPr="00F6639B">
        <w:rPr>
          <w:rFonts w:ascii="Times New Roman" w:eastAsia="Times New Roman" w:hAnsi="Times New Roman" w:cs="Times New Roman"/>
          <w:sz w:val="24"/>
          <w:szCs w:val="24"/>
          <w:lang w:eastAsia="fr-FR"/>
        </w:rPr>
        <w:t xml:space="preserve">appe et </w:t>
      </w:r>
      <w:r w:rsidR="00703E07" w:rsidRPr="00F6639B">
        <w:rPr>
          <w:rFonts w:ascii="Times New Roman" w:eastAsia="Times New Roman" w:hAnsi="Times New Roman" w:cs="Times New Roman"/>
          <w:sz w:val="24"/>
          <w:szCs w:val="24"/>
          <w:lang w:eastAsia="fr-FR"/>
        </w:rPr>
        <w:t>s</w:t>
      </w:r>
      <w:r w:rsidRPr="00F6639B">
        <w:rPr>
          <w:rFonts w:ascii="Times New Roman" w:eastAsia="Times New Roman" w:hAnsi="Times New Roman" w:cs="Times New Roman"/>
          <w:sz w:val="24"/>
          <w:szCs w:val="24"/>
          <w:lang w:eastAsia="fr-FR"/>
        </w:rPr>
        <w:t>onde »</w:t>
      </w:r>
      <w:r w:rsidR="00F96AD6" w:rsidRPr="00F6639B">
        <w:rPr>
          <w:rFonts w:ascii="Times New Roman" w:eastAsia="Times New Roman" w:hAnsi="Times New Roman" w:cs="Times New Roman"/>
          <w:sz w:val="24"/>
          <w:szCs w:val="24"/>
          <w:lang w:eastAsia="fr-FR"/>
        </w:rPr>
        <w:t>.</w:t>
      </w:r>
    </w:p>
    <w:p w14:paraId="1F12C085" w14:textId="77777777" w:rsidR="00E727C8" w:rsidRPr="00F6639B" w:rsidRDefault="00E727C8" w:rsidP="00A54620">
      <w:pPr>
        <w:spacing w:after="120" w:line="240" w:lineRule="auto"/>
        <w:jc w:val="both"/>
        <w:rPr>
          <w:rFonts w:ascii="Times New Roman" w:eastAsia="Times New Roman" w:hAnsi="Times New Roman" w:cs="Times New Roman"/>
          <w:sz w:val="24"/>
          <w:szCs w:val="24"/>
          <w:lang w:eastAsia="fr-FR"/>
        </w:rPr>
      </w:pPr>
    </w:p>
    <w:p w14:paraId="5DE940E9" w14:textId="39FB00A4" w:rsidR="00703E07" w:rsidRPr="00F6639B" w:rsidRDefault="0037669A" w:rsidP="00703E07">
      <w:pPr>
        <w:spacing w:after="120" w:line="240" w:lineRule="auto"/>
        <w:jc w:val="center"/>
        <w:rPr>
          <w:rFonts w:ascii="Times New Roman" w:hAnsi="Times New Roman" w:cs="Times New Roman"/>
          <w:b/>
          <w:sz w:val="24"/>
          <w:szCs w:val="24"/>
        </w:rPr>
      </w:pPr>
      <w:r w:rsidRPr="00F6639B">
        <w:rPr>
          <w:rFonts w:ascii="Times New Roman" w:eastAsia="Times New Roman" w:hAnsi="Times New Roman" w:cs="Times New Roman"/>
          <w:b/>
          <w:sz w:val="24"/>
          <w:szCs w:val="24"/>
          <w:lang w:eastAsia="fr-FR"/>
        </w:rPr>
        <w:t>Art</w:t>
      </w:r>
      <w:r w:rsidR="00703E07" w:rsidRPr="00F6639B">
        <w:rPr>
          <w:rFonts w:ascii="Times New Roman" w:eastAsia="Times New Roman" w:hAnsi="Times New Roman" w:cs="Times New Roman"/>
          <w:b/>
          <w:sz w:val="24"/>
          <w:szCs w:val="24"/>
          <w:lang w:eastAsia="fr-FR"/>
        </w:rPr>
        <w:t>icle</w:t>
      </w:r>
      <w:r w:rsidRPr="00F6639B">
        <w:rPr>
          <w:rFonts w:ascii="Times New Roman" w:eastAsia="Times New Roman" w:hAnsi="Times New Roman" w:cs="Times New Roman"/>
          <w:b/>
          <w:sz w:val="24"/>
          <w:szCs w:val="24"/>
          <w:lang w:eastAsia="fr-FR"/>
        </w:rPr>
        <w:t xml:space="preserve"> </w:t>
      </w:r>
      <w:r w:rsidR="00C816ED" w:rsidRPr="00F6639B">
        <w:rPr>
          <w:rFonts w:ascii="Times New Roman" w:eastAsia="Times New Roman" w:hAnsi="Times New Roman" w:cs="Times New Roman"/>
          <w:b/>
          <w:sz w:val="24"/>
          <w:szCs w:val="24"/>
          <w:lang w:eastAsia="fr-FR"/>
        </w:rPr>
        <w:t>39</w:t>
      </w:r>
    </w:p>
    <w:p w14:paraId="2999D272" w14:textId="586FB0A4" w:rsidR="0037669A" w:rsidRPr="00F6639B" w:rsidRDefault="0037669A" w:rsidP="00A54620">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I. - L’entreprise </w:t>
      </w:r>
      <w:r w:rsidR="007B4C6B" w:rsidRPr="00F6639B">
        <w:rPr>
          <w:rFonts w:ascii="Times New Roman" w:eastAsia="Times New Roman" w:hAnsi="Times New Roman" w:cs="Times New Roman"/>
          <w:sz w:val="24"/>
          <w:szCs w:val="24"/>
          <w:lang w:eastAsia="fr-FR"/>
        </w:rPr>
        <w:t xml:space="preserve">de forage </w:t>
      </w:r>
      <w:r w:rsidRPr="00F6639B">
        <w:rPr>
          <w:rFonts w:ascii="Times New Roman" w:eastAsia="Times New Roman" w:hAnsi="Times New Roman" w:cs="Times New Roman"/>
          <w:sz w:val="24"/>
          <w:szCs w:val="24"/>
          <w:lang w:eastAsia="fr-FR"/>
        </w:rPr>
        <w:t xml:space="preserve">certifiée </w:t>
      </w:r>
      <w:r w:rsidR="007B4C6B" w:rsidRPr="00F6639B">
        <w:rPr>
          <w:rFonts w:ascii="Times New Roman" w:eastAsia="Times New Roman" w:hAnsi="Times New Roman" w:cs="Times New Roman"/>
          <w:sz w:val="24"/>
          <w:szCs w:val="24"/>
          <w:lang w:eastAsia="fr-FR"/>
        </w:rPr>
        <w:t xml:space="preserve">pour ses prestations de forage </w:t>
      </w:r>
      <w:r w:rsidRPr="00F6639B">
        <w:rPr>
          <w:rFonts w:ascii="Times New Roman" w:eastAsia="Times New Roman" w:hAnsi="Times New Roman" w:cs="Times New Roman"/>
          <w:sz w:val="24"/>
          <w:szCs w:val="24"/>
          <w:lang w:eastAsia="fr-FR"/>
        </w:rPr>
        <w:t xml:space="preserve">doit apposer la marque de certification </w:t>
      </w:r>
      <w:proofErr w:type="spellStart"/>
      <w:r w:rsidRPr="00F6639B">
        <w:rPr>
          <w:rFonts w:ascii="Times New Roman" w:eastAsia="Times New Roman" w:hAnsi="Times New Roman" w:cs="Times New Roman"/>
          <w:sz w:val="24"/>
          <w:szCs w:val="24"/>
          <w:lang w:eastAsia="fr-FR"/>
        </w:rPr>
        <w:t>CertiForage</w:t>
      </w:r>
      <w:proofErr w:type="spellEnd"/>
      <w:r w:rsidRPr="00F6639B">
        <w:rPr>
          <w:rFonts w:ascii="Times New Roman" w:eastAsia="Times New Roman" w:hAnsi="Times New Roman" w:cs="Times New Roman"/>
          <w:sz w:val="24"/>
          <w:szCs w:val="24"/>
          <w:lang w:eastAsia="fr-FR"/>
        </w:rPr>
        <w:t xml:space="preserve"> défini à l’article </w:t>
      </w:r>
      <w:r w:rsidR="00C816ED" w:rsidRPr="00F6639B">
        <w:rPr>
          <w:rFonts w:ascii="Times New Roman" w:eastAsia="Times New Roman" w:hAnsi="Times New Roman" w:cs="Times New Roman"/>
          <w:sz w:val="24"/>
          <w:szCs w:val="24"/>
          <w:lang w:eastAsia="fr-FR"/>
        </w:rPr>
        <w:t xml:space="preserve">38 </w:t>
      </w:r>
      <w:r w:rsidRPr="00F6639B">
        <w:rPr>
          <w:rFonts w:ascii="Times New Roman" w:eastAsia="Times New Roman" w:hAnsi="Times New Roman" w:cs="Times New Roman"/>
          <w:sz w:val="24"/>
          <w:szCs w:val="24"/>
          <w:lang w:eastAsia="fr-FR"/>
        </w:rPr>
        <w:t>du présent arrêté sur les offres et les rapports de fin de prestations.</w:t>
      </w:r>
    </w:p>
    <w:p w14:paraId="4B15A8C1" w14:textId="54DEA89D" w:rsidR="0037669A" w:rsidRPr="00F6639B" w:rsidRDefault="0037669A" w:rsidP="00A54620">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II. - L’entreprise </w:t>
      </w:r>
      <w:r w:rsidR="007B4C6B" w:rsidRPr="00F6639B">
        <w:rPr>
          <w:rFonts w:ascii="Times New Roman" w:eastAsia="Times New Roman" w:hAnsi="Times New Roman" w:cs="Times New Roman"/>
          <w:sz w:val="24"/>
          <w:szCs w:val="24"/>
          <w:lang w:eastAsia="fr-FR"/>
        </w:rPr>
        <w:t xml:space="preserve">de forage </w:t>
      </w:r>
      <w:r w:rsidRPr="00F6639B">
        <w:rPr>
          <w:rFonts w:ascii="Times New Roman" w:eastAsia="Times New Roman" w:hAnsi="Times New Roman" w:cs="Times New Roman"/>
          <w:sz w:val="24"/>
          <w:szCs w:val="24"/>
          <w:lang w:eastAsia="fr-FR"/>
        </w:rPr>
        <w:t>certifiée</w:t>
      </w:r>
      <w:r w:rsidR="007B4C6B" w:rsidRPr="00F6639B">
        <w:rPr>
          <w:rFonts w:ascii="Times New Roman" w:eastAsia="Times New Roman" w:hAnsi="Times New Roman" w:cs="Times New Roman"/>
          <w:sz w:val="24"/>
          <w:szCs w:val="24"/>
          <w:lang w:eastAsia="fr-FR"/>
        </w:rPr>
        <w:t xml:space="preserve"> pour ses prestations de forage</w:t>
      </w:r>
      <w:r w:rsidRPr="00F6639B">
        <w:rPr>
          <w:rFonts w:ascii="Times New Roman" w:eastAsia="Times New Roman" w:hAnsi="Times New Roman" w:cs="Times New Roman"/>
          <w:sz w:val="24"/>
          <w:szCs w:val="24"/>
          <w:lang w:eastAsia="fr-FR"/>
        </w:rPr>
        <w:t xml:space="preserve"> peut utiliser la marque de certification </w:t>
      </w:r>
      <w:proofErr w:type="spellStart"/>
      <w:r w:rsidRPr="00F6639B">
        <w:rPr>
          <w:rFonts w:ascii="Times New Roman" w:eastAsia="Times New Roman" w:hAnsi="Times New Roman" w:cs="Times New Roman"/>
          <w:sz w:val="24"/>
          <w:szCs w:val="24"/>
          <w:lang w:eastAsia="fr-FR"/>
        </w:rPr>
        <w:t>CertiForage</w:t>
      </w:r>
      <w:proofErr w:type="spellEnd"/>
      <w:r w:rsidRPr="00F6639B">
        <w:rPr>
          <w:rFonts w:ascii="Times New Roman" w:eastAsia="Times New Roman" w:hAnsi="Times New Roman" w:cs="Times New Roman"/>
          <w:sz w:val="24"/>
          <w:szCs w:val="24"/>
          <w:lang w:eastAsia="fr-FR"/>
        </w:rPr>
        <w:t xml:space="preserve"> sur tous ses supports de communication, y compris le papier à entête et les signatures au format numérique.</w:t>
      </w:r>
    </w:p>
    <w:p w14:paraId="7742C8B0" w14:textId="77777777" w:rsidR="0037669A" w:rsidRPr="00F6639B" w:rsidRDefault="0037669A" w:rsidP="00A54620">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III. - Toute référence à la certification doit reprendre au minimum les informations suivantes :</w:t>
      </w:r>
    </w:p>
    <w:p w14:paraId="5819F5B5" w14:textId="1EE90A37" w:rsidR="0037669A" w:rsidRPr="00F6639B" w:rsidRDefault="0049616A" w:rsidP="0049616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 </w:t>
      </w:r>
      <w:r w:rsidR="00342E93" w:rsidRPr="00F6639B">
        <w:rPr>
          <w:rFonts w:ascii="Times New Roman" w:eastAsia="Times New Roman" w:hAnsi="Times New Roman" w:cs="Times New Roman"/>
          <w:sz w:val="24"/>
          <w:szCs w:val="24"/>
          <w:lang w:eastAsia="fr-FR"/>
        </w:rPr>
        <w:t>l</w:t>
      </w:r>
      <w:r w:rsidR="0072606D" w:rsidRPr="00F6639B">
        <w:rPr>
          <w:rFonts w:ascii="Times New Roman" w:eastAsia="Times New Roman" w:hAnsi="Times New Roman" w:cs="Times New Roman"/>
          <w:sz w:val="24"/>
          <w:szCs w:val="24"/>
          <w:lang w:eastAsia="fr-FR"/>
        </w:rPr>
        <w:t>es</w:t>
      </w:r>
      <w:r w:rsidR="0037669A" w:rsidRPr="00F6639B">
        <w:rPr>
          <w:rFonts w:ascii="Times New Roman" w:eastAsia="Times New Roman" w:hAnsi="Times New Roman" w:cs="Times New Roman"/>
          <w:sz w:val="24"/>
          <w:szCs w:val="24"/>
          <w:lang w:eastAsia="fr-FR"/>
        </w:rPr>
        <w:t xml:space="preserve"> modules de certification qu'elle respecte (Module Nappe et/ou Module Sonde), définis à l’article 2 du présent arrêté ;</w:t>
      </w:r>
    </w:p>
    <w:p w14:paraId="76F3FEA3" w14:textId="1565A878" w:rsidR="0037669A" w:rsidRPr="00F6639B" w:rsidRDefault="0049616A" w:rsidP="0049616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 </w:t>
      </w:r>
      <w:r w:rsidR="00342E93" w:rsidRPr="00F6639B">
        <w:rPr>
          <w:rFonts w:ascii="Times New Roman" w:eastAsia="Times New Roman" w:hAnsi="Times New Roman" w:cs="Times New Roman"/>
          <w:sz w:val="24"/>
          <w:szCs w:val="24"/>
          <w:lang w:eastAsia="fr-FR"/>
        </w:rPr>
        <w:t>l</w:t>
      </w:r>
      <w:r w:rsidR="0072606D" w:rsidRPr="00F6639B">
        <w:rPr>
          <w:rFonts w:ascii="Times New Roman" w:eastAsia="Times New Roman" w:hAnsi="Times New Roman" w:cs="Times New Roman"/>
          <w:sz w:val="24"/>
          <w:szCs w:val="24"/>
          <w:lang w:eastAsia="fr-FR"/>
        </w:rPr>
        <w:t>es</w:t>
      </w:r>
      <w:r w:rsidR="0037669A" w:rsidRPr="00F6639B">
        <w:rPr>
          <w:rFonts w:ascii="Times New Roman" w:eastAsia="Times New Roman" w:hAnsi="Times New Roman" w:cs="Times New Roman"/>
          <w:sz w:val="24"/>
          <w:szCs w:val="24"/>
          <w:lang w:eastAsia="fr-FR"/>
        </w:rPr>
        <w:t xml:space="preserve"> organismes de certification ayant délivré les certifications ;</w:t>
      </w:r>
    </w:p>
    <w:p w14:paraId="097CA3E9" w14:textId="68E80E9C" w:rsidR="0037669A" w:rsidRPr="00F6639B" w:rsidRDefault="0049616A" w:rsidP="0049616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 </w:t>
      </w:r>
      <w:r w:rsidR="00342E93" w:rsidRPr="00F6639B">
        <w:rPr>
          <w:rFonts w:ascii="Times New Roman" w:eastAsia="Times New Roman" w:hAnsi="Times New Roman" w:cs="Times New Roman"/>
          <w:sz w:val="24"/>
          <w:szCs w:val="24"/>
          <w:lang w:eastAsia="fr-FR"/>
        </w:rPr>
        <w:t>l</w:t>
      </w:r>
      <w:r w:rsidR="0072606D" w:rsidRPr="00F6639B">
        <w:rPr>
          <w:rFonts w:ascii="Times New Roman" w:eastAsia="Times New Roman" w:hAnsi="Times New Roman" w:cs="Times New Roman"/>
          <w:sz w:val="24"/>
          <w:szCs w:val="24"/>
          <w:lang w:eastAsia="fr-FR"/>
        </w:rPr>
        <w:t>a</w:t>
      </w:r>
      <w:r w:rsidR="0037669A" w:rsidRPr="00F6639B">
        <w:rPr>
          <w:rFonts w:ascii="Times New Roman" w:eastAsia="Times New Roman" w:hAnsi="Times New Roman" w:cs="Times New Roman"/>
          <w:sz w:val="24"/>
          <w:szCs w:val="24"/>
          <w:lang w:eastAsia="fr-FR"/>
        </w:rPr>
        <w:t xml:space="preserve"> révision du certificat si le numéro du certificat est mentionné.</w:t>
      </w:r>
    </w:p>
    <w:p w14:paraId="6B3A2278" w14:textId="4FD86390" w:rsidR="00897D88" w:rsidRPr="00F6639B" w:rsidRDefault="00897D88" w:rsidP="00897D88">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 xml:space="preserve">IV. – Les dispositions du I du présent article ne s’appliquent </w:t>
      </w:r>
      <w:r w:rsidR="00FA5DCB" w:rsidRPr="00F6639B">
        <w:rPr>
          <w:rFonts w:ascii="Times New Roman" w:hAnsi="Times New Roman" w:cs="Times New Roman"/>
          <w:sz w:val="24"/>
          <w:szCs w:val="24"/>
        </w:rPr>
        <w:t xml:space="preserve">pas </w:t>
      </w:r>
      <w:r w:rsidRPr="00F6639B">
        <w:rPr>
          <w:rFonts w:ascii="Times New Roman" w:hAnsi="Times New Roman" w:cs="Times New Roman"/>
          <w:sz w:val="24"/>
          <w:szCs w:val="24"/>
        </w:rPr>
        <w:t xml:space="preserve">aux entreprises de forage visées au I. de l’article </w:t>
      </w:r>
      <w:r w:rsidR="00C816ED" w:rsidRPr="00F6639B">
        <w:rPr>
          <w:rFonts w:ascii="Times New Roman" w:hAnsi="Times New Roman" w:cs="Times New Roman"/>
          <w:sz w:val="24"/>
          <w:szCs w:val="24"/>
        </w:rPr>
        <w:t>37</w:t>
      </w:r>
      <w:r w:rsidRPr="00F6639B">
        <w:rPr>
          <w:rFonts w:ascii="Times New Roman" w:hAnsi="Times New Roman" w:cs="Times New Roman"/>
          <w:sz w:val="24"/>
          <w:szCs w:val="24"/>
        </w:rPr>
        <w:t>.</w:t>
      </w:r>
    </w:p>
    <w:p w14:paraId="336A42D5" w14:textId="30495426" w:rsidR="00271633" w:rsidRPr="00F6639B" w:rsidRDefault="00271633" w:rsidP="00A54620">
      <w:pPr>
        <w:spacing w:after="120" w:line="240" w:lineRule="auto"/>
        <w:jc w:val="both"/>
        <w:rPr>
          <w:rFonts w:ascii="Times New Roman" w:eastAsia="Times New Roman" w:hAnsi="Times New Roman" w:cs="Times New Roman"/>
          <w:sz w:val="24"/>
          <w:szCs w:val="24"/>
          <w:lang w:eastAsia="fr-FR"/>
        </w:rPr>
      </w:pPr>
    </w:p>
    <w:p w14:paraId="68141109" w14:textId="00055752" w:rsidR="008E3F4A" w:rsidRPr="00F6639B" w:rsidRDefault="0037669A" w:rsidP="008E3F4A">
      <w:pPr>
        <w:spacing w:after="120" w:line="240" w:lineRule="auto"/>
        <w:jc w:val="center"/>
        <w:rPr>
          <w:rFonts w:ascii="Times New Roman" w:hAnsi="Times New Roman" w:cs="Times New Roman"/>
          <w:b/>
          <w:sz w:val="24"/>
          <w:szCs w:val="24"/>
        </w:rPr>
      </w:pPr>
      <w:r w:rsidRPr="00F6639B">
        <w:rPr>
          <w:rFonts w:ascii="Times New Roman" w:eastAsia="Times New Roman" w:hAnsi="Times New Roman" w:cs="Times New Roman"/>
          <w:b/>
          <w:sz w:val="24"/>
          <w:szCs w:val="24"/>
          <w:lang w:eastAsia="fr-FR"/>
        </w:rPr>
        <w:t>Art</w:t>
      </w:r>
      <w:r w:rsidR="008E3F4A" w:rsidRPr="00F6639B">
        <w:rPr>
          <w:rFonts w:ascii="Times New Roman" w:eastAsia="Times New Roman" w:hAnsi="Times New Roman" w:cs="Times New Roman"/>
          <w:b/>
          <w:sz w:val="24"/>
          <w:szCs w:val="24"/>
          <w:lang w:eastAsia="fr-FR"/>
        </w:rPr>
        <w:t>icle</w:t>
      </w:r>
      <w:r w:rsidRPr="00F6639B">
        <w:rPr>
          <w:rFonts w:ascii="Times New Roman" w:eastAsia="Times New Roman" w:hAnsi="Times New Roman" w:cs="Times New Roman"/>
          <w:b/>
          <w:sz w:val="24"/>
          <w:szCs w:val="24"/>
          <w:lang w:eastAsia="fr-FR"/>
        </w:rPr>
        <w:t xml:space="preserve"> </w:t>
      </w:r>
      <w:r w:rsidR="00C816ED" w:rsidRPr="00F6639B">
        <w:rPr>
          <w:rFonts w:ascii="Times New Roman" w:eastAsia="Times New Roman" w:hAnsi="Times New Roman" w:cs="Times New Roman"/>
          <w:b/>
          <w:sz w:val="24"/>
          <w:szCs w:val="24"/>
          <w:lang w:eastAsia="fr-FR"/>
        </w:rPr>
        <w:t>40</w:t>
      </w:r>
    </w:p>
    <w:p w14:paraId="2C447AB8" w14:textId="41A4BDD9" w:rsidR="0037669A" w:rsidRPr="00F6639B" w:rsidRDefault="0037669A" w:rsidP="00A54620">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L'entreprise de forage</w:t>
      </w:r>
      <w:r w:rsidR="00700CF8"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certifiée pour ses prestations de forage s'engage à respecter les dispositions destinées à s'assurer du bon usage de la marque de certification :</w:t>
      </w:r>
    </w:p>
    <w:p w14:paraId="377611EF" w14:textId="247DFFA5" w:rsidR="00A54620" w:rsidRPr="00F6639B" w:rsidRDefault="0049616A" w:rsidP="0049616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 </w:t>
      </w:r>
      <w:r w:rsidR="00342E93" w:rsidRPr="00F6639B">
        <w:rPr>
          <w:rFonts w:ascii="Times New Roman" w:eastAsia="Times New Roman" w:hAnsi="Times New Roman" w:cs="Times New Roman"/>
          <w:sz w:val="24"/>
          <w:szCs w:val="24"/>
          <w:lang w:eastAsia="fr-FR"/>
        </w:rPr>
        <w:t>f</w:t>
      </w:r>
      <w:r w:rsidR="0072606D" w:rsidRPr="00F6639B">
        <w:rPr>
          <w:rFonts w:ascii="Times New Roman" w:eastAsia="Times New Roman" w:hAnsi="Times New Roman" w:cs="Times New Roman"/>
          <w:sz w:val="24"/>
          <w:szCs w:val="24"/>
          <w:lang w:eastAsia="fr-FR"/>
        </w:rPr>
        <w:t>aire</w:t>
      </w:r>
      <w:r w:rsidR="0037669A" w:rsidRPr="00F6639B">
        <w:rPr>
          <w:rFonts w:ascii="Times New Roman" w:eastAsia="Times New Roman" w:hAnsi="Times New Roman" w:cs="Times New Roman"/>
          <w:sz w:val="24"/>
          <w:szCs w:val="24"/>
          <w:lang w:eastAsia="fr-FR"/>
        </w:rPr>
        <w:t xml:space="preserve"> des déclarations sur la certification en cohérence avec la portée du certificat émis ;</w:t>
      </w:r>
    </w:p>
    <w:p w14:paraId="180600D1" w14:textId="7129DB38" w:rsidR="00A54620" w:rsidRPr="00F6639B" w:rsidRDefault="0049616A" w:rsidP="0049616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 </w:t>
      </w:r>
      <w:r w:rsidR="00342E93" w:rsidRPr="00F6639B">
        <w:rPr>
          <w:rFonts w:ascii="Times New Roman" w:eastAsia="Times New Roman" w:hAnsi="Times New Roman" w:cs="Times New Roman"/>
          <w:sz w:val="24"/>
          <w:szCs w:val="24"/>
          <w:lang w:eastAsia="fr-FR"/>
        </w:rPr>
        <w:t>n</w:t>
      </w:r>
      <w:r w:rsidR="0072606D" w:rsidRPr="00F6639B">
        <w:rPr>
          <w:rFonts w:ascii="Times New Roman" w:eastAsia="Times New Roman" w:hAnsi="Times New Roman" w:cs="Times New Roman"/>
          <w:sz w:val="24"/>
          <w:szCs w:val="24"/>
          <w:lang w:eastAsia="fr-FR"/>
        </w:rPr>
        <w:t>e</w:t>
      </w:r>
      <w:r w:rsidR="0037669A" w:rsidRPr="00F6639B">
        <w:rPr>
          <w:rFonts w:ascii="Times New Roman" w:eastAsia="Times New Roman" w:hAnsi="Times New Roman" w:cs="Times New Roman"/>
          <w:sz w:val="24"/>
          <w:szCs w:val="24"/>
          <w:lang w:eastAsia="fr-FR"/>
        </w:rPr>
        <w:t xml:space="preserve"> pas utiliser la certification d'une manière qui puisse nuire </w:t>
      </w:r>
      <w:r w:rsidR="008D5500" w:rsidRPr="00F6639B">
        <w:rPr>
          <w:rFonts w:ascii="Times New Roman" w:eastAsia="Times New Roman" w:hAnsi="Times New Roman" w:cs="Times New Roman"/>
          <w:sz w:val="24"/>
          <w:szCs w:val="24"/>
          <w:lang w:eastAsia="fr-FR"/>
        </w:rPr>
        <w:t>à l'organisme de certification.</w:t>
      </w:r>
    </w:p>
    <w:p w14:paraId="2C14D351" w14:textId="77777777" w:rsidR="00E440E2" w:rsidRPr="00F6639B" w:rsidRDefault="00E440E2" w:rsidP="00C816ED">
      <w:pPr>
        <w:autoSpaceDE w:val="0"/>
        <w:autoSpaceDN w:val="0"/>
        <w:adjustRightInd w:val="0"/>
        <w:spacing w:after="120" w:line="240" w:lineRule="auto"/>
        <w:rPr>
          <w:rFonts w:ascii="Times New Roman" w:eastAsia="Times New Roman" w:hAnsi="Times New Roman" w:cs="Times New Roman"/>
          <w:b/>
          <w:sz w:val="24"/>
          <w:szCs w:val="24"/>
          <w:lang w:eastAsia="fr-FR"/>
        </w:rPr>
      </w:pPr>
    </w:p>
    <w:p w14:paraId="744231C6" w14:textId="35FB8612" w:rsidR="00C816ED" w:rsidRPr="00F6639B" w:rsidRDefault="00C816ED" w:rsidP="00C816ED">
      <w:pPr>
        <w:autoSpaceDE w:val="0"/>
        <w:autoSpaceDN w:val="0"/>
        <w:adjustRightInd w:val="0"/>
        <w:spacing w:after="120" w:line="240" w:lineRule="auto"/>
        <w:rPr>
          <w:rFonts w:ascii="Times New Roman" w:eastAsia="Times New Roman" w:hAnsi="Times New Roman" w:cs="Times New Roman"/>
          <w:b/>
          <w:sz w:val="24"/>
          <w:szCs w:val="24"/>
          <w:lang w:eastAsia="fr-FR"/>
        </w:rPr>
      </w:pPr>
      <w:r w:rsidRPr="00F6639B">
        <w:rPr>
          <w:rFonts w:ascii="Times New Roman" w:eastAsia="Times New Roman" w:hAnsi="Times New Roman" w:cs="Times New Roman"/>
          <w:b/>
          <w:sz w:val="24"/>
          <w:szCs w:val="24"/>
          <w:lang w:eastAsia="fr-FR"/>
        </w:rPr>
        <w:t>Section 9</w:t>
      </w:r>
      <w:r w:rsidR="00DF3206" w:rsidRPr="00F6639B">
        <w:rPr>
          <w:rFonts w:ascii="Times New Roman" w:eastAsia="Times New Roman" w:hAnsi="Times New Roman" w:cs="Times New Roman"/>
          <w:b/>
          <w:sz w:val="24"/>
          <w:szCs w:val="24"/>
          <w:lang w:eastAsia="fr-FR"/>
        </w:rPr>
        <w:t xml:space="preserve"> : </w:t>
      </w:r>
      <w:r w:rsidRPr="00F6639B">
        <w:rPr>
          <w:rFonts w:ascii="Times New Roman" w:eastAsia="Times New Roman" w:hAnsi="Times New Roman" w:cs="Times New Roman"/>
          <w:b/>
          <w:sz w:val="24"/>
          <w:szCs w:val="24"/>
          <w:lang w:eastAsia="fr-FR"/>
        </w:rPr>
        <w:t>Dispositions finales</w:t>
      </w:r>
    </w:p>
    <w:p w14:paraId="0D532A7F" w14:textId="77777777" w:rsidR="00E440E2" w:rsidRPr="00F6639B" w:rsidRDefault="00E440E2" w:rsidP="00C816ED">
      <w:pPr>
        <w:autoSpaceDE w:val="0"/>
        <w:autoSpaceDN w:val="0"/>
        <w:adjustRightInd w:val="0"/>
        <w:spacing w:after="120" w:line="240" w:lineRule="auto"/>
        <w:rPr>
          <w:rFonts w:ascii="Times New Roman" w:eastAsia="Times New Roman" w:hAnsi="Times New Roman" w:cs="Times New Roman"/>
          <w:b/>
          <w:sz w:val="24"/>
          <w:szCs w:val="24"/>
          <w:lang w:eastAsia="fr-FR"/>
        </w:rPr>
      </w:pPr>
    </w:p>
    <w:p w14:paraId="020EFBB3" w14:textId="56117FDD" w:rsidR="006456D5" w:rsidRPr="00F6639B" w:rsidRDefault="006456D5" w:rsidP="006456D5">
      <w:pPr>
        <w:spacing w:after="120" w:line="240" w:lineRule="auto"/>
        <w:jc w:val="center"/>
        <w:rPr>
          <w:rFonts w:ascii="Times New Roman" w:hAnsi="Times New Roman" w:cs="Times New Roman"/>
          <w:b/>
          <w:sz w:val="24"/>
          <w:szCs w:val="24"/>
        </w:rPr>
      </w:pPr>
      <w:r w:rsidRPr="00F6639B">
        <w:rPr>
          <w:rFonts w:ascii="Times New Roman" w:eastAsia="Times New Roman" w:hAnsi="Times New Roman" w:cs="Times New Roman"/>
          <w:b/>
          <w:sz w:val="24"/>
          <w:szCs w:val="24"/>
          <w:lang w:eastAsia="fr-FR"/>
        </w:rPr>
        <w:t xml:space="preserve">Article </w:t>
      </w:r>
      <w:r w:rsidR="00C816ED" w:rsidRPr="00F6639B">
        <w:rPr>
          <w:rFonts w:ascii="Times New Roman" w:eastAsia="Times New Roman" w:hAnsi="Times New Roman" w:cs="Times New Roman"/>
          <w:b/>
          <w:sz w:val="24"/>
          <w:szCs w:val="24"/>
          <w:lang w:eastAsia="fr-FR"/>
        </w:rPr>
        <w:t>41</w:t>
      </w:r>
    </w:p>
    <w:p w14:paraId="13DAC64A" w14:textId="22D74F02" w:rsidR="006456D5" w:rsidRPr="00F6639B" w:rsidRDefault="006456D5" w:rsidP="006456D5">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Le présent arrêté entre en vigueur le lendemain de sa publication, exceptés les dispositions applicables aux sections 2, 3, 6 et 8 du présent arrêté, qui entrent en vigueur le 1</w:t>
      </w:r>
      <w:r w:rsidRPr="00F6639B">
        <w:rPr>
          <w:rFonts w:ascii="Times New Roman" w:hAnsi="Times New Roman" w:cs="Times New Roman"/>
          <w:sz w:val="24"/>
          <w:szCs w:val="24"/>
          <w:vertAlign w:val="superscript"/>
        </w:rPr>
        <w:t>er</w:t>
      </w:r>
      <w:r w:rsidRPr="00F6639B">
        <w:rPr>
          <w:rFonts w:ascii="Times New Roman" w:hAnsi="Times New Roman" w:cs="Times New Roman"/>
          <w:sz w:val="24"/>
          <w:szCs w:val="24"/>
        </w:rPr>
        <w:t xml:space="preserve"> juillet 2024, dans les conditions et sous les réserves énoncées à la section 7.</w:t>
      </w:r>
    </w:p>
    <w:p w14:paraId="7040C911" w14:textId="548097F2"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p>
    <w:p w14:paraId="38678E49" w14:textId="3212F242" w:rsidR="00C816ED" w:rsidRPr="00F6639B" w:rsidRDefault="00C816ED" w:rsidP="00C816ED">
      <w:pPr>
        <w:spacing w:after="120" w:line="240" w:lineRule="auto"/>
        <w:jc w:val="center"/>
        <w:rPr>
          <w:rFonts w:ascii="Times New Roman" w:hAnsi="Times New Roman" w:cs="Times New Roman"/>
          <w:sz w:val="24"/>
          <w:szCs w:val="24"/>
        </w:rPr>
      </w:pPr>
      <w:r w:rsidRPr="00F6639B">
        <w:rPr>
          <w:rFonts w:ascii="Times New Roman" w:hAnsi="Times New Roman" w:cs="Times New Roman"/>
          <w:b/>
          <w:sz w:val="24"/>
          <w:szCs w:val="24"/>
        </w:rPr>
        <w:t>Article 42</w:t>
      </w:r>
    </w:p>
    <w:p w14:paraId="6451FD19" w14:textId="287B0B22" w:rsidR="00C816ED" w:rsidRPr="00F6639B" w:rsidRDefault="00C816ED" w:rsidP="00C816ED">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L’arrêté du 25 juin 2015 relatif à la qualification des entreprises de forage intervenant en matière de géothermie de minime importance est abrogé à compter du 30 juin 2025. Il demeure toutefois applicable aux déclarations d'ouverture de travaux miniers ainsi qu'aux déclarations d'arrêt de travaux présentées avant la publication du présent arrêté.</w:t>
      </w:r>
    </w:p>
    <w:p w14:paraId="1366D6D2" w14:textId="77777777" w:rsidR="00C816ED" w:rsidRPr="00F6639B" w:rsidRDefault="00C816ED" w:rsidP="00C816ED">
      <w:pPr>
        <w:spacing w:after="120" w:line="240" w:lineRule="auto"/>
        <w:jc w:val="both"/>
        <w:rPr>
          <w:rFonts w:ascii="Times New Roman" w:eastAsia="Times New Roman" w:hAnsi="Times New Roman" w:cs="Times New Roman"/>
          <w:sz w:val="24"/>
          <w:szCs w:val="24"/>
          <w:lang w:eastAsia="fr-FR"/>
        </w:rPr>
      </w:pPr>
    </w:p>
    <w:p w14:paraId="6DB89DA0" w14:textId="604C7D32" w:rsidR="00A46916" w:rsidRPr="00F6639B" w:rsidRDefault="00A46916" w:rsidP="00A46916">
      <w:pPr>
        <w:spacing w:after="120" w:line="240" w:lineRule="auto"/>
        <w:jc w:val="center"/>
        <w:rPr>
          <w:rFonts w:ascii="Times New Roman" w:eastAsia="Times New Roman" w:hAnsi="Times New Roman" w:cs="Times New Roman"/>
          <w:b/>
          <w:sz w:val="24"/>
          <w:szCs w:val="24"/>
          <w:lang w:eastAsia="fr-FR"/>
        </w:rPr>
      </w:pPr>
      <w:r w:rsidRPr="00F6639B">
        <w:rPr>
          <w:rFonts w:ascii="Times New Roman" w:eastAsia="Times New Roman" w:hAnsi="Times New Roman" w:cs="Times New Roman"/>
          <w:b/>
          <w:sz w:val="24"/>
          <w:szCs w:val="24"/>
          <w:lang w:eastAsia="fr-FR"/>
        </w:rPr>
        <w:t>Article 43</w:t>
      </w:r>
    </w:p>
    <w:p w14:paraId="51E402D6" w14:textId="0D5814D1" w:rsidR="00A46916" w:rsidRPr="00F6639B" w:rsidRDefault="00A46916" w:rsidP="00433868">
      <w:pPr>
        <w:spacing w:after="120" w:line="240" w:lineRule="auto"/>
        <w:jc w:val="both"/>
        <w:rPr>
          <w:rFonts w:ascii="Times New Roman" w:hAnsi="Times New Roman" w:cs="Times New Roman"/>
          <w:sz w:val="24"/>
          <w:szCs w:val="24"/>
        </w:rPr>
      </w:pPr>
      <w:r w:rsidRPr="00F6639B">
        <w:rPr>
          <w:rFonts w:ascii="Times New Roman" w:hAnsi="Times New Roman" w:cs="Times New Roman"/>
          <w:sz w:val="24"/>
          <w:szCs w:val="24"/>
        </w:rPr>
        <w:t>La directrice générale de la prévention des risques, le directeur général de l'énergie et du climat et le directeur général de l'aménagement, du logement et de la nature sont chargés, chacun en ce qui le concerne, de l'exécution du présent arrêté, qui sera publié au Journal officiel de la République française.</w:t>
      </w:r>
    </w:p>
    <w:p w14:paraId="73786C35" w14:textId="6DDC2C7B"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p>
    <w:p w14:paraId="32A35502" w14:textId="3F00FDFA"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p>
    <w:p w14:paraId="241C27E7" w14:textId="673398B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p>
    <w:p w14:paraId="4C8D25F7" w14:textId="6E9B582A" w:rsidR="00433868" w:rsidRPr="00F6639B" w:rsidRDefault="00C33AA7" w:rsidP="000C2F0B">
      <w:pPr>
        <w:spacing w:line="259" w:lineRule="auto"/>
        <w:jc w:val="center"/>
        <w:rPr>
          <w:rFonts w:ascii="Times New Roman" w:eastAsia="Times New Roman" w:hAnsi="Times New Roman" w:cs="Times New Roman"/>
          <w:b/>
          <w:sz w:val="24"/>
          <w:szCs w:val="24"/>
          <w:lang w:eastAsia="fr-FR"/>
        </w:rPr>
      </w:pPr>
      <w:bookmarkStart w:id="4" w:name="_Hlk142053614"/>
      <w:r w:rsidRPr="00F6639B">
        <w:rPr>
          <w:rFonts w:ascii="Times New Roman" w:eastAsia="Times New Roman" w:hAnsi="Times New Roman" w:cs="Times New Roman"/>
          <w:sz w:val="24"/>
          <w:szCs w:val="24"/>
          <w:lang w:eastAsia="fr-FR"/>
        </w:rPr>
        <w:br w:type="page"/>
      </w:r>
      <w:r w:rsidR="00433868" w:rsidRPr="00F6639B">
        <w:rPr>
          <w:rFonts w:ascii="Times New Roman" w:eastAsia="Times New Roman" w:hAnsi="Times New Roman" w:cs="Times New Roman"/>
          <w:b/>
          <w:sz w:val="24"/>
          <w:szCs w:val="24"/>
          <w:lang w:eastAsia="fr-FR"/>
        </w:rPr>
        <w:t>ANNEXES</w:t>
      </w:r>
    </w:p>
    <w:p w14:paraId="4CEC0BD0" w14:textId="77777777" w:rsidR="00433868" w:rsidRPr="00F6639B" w:rsidRDefault="00433868" w:rsidP="00E440E2">
      <w:pPr>
        <w:spacing w:after="120" w:line="240" w:lineRule="auto"/>
        <w:jc w:val="center"/>
        <w:rPr>
          <w:rFonts w:ascii="Times New Roman" w:eastAsia="Times New Roman" w:hAnsi="Times New Roman" w:cs="Times New Roman"/>
          <w:b/>
          <w:sz w:val="24"/>
          <w:szCs w:val="24"/>
          <w:lang w:eastAsia="fr-FR"/>
        </w:rPr>
      </w:pPr>
      <w:r w:rsidRPr="00F6639B">
        <w:rPr>
          <w:rFonts w:ascii="Times New Roman" w:eastAsia="Times New Roman" w:hAnsi="Times New Roman" w:cs="Times New Roman"/>
          <w:b/>
          <w:sz w:val="24"/>
          <w:szCs w:val="24"/>
          <w:lang w:eastAsia="fr-FR"/>
        </w:rPr>
        <w:t>ANNEXE I</w:t>
      </w:r>
    </w:p>
    <w:p w14:paraId="168E1A22" w14:textId="77777777" w:rsidR="00433868" w:rsidRPr="00F6639B" w:rsidRDefault="00433868" w:rsidP="00433868">
      <w:pPr>
        <w:spacing w:after="120" w:line="240" w:lineRule="auto"/>
        <w:jc w:val="both"/>
        <w:rPr>
          <w:rFonts w:ascii="Times New Roman" w:eastAsia="Times New Roman" w:hAnsi="Times New Roman" w:cs="Times New Roman"/>
          <w:b/>
          <w:bCs/>
          <w:caps/>
          <w:sz w:val="24"/>
          <w:szCs w:val="24"/>
          <w:lang w:eastAsia="fr-FR"/>
        </w:rPr>
      </w:pPr>
      <w:r w:rsidRPr="00F6639B">
        <w:rPr>
          <w:rFonts w:ascii="Times New Roman" w:eastAsia="Times New Roman" w:hAnsi="Times New Roman" w:cs="Times New Roman"/>
          <w:b/>
          <w:bCs/>
          <w:caps/>
          <w:sz w:val="24"/>
          <w:szCs w:val="24"/>
          <w:lang w:eastAsia="fr-FR"/>
        </w:rPr>
        <w:t>CRITÈRES ADDITIONNELS AUX exigences de l’arrêté du 25 juin 2015 relatif aux prescriptions générales applicables aux activités géothermiques de minime importance ET COMMUNS AUX DEUX RÉFÉRENTIELS DE CERTIFICATION DES ENTREPRISES DE FORAGE RÉALISANT DES ÉCHANGEURS GÉOTHERMIQUES DE MINIME IMPORTANCE OUVERTS OU FERMÉS</w:t>
      </w:r>
    </w:p>
    <w:p w14:paraId="648D4F95" w14:textId="3E531711" w:rsidR="00433868" w:rsidRPr="00F6639B" w:rsidRDefault="00433868" w:rsidP="00433868">
      <w:pPr>
        <w:spacing w:after="120" w:line="240" w:lineRule="auto"/>
        <w:jc w:val="both"/>
        <w:rPr>
          <w:rFonts w:ascii="Times New Roman" w:eastAsia="Times New Roman" w:hAnsi="Times New Roman" w:cs="Times New Roman"/>
          <w:b/>
          <w:bCs/>
          <w:sz w:val="24"/>
          <w:szCs w:val="24"/>
          <w:lang w:eastAsia="fr-FR"/>
        </w:rPr>
      </w:pPr>
      <w:r w:rsidRPr="00F6639B">
        <w:rPr>
          <w:rFonts w:ascii="Times New Roman" w:eastAsia="Times New Roman" w:hAnsi="Times New Roman" w:cs="Times New Roman"/>
          <w:b/>
          <w:bCs/>
          <w:sz w:val="24"/>
          <w:szCs w:val="24"/>
          <w:lang w:eastAsia="fr-FR"/>
        </w:rPr>
        <w:t xml:space="preserve">Exigences communes relatives aux critères d'évaluation pour la délivrance de la certification </w:t>
      </w:r>
    </w:p>
    <w:p w14:paraId="6004F580" w14:textId="77777777" w:rsidR="008C2F7A" w:rsidRPr="00F6639B" w:rsidRDefault="008C2F7A" w:rsidP="00433868">
      <w:pPr>
        <w:spacing w:after="120" w:line="240" w:lineRule="auto"/>
        <w:jc w:val="both"/>
        <w:rPr>
          <w:rFonts w:ascii="Times New Roman" w:eastAsia="Times New Roman" w:hAnsi="Times New Roman" w:cs="Times New Roman"/>
          <w:sz w:val="24"/>
          <w:szCs w:val="24"/>
          <w:lang w:eastAsia="fr-FR"/>
        </w:rPr>
      </w:pPr>
    </w:p>
    <w:p w14:paraId="1C33010A" w14:textId="63737965"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1. L'entreprise fournit à l'organisme de certification la preuve des compétences d'un ou plusieurs référents techniques, dont au moins un référent technique par établissement certifié (numéro SIRET), ainsi que du personnel réalisant les prestations de forage pour le compte de l’établissement. </w:t>
      </w:r>
    </w:p>
    <w:p w14:paraId="6BBBA469"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Le référent technique est un membre du personnel de l’entreprise de forage, salarié ou non. Il ne peut être référent technique que pour une seule et même entité certifiée (c’est-à-dire pour un établissement certifié – numéro SIRET).</w:t>
      </w:r>
    </w:p>
    <w:p w14:paraId="189F50CD" w14:textId="442CA083"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Le nombre </w:t>
      </w:r>
      <w:r w:rsidR="00E041BE" w:rsidRPr="00F6639B">
        <w:rPr>
          <w:rFonts w:ascii="Times New Roman" w:eastAsia="Times New Roman" w:hAnsi="Times New Roman" w:cs="Times New Roman"/>
          <w:sz w:val="24"/>
          <w:szCs w:val="24"/>
          <w:lang w:eastAsia="fr-FR"/>
        </w:rPr>
        <w:t xml:space="preserve">minimum </w:t>
      </w:r>
      <w:r w:rsidRPr="00F6639B">
        <w:rPr>
          <w:rFonts w:ascii="Times New Roman" w:eastAsia="Times New Roman" w:hAnsi="Times New Roman" w:cs="Times New Roman"/>
          <w:sz w:val="24"/>
          <w:szCs w:val="24"/>
          <w:lang w:eastAsia="fr-FR"/>
        </w:rPr>
        <w:t>de référent</w:t>
      </w:r>
      <w:r w:rsidR="00E727C8" w:rsidRPr="00F6639B">
        <w:rPr>
          <w:rFonts w:ascii="Times New Roman" w:eastAsia="Times New Roman" w:hAnsi="Times New Roman" w:cs="Times New Roman"/>
          <w:sz w:val="24"/>
          <w:szCs w:val="24"/>
          <w:lang w:eastAsia="fr-FR"/>
        </w:rPr>
        <w:t>s</w:t>
      </w:r>
      <w:r w:rsidRPr="00F6639B">
        <w:rPr>
          <w:rFonts w:ascii="Times New Roman" w:eastAsia="Times New Roman" w:hAnsi="Times New Roman" w:cs="Times New Roman"/>
          <w:sz w:val="24"/>
          <w:szCs w:val="24"/>
          <w:lang w:eastAsia="fr-FR"/>
        </w:rPr>
        <w:t xml:space="preserve"> technique</w:t>
      </w:r>
      <w:r w:rsidR="00E727C8" w:rsidRPr="00F6639B">
        <w:rPr>
          <w:rFonts w:ascii="Times New Roman" w:eastAsia="Times New Roman" w:hAnsi="Times New Roman" w:cs="Times New Roman"/>
          <w:sz w:val="24"/>
          <w:szCs w:val="24"/>
          <w:lang w:eastAsia="fr-FR"/>
        </w:rPr>
        <w:t>s</w:t>
      </w:r>
      <w:r w:rsidRPr="00F6639B">
        <w:rPr>
          <w:rFonts w:ascii="Times New Roman" w:eastAsia="Times New Roman" w:hAnsi="Times New Roman" w:cs="Times New Roman"/>
          <w:sz w:val="24"/>
          <w:szCs w:val="24"/>
          <w:lang w:eastAsia="fr-FR"/>
        </w:rPr>
        <w:t xml:space="preserve"> dépend du nombre d’atelier de forage au sein de l’entreprise (numéro SIREN) :</w:t>
      </w:r>
    </w:p>
    <w:p w14:paraId="32EB774E" w14:textId="1531A4AA" w:rsidR="00433868" w:rsidRPr="00F6639B" w:rsidRDefault="00512C56" w:rsidP="0051051C">
      <w:pPr>
        <w:numPr>
          <w:ilvl w:val="0"/>
          <w:numId w:val="9"/>
        </w:numPr>
        <w:spacing w:after="120" w:line="240" w:lineRule="auto"/>
        <w:jc w:val="both"/>
        <w:rPr>
          <w:rFonts w:ascii="Times New Roman" w:eastAsia="Times New Roman" w:hAnsi="Times New Roman" w:cs="Times New Roman"/>
          <w:sz w:val="24"/>
          <w:szCs w:val="24"/>
          <w:lang w:eastAsia="fr-FR"/>
        </w:rPr>
      </w:pPr>
      <w:proofErr w:type="gramStart"/>
      <w:r w:rsidRPr="00F6639B">
        <w:rPr>
          <w:rFonts w:ascii="Times New Roman" w:eastAsia="Times New Roman" w:hAnsi="Times New Roman" w:cs="Times New Roman"/>
          <w:sz w:val="24"/>
          <w:szCs w:val="24"/>
          <w:lang w:eastAsia="fr-FR"/>
        </w:rPr>
        <w:t>j</w:t>
      </w:r>
      <w:r w:rsidR="00433868" w:rsidRPr="00F6639B">
        <w:rPr>
          <w:rFonts w:ascii="Times New Roman" w:eastAsia="Times New Roman" w:hAnsi="Times New Roman" w:cs="Times New Roman"/>
          <w:sz w:val="24"/>
          <w:szCs w:val="24"/>
          <w:lang w:eastAsia="fr-FR"/>
        </w:rPr>
        <w:t>usqu’à</w:t>
      </w:r>
      <w:proofErr w:type="gramEnd"/>
      <w:r w:rsidR="00433868" w:rsidRPr="00F6639B">
        <w:rPr>
          <w:rFonts w:ascii="Times New Roman" w:eastAsia="Times New Roman" w:hAnsi="Times New Roman" w:cs="Times New Roman"/>
          <w:sz w:val="24"/>
          <w:szCs w:val="24"/>
          <w:lang w:eastAsia="fr-FR"/>
        </w:rPr>
        <w:t xml:space="preserve"> 5 ateliers de forage : 1 référent technique</w:t>
      </w:r>
      <w:r w:rsidRPr="00F6639B">
        <w:rPr>
          <w:rFonts w:ascii="Times New Roman" w:eastAsia="Times New Roman" w:hAnsi="Times New Roman" w:cs="Times New Roman"/>
          <w:sz w:val="24"/>
          <w:szCs w:val="24"/>
          <w:lang w:eastAsia="fr-FR"/>
        </w:rPr>
        <w:t>,</w:t>
      </w:r>
      <w:r w:rsidR="00433868" w:rsidRPr="00F6639B">
        <w:rPr>
          <w:rFonts w:ascii="Times New Roman" w:eastAsia="Times New Roman" w:hAnsi="Times New Roman" w:cs="Times New Roman"/>
          <w:sz w:val="24"/>
          <w:szCs w:val="24"/>
          <w:lang w:eastAsia="fr-FR"/>
        </w:rPr>
        <w:t xml:space="preserve"> </w:t>
      </w:r>
    </w:p>
    <w:p w14:paraId="0E4CB2F9" w14:textId="2C86D4A4" w:rsidR="00433868" w:rsidRPr="00F6639B" w:rsidRDefault="00512C56" w:rsidP="0051051C">
      <w:pPr>
        <w:numPr>
          <w:ilvl w:val="0"/>
          <w:numId w:val="9"/>
        </w:numPr>
        <w:spacing w:after="120" w:line="240" w:lineRule="auto"/>
        <w:jc w:val="both"/>
        <w:rPr>
          <w:rFonts w:ascii="Times New Roman" w:eastAsia="Times New Roman" w:hAnsi="Times New Roman" w:cs="Times New Roman"/>
          <w:sz w:val="24"/>
          <w:szCs w:val="24"/>
          <w:lang w:eastAsia="fr-FR"/>
        </w:rPr>
      </w:pPr>
      <w:proofErr w:type="gramStart"/>
      <w:r w:rsidRPr="00F6639B">
        <w:rPr>
          <w:rFonts w:ascii="Times New Roman" w:eastAsia="Times New Roman" w:hAnsi="Times New Roman" w:cs="Times New Roman"/>
          <w:sz w:val="24"/>
          <w:szCs w:val="24"/>
          <w:lang w:eastAsia="fr-FR"/>
        </w:rPr>
        <w:t>e</w:t>
      </w:r>
      <w:r w:rsidR="00433868" w:rsidRPr="00F6639B">
        <w:rPr>
          <w:rFonts w:ascii="Times New Roman" w:eastAsia="Times New Roman" w:hAnsi="Times New Roman" w:cs="Times New Roman"/>
          <w:sz w:val="24"/>
          <w:szCs w:val="24"/>
          <w:lang w:eastAsia="fr-FR"/>
        </w:rPr>
        <w:t>ntre</w:t>
      </w:r>
      <w:proofErr w:type="gramEnd"/>
      <w:r w:rsidR="00433868" w:rsidRPr="00F6639B">
        <w:rPr>
          <w:rFonts w:ascii="Times New Roman" w:eastAsia="Times New Roman" w:hAnsi="Times New Roman" w:cs="Times New Roman"/>
          <w:sz w:val="24"/>
          <w:szCs w:val="24"/>
          <w:lang w:eastAsia="fr-FR"/>
        </w:rPr>
        <w:t xml:space="preserve"> 6 et 15 ateliers de forage : 2 référents techniques</w:t>
      </w:r>
      <w:r w:rsidRPr="00F6639B">
        <w:rPr>
          <w:rFonts w:ascii="Times New Roman" w:eastAsia="Times New Roman" w:hAnsi="Times New Roman" w:cs="Times New Roman"/>
          <w:sz w:val="24"/>
          <w:szCs w:val="24"/>
          <w:lang w:eastAsia="fr-FR"/>
        </w:rPr>
        <w:t>,</w:t>
      </w:r>
    </w:p>
    <w:p w14:paraId="2F7AA072" w14:textId="4B986AF9" w:rsidR="00433868" w:rsidRPr="00F6639B" w:rsidRDefault="00512C56" w:rsidP="0051051C">
      <w:pPr>
        <w:numPr>
          <w:ilvl w:val="0"/>
          <w:numId w:val="9"/>
        </w:numPr>
        <w:spacing w:after="120" w:line="240" w:lineRule="auto"/>
        <w:jc w:val="both"/>
        <w:rPr>
          <w:rFonts w:ascii="Times New Roman" w:eastAsia="Times New Roman" w:hAnsi="Times New Roman" w:cs="Times New Roman"/>
          <w:sz w:val="24"/>
          <w:szCs w:val="24"/>
          <w:lang w:eastAsia="fr-FR"/>
        </w:rPr>
      </w:pPr>
      <w:proofErr w:type="gramStart"/>
      <w:r w:rsidRPr="00F6639B">
        <w:rPr>
          <w:rFonts w:ascii="Times New Roman" w:eastAsia="Times New Roman" w:hAnsi="Times New Roman" w:cs="Times New Roman"/>
          <w:sz w:val="24"/>
          <w:szCs w:val="24"/>
          <w:lang w:eastAsia="fr-FR"/>
        </w:rPr>
        <w:t>e</w:t>
      </w:r>
      <w:r w:rsidR="00433868" w:rsidRPr="00F6639B">
        <w:rPr>
          <w:rFonts w:ascii="Times New Roman" w:eastAsia="Times New Roman" w:hAnsi="Times New Roman" w:cs="Times New Roman"/>
          <w:sz w:val="24"/>
          <w:szCs w:val="24"/>
          <w:lang w:eastAsia="fr-FR"/>
        </w:rPr>
        <w:t>ntre</w:t>
      </w:r>
      <w:proofErr w:type="gramEnd"/>
      <w:r w:rsidR="00433868" w:rsidRPr="00F6639B">
        <w:rPr>
          <w:rFonts w:ascii="Times New Roman" w:eastAsia="Times New Roman" w:hAnsi="Times New Roman" w:cs="Times New Roman"/>
          <w:sz w:val="24"/>
          <w:szCs w:val="24"/>
          <w:lang w:eastAsia="fr-FR"/>
        </w:rPr>
        <w:t xml:space="preserve"> 16 et 30 ateliers de forage : 3 référents techniques</w:t>
      </w:r>
      <w:r w:rsidRPr="00F6639B">
        <w:rPr>
          <w:rFonts w:ascii="Times New Roman" w:eastAsia="Times New Roman" w:hAnsi="Times New Roman" w:cs="Times New Roman"/>
          <w:sz w:val="24"/>
          <w:szCs w:val="24"/>
          <w:lang w:eastAsia="fr-FR"/>
        </w:rPr>
        <w:t>,</w:t>
      </w:r>
    </w:p>
    <w:p w14:paraId="0E6A12C7" w14:textId="314CB2AB" w:rsidR="00433868" w:rsidRPr="00F6639B" w:rsidRDefault="00512C56" w:rsidP="0051051C">
      <w:pPr>
        <w:numPr>
          <w:ilvl w:val="0"/>
          <w:numId w:val="9"/>
        </w:numPr>
        <w:spacing w:after="120" w:line="240" w:lineRule="auto"/>
        <w:jc w:val="both"/>
        <w:rPr>
          <w:rFonts w:ascii="Times New Roman" w:eastAsia="Times New Roman" w:hAnsi="Times New Roman" w:cs="Times New Roman"/>
          <w:sz w:val="24"/>
          <w:szCs w:val="24"/>
          <w:lang w:eastAsia="fr-FR"/>
        </w:rPr>
      </w:pPr>
      <w:proofErr w:type="gramStart"/>
      <w:r w:rsidRPr="00F6639B">
        <w:rPr>
          <w:rFonts w:ascii="Times New Roman" w:eastAsia="Times New Roman" w:hAnsi="Times New Roman" w:cs="Times New Roman"/>
          <w:sz w:val="24"/>
          <w:szCs w:val="24"/>
          <w:lang w:eastAsia="fr-FR"/>
        </w:rPr>
        <w:t>a</w:t>
      </w:r>
      <w:r w:rsidR="00433868" w:rsidRPr="00F6639B">
        <w:rPr>
          <w:rFonts w:ascii="Times New Roman" w:eastAsia="Times New Roman" w:hAnsi="Times New Roman" w:cs="Times New Roman"/>
          <w:sz w:val="24"/>
          <w:szCs w:val="24"/>
          <w:lang w:eastAsia="fr-FR"/>
        </w:rPr>
        <w:t>u</w:t>
      </w:r>
      <w:proofErr w:type="gramEnd"/>
      <w:r w:rsidR="00433868" w:rsidRPr="00F6639B">
        <w:rPr>
          <w:rFonts w:ascii="Times New Roman" w:eastAsia="Times New Roman" w:hAnsi="Times New Roman" w:cs="Times New Roman"/>
          <w:sz w:val="24"/>
          <w:szCs w:val="24"/>
          <w:lang w:eastAsia="fr-FR"/>
        </w:rPr>
        <w:t>-delà de 30 ateliers : 4 référents techniques</w:t>
      </w:r>
      <w:r w:rsidRPr="00F6639B">
        <w:rPr>
          <w:rFonts w:ascii="Times New Roman" w:eastAsia="Times New Roman" w:hAnsi="Times New Roman" w:cs="Times New Roman"/>
          <w:sz w:val="24"/>
          <w:szCs w:val="24"/>
          <w:lang w:eastAsia="fr-FR"/>
        </w:rPr>
        <w:t>.</w:t>
      </w:r>
    </w:p>
    <w:p w14:paraId="24771C73" w14:textId="77777777" w:rsidR="009F5151" w:rsidRPr="00F6639B" w:rsidRDefault="009F5151" w:rsidP="00433868">
      <w:pPr>
        <w:spacing w:after="120" w:line="240" w:lineRule="auto"/>
        <w:jc w:val="both"/>
        <w:rPr>
          <w:rFonts w:ascii="Times New Roman" w:eastAsia="Times New Roman" w:hAnsi="Times New Roman" w:cs="Times New Roman"/>
          <w:sz w:val="24"/>
          <w:szCs w:val="24"/>
          <w:lang w:eastAsia="fr-FR"/>
        </w:rPr>
      </w:pPr>
    </w:p>
    <w:p w14:paraId="165F1C36" w14:textId="4B695F3A"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Les compétences requises pour chaque rôle sont décrites dans le tableau suivant :</w:t>
      </w:r>
    </w:p>
    <w:tbl>
      <w:tblPr>
        <w:tblStyle w:val="Grilledutableau"/>
        <w:tblW w:w="0" w:type="auto"/>
        <w:tblLook w:val="04A0" w:firstRow="1" w:lastRow="0" w:firstColumn="1" w:lastColumn="0" w:noHBand="0" w:noVBand="1"/>
      </w:tblPr>
      <w:tblGrid>
        <w:gridCol w:w="3020"/>
        <w:gridCol w:w="3021"/>
        <w:gridCol w:w="3021"/>
      </w:tblGrid>
      <w:tr w:rsidR="00433868" w:rsidRPr="00F6639B" w14:paraId="42B418C9" w14:textId="77777777" w:rsidTr="0049616A">
        <w:trPr>
          <w:tblHeader/>
        </w:trPr>
        <w:tc>
          <w:tcPr>
            <w:tcW w:w="3020" w:type="dxa"/>
            <w:shd w:val="clear" w:color="auto" w:fill="D9D9D9" w:themeFill="background1" w:themeFillShade="D9"/>
          </w:tcPr>
          <w:p w14:paraId="59C9F4C5" w14:textId="2F55FD2D" w:rsidR="00433868" w:rsidRPr="00F6639B" w:rsidRDefault="00433868" w:rsidP="00433868">
            <w:pPr>
              <w:spacing w:after="120" w:line="240" w:lineRule="auto"/>
              <w:jc w:val="both"/>
              <w:rPr>
                <w:rFonts w:ascii="Times New Roman" w:eastAsia="Times New Roman" w:hAnsi="Times New Roman" w:cs="Times New Roman"/>
                <w:b/>
                <w:lang w:eastAsia="fr-FR"/>
              </w:rPr>
            </w:pPr>
            <w:r w:rsidRPr="00F6639B">
              <w:rPr>
                <w:rFonts w:ascii="Times New Roman" w:eastAsia="Times New Roman" w:hAnsi="Times New Roman" w:cs="Times New Roman"/>
                <w:b/>
                <w:lang w:eastAsia="fr-FR"/>
              </w:rPr>
              <w:t>Rôle</w:t>
            </w:r>
            <w:r w:rsidR="001A2F15" w:rsidRPr="00F6639B">
              <w:rPr>
                <w:rFonts w:ascii="Times New Roman" w:eastAsia="Times New Roman" w:hAnsi="Times New Roman" w:cs="Times New Roman"/>
                <w:b/>
                <w:lang w:eastAsia="fr-FR"/>
              </w:rPr>
              <w:t>s</w:t>
            </w:r>
          </w:p>
        </w:tc>
        <w:tc>
          <w:tcPr>
            <w:tcW w:w="3021" w:type="dxa"/>
            <w:shd w:val="clear" w:color="auto" w:fill="D9D9D9" w:themeFill="background1" w:themeFillShade="D9"/>
          </w:tcPr>
          <w:p w14:paraId="33C00967" w14:textId="2D31E8AF" w:rsidR="00433868" w:rsidRPr="00F6639B" w:rsidRDefault="006132F2" w:rsidP="00433868">
            <w:pPr>
              <w:spacing w:after="120" w:line="240" w:lineRule="auto"/>
              <w:jc w:val="both"/>
              <w:rPr>
                <w:rFonts w:ascii="Times New Roman" w:eastAsia="Times New Roman" w:hAnsi="Times New Roman" w:cs="Times New Roman"/>
                <w:b/>
                <w:lang w:eastAsia="fr-FR"/>
              </w:rPr>
            </w:pPr>
            <w:r w:rsidRPr="00F6639B">
              <w:rPr>
                <w:rFonts w:ascii="Times New Roman" w:eastAsia="Times New Roman" w:hAnsi="Times New Roman" w:cs="Times New Roman"/>
                <w:b/>
                <w:lang w:eastAsia="fr-FR"/>
              </w:rPr>
              <w:t>Compétences requises</w:t>
            </w:r>
          </w:p>
        </w:tc>
        <w:tc>
          <w:tcPr>
            <w:tcW w:w="3021" w:type="dxa"/>
            <w:shd w:val="clear" w:color="auto" w:fill="D9D9D9" w:themeFill="background1" w:themeFillShade="D9"/>
          </w:tcPr>
          <w:p w14:paraId="6935741B" w14:textId="6EB84C5A" w:rsidR="00433868" w:rsidRPr="00F6639B" w:rsidRDefault="00433868" w:rsidP="00433868">
            <w:pPr>
              <w:spacing w:after="120" w:line="240" w:lineRule="auto"/>
              <w:jc w:val="both"/>
              <w:rPr>
                <w:rFonts w:ascii="Times New Roman" w:eastAsia="Times New Roman" w:hAnsi="Times New Roman" w:cs="Times New Roman"/>
                <w:b/>
                <w:lang w:eastAsia="fr-FR"/>
              </w:rPr>
            </w:pPr>
            <w:r w:rsidRPr="00F6639B">
              <w:rPr>
                <w:rFonts w:ascii="Times New Roman" w:eastAsia="Times New Roman" w:hAnsi="Times New Roman" w:cs="Times New Roman"/>
                <w:b/>
                <w:lang w:eastAsia="fr-FR"/>
              </w:rPr>
              <w:t>Justificatif</w:t>
            </w:r>
            <w:r w:rsidR="001A2F15" w:rsidRPr="00F6639B">
              <w:rPr>
                <w:rFonts w:ascii="Times New Roman" w:eastAsia="Times New Roman" w:hAnsi="Times New Roman" w:cs="Times New Roman"/>
                <w:b/>
                <w:lang w:eastAsia="fr-FR"/>
              </w:rPr>
              <w:t>s</w:t>
            </w:r>
          </w:p>
        </w:tc>
      </w:tr>
      <w:tr w:rsidR="00037B63" w:rsidRPr="00F6639B" w14:paraId="050DA47E" w14:textId="77777777" w:rsidTr="0029196F">
        <w:tc>
          <w:tcPr>
            <w:tcW w:w="3020" w:type="dxa"/>
            <w:vMerge w:val="restart"/>
          </w:tcPr>
          <w:p w14:paraId="200D2348" w14:textId="77777777" w:rsidR="00037B63" w:rsidRPr="00F6639B" w:rsidRDefault="00037B63" w:rsidP="00433868">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Référent technique</w:t>
            </w:r>
          </w:p>
          <w:p w14:paraId="12279CDB" w14:textId="330F5347" w:rsidR="00037B63" w:rsidRPr="00F6639B" w:rsidRDefault="00037B63" w:rsidP="00037B63">
            <w:pPr>
              <w:spacing w:after="120" w:line="240" w:lineRule="auto"/>
              <w:jc w:val="both"/>
              <w:rPr>
                <w:rFonts w:ascii="Times New Roman" w:eastAsia="Times New Roman" w:hAnsi="Times New Roman" w:cs="Times New Roman"/>
                <w:lang w:eastAsia="fr-FR"/>
              </w:rPr>
            </w:pPr>
          </w:p>
        </w:tc>
        <w:tc>
          <w:tcPr>
            <w:tcW w:w="3021" w:type="dxa"/>
          </w:tcPr>
          <w:p w14:paraId="14B93C20" w14:textId="0D6D6BFE" w:rsidR="00037B63" w:rsidRPr="00F6639B" w:rsidRDefault="00037B63" w:rsidP="00433868">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Formation initiale qualifiante et/ou diplômante agréée selon les modalités définies par arrêté du ministre en charge de la construction et du ministre en charge de l'énergie.</w:t>
            </w:r>
          </w:p>
        </w:tc>
        <w:tc>
          <w:tcPr>
            <w:tcW w:w="3021" w:type="dxa"/>
          </w:tcPr>
          <w:p w14:paraId="60DC78A8" w14:textId="0BDA58E8" w:rsidR="00037B63" w:rsidRPr="00F6639B" w:rsidRDefault="00037B63" w:rsidP="00433868">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Attestation de réussite à l’évaluation pour les formations agréées par arrêté du ministre en charge de la construction et du ministre en charge de l'énergie</w:t>
            </w:r>
          </w:p>
        </w:tc>
      </w:tr>
      <w:tr w:rsidR="00037B63" w:rsidRPr="00F6639B" w14:paraId="381C0C81" w14:textId="77777777" w:rsidTr="0029196F">
        <w:tc>
          <w:tcPr>
            <w:tcW w:w="3020" w:type="dxa"/>
            <w:vMerge/>
          </w:tcPr>
          <w:p w14:paraId="5B8A52B7" w14:textId="77777777" w:rsidR="00037B63" w:rsidRPr="00F6639B" w:rsidRDefault="00037B63" w:rsidP="00433868">
            <w:pPr>
              <w:spacing w:after="120" w:line="240" w:lineRule="auto"/>
              <w:jc w:val="both"/>
              <w:rPr>
                <w:rFonts w:ascii="Times New Roman" w:eastAsia="Times New Roman" w:hAnsi="Times New Roman" w:cs="Times New Roman"/>
                <w:lang w:eastAsia="fr-FR"/>
              </w:rPr>
            </w:pPr>
          </w:p>
        </w:tc>
        <w:tc>
          <w:tcPr>
            <w:tcW w:w="3021" w:type="dxa"/>
          </w:tcPr>
          <w:p w14:paraId="64940CB9" w14:textId="795AEE56" w:rsidR="00037B63" w:rsidRPr="00F6639B" w:rsidRDefault="00037B63" w:rsidP="00433868">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Autorisation d'intervention à proximité des réseaux "encadrant" si le référent technique assure également la fonction de personne intervenant pour le compte de l'exécutant des travaux comme encadrant des travaux tel que prévu à l'article 21 de l'arrêté du 15 février 2012 susvisé</w:t>
            </w:r>
          </w:p>
        </w:tc>
        <w:tc>
          <w:tcPr>
            <w:tcW w:w="3021" w:type="dxa"/>
          </w:tcPr>
          <w:p w14:paraId="1EB8F1AC" w14:textId="4580AC58" w:rsidR="00037B63" w:rsidRPr="00F6639B" w:rsidDel="00037B63" w:rsidRDefault="00037B63" w:rsidP="00037B63">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Autorisation d'intervention à proximité des réseaux  « encadrant » en cours de validité établie par l'employeur sur la base d’un des justificatifs mentionnés aux 1° à 5° du I de l’art. 21 de l’AM du 15 février 2012</w:t>
            </w:r>
          </w:p>
        </w:tc>
      </w:tr>
      <w:tr w:rsidR="00037B63" w:rsidRPr="00F6639B" w14:paraId="5B28D620" w14:textId="77777777" w:rsidTr="0029196F">
        <w:tc>
          <w:tcPr>
            <w:tcW w:w="3020" w:type="dxa"/>
          </w:tcPr>
          <w:p w14:paraId="10A84146" w14:textId="35E6235C" w:rsidR="00037B63" w:rsidRPr="00F6639B" w:rsidRDefault="00037B63" w:rsidP="00037B63">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Personne intervenant pour le compte de l'exécutant des travaux comme encadrant des travaux tel que prévu à l'article 21 de l'arrêté du 15 février 2012 susvisé, si le référent technique n'assure pas cette fonction</w:t>
            </w:r>
          </w:p>
        </w:tc>
        <w:tc>
          <w:tcPr>
            <w:tcW w:w="3021" w:type="dxa"/>
          </w:tcPr>
          <w:p w14:paraId="21DCD1F4" w14:textId="3AFCC03A" w:rsidR="00037B63" w:rsidRPr="00F6639B" w:rsidRDefault="00037B63" w:rsidP="00037B63">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Autorisation d'intervention à proximité des réseaux "encadrant" si le référent technique assure également la fonction de personne intervenant pour le compte de l'exécutant des travaux comme encadrant des travaux tel que prévu à l'article 21 de l'arrêté du 15 février 2012 susvisé</w:t>
            </w:r>
          </w:p>
        </w:tc>
        <w:tc>
          <w:tcPr>
            <w:tcW w:w="3021" w:type="dxa"/>
          </w:tcPr>
          <w:p w14:paraId="2F6F47F9" w14:textId="0D674C7C" w:rsidR="00037B63" w:rsidRPr="00F6639B" w:rsidRDefault="00037B63" w:rsidP="00037B63">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Autorisation d'intervention à proximité des réseaux  « encadrant » en cours de validité établie par l'employeur sur la base d’un des justificatifs mentionnés aux 1° à 5° du I de l’art. 21 de l’AM du 15 février 2012</w:t>
            </w:r>
          </w:p>
        </w:tc>
      </w:tr>
      <w:tr w:rsidR="00037B63" w:rsidRPr="00F6639B" w14:paraId="42E83553" w14:textId="77777777" w:rsidTr="0029196F">
        <w:tc>
          <w:tcPr>
            <w:tcW w:w="3020" w:type="dxa"/>
            <w:vMerge w:val="restart"/>
          </w:tcPr>
          <w:p w14:paraId="71FFBFC6" w14:textId="590BF64D" w:rsidR="00037B63" w:rsidRPr="00F6639B" w:rsidRDefault="003D553B" w:rsidP="00037B63">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Conducteur d'engins (annexe 4 de l'arrêté du 15 février 2012 susvisé)</w:t>
            </w:r>
          </w:p>
        </w:tc>
        <w:tc>
          <w:tcPr>
            <w:tcW w:w="3021" w:type="dxa"/>
          </w:tcPr>
          <w:p w14:paraId="7B6D0BD5" w14:textId="7BFDC12E" w:rsidR="00037B63" w:rsidRPr="00F6639B" w:rsidRDefault="00037B63" w:rsidP="00037B63">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Formation initiale qualifiante et/ou diplômante au forage géothermique de surface ou</w:t>
            </w:r>
            <w:r w:rsidR="00512C56" w:rsidRPr="00F6639B">
              <w:rPr>
                <w:rFonts w:ascii="Times New Roman" w:eastAsia="Times New Roman" w:hAnsi="Times New Roman" w:cs="Times New Roman"/>
                <w:lang w:eastAsia="fr-FR"/>
              </w:rPr>
              <w:t>,</w:t>
            </w:r>
            <w:r w:rsidRPr="00F6639B">
              <w:rPr>
                <w:rFonts w:ascii="Times New Roman" w:eastAsia="Times New Roman" w:hAnsi="Times New Roman" w:cs="Times New Roman"/>
                <w:lang w:eastAsia="fr-FR"/>
              </w:rPr>
              <w:t xml:space="preserve"> sinon</w:t>
            </w:r>
            <w:r w:rsidR="00512C56" w:rsidRPr="00F6639B">
              <w:rPr>
                <w:rFonts w:ascii="Times New Roman" w:eastAsia="Times New Roman" w:hAnsi="Times New Roman" w:cs="Times New Roman"/>
                <w:lang w:eastAsia="fr-FR"/>
              </w:rPr>
              <w:t>,</w:t>
            </w:r>
            <w:r w:rsidRPr="00F6639B">
              <w:rPr>
                <w:rFonts w:ascii="Times New Roman" w:eastAsia="Times New Roman" w:hAnsi="Times New Roman" w:cs="Times New Roman"/>
                <w:lang w:eastAsia="fr-FR"/>
              </w:rPr>
              <w:t xml:space="preserve"> justifier d’une expérience de deux ans sur le terrain auprès d’un foreur expérimenté  </w:t>
            </w:r>
          </w:p>
        </w:tc>
        <w:tc>
          <w:tcPr>
            <w:tcW w:w="3021" w:type="dxa"/>
          </w:tcPr>
          <w:p w14:paraId="216BE2CA" w14:textId="6C0592FF" w:rsidR="00037B63" w:rsidRPr="00F6639B" w:rsidRDefault="00037B63" w:rsidP="00037B63">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Attestation de formation au forage, le cas échéant, justification de l’expérience professionnelle</w:t>
            </w:r>
          </w:p>
        </w:tc>
      </w:tr>
      <w:tr w:rsidR="00037B63" w:rsidRPr="00F6639B" w14:paraId="7FFEC9E9" w14:textId="77777777" w:rsidTr="0029196F">
        <w:tc>
          <w:tcPr>
            <w:tcW w:w="3020" w:type="dxa"/>
            <w:vMerge/>
          </w:tcPr>
          <w:p w14:paraId="776C38FB" w14:textId="0122E643" w:rsidR="00037B63" w:rsidRPr="00F6639B" w:rsidRDefault="00037B63" w:rsidP="00037B63">
            <w:pPr>
              <w:spacing w:after="120" w:line="240" w:lineRule="auto"/>
              <w:jc w:val="both"/>
              <w:rPr>
                <w:rFonts w:ascii="Times New Roman" w:eastAsia="Times New Roman" w:hAnsi="Times New Roman" w:cs="Times New Roman"/>
                <w:lang w:eastAsia="fr-FR"/>
              </w:rPr>
            </w:pPr>
          </w:p>
        </w:tc>
        <w:tc>
          <w:tcPr>
            <w:tcW w:w="3021" w:type="dxa"/>
          </w:tcPr>
          <w:p w14:paraId="5FDDD46E" w14:textId="3AF4D25F" w:rsidR="00037B63" w:rsidRPr="00F6639B" w:rsidRDefault="00037B63" w:rsidP="00037B63">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Autorisation d'intervention à proximité des réseaux "opérateur"</w:t>
            </w:r>
          </w:p>
        </w:tc>
        <w:tc>
          <w:tcPr>
            <w:tcW w:w="3021" w:type="dxa"/>
          </w:tcPr>
          <w:p w14:paraId="78B983B6" w14:textId="5D375DA7" w:rsidR="00037B63" w:rsidRPr="00F6639B" w:rsidRDefault="00037B63" w:rsidP="00037B63">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Autorisation d'intervention à proximité des réseaux  "opérateur" en cours de validité établie par l’employeur sur la base d’un des justificatifs mentionnés aux 1° à 5° du I de l’art. 21 de l’AM du 15 février 2012</w:t>
            </w:r>
          </w:p>
        </w:tc>
      </w:tr>
      <w:tr w:rsidR="00037B63" w:rsidRPr="00F6639B" w14:paraId="77E9226C" w14:textId="77777777" w:rsidTr="0029196F">
        <w:tc>
          <w:tcPr>
            <w:tcW w:w="3020" w:type="dxa"/>
            <w:vMerge/>
          </w:tcPr>
          <w:p w14:paraId="57F23752" w14:textId="77777777" w:rsidR="00037B63" w:rsidRPr="00F6639B" w:rsidRDefault="00037B63" w:rsidP="00037B63">
            <w:pPr>
              <w:spacing w:after="120" w:line="240" w:lineRule="auto"/>
              <w:jc w:val="both"/>
              <w:rPr>
                <w:rFonts w:ascii="Times New Roman" w:eastAsia="Times New Roman" w:hAnsi="Times New Roman" w:cs="Times New Roman"/>
                <w:lang w:eastAsia="fr-FR"/>
              </w:rPr>
            </w:pPr>
          </w:p>
        </w:tc>
        <w:tc>
          <w:tcPr>
            <w:tcW w:w="3021" w:type="dxa"/>
          </w:tcPr>
          <w:p w14:paraId="02413735" w14:textId="56B324DF" w:rsidR="00037B63" w:rsidRPr="00F6639B" w:rsidRDefault="00037B63" w:rsidP="00037B63">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Autorisation de conduite d’engins de chantier</w:t>
            </w:r>
          </w:p>
        </w:tc>
        <w:tc>
          <w:tcPr>
            <w:tcW w:w="3021" w:type="dxa"/>
          </w:tcPr>
          <w:p w14:paraId="1AEFADBE" w14:textId="666F0649" w:rsidR="00037B63" w:rsidRPr="00F6639B" w:rsidRDefault="00037B63" w:rsidP="00512C56">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Autorisation de conduit</w:t>
            </w:r>
            <w:r w:rsidR="00512C56" w:rsidRPr="00F6639B">
              <w:rPr>
                <w:rFonts w:ascii="Times New Roman" w:eastAsia="Times New Roman" w:hAnsi="Times New Roman" w:cs="Times New Roman"/>
                <w:lang w:eastAsia="fr-FR"/>
              </w:rPr>
              <w:t>e</w:t>
            </w:r>
            <w:r w:rsidRPr="00F6639B">
              <w:rPr>
                <w:rFonts w:ascii="Times New Roman" w:eastAsia="Times New Roman" w:hAnsi="Times New Roman" w:cs="Times New Roman"/>
                <w:lang w:eastAsia="fr-FR"/>
              </w:rPr>
              <w:t xml:space="preserve"> en cours de validité, établi</w:t>
            </w:r>
            <w:r w:rsidR="00512C56" w:rsidRPr="00F6639B">
              <w:rPr>
                <w:rFonts w:ascii="Times New Roman" w:eastAsia="Times New Roman" w:hAnsi="Times New Roman" w:cs="Times New Roman"/>
                <w:lang w:eastAsia="fr-FR"/>
              </w:rPr>
              <w:t>e</w:t>
            </w:r>
            <w:r w:rsidRPr="00F6639B">
              <w:rPr>
                <w:rFonts w:ascii="Times New Roman" w:eastAsia="Times New Roman" w:hAnsi="Times New Roman" w:cs="Times New Roman"/>
                <w:lang w:eastAsia="fr-FR"/>
              </w:rPr>
              <w:t xml:space="preserve"> par l'employeur dans les conditions prévues par les articles R. 4323-55 et suivants du code du travail</w:t>
            </w:r>
          </w:p>
        </w:tc>
      </w:tr>
    </w:tbl>
    <w:p w14:paraId="26FAAB62" w14:textId="77777777" w:rsidR="007D32E0" w:rsidRPr="00F6639B" w:rsidRDefault="007D32E0" w:rsidP="00433868">
      <w:pPr>
        <w:spacing w:after="120" w:line="240" w:lineRule="auto"/>
        <w:jc w:val="both"/>
        <w:rPr>
          <w:rFonts w:ascii="Times New Roman" w:eastAsia="Times New Roman" w:hAnsi="Times New Roman" w:cs="Times New Roman"/>
          <w:sz w:val="24"/>
          <w:szCs w:val="24"/>
          <w:lang w:eastAsia="fr-FR"/>
        </w:rPr>
      </w:pPr>
    </w:p>
    <w:p w14:paraId="78B01B3E" w14:textId="0BB0C17A"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L'exigence de formation est requise lorsque le référent technique et le personnel réalisant </w:t>
      </w:r>
      <w:r w:rsidR="003D553B" w:rsidRPr="00F6639B">
        <w:rPr>
          <w:rFonts w:ascii="Times New Roman" w:eastAsia="Times New Roman" w:hAnsi="Times New Roman" w:cs="Times New Roman"/>
          <w:sz w:val="24"/>
          <w:szCs w:val="24"/>
          <w:lang w:eastAsia="fr-FR"/>
        </w:rPr>
        <w:t>le conducteur d’engin</w:t>
      </w:r>
      <w:r w:rsidRPr="00F6639B">
        <w:rPr>
          <w:rFonts w:ascii="Times New Roman" w:eastAsia="Times New Roman" w:hAnsi="Times New Roman" w:cs="Times New Roman"/>
          <w:sz w:val="24"/>
          <w:szCs w:val="24"/>
          <w:lang w:eastAsia="fr-FR"/>
        </w:rPr>
        <w:t xml:space="preserve"> sont remplacés.</w:t>
      </w:r>
    </w:p>
    <w:p w14:paraId="294FCA53" w14:textId="43EE00F3" w:rsidR="00433868" w:rsidRPr="00F6639B" w:rsidRDefault="00513F55"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2</w:t>
      </w:r>
      <w:r w:rsidR="00433868" w:rsidRPr="00F6639B">
        <w:rPr>
          <w:rFonts w:ascii="Times New Roman" w:eastAsia="Times New Roman" w:hAnsi="Times New Roman" w:cs="Times New Roman"/>
          <w:sz w:val="24"/>
          <w:szCs w:val="24"/>
          <w:lang w:eastAsia="fr-FR"/>
        </w:rPr>
        <w:t>. L’organisme de certification doit s’assurer que l’entreprise de forage dispose des matériels et équipements indispensable</w:t>
      </w:r>
      <w:r w:rsidR="00512C56" w:rsidRPr="00F6639B">
        <w:rPr>
          <w:rFonts w:ascii="Times New Roman" w:eastAsia="Times New Roman" w:hAnsi="Times New Roman" w:cs="Times New Roman"/>
          <w:sz w:val="24"/>
          <w:szCs w:val="24"/>
          <w:lang w:eastAsia="fr-FR"/>
        </w:rPr>
        <w:t>s</w:t>
      </w:r>
      <w:r w:rsidR="00433868" w:rsidRPr="00F6639B">
        <w:rPr>
          <w:rFonts w:ascii="Times New Roman" w:eastAsia="Times New Roman" w:hAnsi="Times New Roman" w:cs="Times New Roman"/>
          <w:sz w:val="24"/>
          <w:szCs w:val="24"/>
          <w:lang w:eastAsia="fr-FR"/>
        </w:rPr>
        <w:t xml:space="preserve"> à la réalisation de ses activités. </w:t>
      </w:r>
    </w:p>
    <w:p w14:paraId="43CA6D67" w14:textId="77777777" w:rsidR="007D32E0" w:rsidRPr="00F6639B" w:rsidRDefault="007D32E0" w:rsidP="00433868">
      <w:pPr>
        <w:spacing w:after="120" w:line="240" w:lineRule="auto"/>
        <w:jc w:val="both"/>
        <w:rPr>
          <w:rFonts w:ascii="Times New Roman" w:eastAsia="Times New Roman" w:hAnsi="Times New Roman" w:cs="Times New Roman"/>
          <w:sz w:val="24"/>
          <w:szCs w:val="24"/>
          <w:lang w:eastAsia="fr-FR"/>
        </w:rPr>
      </w:pPr>
    </w:p>
    <w:tbl>
      <w:tblPr>
        <w:tblStyle w:val="Grilledutableau"/>
        <w:tblW w:w="0" w:type="auto"/>
        <w:tblLook w:val="04A0" w:firstRow="1" w:lastRow="0" w:firstColumn="1" w:lastColumn="0" w:noHBand="0" w:noVBand="1"/>
      </w:tblPr>
      <w:tblGrid>
        <w:gridCol w:w="4531"/>
        <w:gridCol w:w="4531"/>
      </w:tblGrid>
      <w:tr w:rsidR="00433868" w:rsidRPr="00F6639B" w14:paraId="096A6DAE" w14:textId="77777777" w:rsidTr="0049616A">
        <w:trPr>
          <w:tblHeader/>
        </w:trPr>
        <w:tc>
          <w:tcPr>
            <w:tcW w:w="4531" w:type="dxa"/>
            <w:shd w:val="clear" w:color="auto" w:fill="D9D9D9" w:themeFill="background1" w:themeFillShade="D9"/>
          </w:tcPr>
          <w:p w14:paraId="7511AA6A" w14:textId="77777777" w:rsidR="00433868" w:rsidRPr="00F6639B" w:rsidRDefault="00433868" w:rsidP="00433868">
            <w:pPr>
              <w:spacing w:after="120" w:line="240" w:lineRule="auto"/>
              <w:jc w:val="both"/>
              <w:rPr>
                <w:rFonts w:ascii="Times New Roman" w:eastAsia="Times New Roman" w:hAnsi="Times New Roman" w:cs="Times New Roman"/>
                <w:b/>
                <w:bCs/>
                <w:lang w:eastAsia="fr-FR"/>
              </w:rPr>
            </w:pPr>
            <w:r w:rsidRPr="00F6639B">
              <w:rPr>
                <w:rFonts w:ascii="Times New Roman" w:eastAsia="Times New Roman" w:hAnsi="Times New Roman" w:cs="Times New Roman"/>
                <w:b/>
                <w:bCs/>
                <w:lang w:eastAsia="fr-FR"/>
              </w:rPr>
              <w:t>Liste de matériel de chantier pour le Module Nappe (échangeurs ouverts)</w:t>
            </w:r>
          </w:p>
        </w:tc>
        <w:tc>
          <w:tcPr>
            <w:tcW w:w="4531" w:type="dxa"/>
            <w:shd w:val="clear" w:color="auto" w:fill="D9D9D9" w:themeFill="background1" w:themeFillShade="D9"/>
          </w:tcPr>
          <w:p w14:paraId="41C3A3A9" w14:textId="77777777" w:rsidR="00433868" w:rsidRPr="00F6639B" w:rsidRDefault="00433868" w:rsidP="00433868">
            <w:pPr>
              <w:spacing w:after="120" w:line="240" w:lineRule="auto"/>
              <w:jc w:val="both"/>
              <w:rPr>
                <w:rFonts w:ascii="Times New Roman" w:eastAsia="Times New Roman" w:hAnsi="Times New Roman" w:cs="Times New Roman"/>
                <w:b/>
                <w:bCs/>
                <w:lang w:eastAsia="fr-FR"/>
              </w:rPr>
            </w:pPr>
            <w:r w:rsidRPr="00F6639B">
              <w:rPr>
                <w:rFonts w:ascii="Times New Roman" w:eastAsia="Times New Roman" w:hAnsi="Times New Roman" w:cs="Times New Roman"/>
                <w:b/>
                <w:bCs/>
                <w:lang w:eastAsia="fr-FR"/>
              </w:rPr>
              <w:t>Liste de matériel de chantier pour le Module Sonde (échangeurs fermés)</w:t>
            </w:r>
          </w:p>
        </w:tc>
      </w:tr>
      <w:tr w:rsidR="00433868" w:rsidRPr="00F6639B" w14:paraId="45E61FBF" w14:textId="77777777" w:rsidTr="0029196F">
        <w:tc>
          <w:tcPr>
            <w:tcW w:w="4531" w:type="dxa"/>
          </w:tcPr>
          <w:p w14:paraId="7EB5B507" w14:textId="5B8C14C2" w:rsidR="00433868" w:rsidRPr="00F6639B" w:rsidRDefault="008C40C5"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Foreuse</w:t>
            </w:r>
            <w:r w:rsidR="00433868" w:rsidRPr="00F6639B">
              <w:rPr>
                <w:rFonts w:ascii="Times New Roman" w:eastAsia="Times New Roman" w:hAnsi="Times New Roman" w:cs="Times New Roman"/>
                <w:lang w:eastAsia="fr-FR"/>
              </w:rPr>
              <w:t xml:space="preserve"> </w:t>
            </w:r>
          </w:p>
        </w:tc>
        <w:tc>
          <w:tcPr>
            <w:tcW w:w="4531" w:type="dxa"/>
          </w:tcPr>
          <w:p w14:paraId="050C5A05" w14:textId="37BBEE0A" w:rsidR="00433868" w:rsidRPr="00F6639B" w:rsidRDefault="00433868"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Foreuse</w:t>
            </w:r>
          </w:p>
        </w:tc>
      </w:tr>
      <w:tr w:rsidR="008C40C5" w:rsidRPr="00F6639B" w14:paraId="182DC354" w14:textId="77777777" w:rsidTr="0029196F">
        <w:tc>
          <w:tcPr>
            <w:tcW w:w="4531" w:type="dxa"/>
          </w:tcPr>
          <w:p w14:paraId="731216E4" w14:textId="52651587" w:rsidR="008C40C5" w:rsidRPr="00F6639B" w:rsidRDefault="008C40C5"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Train de tiges</w:t>
            </w:r>
          </w:p>
        </w:tc>
        <w:tc>
          <w:tcPr>
            <w:tcW w:w="4531" w:type="dxa"/>
          </w:tcPr>
          <w:p w14:paraId="18052373" w14:textId="71AE2A6E" w:rsidR="008C40C5" w:rsidRPr="00F6639B" w:rsidRDefault="008C40C5"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Train de tiges</w:t>
            </w:r>
          </w:p>
        </w:tc>
      </w:tr>
      <w:tr w:rsidR="008C40C5" w:rsidRPr="00F6639B" w14:paraId="01E202E2" w14:textId="77777777" w:rsidTr="0029196F">
        <w:tc>
          <w:tcPr>
            <w:tcW w:w="4531" w:type="dxa"/>
          </w:tcPr>
          <w:p w14:paraId="0C30D18C" w14:textId="3FD0AAA4" w:rsidR="008C40C5" w:rsidRPr="00F6639B" w:rsidRDefault="008C40C5"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Unité de cimentation (malaxeur/pompe)</w:t>
            </w:r>
          </w:p>
        </w:tc>
        <w:tc>
          <w:tcPr>
            <w:tcW w:w="4531" w:type="dxa"/>
          </w:tcPr>
          <w:p w14:paraId="47E39BEF" w14:textId="419EC282" w:rsidR="008C40C5" w:rsidRPr="00F6639B" w:rsidRDefault="008C40C5"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Unité de cimentation (malaxeur/pompe)</w:t>
            </w:r>
          </w:p>
        </w:tc>
      </w:tr>
      <w:tr w:rsidR="008C40C5" w:rsidRPr="00F6639B" w14:paraId="7208114F" w14:textId="77777777" w:rsidTr="0029196F">
        <w:tc>
          <w:tcPr>
            <w:tcW w:w="4531" w:type="dxa"/>
          </w:tcPr>
          <w:p w14:paraId="3F6C8BDD" w14:textId="1D4DE2E1" w:rsidR="008C40C5" w:rsidRPr="00F6639B" w:rsidRDefault="008C40C5"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Matériel air-lift (canne /colonne)</w:t>
            </w:r>
          </w:p>
        </w:tc>
        <w:tc>
          <w:tcPr>
            <w:tcW w:w="4531" w:type="dxa"/>
          </w:tcPr>
          <w:p w14:paraId="423E7B2C" w14:textId="0298DB82" w:rsidR="008C40C5" w:rsidRPr="00F6639B" w:rsidRDefault="008C40C5"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Dérouleur de sondes</w:t>
            </w:r>
          </w:p>
        </w:tc>
      </w:tr>
      <w:tr w:rsidR="008C40C5" w:rsidRPr="00F6639B" w14:paraId="420382EA" w14:textId="77777777" w:rsidTr="0029196F">
        <w:tc>
          <w:tcPr>
            <w:tcW w:w="4531" w:type="dxa"/>
          </w:tcPr>
          <w:p w14:paraId="3131BD9F" w14:textId="380DC333" w:rsidR="008C40C5" w:rsidRPr="00F6639B" w:rsidRDefault="008C40C5"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Pompes immergées</w:t>
            </w:r>
          </w:p>
        </w:tc>
        <w:tc>
          <w:tcPr>
            <w:tcW w:w="4531" w:type="dxa"/>
          </w:tcPr>
          <w:p w14:paraId="5C444477" w14:textId="37D75421" w:rsidR="008C40C5" w:rsidRPr="00F6639B" w:rsidRDefault="008C40C5"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u w:val="single"/>
                <w:lang w:eastAsia="fr-FR"/>
              </w:rPr>
              <w:t>Si forage Rotary :</w:t>
            </w:r>
            <w:r w:rsidR="00512C56" w:rsidRPr="00F6639B">
              <w:rPr>
                <w:rFonts w:ascii="Times New Roman" w:eastAsia="Times New Roman" w:hAnsi="Times New Roman" w:cs="Times New Roman"/>
                <w:lang w:eastAsia="fr-FR"/>
              </w:rPr>
              <w:t xml:space="preserve"> Tricônes</w:t>
            </w:r>
          </w:p>
        </w:tc>
      </w:tr>
      <w:tr w:rsidR="008C40C5" w:rsidRPr="00F6639B" w14:paraId="11410EEA" w14:textId="77777777" w:rsidTr="0029196F">
        <w:tc>
          <w:tcPr>
            <w:tcW w:w="4531" w:type="dxa"/>
          </w:tcPr>
          <w:p w14:paraId="3F2B6121" w14:textId="2AAB3180" w:rsidR="008C40C5" w:rsidRPr="00F6639B" w:rsidRDefault="008C40C5"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Accessoires de pompages : colonne d'exhaure, compteur, robinet de prélèvement, vanne, tuyaux d'exhaure</w:t>
            </w:r>
          </w:p>
        </w:tc>
        <w:tc>
          <w:tcPr>
            <w:tcW w:w="4531" w:type="dxa"/>
          </w:tcPr>
          <w:p w14:paraId="7E39FA37" w14:textId="4C511940" w:rsidR="008C40C5" w:rsidRPr="00F6639B" w:rsidRDefault="00512C56"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u w:val="single"/>
                <w:lang w:eastAsia="fr-FR"/>
              </w:rPr>
              <w:t xml:space="preserve"> Si forage Marteau Fond de Trou :</w:t>
            </w:r>
          </w:p>
        </w:tc>
      </w:tr>
      <w:tr w:rsidR="008C40C5" w:rsidRPr="00F6639B" w14:paraId="4BE3B1D8" w14:textId="77777777" w:rsidTr="0029196F">
        <w:tc>
          <w:tcPr>
            <w:tcW w:w="4531" w:type="dxa"/>
          </w:tcPr>
          <w:p w14:paraId="304FC4DB" w14:textId="4E5DAF9D" w:rsidR="008C40C5" w:rsidRPr="00F6639B" w:rsidRDefault="008C40C5"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Sondes de niveau</w:t>
            </w:r>
          </w:p>
        </w:tc>
        <w:tc>
          <w:tcPr>
            <w:tcW w:w="4531" w:type="dxa"/>
          </w:tcPr>
          <w:p w14:paraId="7F3FC133" w14:textId="3C270F1C" w:rsidR="008C40C5" w:rsidRPr="00F6639B" w:rsidRDefault="00512C56"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 xml:space="preserve"> Marteau fond-de-trou</w:t>
            </w:r>
          </w:p>
        </w:tc>
      </w:tr>
      <w:tr w:rsidR="008C40C5" w:rsidRPr="00F6639B" w14:paraId="7816C5FA" w14:textId="77777777" w:rsidTr="001A2F15">
        <w:tc>
          <w:tcPr>
            <w:tcW w:w="4531" w:type="dxa"/>
          </w:tcPr>
          <w:p w14:paraId="652F1B4E" w14:textId="61E700E6" w:rsidR="008C40C5" w:rsidRPr="00F6639B" w:rsidRDefault="008C40C5"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u w:val="single"/>
                <w:lang w:eastAsia="fr-FR"/>
              </w:rPr>
              <w:t>Si forage Rotary :</w:t>
            </w:r>
            <w:r w:rsidR="00512C56" w:rsidRPr="00F6639B">
              <w:rPr>
                <w:rFonts w:ascii="Times New Roman" w:eastAsia="Times New Roman" w:hAnsi="Times New Roman" w:cs="Times New Roman"/>
                <w:lang w:eastAsia="fr-FR"/>
              </w:rPr>
              <w:t xml:space="preserve"> Tricônes</w:t>
            </w:r>
          </w:p>
        </w:tc>
        <w:tc>
          <w:tcPr>
            <w:tcW w:w="4531" w:type="dxa"/>
            <w:tcBorders>
              <w:bottom w:val="single" w:sz="4" w:space="0" w:color="auto"/>
            </w:tcBorders>
          </w:tcPr>
          <w:p w14:paraId="5B376B28" w14:textId="417B7E69" w:rsidR="008C40C5" w:rsidRPr="00F6639B" w:rsidRDefault="00512C56"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 xml:space="preserve"> Taillants.</w:t>
            </w:r>
          </w:p>
        </w:tc>
      </w:tr>
      <w:tr w:rsidR="008C40C5" w:rsidRPr="00F6639B" w14:paraId="1D3847D4" w14:textId="77777777" w:rsidTr="0049616A">
        <w:tc>
          <w:tcPr>
            <w:tcW w:w="4531" w:type="dxa"/>
            <w:tcBorders>
              <w:bottom w:val="single" w:sz="4" w:space="0" w:color="auto"/>
            </w:tcBorders>
          </w:tcPr>
          <w:p w14:paraId="4EB70026" w14:textId="39AD68CC" w:rsidR="008C40C5" w:rsidRPr="00F6639B" w:rsidRDefault="00512C56" w:rsidP="008C40C5">
            <w:pPr>
              <w:spacing w:after="120" w:line="240" w:lineRule="auto"/>
              <w:jc w:val="both"/>
              <w:rPr>
                <w:rFonts w:ascii="Times New Roman" w:eastAsia="Times New Roman" w:hAnsi="Times New Roman" w:cs="Times New Roman"/>
                <w:u w:val="single"/>
                <w:lang w:eastAsia="fr-FR"/>
              </w:rPr>
            </w:pPr>
            <w:r w:rsidRPr="00F6639B">
              <w:rPr>
                <w:rFonts w:ascii="Times New Roman" w:eastAsia="Times New Roman" w:hAnsi="Times New Roman" w:cs="Times New Roman"/>
                <w:u w:val="single"/>
                <w:lang w:eastAsia="fr-FR"/>
              </w:rPr>
              <w:t xml:space="preserve"> Si forage Marteau Fond de Trou :</w:t>
            </w:r>
          </w:p>
        </w:tc>
        <w:tc>
          <w:tcPr>
            <w:tcW w:w="4531" w:type="dxa"/>
            <w:tcBorders>
              <w:bottom w:val="single" w:sz="4" w:space="0" w:color="auto"/>
            </w:tcBorders>
          </w:tcPr>
          <w:p w14:paraId="5D8D9FCC" w14:textId="6FFDDE4D" w:rsidR="008C40C5" w:rsidRPr="00F6639B" w:rsidRDefault="00E440E2"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w:t>
            </w:r>
          </w:p>
        </w:tc>
      </w:tr>
      <w:tr w:rsidR="008C40C5" w:rsidRPr="00F6639B" w14:paraId="23D0C2EA" w14:textId="77777777" w:rsidTr="0049616A">
        <w:tc>
          <w:tcPr>
            <w:tcW w:w="4531" w:type="dxa"/>
            <w:tcBorders>
              <w:right w:val="single" w:sz="4" w:space="0" w:color="auto"/>
            </w:tcBorders>
          </w:tcPr>
          <w:p w14:paraId="0851FFDF" w14:textId="3B1A7A32" w:rsidR="008C40C5" w:rsidRPr="00F6639B" w:rsidRDefault="00512C56"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 xml:space="preserve"> Marteau fond-de-trou</w:t>
            </w:r>
          </w:p>
        </w:tc>
        <w:tc>
          <w:tcPr>
            <w:tcW w:w="4531" w:type="dxa"/>
            <w:tcBorders>
              <w:top w:val="single" w:sz="4" w:space="0" w:color="auto"/>
              <w:left w:val="single" w:sz="4" w:space="0" w:color="auto"/>
              <w:bottom w:val="single" w:sz="4" w:space="0" w:color="auto"/>
              <w:right w:val="single" w:sz="4" w:space="0" w:color="auto"/>
            </w:tcBorders>
          </w:tcPr>
          <w:p w14:paraId="4CD1B31A" w14:textId="212C41AC" w:rsidR="008C40C5" w:rsidRPr="00F6639B" w:rsidRDefault="0049616A"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w:t>
            </w:r>
          </w:p>
        </w:tc>
      </w:tr>
      <w:tr w:rsidR="008C40C5" w:rsidRPr="00F6639B" w14:paraId="6BE55FCB" w14:textId="77777777" w:rsidTr="0049616A">
        <w:tc>
          <w:tcPr>
            <w:tcW w:w="4531" w:type="dxa"/>
            <w:tcBorders>
              <w:right w:val="single" w:sz="4" w:space="0" w:color="auto"/>
            </w:tcBorders>
          </w:tcPr>
          <w:p w14:paraId="69EB09E6" w14:textId="01CEA789" w:rsidR="008C40C5" w:rsidRPr="00F6639B" w:rsidRDefault="00512C56"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 xml:space="preserve"> Taillants Compresseur HP</w:t>
            </w:r>
          </w:p>
        </w:tc>
        <w:tc>
          <w:tcPr>
            <w:tcW w:w="4531" w:type="dxa"/>
            <w:tcBorders>
              <w:top w:val="single" w:sz="4" w:space="0" w:color="auto"/>
              <w:left w:val="single" w:sz="4" w:space="0" w:color="auto"/>
              <w:bottom w:val="single" w:sz="4" w:space="0" w:color="auto"/>
              <w:right w:val="single" w:sz="4" w:space="0" w:color="auto"/>
            </w:tcBorders>
          </w:tcPr>
          <w:p w14:paraId="78E7B3B0" w14:textId="39E02D84" w:rsidR="008C40C5" w:rsidRPr="00F6639B" w:rsidRDefault="0049616A" w:rsidP="008C40C5">
            <w:pPr>
              <w:spacing w:after="120" w:line="240" w:lineRule="auto"/>
              <w:jc w:val="both"/>
              <w:rPr>
                <w:rFonts w:ascii="Times New Roman" w:eastAsia="Times New Roman" w:hAnsi="Times New Roman" w:cs="Times New Roman"/>
                <w:lang w:eastAsia="fr-FR"/>
              </w:rPr>
            </w:pPr>
            <w:r w:rsidRPr="00F6639B">
              <w:rPr>
                <w:rFonts w:ascii="Times New Roman" w:eastAsia="Times New Roman" w:hAnsi="Times New Roman" w:cs="Times New Roman"/>
                <w:lang w:eastAsia="fr-FR"/>
              </w:rPr>
              <w:t>/</w:t>
            </w:r>
          </w:p>
        </w:tc>
      </w:tr>
    </w:tbl>
    <w:p w14:paraId="4C0576A3" w14:textId="77777777" w:rsidR="007D32E0" w:rsidRPr="00F6639B" w:rsidRDefault="007D32E0" w:rsidP="00433868">
      <w:pPr>
        <w:spacing w:after="120" w:line="240" w:lineRule="auto"/>
        <w:jc w:val="both"/>
        <w:rPr>
          <w:rFonts w:ascii="Times New Roman" w:eastAsia="Times New Roman" w:hAnsi="Times New Roman" w:cs="Times New Roman"/>
          <w:sz w:val="24"/>
          <w:szCs w:val="24"/>
          <w:lang w:eastAsia="fr-FR"/>
        </w:rPr>
      </w:pPr>
    </w:p>
    <w:p w14:paraId="285CC97D" w14:textId="28A1389C"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Le matériel, conforme aux réglementations en vigueur, est utilisé, entretenu et vérifié périodiquement.</w:t>
      </w:r>
    </w:p>
    <w:p w14:paraId="56BA63E3" w14:textId="77777777" w:rsidR="007D32E0" w:rsidRPr="00F6639B" w:rsidRDefault="007D32E0" w:rsidP="00433868">
      <w:pPr>
        <w:spacing w:after="120" w:line="240" w:lineRule="auto"/>
        <w:jc w:val="both"/>
        <w:rPr>
          <w:rFonts w:ascii="Times New Roman" w:eastAsia="Times New Roman" w:hAnsi="Times New Roman" w:cs="Times New Roman"/>
          <w:sz w:val="24"/>
          <w:szCs w:val="24"/>
          <w:lang w:eastAsia="fr-FR"/>
        </w:rPr>
      </w:pPr>
    </w:p>
    <w:p w14:paraId="0AAA97DB" w14:textId="73070088" w:rsidR="00433868" w:rsidRPr="00F6639B" w:rsidRDefault="003D553B"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3</w:t>
      </w:r>
      <w:r w:rsidR="00433868" w:rsidRPr="00F6639B">
        <w:rPr>
          <w:rFonts w:ascii="Times New Roman" w:eastAsia="Times New Roman" w:hAnsi="Times New Roman" w:cs="Times New Roman"/>
          <w:sz w:val="24"/>
          <w:szCs w:val="24"/>
          <w:lang w:eastAsia="fr-FR"/>
        </w:rPr>
        <w:t>. L'organisme de certification doit s'assurer que l'entreprise de forage réalise tout ou partie de la pose du matériel</w:t>
      </w:r>
      <w:r w:rsidR="00512C56" w:rsidRPr="00F6639B">
        <w:rPr>
          <w:rFonts w:ascii="Times New Roman" w:eastAsia="Times New Roman" w:hAnsi="Times New Roman" w:cs="Times New Roman"/>
          <w:sz w:val="24"/>
          <w:szCs w:val="24"/>
          <w:lang w:eastAsia="fr-FR"/>
        </w:rPr>
        <w:t>,</w:t>
      </w:r>
      <w:r w:rsidR="00433868"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qu’elle</w:t>
      </w:r>
      <w:r w:rsidR="00433868" w:rsidRPr="00F6639B">
        <w:rPr>
          <w:rFonts w:ascii="Times New Roman" w:eastAsia="Times New Roman" w:hAnsi="Times New Roman" w:cs="Times New Roman"/>
          <w:sz w:val="24"/>
          <w:szCs w:val="24"/>
          <w:lang w:eastAsia="fr-FR"/>
        </w:rPr>
        <w:t xml:space="preserve"> détient toutes les assurances obligatoires </w:t>
      </w:r>
      <w:r w:rsidR="001F411F" w:rsidRPr="00F6639B">
        <w:rPr>
          <w:rFonts w:ascii="Times New Roman" w:eastAsia="Times New Roman" w:hAnsi="Times New Roman" w:cs="Times New Roman"/>
          <w:sz w:val="24"/>
          <w:szCs w:val="24"/>
          <w:lang w:eastAsia="fr-FR"/>
        </w:rPr>
        <w:t>tel que prévu à l’article L. 164-1-1 du code minier</w:t>
      </w:r>
      <w:r w:rsidRPr="00F6639B">
        <w:rPr>
          <w:rFonts w:ascii="Times New Roman" w:eastAsia="Times New Roman" w:hAnsi="Times New Roman" w:cs="Times New Roman"/>
          <w:sz w:val="24"/>
          <w:szCs w:val="24"/>
          <w:lang w:eastAsia="fr-FR"/>
        </w:rPr>
        <w:t xml:space="preserve"> </w:t>
      </w:r>
      <w:r w:rsidR="007D763E" w:rsidRPr="00F6639B">
        <w:rPr>
          <w:rFonts w:ascii="Times New Roman" w:eastAsia="Times New Roman" w:hAnsi="Times New Roman" w:cs="Times New Roman"/>
          <w:sz w:val="24"/>
          <w:szCs w:val="24"/>
          <w:lang w:eastAsia="fr-FR"/>
        </w:rPr>
        <w:t>ainsi que les compétences requises telles que prévues au 1 de la présente annexe. A cet effet, elle fournit la liste des sous-traitants, ainsi que les documents justifiant de leurs compétences.</w:t>
      </w:r>
    </w:p>
    <w:p w14:paraId="4D905F0F"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p>
    <w:p w14:paraId="369BACA0"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br w:type="page"/>
      </w:r>
    </w:p>
    <w:p w14:paraId="0D3A385D" w14:textId="77777777" w:rsidR="00433868" w:rsidRPr="00F6639B" w:rsidRDefault="00433868" w:rsidP="00433868">
      <w:pPr>
        <w:spacing w:after="120" w:line="240" w:lineRule="auto"/>
        <w:jc w:val="both"/>
        <w:rPr>
          <w:rFonts w:ascii="Times New Roman" w:eastAsia="Times New Roman" w:hAnsi="Times New Roman" w:cs="Times New Roman"/>
          <w:b/>
          <w:bCs/>
          <w:sz w:val="24"/>
          <w:szCs w:val="24"/>
          <w:lang w:eastAsia="fr-FR"/>
        </w:rPr>
      </w:pPr>
      <w:r w:rsidRPr="00F6639B">
        <w:rPr>
          <w:rFonts w:ascii="Times New Roman" w:eastAsia="Times New Roman" w:hAnsi="Times New Roman" w:cs="Times New Roman"/>
          <w:b/>
          <w:bCs/>
          <w:sz w:val="24"/>
          <w:szCs w:val="24"/>
          <w:lang w:eastAsia="fr-FR"/>
        </w:rPr>
        <w:t>ANNEXE II : CRITÈRES ADDITIONNELS SPÉCIFIQUES AU RÉFÉRENTIEL DE CERTIFICATION DES ENTREPRISES DE FORAGE RÉALISANT DES ÉCHANGEURS GÉOTHERMIQUES DE MINIME IMPORTANCE OUVERTS</w:t>
      </w:r>
    </w:p>
    <w:p w14:paraId="0D911125" w14:textId="12041602"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Les contrôles de réalisation sur chantier en cours porte</w:t>
      </w:r>
      <w:r w:rsidR="00AE129A" w:rsidRPr="00F6639B">
        <w:rPr>
          <w:rFonts w:ascii="Times New Roman" w:eastAsia="Times New Roman" w:hAnsi="Times New Roman" w:cs="Times New Roman"/>
          <w:sz w:val="24"/>
          <w:szCs w:val="24"/>
          <w:lang w:eastAsia="fr-FR"/>
        </w:rPr>
        <w:t>nt</w:t>
      </w:r>
      <w:r w:rsidRPr="00F6639B">
        <w:rPr>
          <w:rFonts w:ascii="Times New Roman" w:eastAsia="Times New Roman" w:hAnsi="Times New Roman" w:cs="Times New Roman"/>
          <w:sz w:val="24"/>
          <w:szCs w:val="24"/>
          <w:lang w:eastAsia="fr-FR"/>
        </w:rPr>
        <w:t xml:space="preserve"> au minimum sur les points suivants :</w:t>
      </w:r>
    </w:p>
    <w:p w14:paraId="09E08D65" w14:textId="77777777" w:rsidR="00E727C8" w:rsidRPr="00F6639B" w:rsidRDefault="00E727C8" w:rsidP="00433868">
      <w:pPr>
        <w:spacing w:after="120" w:line="240" w:lineRule="auto"/>
        <w:jc w:val="both"/>
        <w:rPr>
          <w:rFonts w:ascii="Times New Roman" w:eastAsia="Times New Roman" w:hAnsi="Times New Roman" w:cs="Times New Roman"/>
          <w:sz w:val="24"/>
          <w:szCs w:val="24"/>
          <w:lang w:eastAsia="fr-FR"/>
        </w:rPr>
      </w:pPr>
    </w:p>
    <w:p w14:paraId="1478138E"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1. Environnement du chantier :</w:t>
      </w:r>
    </w:p>
    <w:p w14:paraId="5D92F71D" w14:textId="73C1BA36" w:rsidR="00433868" w:rsidRPr="00F6639B" w:rsidRDefault="00987CB2"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a)</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s</w:t>
      </w:r>
      <w:r w:rsidR="00433868" w:rsidRPr="00F6639B">
        <w:rPr>
          <w:rFonts w:ascii="Times New Roman" w:eastAsia="Times New Roman" w:hAnsi="Times New Roman" w:cs="Times New Roman"/>
          <w:sz w:val="24"/>
          <w:szCs w:val="24"/>
          <w:lang w:eastAsia="fr-FR"/>
        </w:rPr>
        <w:t>écurisation du chantier (signalétiques, protection de la tête de forage …) ;</w:t>
      </w:r>
    </w:p>
    <w:p w14:paraId="6A1F0D24" w14:textId="3FA491F4"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b)</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é</w:t>
      </w:r>
      <w:r w:rsidR="00433868" w:rsidRPr="00F6639B">
        <w:rPr>
          <w:rFonts w:ascii="Times New Roman" w:eastAsia="Times New Roman" w:hAnsi="Times New Roman" w:cs="Times New Roman"/>
          <w:sz w:val="24"/>
          <w:szCs w:val="24"/>
          <w:lang w:eastAsia="fr-FR"/>
        </w:rPr>
        <w:t>laboration d’un plan de prévention</w:t>
      </w:r>
      <w:r w:rsidR="003D553B" w:rsidRPr="00F6639B">
        <w:rPr>
          <w:rFonts w:ascii="Times New Roman" w:eastAsia="Times New Roman" w:hAnsi="Times New Roman" w:cs="Times New Roman"/>
          <w:sz w:val="24"/>
          <w:szCs w:val="24"/>
          <w:lang w:eastAsia="fr-FR"/>
        </w:rPr>
        <w:t>,</w:t>
      </w:r>
      <w:r w:rsidR="0014070F" w:rsidRPr="00F6639B">
        <w:rPr>
          <w:rFonts w:ascii="Times New Roman" w:eastAsia="Times New Roman" w:hAnsi="Times New Roman" w:cs="Times New Roman"/>
          <w:sz w:val="24"/>
          <w:szCs w:val="24"/>
          <w:lang w:eastAsia="fr-FR"/>
        </w:rPr>
        <w:t xml:space="preserve"> lorsque celui-ci est requis</w:t>
      </w:r>
      <w:r w:rsidR="00241EFB" w:rsidRPr="00F6639B">
        <w:rPr>
          <w:rFonts w:ascii="Times New Roman" w:eastAsia="Times New Roman" w:hAnsi="Times New Roman" w:cs="Times New Roman"/>
          <w:sz w:val="24"/>
          <w:szCs w:val="24"/>
          <w:lang w:eastAsia="fr-FR"/>
        </w:rPr>
        <w:t>,</w:t>
      </w:r>
      <w:r w:rsidR="0014070F" w:rsidRPr="00F6639B">
        <w:rPr>
          <w:rFonts w:ascii="Times New Roman" w:eastAsia="Times New Roman" w:hAnsi="Times New Roman" w:cs="Times New Roman"/>
          <w:sz w:val="24"/>
          <w:szCs w:val="24"/>
          <w:lang w:eastAsia="fr-FR"/>
        </w:rPr>
        <w:t xml:space="preserve"> en application de l'article R. 4512-7 du code du travail</w:t>
      </w:r>
      <w:r w:rsidR="00433868" w:rsidRPr="00F6639B">
        <w:rPr>
          <w:rFonts w:ascii="Times New Roman" w:eastAsia="Times New Roman" w:hAnsi="Times New Roman" w:cs="Times New Roman"/>
          <w:sz w:val="24"/>
          <w:szCs w:val="24"/>
          <w:lang w:eastAsia="fr-FR"/>
        </w:rPr>
        <w:t xml:space="preserve"> ;</w:t>
      </w:r>
    </w:p>
    <w:p w14:paraId="444816B6" w14:textId="79116FD8"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c)</w:t>
      </w:r>
      <w:r w:rsidR="00433868"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p</w:t>
      </w:r>
      <w:r w:rsidR="00433868" w:rsidRPr="00F6639B">
        <w:rPr>
          <w:rFonts w:ascii="Times New Roman" w:eastAsia="Times New Roman" w:hAnsi="Times New Roman" w:cs="Times New Roman"/>
          <w:sz w:val="24"/>
          <w:szCs w:val="24"/>
          <w:lang w:eastAsia="fr-FR"/>
        </w:rPr>
        <w:t>ort des équipements de protection individuels (EPI) définis par le chef ou le responsable de chantier ;</w:t>
      </w:r>
    </w:p>
    <w:p w14:paraId="1C9C2EE4" w14:textId="71EEAB32" w:rsidR="00433868" w:rsidRPr="00F6639B" w:rsidRDefault="00987CB2"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d)</w:t>
      </w:r>
      <w:r w:rsidR="00433868"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p</w:t>
      </w:r>
      <w:r w:rsidR="00433868" w:rsidRPr="00F6639B">
        <w:rPr>
          <w:rFonts w:ascii="Times New Roman" w:eastAsia="Times New Roman" w:hAnsi="Times New Roman" w:cs="Times New Roman"/>
          <w:sz w:val="24"/>
          <w:szCs w:val="24"/>
          <w:lang w:eastAsia="fr-FR"/>
        </w:rPr>
        <w:t>résence des moyens d’appel des secours ;</w:t>
      </w:r>
    </w:p>
    <w:p w14:paraId="72EF0735" w14:textId="38E41C7B"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e)</w:t>
      </w:r>
      <w:r w:rsidR="00433868"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m</w:t>
      </w:r>
      <w:r w:rsidR="00433868" w:rsidRPr="00F6639B">
        <w:rPr>
          <w:rFonts w:ascii="Times New Roman" w:eastAsia="Times New Roman" w:hAnsi="Times New Roman" w:cs="Times New Roman"/>
          <w:sz w:val="24"/>
          <w:szCs w:val="24"/>
          <w:lang w:eastAsia="fr-FR"/>
        </w:rPr>
        <w:t>ise en place de mesures limitant les impacts des travaux sur l'environnement, au travers de</w:t>
      </w:r>
      <w:r w:rsidR="00E041BE" w:rsidRPr="00F6639B">
        <w:rPr>
          <w:rFonts w:ascii="Times New Roman" w:eastAsia="Times New Roman" w:hAnsi="Times New Roman" w:cs="Times New Roman"/>
          <w:sz w:val="24"/>
          <w:szCs w:val="24"/>
          <w:lang w:eastAsia="fr-FR"/>
        </w:rPr>
        <w:t xml:space="preserve"> la présence de dispositifs de s</w:t>
      </w:r>
      <w:r w:rsidR="00433868" w:rsidRPr="00F6639B">
        <w:rPr>
          <w:rFonts w:ascii="Times New Roman" w:eastAsia="Times New Roman" w:hAnsi="Times New Roman" w:cs="Times New Roman"/>
          <w:sz w:val="24"/>
          <w:szCs w:val="24"/>
          <w:lang w:eastAsia="fr-FR"/>
        </w:rPr>
        <w:t xml:space="preserve">tockage, protection et collecte des éventuelles fuites d’hydrocarbures et autres </w:t>
      </w:r>
      <w:r w:rsidR="00DA5AD9" w:rsidRPr="00F6639B">
        <w:rPr>
          <w:rFonts w:ascii="Times New Roman" w:eastAsia="Times New Roman" w:hAnsi="Times New Roman" w:cs="Times New Roman"/>
          <w:sz w:val="24"/>
          <w:szCs w:val="24"/>
          <w:lang w:eastAsia="fr-FR"/>
        </w:rPr>
        <w:t xml:space="preserve">fuites de </w:t>
      </w:r>
      <w:r w:rsidR="00433868" w:rsidRPr="00F6639B">
        <w:rPr>
          <w:rFonts w:ascii="Times New Roman" w:eastAsia="Times New Roman" w:hAnsi="Times New Roman" w:cs="Times New Roman"/>
          <w:sz w:val="24"/>
          <w:szCs w:val="24"/>
          <w:lang w:eastAsia="fr-FR"/>
        </w:rPr>
        <w:t>produits occasionnées par le matériel, les équipements et les maté</w:t>
      </w:r>
      <w:r w:rsidR="00E041BE" w:rsidRPr="00F6639B">
        <w:rPr>
          <w:rFonts w:ascii="Times New Roman" w:eastAsia="Times New Roman" w:hAnsi="Times New Roman" w:cs="Times New Roman"/>
          <w:sz w:val="24"/>
          <w:szCs w:val="24"/>
          <w:lang w:eastAsia="fr-FR"/>
        </w:rPr>
        <w:t>riaux utilisés sur le chantier ainsi que la mise en place de mesure de c</w:t>
      </w:r>
      <w:r w:rsidR="00433868" w:rsidRPr="00F6639B">
        <w:rPr>
          <w:rFonts w:ascii="Times New Roman" w:eastAsia="Times New Roman" w:hAnsi="Times New Roman" w:cs="Times New Roman"/>
          <w:sz w:val="24"/>
          <w:szCs w:val="24"/>
          <w:lang w:eastAsia="fr-FR"/>
        </w:rPr>
        <w:t>ollecte et d’évacuation des déblais, des fluides de forage et de tous déchets produits.</w:t>
      </w:r>
    </w:p>
    <w:p w14:paraId="24F0AE8E" w14:textId="77777777" w:rsidR="00E727C8" w:rsidRPr="00F6639B" w:rsidRDefault="00E727C8" w:rsidP="00E041BE">
      <w:pPr>
        <w:spacing w:after="120" w:line="240" w:lineRule="auto"/>
        <w:ind w:left="1068"/>
        <w:jc w:val="both"/>
        <w:rPr>
          <w:rFonts w:ascii="Times New Roman" w:eastAsia="Times New Roman" w:hAnsi="Times New Roman" w:cs="Times New Roman"/>
          <w:sz w:val="24"/>
          <w:szCs w:val="24"/>
          <w:lang w:eastAsia="fr-FR"/>
        </w:rPr>
      </w:pPr>
    </w:p>
    <w:p w14:paraId="7BB0ADC0"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2. Implantation des forages :</w:t>
      </w:r>
    </w:p>
    <w:p w14:paraId="440687F3" w14:textId="1175900C"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a)</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r</w:t>
      </w:r>
      <w:r w:rsidR="00433868" w:rsidRPr="00F6639B">
        <w:rPr>
          <w:rFonts w:ascii="Times New Roman" w:eastAsia="Times New Roman" w:hAnsi="Times New Roman" w:cs="Times New Roman"/>
          <w:sz w:val="24"/>
          <w:szCs w:val="24"/>
          <w:lang w:eastAsia="fr-FR"/>
        </w:rPr>
        <w:t xml:space="preserve">espect des règles d'implantation des ouvrages prévues par l'arrêté du 25 juin 2015 </w:t>
      </w:r>
      <w:r w:rsidR="00E21F1D" w:rsidRPr="00F6639B">
        <w:rPr>
          <w:rFonts w:ascii="Times New Roman" w:hAnsi="Times New Roman" w:cs="Times New Roman"/>
          <w:sz w:val="24"/>
          <w:szCs w:val="24"/>
        </w:rPr>
        <w:t>relatif aux prescriptions générales applicables aux activités géothermiques de minime importance</w:t>
      </w:r>
      <w:r w:rsidR="008C40C5" w:rsidRPr="00F6639B">
        <w:rPr>
          <w:rFonts w:ascii="Times New Roman" w:hAnsi="Times New Roman" w:cs="Times New Roman"/>
          <w:sz w:val="24"/>
          <w:szCs w:val="24"/>
        </w:rPr>
        <w:t xml:space="preserve"> </w:t>
      </w:r>
      <w:r w:rsidR="00433868" w:rsidRPr="00F6639B">
        <w:rPr>
          <w:rFonts w:ascii="Times New Roman" w:eastAsia="Times New Roman" w:hAnsi="Times New Roman" w:cs="Times New Roman"/>
          <w:sz w:val="24"/>
          <w:szCs w:val="24"/>
          <w:lang w:eastAsia="fr-FR"/>
        </w:rPr>
        <w:t>;</w:t>
      </w:r>
    </w:p>
    <w:p w14:paraId="499A5004" w14:textId="0545694D"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b)</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m</w:t>
      </w:r>
      <w:r w:rsidR="00433868" w:rsidRPr="00F6639B">
        <w:rPr>
          <w:rFonts w:ascii="Times New Roman" w:eastAsia="Times New Roman" w:hAnsi="Times New Roman" w:cs="Times New Roman"/>
          <w:sz w:val="24"/>
          <w:szCs w:val="24"/>
          <w:lang w:eastAsia="fr-FR"/>
        </w:rPr>
        <w:t xml:space="preserve">ise en place de mesures afin de prévenir des impacts sur le bâti et sur les ouvrages souterrains existants afin de respecter les dispositions du dernier alinéa du 2.1 de l’arrêté </w:t>
      </w:r>
      <w:r w:rsidR="00241EFB" w:rsidRPr="00F6639B">
        <w:rPr>
          <w:rFonts w:ascii="Times New Roman" w:eastAsia="Times New Roman" w:hAnsi="Times New Roman" w:cs="Times New Roman"/>
          <w:sz w:val="24"/>
          <w:szCs w:val="24"/>
          <w:lang w:eastAsia="fr-FR"/>
        </w:rPr>
        <w:t>du 25 juin susvisé</w:t>
      </w:r>
      <w:r w:rsidR="00433868" w:rsidRPr="00F6639B">
        <w:rPr>
          <w:rFonts w:ascii="Times New Roman" w:eastAsia="Times New Roman" w:hAnsi="Times New Roman" w:cs="Times New Roman"/>
          <w:sz w:val="24"/>
          <w:szCs w:val="24"/>
          <w:lang w:eastAsia="fr-FR"/>
        </w:rPr>
        <w:t>.</w:t>
      </w:r>
    </w:p>
    <w:p w14:paraId="188F69F9" w14:textId="77777777" w:rsidR="008C40C5" w:rsidRPr="00F6639B" w:rsidRDefault="008C40C5" w:rsidP="00433868">
      <w:pPr>
        <w:spacing w:after="120" w:line="240" w:lineRule="auto"/>
        <w:jc w:val="both"/>
        <w:rPr>
          <w:rFonts w:ascii="Times New Roman" w:eastAsia="Times New Roman" w:hAnsi="Times New Roman" w:cs="Times New Roman"/>
          <w:sz w:val="24"/>
          <w:szCs w:val="24"/>
          <w:lang w:eastAsia="fr-FR"/>
        </w:rPr>
      </w:pPr>
    </w:p>
    <w:p w14:paraId="3FFC8205" w14:textId="12927B43"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3. Conditions techniques de dimensionnement et de réalisation et de protection des échangeurs géothermiques ouverts :</w:t>
      </w:r>
    </w:p>
    <w:p w14:paraId="5514C81E"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a) Dimensionnement des échangeurs : </w:t>
      </w:r>
    </w:p>
    <w:p w14:paraId="5F6E109E" w14:textId="32AA66CA" w:rsidR="00433868" w:rsidRPr="00F6639B" w:rsidRDefault="009F5151"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e dimensionnement des échangeurs géothermiques ouverts doit assurer la tenue et la perf</w:t>
      </w:r>
      <w:r w:rsidRPr="00F6639B">
        <w:rPr>
          <w:rFonts w:ascii="Times New Roman" w:eastAsia="Times New Roman" w:hAnsi="Times New Roman" w:cs="Times New Roman"/>
          <w:sz w:val="24"/>
          <w:szCs w:val="24"/>
          <w:lang w:eastAsia="fr-FR"/>
        </w:rPr>
        <w:t>ormance thermique de l'ouvrage. L</w:t>
      </w:r>
      <w:r w:rsidR="00433868" w:rsidRPr="00F6639B">
        <w:rPr>
          <w:rFonts w:ascii="Times New Roman" w:eastAsia="Times New Roman" w:hAnsi="Times New Roman" w:cs="Times New Roman"/>
          <w:sz w:val="24"/>
          <w:szCs w:val="24"/>
          <w:lang w:eastAsia="fr-FR"/>
        </w:rPr>
        <w:t>e dimensionnement des échangeurs géothermiques ouvert réalisé selon les dispositions de la norme NF X10-999</w:t>
      </w:r>
      <w:r w:rsidR="00EC522F" w:rsidRPr="00F6639B">
        <w:rPr>
          <w:rFonts w:ascii="Times New Roman" w:eastAsia="Times New Roman" w:hAnsi="Times New Roman" w:cs="Times New Roman"/>
          <w:sz w:val="24"/>
          <w:szCs w:val="24"/>
          <w:lang w:eastAsia="fr-FR"/>
        </w:rPr>
        <w:t> : 2014</w:t>
      </w:r>
      <w:r w:rsidR="00433868" w:rsidRPr="00F6639B">
        <w:rPr>
          <w:rFonts w:ascii="Times New Roman" w:eastAsia="Times New Roman" w:hAnsi="Times New Roman" w:cs="Times New Roman"/>
          <w:sz w:val="24"/>
          <w:szCs w:val="24"/>
          <w:lang w:eastAsia="fr-FR"/>
        </w:rPr>
        <w:t xml:space="preserve"> est présumé satisfaire cet objectif.</w:t>
      </w:r>
    </w:p>
    <w:p w14:paraId="1C805EA8"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b) Forage-Tubage :</w:t>
      </w:r>
    </w:p>
    <w:p w14:paraId="03BC2408" w14:textId="431BBD2D"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p</w:t>
      </w:r>
      <w:r w:rsidR="00433868" w:rsidRPr="00F6639B">
        <w:rPr>
          <w:rFonts w:ascii="Times New Roman" w:eastAsia="Times New Roman" w:hAnsi="Times New Roman" w:cs="Times New Roman"/>
          <w:sz w:val="24"/>
          <w:szCs w:val="24"/>
          <w:lang w:eastAsia="fr-FR"/>
        </w:rPr>
        <w:t>rélèvement d'échantillons de terrains traversés lors du forage (</w:t>
      </w:r>
      <w:proofErr w:type="spellStart"/>
      <w:r w:rsidR="00433868" w:rsidRPr="00F6639B">
        <w:rPr>
          <w:rFonts w:ascii="Times New Roman" w:eastAsia="Times New Roman" w:hAnsi="Times New Roman" w:cs="Times New Roman"/>
          <w:sz w:val="24"/>
          <w:szCs w:val="24"/>
          <w:lang w:eastAsia="fr-FR"/>
        </w:rPr>
        <w:t>cuttings</w:t>
      </w:r>
      <w:proofErr w:type="spellEnd"/>
      <w:r w:rsidR="00433868" w:rsidRPr="00F6639B">
        <w:rPr>
          <w:rFonts w:ascii="Times New Roman" w:eastAsia="Times New Roman" w:hAnsi="Times New Roman" w:cs="Times New Roman"/>
          <w:sz w:val="24"/>
          <w:szCs w:val="24"/>
          <w:lang w:eastAsia="fr-FR"/>
        </w:rPr>
        <w:t>) afin notamment d’élaborer la coupe géologique du forage et d’adapter l’équipement du forage en tant que de besoin ;</w:t>
      </w:r>
    </w:p>
    <w:p w14:paraId="63BF07F1" w14:textId="08465DC9"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c</w:t>
      </w:r>
      <w:r w:rsidR="00433868" w:rsidRPr="00F6639B">
        <w:rPr>
          <w:rFonts w:ascii="Times New Roman" w:eastAsia="Times New Roman" w:hAnsi="Times New Roman" w:cs="Times New Roman"/>
          <w:sz w:val="24"/>
          <w:szCs w:val="24"/>
          <w:lang w:eastAsia="fr-FR"/>
        </w:rPr>
        <w:t>ontrôle des pertes de forage ;</w:t>
      </w:r>
    </w:p>
    <w:p w14:paraId="32A09BDE" w14:textId="2A12A530"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p</w:t>
      </w:r>
      <w:r w:rsidR="00433868" w:rsidRPr="00F6639B">
        <w:rPr>
          <w:rFonts w:ascii="Times New Roman" w:eastAsia="Times New Roman" w:hAnsi="Times New Roman" w:cs="Times New Roman"/>
          <w:sz w:val="24"/>
          <w:szCs w:val="24"/>
          <w:lang w:eastAsia="fr-FR"/>
        </w:rPr>
        <w:t xml:space="preserve">résence de la colonne </w:t>
      </w:r>
      <w:proofErr w:type="spellStart"/>
      <w:r w:rsidR="00433868" w:rsidRPr="00F6639B">
        <w:rPr>
          <w:rFonts w:ascii="Times New Roman" w:eastAsia="Times New Roman" w:hAnsi="Times New Roman" w:cs="Times New Roman"/>
          <w:sz w:val="24"/>
          <w:szCs w:val="24"/>
          <w:lang w:eastAsia="fr-FR"/>
        </w:rPr>
        <w:t>captante</w:t>
      </w:r>
      <w:proofErr w:type="spellEnd"/>
      <w:r w:rsidR="00433868" w:rsidRPr="00F6639B">
        <w:rPr>
          <w:rFonts w:ascii="Times New Roman" w:eastAsia="Times New Roman" w:hAnsi="Times New Roman" w:cs="Times New Roman"/>
          <w:sz w:val="24"/>
          <w:szCs w:val="24"/>
          <w:lang w:eastAsia="fr-FR"/>
        </w:rPr>
        <w:t>, composée d'une crépine, de tubes pleins et d'un bouchon de fond au droit de chaque forage ;</w:t>
      </w:r>
    </w:p>
    <w:p w14:paraId="56885C07" w14:textId="525942C2"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(iv)</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c</w:t>
      </w:r>
      <w:r w:rsidR="00433868" w:rsidRPr="00F6639B">
        <w:rPr>
          <w:rFonts w:ascii="Times New Roman" w:eastAsia="Times New Roman" w:hAnsi="Times New Roman" w:cs="Times New Roman"/>
          <w:sz w:val="24"/>
          <w:szCs w:val="24"/>
          <w:lang w:eastAsia="fr-FR"/>
        </w:rPr>
        <w:t>hoix du tubage (matériau, épaisseur) et des raccords (résistance mécanique, étanchéité, raccord fileté si tube PVC) adaptés à la profondeur du forage, à la méthode de cimentation et à la durée de vie de l’ouvrage ;</w:t>
      </w:r>
    </w:p>
    <w:p w14:paraId="483F6437" w14:textId="7E867EF5"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(v)</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d</w:t>
      </w:r>
      <w:r w:rsidR="00433868" w:rsidRPr="00F6639B">
        <w:rPr>
          <w:rFonts w:ascii="Times New Roman" w:eastAsia="Times New Roman" w:hAnsi="Times New Roman" w:cs="Times New Roman"/>
          <w:sz w:val="24"/>
          <w:szCs w:val="24"/>
          <w:lang w:eastAsia="fr-FR"/>
        </w:rPr>
        <w:t xml:space="preserve">iamètres du forage et du tubage en adéquation avec l’épaisseur de massif filtrant requise au droit du forage et permettant la réalisation d'une cimentation entre le tubage de l'ouvrage et le trou nu d'une épaisseur minimale de 4 cm. Le choix des diamètres de </w:t>
      </w:r>
      <w:proofErr w:type="spellStart"/>
      <w:r w:rsidR="00433868" w:rsidRPr="00F6639B">
        <w:rPr>
          <w:rFonts w:ascii="Times New Roman" w:eastAsia="Times New Roman" w:hAnsi="Times New Roman" w:cs="Times New Roman"/>
          <w:sz w:val="24"/>
          <w:szCs w:val="24"/>
          <w:lang w:eastAsia="fr-FR"/>
        </w:rPr>
        <w:t>foration</w:t>
      </w:r>
      <w:proofErr w:type="spellEnd"/>
      <w:r w:rsidR="00433868" w:rsidRPr="00F6639B">
        <w:rPr>
          <w:rFonts w:ascii="Times New Roman" w:eastAsia="Times New Roman" w:hAnsi="Times New Roman" w:cs="Times New Roman"/>
          <w:sz w:val="24"/>
          <w:szCs w:val="24"/>
          <w:lang w:eastAsia="fr-FR"/>
        </w:rPr>
        <w:t xml:space="preserve"> et du tubage de l'équipement réalisé selon le point 3.1.28 de la norme NF X10-999</w:t>
      </w:r>
      <w:r w:rsidR="00EC522F" w:rsidRPr="00F6639B">
        <w:rPr>
          <w:rFonts w:ascii="Times New Roman" w:eastAsia="Times New Roman" w:hAnsi="Times New Roman" w:cs="Times New Roman"/>
          <w:sz w:val="24"/>
          <w:szCs w:val="24"/>
          <w:lang w:eastAsia="fr-FR"/>
        </w:rPr>
        <w:t> : 2014</w:t>
      </w:r>
      <w:r w:rsidR="00433868" w:rsidRPr="00F6639B">
        <w:rPr>
          <w:rFonts w:ascii="Times New Roman" w:eastAsia="Times New Roman" w:hAnsi="Times New Roman" w:cs="Times New Roman"/>
          <w:sz w:val="24"/>
          <w:szCs w:val="24"/>
          <w:lang w:eastAsia="fr-FR"/>
        </w:rPr>
        <w:t xml:space="preserve"> relative aux forages d'eau et de géothermie est réputé satisfaire cet objectif ;</w:t>
      </w:r>
    </w:p>
    <w:p w14:paraId="42F46C7E" w14:textId="7F5809BE"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(vi)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u</w:t>
      </w:r>
      <w:r w:rsidR="00433868" w:rsidRPr="00F6639B">
        <w:rPr>
          <w:rFonts w:ascii="Times New Roman" w:eastAsia="Times New Roman" w:hAnsi="Times New Roman" w:cs="Times New Roman"/>
          <w:sz w:val="24"/>
          <w:szCs w:val="24"/>
          <w:lang w:eastAsia="fr-FR"/>
        </w:rPr>
        <w:t xml:space="preserve">tilisation de centreurs sur le tubage, en conformité avec l'arrêté du 25 juin 2015 </w:t>
      </w:r>
      <w:r w:rsidR="00E21F1D" w:rsidRPr="00F6639B">
        <w:rPr>
          <w:rFonts w:ascii="Times New Roman" w:hAnsi="Times New Roman" w:cs="Times New Roman"/>
          <w:sz w:val="24"/>
          <w:szCs w:val="24"/>
        </w:rPr>
        <w:t>relatif aux prescriptions générales applicables aux activités géothermiques de minime importance</w:t>
      </w:r>
      <w:r w:rsidR="00433868" w:rsidRPr="00F6639B">
        <w:rPr>
          <w:rFonts w:ascii="Times New Roman" w:eastAsia="Times New Roman" w:hAnsi="Times New Roman" w:cs="Times New Roman"/>
          <w:sz w:val="24"/>
          <w:szCs w:val="24"/>
          <w:lang w:eastAsia="fr-FR"/>
        </w:rPr>
        <w:t>. L’écartement entre deux centreurs doit être au maximum de 12 mètres ;</w:t>
      </w:r>
    </w:p>
    <w:p w14:paraId="35F307CC" w14:textId="522B70E4"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(vii)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c</w:t>
      </w:r>
      <w:r w:rsidR="00433868" w:rsidRPr="00F6639B">
        <w:rPr>
          <w:rFonts w:ascii="Times New Roman" w:eastAsia="Times New Roman" w:hAnsi="Times New Roman" w:cs="Times New Roman"/>
          <w:sz w:val="24"/>
          <w:szCs w:val="24"/>
          <w:lang w:eastAsia="fr-FR"/>
        </w:rPr>
        <w:t>ohérence du choix de la crépine avec la granulométrie du terrain et la productivité à fournir.</w:t>
      </w:r>
    </w:p>
    <w:p w14:paraId="477EF7C6"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c) Forage-Massif filtrant :</w:t>
      </w:r>
    </w:p>
    <w:p w14:paraId="6CF43886" w14:textId="1A3965D5"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p</w:t>
      </w:r>
      <w:r w:rsidR="00433868" w:rsidRPr="00F6639B">
        <w:rPr>
          <w:rFonts w:ascii="Times New Roman" w:eastAsia="Times New Roman" w:hAnsi="Times New Roman" w:cs="Times New Roman"/>
          <w:sz w:val="24"/>
          <w:szCs w:val="24"/>
          <w:lang w:eastAsia="fr-FR"/>
        </w:rPr>
        <w:t>résence du massif filtrant en présence de terrains non consolidés.</w:t>
      </w:r>
      <w:r w:rsidR="00241EFB" w:rsidRPr="00F6639B">
        <w:rPr>
          <w:rFonts w:ascii="Times New Roman" w:eastAsia="Times New Roman" w:hAnsi="Times New Roman" w:cs="Times New Roman"/>
          <w:sz w:val="24"/>
          <w:szCs w:val="24"/>
          <w:lang w:eastAsia="fr-FR"/>
        </w:rPr>
        <w:t xml:space="preserve"> </w:t>
      </w:r>
      <w:r w:rsidR="0014070F" w:rsidRPr="00F6639B">
        <w:rPr>
          <w:rFonts w:ascii="Times New Roman" w:eastAsia="Times New Roman" w:hAnsi="Times New Roman" w:cs="Times New Roman"/>
          <w:sz w:val="24"/>
          <w:szCs w:val="24"/>
          <w:lang w:eastAsia="fr-FR"/>
        </w:rPr>
        <w:t xml:space="preserve">Le massif filtrant est constitué de graviers siliceux de préférence roulés, calibrés, lavés ou de billes de verre ou de céramique. La dimension des grains est définie en tenant compte de la granulométrie de la formation captée </w:t>
      </w:r>
      <w:r w:rsidR="00433868" w:rsidRPr="00F6639B">
        <w:rPr>
          <w:rFonts w:ascii="Times New Roman" w:eastAsia="Times New Roman" w:hAnsi="Times New Roman" w:cs="Times New Roman"/>
          <w:sz w:val="24"/>
          <w:szCs w:val="24"/>
          <w:lang w:eastAsia="fr-FR"/>
        </w:rPr>
        <w:t>;</w:t>
      </w:r>
    </w:p>
    <w:p w14:paraId="70296576" w14:textId="6D3E81CB"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s</w:t>
      </w:r>
      <w:r w:rsidR="007D32E0" w:rsidRPr="00F6639B">
        <w:rPr>
          <w:rFonts w:ascii="Times New Roman" w:eastAsia="Times New Roman" w:hAnsi="Times New Roman" w:cs="Times New Roman"/>
          <w:sz w:val="24"/>
          <w:szCs w:val="24"/>
          <w:lang w:eastAsia="fr-FR"/>
        </w:rPr>
        <w:t>i</w:t>
      </w:r>
      <w:r w:rsidR="00433868" w:rsidRPr="00F6639B">
        <w:rPr>
          <w:rFonts w:ascii="Times New Roman" w:eastAsia="Times New Roman" w:hAnsi="Times New Roman" w:cs="Times New Roman"/>
          <w:sz w:val="24"/>
          <w:szCs w:val="24"/>
          <w:lang w:eastAsia="fr-FR"/>
        </w:rPr>
        <w:t xml:space="preserve"> présence de massif filtrant, cohérence de la granulométrie avec le diamètre d'ouverture de la crépine et la productivité à fournir ;</w:t>
      </w:r>
    </w:p>
    <w:p w14:paraId="7F265893" w14:textId="164062FE"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7D32E0" w:rsidRPr="00F6639B">
        <w:rPr>
          <w:rFonts w:ascii="Times New Roman" w:eastAsia="Times New Roman" w:hAnsi="Times New Roman" w:cs="Times New Roman"/>
          <w:sz w:val="24"/>
          <w:szCs w:val="24"/>
          <w:lang w:eastAsia="fr-FR"/>
        </w:rPr>
        <w:t>a</w:t>
      </w:r>
      <w:r w:rsidR="00433868" w:rsidRPr="00F6639B">
        <w:rPr>
          <w:rFonts w:ascii="Times New Roman" w:eastAsia="Times New Roman" w:hAnsi="Times New Roman" w:cs="Times New Roman"/>
          <w:sz w:val="24"/>
          <w:szCs w:val="24"/>
          <w:lang w:eastAsia="fr-FR"/>
        </w:rPr>
        <w:t xml:space="preserve"> mise en œuvre du massif filtrant doit garantir une répartition homogène du gravier sur le périmètre et sur toute la hauteur de la colonne </w:t>
      </w:r>
      <w:proofErr w:type="spellStart"/>
      <w:r w:rsidR="00433868" w:rsidRPr="00F6639B">
        <w:rPr>
          <w:rFonts w:ascii="Times New Roman" w:eastAsia="Times New Roman" w:hAnsi="Times New Roman" w:cs="Times New Roman"/>
          <w:sz w:val="24"/>
          <w:szCs w:val="24"/>
          <w:lang w:eastAsia="fr-FR"/>
        </w:rPr>
        <w:t>captante</w:t>
      </w:r>
      <w:proofErr w:type="spellEnd"/>
      <w:r w:rsidR="00433868" w:rsidRPr="00F6639B">
        <w:rPr>
          <w:rFonts w:ascii="Times New Roman" w:eastAsia="Times New Roman" w:hAnsi="Times New Roman" w:cs="Times New Roman"/>
          <w:sz w:val="24"/>
          <w:szCs w:val="24"/>
          <w:lang w:eastAsia="fr-FR"/>
        </w:rPr>
        <w:t xml:space="preserve">, en maintenant une circulation de fluide constante et en contrôlant la remontée du gravier à la sonde. </w:t>
      </w:r>
    </w:p>
    <w:p w14:paraId="75517488" w14:textId="2A298DC5"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Le massif doit être placé de telle manière que son niveau supérieur soit nettement</w:t>
      </w:r>
      <w:r w:rsidR="00241EFB" w:rsidRPr="00F6639B">
        <w:rPr>
          <w:rFonts w:ascii="Times New Roman" w:eastAsia="Times New Roman" w:hAnsi="Times New Roman" w:cs="Times New Roman"/>
          <w:sz w:val="24"/>
          <w:szCs w:val="24"/>
          <w:lang w:eastAsia="fr-FR"/>
        </w:rPr>
        <w:t xml:space="preserve"> </w:t>
      </w:r>
      <w:r w:rsidR="0014070F" w:rsidRPr="00F6639B">
        <w:rPr>
          <w:rFonts w:ascii="Times New Roman" w:eastAsia="Times New Roman" w:hAnsi="Times New Roman" w:cs="Times New Roman"/>
          <w:sz w:val="24"/>
          <w:szCs w:val="24"/>
          <w:lang w:eastAsia="fr-FR"/>
        </w:rPr>
        <w:t xml:space="preserve">au-dessus du toit de la hauteur </w:t>
      </w:r>
      <w:proofErr w:type="spellStart"/>
      <w:r w:rsidR="0014070F" w:rsidRPr="00F6639B">
        <w:rPr>
          <w:rFonts w:ascii="Times New Roman" w:eastAsia="Times New Roman" w:hAnsi="Times New Roman" w:cs="Times New Roman"/>
          <w:sz w:val="24"/>
          <w:szCs w:val="24"/>
          <w:lang w:eastAsia="fr-FR"/>
        </w:rPr>
        <w:t>crépinée</w:t>
      </w:r>
      <w:proofErr w:type="spellEnd"/>
      <w:r w:rsidR="0014070F" w:rsidRPr="00F6639B">
        <w:rPr>
          <w:rFonts w:ascii="Times New Roman" w:eastAsia="Times New Roman" w:hAnsi="Times New Roman" w:cs="Times New Roman"/>
          <w:sz w:val="24"/>
          <w:szCs w:val="24"/>
          <w:lang w:eastAsia="fr-FR"/>
        </w:rPr>
        <w:t xml:space="preserve"> afin de constituer une réserve à gravier</w:t>
      </w:r>
      <w:r w:rsidRPr="00F6639B">
        <w:rPr>
          <w:rFonts w:ascii="Times New Roman" w:eastAsia="Times New Roman" w:hAnsi="Times New Roman" w:cs="Times New Roman"/>
          <w:sz w:val="24"/>
          <w:szCs w:val="24"/>
          <w:lang w:eastAsia="fr-FR"/>
        </w:rPr>
        <w:t xml:space="preserve">. Le massif filtrant est facultatif dans des formations n'induisant pas de production de particules fines et lorsque la granulométrie des formations est grossière (80 % supérieur à 0,5 mm) ou hétérogène avec des éléments grossiers abondants. L'épaisseur du massif filtrant dans les formations sableuses ne doit pas être inférieure à 75 </w:t>
      </w:r>
      <w:proofErr w:type="spellStart"/>
      <w:r w:rsidRPr="00F6639B">
        <w:rPr>
          <w:rFonts w:ascii="Times New Roman" w:eastAsia="Times New Roman" w:hAnsi="Times New Roman" w:cs="Times New Roman"/>
          <w:sz w:val="24"/>
          <w:szCs w:val="24"/>
          <w:lang w:eastAsia="fr-FR"/>
        </w:rPr>
        <w:t>mm</w:t>
      </w:r>
      <w:r w:rsidR="00EF71CF" w:rsidRPr="00F6639B">
        <w:rPr>
          <w:rFonts w:ascii="Times New Roman" w:eastAsia="Times New Roman" w:hAnsi="Times New Roman" w:cs="Times New Roman"/>
          <w:sz w:val="24"/>
          <w:szCs w:val="24"/>
          <w:lang w:eastAsia="fr-FR"/>
        </w:rPr>
        <w:t>.</w:t>
      </w:r>
      <w:proofErr w:type="spellEnd"/>
      <w:r w:rsidR="009F5151"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 xml:space="preserve">Dans le cas des tubages inférieurs à 165 mm de diamètre extérieur, l'épaisseur du massif filtrant </w:t>
      </w:r>
      <w:proofErr w:type="gramStart"/>
      <w:r w:rsidRPr="00F6639B">
        <w:rPr>
          <w:rFonts w:ascii="Times New Roman" w:eastAsia="Times New Roman" w:hAnsi="Times New Roman" w:cs="Times New Roman"/>
          <w:sz w:val="24"/>
          <w:szCs w:val="24"/>
          <w:lang w:eastAsia="fr-FR"/>
        </w:rPr>
        <w:t>peut être</w:t>
      </w:r>
      <w:proofErr w:type="gramEnd"/>
      <w:r w:rsidRPr="00F6639B">
        <w:rPr>
          <w:rFonts w:ascii="Times New Roman" w:eastAsia="Times New Roman" w:hAnsi="Times New Roman" w:cs="Times New Roman"/>
          <w:sz w:val="24"/>
          <w:szCs w:val="24"/>
          <w:lang w:eastAsia="fr-FR"/>
        </w:rPr>
        <w:t xml:space="preserve"> réduite à 50 </w:t>
      </w:r>
      <w:proofErr w:type="spellStart"/>
      <w:r w:rsidRPr="00F6639B">
        <w:rPr>
          <w:rFonts w:ascii="Times New Roman" w:eastAsia="Times New Roman" w:hAnsi="Times New Roman" w:cs="Times New Roman"/>
          <w:sz w:val="24"/>
          <w:szCs w:val="24"/>
          <w:lang w:eastAsia="fr-FR"/>
        </w:rPr>
        <w:t>mm</w:t>
      </w:r>
      <w:r w:rsidR="00EF71CF" w:rsidRPr="00F6639B">
        <w:rPr>
          <w:rFonts w:ascii="Times New Roman" w:eastAsia="Times New Roman" w:hAnsi="Times New Roman" w:cs="Times New Roman"/>
          <w:sz w:val="24"/>
          <w:szCs w:val="24"/>
          <w:lang w:eastAsia="fr-FR"/>
        </w:rPr>
        <w:t>.</w:t>
      </w:r>
      <w:proofErr w:type="spellEnd"/>
    </w:p>
    <w:p w14:paraId="50F06C6F"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d) Cimentation :</w:t>
      </w:r>
    </w:p>
    <w:p w14:paraId="327CAEE0"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En complément de l'audit sur chantier, l'organisme de certification vérifie auprès de l'entreprise que ses achats facturés de ciment sont proportionnés à son activité.</w:t>
      </w:r>
    </w:p>
    <w:p w14:paraId="744D84F7"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La cimentation préserve la qualité des eaux de la nappe en empêchant :</w:t>
      </w:r>
    </w:p>
    <w:p w14:paraId="5CF2DD68" w14:textId="263C6BDC"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es infiltrations des eaux de ruissellement de surface vers la nappe ;</w:t>
      </w:r>
    </w:p>
    <w:p w14:paraId="6C24CB5A" w14:textId="3CBCE097"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es communications entre nappes d'eau de qualités différentes ;</w:t>
      </w:r>
    </w:p>
    <w:p w14:paraId="5A9A1D1A" w14:textId="7D0C2DBF"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d</w:t>
      </w:r>
      <w:r w:rsidR="00433868" w:rsidRPr="00F6639B">
        <w:rPr>
          <w:rFonts w:ascii="Times New Roman" w:eastAsia="Times New Roman" w:hAnsi="Times New Roman" w:cs="Times New Roman"/>
          <w:sz w:val="24"/>
          <w:szCs w:val="24"/>
          <w:lang w:eastAsia="fr-FR"/>
        </w:rPr>
        <w:t>’assurer la stabilité du forage par le scellement du tubage au terrain ;</w:t>
      </w:r>
    </w:p>
    <w:p w14:paraId="655B4D61" w14:textId="64B8D534"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(iv)</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d</w:t>
      </w:r>
      <w:r w:rsidR="00433868" w:rsidRPr="00F6639B">
        <w:rPr>
          <w:rFonts w:ascii="Times New Roman" w:eastAsia="Times New Roman" w:hAnsi="Times New Roman" w:cs="Times New Roman"/>
          <w:sz w:val="24"/>
          <w:szCs w:val="24"/>
          <w:lang w:eastAsia="fr-FR"/>
        </w:rPr>
        <w:t>’assurer la durée de vie du forage en le protégeant des eaux agressives.</w:t>
      </w:r>
    </w:p>
    <w:p w14:paraId="7AB46165" w14:textId="24C96A4D"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La cimentation doit respecter les exigences prévues au 4.1.5 de l'arrêté du 25 juin 2015 </w:t>
      </w:r>
      <w:r w:rsidR="00E21F1D" w:rsidRPr="00F6639B">
        <w:rPr>
          <w:rFonts w:ascii="Times New Roman" w:hAnsi="Times New Roman" w:cs="Times New Roman"/>
          <w:sz w:val="24"/>
          <w:szCs w:val="24"/>
        </w:rPr>
        <w:t>relatif aux prescriptions générales applicables aux activités géothermiques de minime importance</w:t>
      </w:r>
      <w:r w:rsidRPr="00F6639B">
        <w:rPr>
          <w:rFonts w:ascii="Times New Roman" w:eastAsia="Times New Roman" w:hAnsi="Times New Roman" w:cs="Times New Roman"/>
          <w:sz w:val="24"/>
          <w:szCs w:val="24"/>
          <w:lang w:eastAsia="fr-FR"/>
        </w:rPr>
        <w:t>.</w:t>
      </w:r>
    </w:p>
    <w:p w14:paraId="750953C1"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e) Coulis de ciment :</w:t>
      </w:r>
    </w:p>
    <w:p w14:paraId="01DEFAE5" w14:textId="7D00C7CF"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a qualité du ciment doit être adaptée à la qualité du terrain, de l'eau et à la nature de l'aquifère, en particulier en cas de présence d'évaporites (fiche technique produit fournie par le fabricant) ;</w:t>
      </w:r>
    </w:p>
    <w:p w14:paraId="624BC655" w14:textId="355965FD"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e ciment utilisé dans la fabrication du coulis de ciment n'est pas à prise rapide, ni gélif (fiche technique produit fournie par le fabricant) ;</w:t>
      </w:r>
    </w:p>
    <w:p w14:paraId="10048BFE" w14:textId="43565B09"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 xml:space="preserve">a densité du coulis de ciment est supérieure à 1,7 et respecte les exigences réglementaires prévues au 4.1.5 de l'arrêté du 25 juin 2015 </w:t>
      </w:r>
      <w:r w:rsidR="00E21F1D" w:rsidRPr="00F6639B">
        <w:rPr>
          <w:rFonts w:ascii="Times New Roman" w:hAnsi="Times New Roman" w:cs="Times New Roman"/>
          <w:sz w:val="24"/>
          <w:szCs w:val="24"/>
        </w:rPr>
        <w:t xml:space="preserve">relatif aux prescriptions générales applicables aux activités géothermiques de minime importance </w:t>
      </w:r>
      <w:r w:rsidR="00433868" w:rsidRPr="00F6639B">
        <w:rPr>
          <w:rFonts w:ascii="Times New Roman" w:eastAsia="Times New Roman" w:hAnsi="Times New Roman" w:cs="Times New Roman"/>
          <w:sz w:val="24"/>
          <w:szCs w:val="24"/>
          <w:lang w:eastAsia="fr-FR"/>
        </w:rPr>
        <w:t>;</w:t>
      </w:r>
    </w:p>
    <w:p w14:paraId="197B42FA" w14:textId="0DDC73F6"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(iv)</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s</w:t>
      </w:r>
      <w:r w:rsidR="00433868" w:rsidRPr="00F6639B">
        <w:rPr>
          <w:rFonts w:ascii="Times New Roman" w:eastAsia="Times New Roman" w:hAnsi="Times New Roman" w:cs="Times New Roman"/>
          <w:sz w:val="24"/>
          <w:szCs w:val="24"/>
          <w:lang w:eastAsia="fr-FR"/>
        </w:rPr>
        <w:t>i le coulis de ciment est un mélange ciment-bentonite, respect de la durée d'hydratation (24h minimum, 48 h conseillé).</w:t>
      </w:r>
    </w:p>
    <w:p w14:paraId="2FF6F34C"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f) Injection du coulis de ciment :</w:t>
      </w:r>
    </w:p>
    <w:p w14:paraId="2FE079F6" w14:textId="4999D379"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u</w:t>
      </w:r>
      <w:r w:rsidR="00433868" w:rsidRPr="00F6639B">
        <w:rPr>
          <w:rFonts w:ascii="Times New Roman" w:eastAsia="Times New Roman" w:hAnsi="Times New Roman" w:cs="Times New Roman"/>
          <w:sz w:val="24"/>
          <w:szCs w:val="24"/>
          <w:lang w:eastAsia="fr-FR"/>
        </w:rPr>
        <w:t>tilisation d'un bac mélangeur ou d’une toupie et d'une pompe d'injection du coulis ;</w:t>
      </w:r>
    </w:p>
    <w:p w14:paraId="51B3938E" w14:textId="582207ED"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i</w:t>
      </w:r>
      <w:r w:rsidR="00433868" w:rsidRPr="00F6639B">
        <w:rPr>
          <w:rFonts w:ascii="Times New Roman" w:eastAsia="Times New Roman" w:hAnsi="Times New Roman" w:cs="Times New Roman"/>
          <w:sz w:val="24"/>
          <w:szCs w:val="24"/>
          <w:lang w:eastAsia="fr-FR"/>
        </w:rPr>
        <w:t>njection du coulis de ciment effectuée sous pression par le bas en continu sur toute la hauteur du forage, exception faite de la zone de prélèvement ;</w:t>
      </w:r>
    </w:p>
    <w:p w14:paraId="71308979" w14:textId="337EBBDA"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a technique de cimentation est adaptée en cas d'identification de potentielles zones de perte suspectées ou avérée ;</w:t>
      </w:r>
    </w:p>
    <w:p w14:paraId="6E16CD75" w14:textId="4094A70E"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(iv)</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m</w:t>
      </w:r>
      <w:r w:rsidR="00433868" w:rsidRPr="00F6639B">
        <w:rPr>
          <w:rFonts w:ascii="Times New Roman" w:eastAsia="Times New Roman" w:hAnsi="Times New Roman" w:cs="Times New Roman"/>
          <w:sz w:val="24"/>
          <w:szCs w:val="24"/>
          <w:lang w:eastAsia="fr-FR"/>
        </w:rPr>
        <w:t>inimisation du délai entre la mise en place du tubage définitif et l'injection ;</w:t>
      </w:r>
    </w:p>
    <w:p w14:paraId="32B870A5" w14:textId="314DA425"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(v)</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c</w:t>
      </w:r>
      <w:r w:rsidR="00433868" w:rsidRPr="00F6639B">
        <w:rPr>
          <w:rFonts w:ascii="Times New Roman" w:eastAsia="Times New Roman" w:hAnsi="Times New Roman" w:cs="Times New Roman"/>
          <w:sz w:val="24"/>
          <w:szCs w:val="24"/>
          <w:lang w:eastAsia="fr-FR"/>
        </w:rPr>
        <w:t>ontrôle des volumes et prise d'un échantillon de coulis durant l'injection ;</w:t>
      </w:r>
    </w:p>
    <w:p w14:paraId="68C631CC" w14:textId="0FFEEEA2"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(vi)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p</w:t>
      </w:r>
      <w:r w:rsidR="00433868" w:rsidRPr="00F6639B">
        <w:rPr>
          <w:rFonts w:ascii="Times New Roman" w:eastAsia="Times New Roman" w:hAnsi="Times New Roman" w:cs="Times New Roman"/>
          <w:sz w:val="24"/>
          <w:szCs w:val="24"/>
          <w:lang w:eastAsia="fr-FR"/>
        </w:rPr>
        <w:t>rélèvements d'échantillons de coulis de ciment (étiquetage comportant : référence de l'ouvrage, de la profondeur, et de la date de fabrication).</w:t>
      </w:r>
    </w:p>
    <w:p w14:paraId="1671405F"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g) Développement du forage et pompages d'essais :</w:t>
      </w:r>
    </w:p>
    <w:p w14:paraId="11BF2726" w14:textId="4C71AD74"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 xml:space="preserve">e développement du forage a été effectué en respectant les dispositions du 4.1.10 de l’arrêté du 25 juin 2015 </w:t>
      </w:r>
      <w:r w:rsidR="00E21F1D" w:rsidRPr="00F6639B">
        <w:rPr>
          <w:rFonts w:ascii="Times New Roman" w:hAnsi="Times New Roman" w:cs="Times New Roman"/>
          <w:sz w:val="24"/>
          <w:szCs w:val="24"/>
        </w:rPr>
        <w:t xml:space="preserve">relatif aux prescriptions générales applicables aux activités géothermiques de minime importance </w:t>
      </w:r>
      <w:r w:rsidR="00433868" w:rsidRPr="00F6639B">
        <w:rPr>
          <w:rFonts w:ascii="Times New Roman" w:eastAsia="Times New Roman" w:hAnsi="Times New Roman" w:cs="Times New Roman"/>
          <w:sz w:val="24"/>
          <w:szCs w:val="24"/>
          <w:lang w:eastAsia="fr-FR"/>
        </w:rPr>
        <w:t xml:space="preserve">; </w:t>
      </w:r>
    </w:p>
    <w:p w14:paraId="6D4D9DD7" w14:textId="77540E11"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 xml:space="preserve">e pompage d'essai et le pompage longue durée ont été effectués, avec des durées des paliers conformes aux exigences du 5.1.2 de l'arrêté du 25 juin 2015 </w:t>
      </w:r>
      <w:r w:rsidR="00E21F1D" w:rsidRPr="00F6639B">
        <w:rPr>
          <w:rFonts w:ascii="Times New Roman" w:eastAsia="Times New Roman" w:hAnsi="Times New Roman" w:cs="Times New Roman"/>
          <w:sz w:val="24"/>
          <w:szCs w:val="24"/>
          <w:lang w:eastAsia="fr-FR"/>
        </w:rPr>
        <w:t>précité</w:t>
      </w:r>
      <w:r w:rsidR="00433868" w:rsidRPr="00F6639B">
        <w:rPr>
          <w:rFonts w:ascii="Times New Roman" w:eastAsia="Times New Roman" w:hAnsi="Times New Roman" w:cs="Times New Roman"/>
          <w:sz w:val="24"/>
          <w:szCs w:val="24"/>
          <w:lang w:eastAsia="fr-FR"/>
        </w:rPr>
        <w:t xml:space="preserve"> ;</w:t>
      </w:r>
    </w:p>
    <w:p w14:paraId="55AD346B" w14:textId="6FF25427"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a présence de tube guide sonde piézométrique sur l'ouvrage lors des essais ;</w:t>
      </w:r>
    </w:p>
    <w:p w14:paraId="70C0DBB0" w14:textId="340114A4"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(iv)</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e nettoyage de chaque équipement descendu dans le forage.</w:t>
      </w:r>
    </w:p>
    <w:p w14:paraId="31B8E194"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h) Contrôle des aspects administratifs et réglementaires :</w:t>
      </w:r>
    </w:p>
    <w:p w14:paraId="1CB2C14F" w14:textId="12FBC1FC"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a preuve de dépôt de la télédéclaration ;</w:t>
      </w:r>
    </w:p>
    <w:p w14:paraId="10AEC5AD" w14:textId="4053C369"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 xml:space="preserve">’étude de dimensionnement de l'installation géothermique répondant aux besoins du maitre d’ouvrage et/ou de l’exploitant et </w:t>
      </w:r>
      <w:r w:rsidR="002D4126"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adéquation entre le nombre de forages prévus et les préconisations de l'étude ;</w:t>
      </w:r>
    </w:p>
    <w:p w14:paraId="1BE22663" w14:textId="069F060B" w:rsidR="00433868" w:rsidRPr="00F6639B" w:rsidRDefault="00987CB2" w:rsidP="008C40C5">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(iii)</w:t>
      </w:r>
      <w:r w:rsidR="008C40C5"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a bonne exécution</w:t>
      </w:r>
      <w:r w:rsidR="002D4126" w:rsidRPr="00F6639B">
        <w:rPr>
          <w:rFonts w:ascii="Times New Roman" w:eastAsia="Times New Roman" w:hAnsi="Times New Roman" w:cs="Times New Roman"/>
          <w:sz w:val="24"/>
          <w:szCs w:val="24"/>
          <w:lang w:eastAsia="fr-FR"/>
        </w:rPr>
        <w:t>,</w:t>
      </w:r>
      <w:r w:rsidR="00433868" w:rsidRPr="00F6639B">
        <w:rPr>
          <w:rFonts w:ascii="Times New Roman" w:eastAsia="Times New Roman" w:hAnsi="Times New Roman" w:cs="Times New Roman"/>
          <w:sz w:val="24"/>
          <w:szCs w:val="24"/>
          <w:lang w:eastAsia="fr-FR"/>
        </w:rPr>
        <w:t xml:space="preserve"> par l'entreprise</w:t>
      </w:r>
      <w:r w:rsidR="002D4126" w:rsidRPr="00F6639B">
        <w:rPr>
          <w:rFonts w:ascii="Times New Roman" w:eastAsia="Times New Roman" w:hAnsi="Times New Roman" w:cs="Times New Roman"/>
          <w:sz w:val="24"/>
          <w:szCs w:val="24"/>
          <w:lang w:eastAsia="fr-FR"/>
        </w:rPr>
        <w:t>,</w:t>
      </w:r>
      <w:r w:rsidR="00433868" w:rsidRPr="00F6639B">
        <w:rPr>
          <w:rFonts w:ascii="Times New Roman" w:eastAsia="Times New Roman" w:hAnsi="Times New Roman" w:cs="Times New Roman"/>
          <w:sz w:val="24"/>
          <w:szCs w:val="24"/>
          <w:lang w:eastAsia="fr-FR"/>
        </w:rPr>
        <w:t xml:space="preserve"> des procédures administratives et réglementaires en vigueur et de la déclaration d'intention de commencement de travaux (DICT)</w:t>
      </w:r>
      <w:r w:rsidR="004A3188" w:rsidRPr="00F6639B">
        <w:rPr>
          <w:rFonts w:ascii="Times New Roman" w:eastAsia="Times New Roman" w:hAnsi="Times New Roman" w:cs="Times New Roman"/>
          <w:sz w:val="24"/>
          <w:szCs w:val="24"/>
          <w:lang w:eastAsia="fr-FR"/>
        </w:rPr>
        <w:t xml:space="preserve"> en application du 3</w:t>
      </w:r>
      <w:r w:rsidR="004A3188" w:rsidRPr="00F6639B">
        <w:rPr>
          <w:rFonts w:ascii="Times New Roman" w:eastAsia="Times New Roman" w:hAnsi="Times New Roman" w:cs="Times New Roman"/>
          <w:sz w:val="24"/>
          <w:szCs w:val="24"/>
          <w:vertAlign w:val="superscript"/>
          <w:lang w:eastAsia="fr-FR"/>
        </w:rPr>
        <w:t>ème</w:t>
      </w:r>
      <w:r w:rsidR="004A3188" w:rsidRPr="00F6639B">
        <w:rPr>
          <w:rFonts w:ascii="Times New Roman" w:eastAsia="Times New Roman" w:hAnsi="Times New Roman" w:cs="Times New Roman"/>
          <w:sz w:val="24"/>
          <w:szCs w:val="24"/>
          <w:lang w:eastAsia="fr-FR"/>
        </w:rPr>
        <w:t xml:space="preserve"> alinéa du point 3.2 de l’arrêté du 25 juin 2015 </w:t>
      </w:r>
      <w:r w:rsidR="00E21F1D" w:rsidRPr="00F6639B">
        <w:rPr>
          <w:rFonts w:ascii="Times New Roman" w:hAnsi="Times New Roman" w:cs="Times New Roman"/>
          <w:sz w:val="24"/>
          <w:szCs w:val="24"/>
        </w:rPr>
        <w:t xml:space="preserve">relatif aux prescriptions générales applicables aux activités géothermiques de minime importance </w:t>
      </w:r>
      <w:r w:rsidR="00433868" w:rsidRPr="00F6639B">
        <w:rPr>
          <w:rFonts w:ascii="Times New Roman" w:eastAsia="Times New Roman" w:hAnsi="Times New Roman" w:cs="Times New Roman"/>
          <w:sz w:val="24"/>
          <w:szCs w:val="24"/>
          <w:lang w:eastAsia="fr-FR"/>
        </w:rPr>
        <w:t>compris le respect des exigences réglementaires prévues au dernier alinéa du</w:t>
      </w:r>
      <w:r w:rsidR="004A3188" w:rsidRPr="00F6639B">
        <w:rPr>
          <w:rFonts w:ascii="Times New Roman" w:eastAsia="Times New Roman" w:hAnsi="Times New Roman" w:cs="Times New Roman"/>
          <w:sz w:val="24"/>
          <w:szCs w:val="24"/>
          <w:lang w:eastAsia="fr-FR"/>
        </w:rPr>
        <w:t xml:space="preserve"> point</w:t>
      </w:r>
      <w:r w:rsidR="00433868" w:rsidRPr="00F6639B">
        <w:rPr>
          <w:rFonts w:ascii="Times New Roman" w:eastAsia="Times New Roman" w:hAnsi="Times New Roman" w:cs="Times New Roman"/>
          <w:sz w:val="24"/>
          <w:szCs w:val="24"/>
          <w:lang w:eastAsia="fr-FR"/>
        </w:rPr>
        <w:t xml:space="preserve"> 2.1 de l’arrêté ministériel du 25 juin 2015</w:t>
      </w:r>
      <w:r w:rsidR="003D553B" w:rsidRPr="00F6639B">
        <w:rPr>
          <w:rFonts w:ascii="Times New Roman" w:eastAsia="Times New Roman" w:hAnsi="Times New Roman" w:cs="Times New Roman"/>
          <w:sz w:val="24"/>
          <w:szCs w:val="24"/>
          <w:lang w:eastAsia="fr-FR"/>
        </w:rPr>
        <w:t xml:space="preserve"> </w:t>
      </w:r>
      <w:r w:rsidR="00E21F1D" w:rsidRPr="00F6639B">
        <w:rPr>
          <w:rFonts w:ascii="Times New Roman" w:eastAsia="Times New Roman" w:hAnsi="Times New Roman" w:cs="Times New Roman"/>
          <w:sz w:val="24"/>
          <w:szCs w:val="24"/>
          <w:lang w:eastAsia="fr-FR"/>
        </w:rPr>
        <w:t xml:space="preserve">précité </w:t>
      </w:r>
      <w:r w:rsidR="00433868" w:rsidRPr="00F6639B">
        <w:rPr>
          <w:rFonts w:ascii="Times New Roman" w:eastAsia="Times New Roman" w:hAnsi="Times New Roman" w:cs="Times New Roman"/>
          <w:sz w:val="24"/>
          <w:szCs w:val="24"/>
          <w:lang w:eastAsia="fr-FR"/>
        </w:rPr>
        <w:t>;</w:t>
      </w:r>
    </w:p>
    <w:p w14:paraId="4DE761B5" w14:textId="2675CBE1" w:rsidR="00433868" w:rsidRPr="00F6639B" w:rsidRDefault="00987CB2" w:rsidP="00797249">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(iv)</w:t>
      </w:r>
      <w:r w:rsidR="00797249"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a conformité de la profondeur des forages aux exigences de l’arrêté précité ;</w:t>
      </w:r>
    </w:p>
    <w:p w14:paraId="409C2A01" w14:textId="7F6593FC" w:rsidR="00433868" w:rsidRPr="00F6639B" w:rsidRDefault="00987CB2" w:rsidP="00797249">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(v)</w:t>
      </w:r>
      <w:r w:rsidR="00797249" w:rsidRPr="00F6639B">
        <w:rPr>
          <w:rFonts w:ascii="Times New Roman" w:eastAsia="Times New Roman" w:hAnsi="Times New Roman" w:cs="Times New Roman"/>
          <w:sz w:val="24"/>
          <w:szCs w:val="24"/>
          <w:lang w:eastAsia="fr-FR"/>
        </w:rPr>
        <w:t xml:space="preserve"> </w:t>
      </w:r>
      <w:r w:rsidR="002D4126" w:rsidRPr="00F6639B">
        <w:rPr>
          <w:rFonts w:ascii="Times New Roman" w:eastAsia="Times New Roman" w:hAnsi="Times New Roman" w:cs="Times New Roman"/>
          <w:sz w:val="24"/>
          <w:szCs w:val="24"/>
          <w:lang w:eastAsia="fr-FR"/>
        </w:rPr>
        <w:t>la tenue, par l’entreprise de forage,</w:t>
      </w:r>
      <w:r w:rsidR="00433868" w:rsidRPr="00F6639B">
        <w:rPr>
          <w:rFonts w:ascii="Times New Roman" w:eastAsia="Times New Roman" w:hAnsi="Times New Roman" w:cs="Times New Roman"/>
          <w:sz w:val="24"/>
          <w:szCs w:val="24"/>
          <w:lang w:eastAsia="fr-FR"/>
        </w:rPr>
        <w:t xml:space="preserve"> </w:t>
      </w:r>
      <w:r w:rsidR="002D4126" w:rsidRPr="00F6639B">
        <w:rPr>
          <w:rFonts w:ascii="Times New Roman" w:eastAsia="Times New Roman" w:hAnsi="Times New Roman" w:cs="Times New Roman"/>
          <w:sz w:val="24"/>
          <w:szCs w:val="24"/>
          <w:lang w:eastAsia="fr-FR"/>
        </w:rPr>
        <w:t>d’</w:t>
      </w:r>
      <w:r w:rsidR="00433868" w:rsidRPr="00F6639B">
        <w:rPr>
          <w:rFonts w:ascii="Times New Roman" w:eastAsia="Times New Roman" w:hAnsi="Times New Roman" w:cs="Times New Roman"/>
          <w:sz w:val="24"/>
          <w:szCs w:val="24"/>
          <w:lang w:eastAsia="fr-FR"/>
        </w:rPr>
        <w:t>un cahier de chantier dans lequel sont consignées les informations prévues au</w:t>
      </w:r>
      <w:r w:rsidR="00E64B35" w:rsidRPr="00F6639B">
        <w:rPr>
          <w:rFonts w:ascii="Times New Roman" w:eastAsia="Times New Roman" w:hAnsi="Times New Roman" w:cs="Times New Roman"/>
          <w:sz w:val="24"/>
          <w:szCs w:val="24"/>
          <w:lang w:eastAsia="fr-FR"/>
        </w:rPr>
        <w:t>x</w:t>
      </w:r>
      <w:r w:rsidR="00433868" w:rsidRPr="00F6639B">
        <w:rPr>
          <w:rFonts w:ascii="Times New Roman" w:eastAsia="Times New Roman" w:hAnsi="Times New Roman" w:cs="Times New Roman"/>
          <w:sz w:val="24"/>
          <w:szCs w:val="24"/>
          <w:lang w:eastAsia="fr-FR"/>
        </w:rPr>
        <w:t xml:space="preserve"> 4.1.1 </w:t>
      </w:r>
      <w:r w:rsidR="00E64B35" w:rsidRPr="00F6639B">
        <w:rPr>
          <w:rFonts w:ascii="Times New Roman" w:eastAsia="Times New Roman" w:hAnsi="Times New Roman" w:cs="Times New Roman"/>
          <w:sz w:val="24"/>
          <w:szCs w:val="24"/>
          <w:lang w:eastAsia="fr-FR"/>
        </w:rPr>
        <w:t xml:space="preserve">et 5.1 </w:t>
      </w:r>
      <w:r w:rsidR="00433868" w:rsidRPr="00F6639B">
        <w:rPr>
          <w:rFonts w:ascii="Times New Roman" w:eastAsia="Times New Roman" w:hAnsi="Times New Roman" w:cs="Times New Roman"/>
          <w:sz w:val="24"/>
          <w:szCs w:val="24"/>
          <w:lang w:eastAsia="fr-FR"/>
        </w:rPr>
        <w:t xml:space="preserve">de l’arrêté du 25 juin 2015 </w:t>
      </w:r>
      <w:r w:rsidR="00E21F1D" w:rsidRPr="00F6639B">
        <w:rPr>
          <w:rFonts w:ascii="Times New Roman" w:hAnsi="Times New Roman" w:cs="Times New Roman"/>
          <w:sz w:val="24"/>
          <w:szCs w:val="24"/>
        </w:rPr>
        <w:t xml:space="preserve">relatif aux prescriptions générales applicables aux activités géothermiques de minime importance </w:t>
      </w:r>
      <w:r w:rsidR="00433868" w:rsidRPr="00F6639B">
        <w:rPr>
          <w:rFonts w:ascii="Times New Roman" w:eastAsia="Times New Roman" w:hAnsi="Times New Roman" w:cs="Times New Roman"/>
          <w:sz w:val="24"/>
          <w:szCs w:val="24"/>
          <w:lang w:eastAsia="fr-FR"/>
        </w:rPr>
        <w:t>en fonction de l’état d’avancement du chantier audité. Si le projet de géothermie de minime importance est situé en zone orange, l’organisme de certification doit notamment s’assurer que l'entreprise de forage a pris en compte les éventuelles préconisations de l'hydrogéologue agréé lors des travaux ;</w:t>
      </w:r>
    </w:p>
    <w:p w14:paraId="7B3AD8C0" w14:textId="77777777" w:rsidR="002D4126" w:rsidRPr="00F6639B" w:rsidRDefault="002D4126" w:rsidP="002D4126">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(vi) la réalisation, pour chaque forage, d’une coupe géologique et de la coupe technique dont le contenu est précisé au 5.1 de l’arrêté du 25 juin 2015 </w:t>
      </w:r>
      <w:r w:rsidRPr="00F6639B">
        <w:rPr>
          <w:rFonts w:ascii="Times New Roman" w:hAnsi="Times New Roman" w:cs="Times New Roman"/>
          <w:sz w:val="24"/>
          <w:szCs w:val="24"/>
        </w:rPr>
        <w:t>relatif aux prescriptions générales applicables aux activités géothermiques de minime importance</w:t>
      </w:r>
      <w:r w:rsidRPr="00F6639B">
        <w:rPr>
          <w:rFonts w:ascii="Times New Roman" w:eastAsia="Times New Roman" w:hAnsi="Times New Roman" w:cs="Times New Roman"/>
          <w:sz w:val="24"/>
          <w:szCs w:val="24"/>
          <w:lang w:eastAsia="fr-FR"/>
        </w:rPr>
        <w:t>.</w:t>
      </w:r>
    </w:p>
    <w:p w14:paraId="19146A82" w14:textId="2C53AEC5"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p>
    <w:p w14:paraId="2646BC2F" w14:textId="77777777" w:rsidR="0051051C" w:rsidRPr="00F6639B" w:rsidRDefault="0051051C">
      <w:pPr>
        <w:spacing w:line="259" w:lineRule="auto"/>
        <w:rPr>
          <w:rFonts w:ascii="Times New Roman" w:eastAsia="Times New Roman" w:hAnsi="Times New Roman" w:cs="Times New Roman"/>
          <w:b/>
          <w:bCs/>
          <w:sz w:val="24"/>
          <w:szCs w:val="24"/>
          <w:lang w:eastAsia="fr-FR"/>
        </w:rPr>
      </w:pPr>
      <w:r w:rsidRPr="00F6639B">
        <w:rPr>
          <w:rFonts w:ascii="Times New Roman" w:eastAsia="Times New Roman" w:hAnsi="Times New Roman" w:cs="Times New Roman"/>
          <w:b/>
          <w:bCs/>
          <w:sz w:val="24"/>
          <w:szCs w:val="24"/>
          <w:lang w:eastAsia="fr-FR"/>
        </w:rPr>
        <w:br w:type="page"/>
      </w:r>
    </w:p>
    <w:p w14:paraId="3F46B2CD" w14:textId="21647770" w:rsidR="00433868" w:rsidRPr="00F6639B" w:rsidRDefault="00433868" w:rsidP="00433868">
      <w:pPr>
        <w:spacing w:after="120" w:line="240" w:lineRule="auto"/>
        <w:jc w:val="both"/>
        <w:rPr>
          <w:rFonts w:ascii="Times New Roman" w:eastAsia="Times New Roman" w:hAnsi="Times New Roman" w:cs="Times New Roman"/>
          <w:b/>
          <w:bCs/>
          <w:sz w:val="24"/>
          <w:szCs w:val="24"/>
          <w:lang w:eastAsia="fr-FR"/>
        </w:rPr>
      </w:pPr>
      <w:r w:rsidRPr="00F6639B">
        <w:rPr>
          <w:rFonts w:ascii="Times New Roman" w:eastAsia="Times New Roman" w:hAnsi="Times New Roman" w:cs="Times New Roman"/>
          <w:b/>
          <w:bCs/>
          <w:sz w:val="24"/>
          <w:szCs w:val="24"/>
          <w:lang w:eastAsia="fr-FR"/>
        </w:rPr>
        <w:t>ANNEXE III : CRITÈRES ADDITIONNELS SPÉCIFIQUES AU RÉFÉRENTIEL DE CERTIFICATION DES ENTREPRISES DE FORAGE RÉALISANT DES ÉCHANGEURS GÉOTHERMIQUES DE MINIME IMPORTANCE FERMÉS</w:t>
      </w:r>
    </w:p>
    <w:p w14:paraId="16463772"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Les contrôles de réalisation sur chantier en cours doivent porter au minimum sur les points suivants :</w:t>
      </w:r>
    </w:p>
    <w:p w14:paraId="1EC9C325"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1. Environnement du chantier :</w:t>
      </w:r>
    </w:p>
    <w:p w14:paraId="3D5014CB" w14:textId="651F1891" w:rsidR="00433868" w:rsidRPr="00F6639B" w:rsidRDefault="009F60E6"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a)</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s</w:t>
      </w:r>
      <w:r w:rsidR="00433868" w:rsidRPr="00F6639B">
        <w:rPr>
          <w:rFonts w:ascii="Times New Roman" w:eastAsia="Times New Roman" w:hAnsi="Times New Roman" w:cs="Times New Roman"/>
          <w:sz w:val="24"/>
          <w:szCs w:val="24"/>
          <w:lang w:eastAsia="fr-FR"/>
        </w:rPr>
        <w:t>écurisation du chantier (signalétiques, protection de la tête de forage …) ;</w:t>
      </w:r>
    </w:p>
    <w:p w14:paraId="443A8BFC" w14:textId="5EBE081A"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b)</w:t>
      </w:r>
      <w:r w:rsidR="00433868"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é</w:t>
      </w:r>
      <w:r w:rsidR="00433868" w:rsidRPr="00F6639B">
        <w:rPr>
          <w:rFonts w:ascii="Times New Roman" w:eastAsia="Times New Roman" w:hAnsi="Times New Roman" w:cs="Times New Roman"/>
          <w:sz w:val="24"/>
          <w:szCs w:val="24"/>
          <w:lang w:eastAsia="fr-FR"/>
        </w:rPr>
        <w:t>laboration d’un plan de prévention</w:t>
      </w:r>
      <w:r w:rsidR="00241EFB" w:rsidRPr="00F6639B">
        <w:rPr>
          <w:rFonts w:ascii="Times New Roman" w:eastAsia="Times New Roman" w:hAnsi="Times New Roman" w:cs="Times New Roman"/>
          <w:sz w:val="24"/>
          <w:szCs w:val="24"/>
          <w:lang w:eastAsia="fr-FR"/>
        </w:rPr>
        <w:t>,</w:t>
      </w:r>
      <w:r w:rsidR="0014070F" w:rsidRPr="00F6639B">
        <w:rPr>
          <w:rFonts w:ascii="Times New Roman" w:eastAsia="Times New Roman" w:hAnsi="Times New Roman" w:cs="Times New Roman"/>
          <w:sz w:val="24"/>
          <w:szCs w:val="24"/>
          <w:lang w:eastAsia="fr-FR"/>
        </w:rPr>
        <w:t xml:space="preserve"> lorsque celui-ci est requis</w:t>
      </w:r>
      <w:r w:rsidR="00241EFB" w:rsidRPr="00F6639B">
        <w:rPr>
          <w:rFonts w:ascii="Times New Roman" w:eastAsia="Times New Roman" w:hAnsi="Times New Roman" w:cs="Times New Roman"/>
          <w:sz w:val="24"/>
          <w:szCs w:val="24"/>
          <w:lang w:eastAsia="fr-FR"/>
        </w:rPr>
        <w:t>,</w:t>
      </w:r>
      <w:r w:rsidR="0014070F" w:rsidRPr="00F6639B">
        <w:rPr>
          <w:rFonts w:ascii="Times New Roman" w:eastAsia="Times New Roman" w:hAnsi="Times New Roman" w:cs="Times New Roman"/>
          <w:sz w:val="24"/>
          <w:szCs w:val="24"/>
          <w:lang w:eastAsia="fr-FR"/>
        </w:rPr>
        <w:t xml:space="preserve"> en application de l'article R. 4512-7 du code du travail</w:t>
      </w:r>
      <w:r w:rsidR="00433868" w:rsidRPr="00F6639B">
        <w:rPr>
          <w:rFonts w:ascii="Times New Roman" w:eastAsia="Times New Roman" w:hAnsi="Times New Roman" w:cs="Times New Roman"/>
          <w:sz w:val="24"/>
          <w:szCs w:val="24"/>
          <w:lang w:eastAsia="fr-FR"/>
        </w:rPr>
        <w:t xml:space="preserve"> ;</w:t>
      </w:r>
    </w:p>
    <w:p w14:paraId="15190D07" w14:textId="14ABE14C" w:rsidR="00433868" w:rsidRPr="00F6639B" w:rsidRDefault="009F60E6"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c)</w:t>
      </w:r>
      <w:r w:rsidR="00433868"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p</w:t>
      </w:r>
      <w:r w:rsidR="00433868" w:rsidRPr="00F6639B">
        <w:rPr>
          <w:rFonts w:ascii="Times New Roman" w:eastAsia="Times New Roman" w:hAnsi="Times New Roman" w:cs="Times New Roman"/>
          <w:sz w:val="24"/>
          <w:szCs w:val="24"/>
          <w:lang w:eastAsia="fr-FR"/>
        </w:rPr>
        <w:t>ort des équipements de protection individuels (EPI) définis par le chef de chantier ;</w:t>
      </w:r>
    </w:p>
    <w:p w14:paraId="7D158E25" w14:textId="05E65AAF" w:rsidR="00433868" w:rsidRPr="00F6639B" w:rsidRDefault="009F60E6"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d)</w:t>
      </w:r>
      <w:r w:rsidR="00433868"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p</w:t>
      </w:r>
      <w:r w:rsidR="00433868" w:rsidRPr="00F6639B">
        <w:rPr>
          <w:rFonts w:ascii="Times New Roman" w:eastAsia="Times New Roman" w:hAnsi="Times New Roman" w:cs="Times New Roman"/>
          <w:sz w:val="24"/>
          <w:szCs w:val="24"/>
          <w:lang w:eastAsia="fr-FR"/>
        </w:rPr>
        <w:t>résence des moyens d’appel des secours ;</w:t>
      </w:r>
    </w:p>
    <w:p w14:paraId="51819031" w14:textId="18C37AFB" w:rsidR="0051051C"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e)</w:t>
      </w:r>
      <w:r w:rsidR="00433868"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m</w:t>
      </w:r>
      <w:r w:rsidR="0051051C" w:rsidRPr="00F6639B">
        <w:rPr>
          <w:rFonts w:ascii="Times New Roman" w:eastAsia="Times New Roman" w:hAnsi="Times New Roman" w:cs="Times New Roman"/>
          <w:sz w:val="24"/>
          <w:szCs w:val="24"/>
          <w:lang w:eastAsia="fr-FR"/>
        </w:rPr>
        <w:t>ise en place de mesures limitant les impacts des travaux sur l'environnement, au travers de la présence de dispositifs de stockage, protection et collecte des éventuelles fuites d’hydrocarbures et autres produits occasionnées par le matériel, les équipements et les matériaux utilisés sur le chantier ainsi que la mise en place de mesure de collecte et d’évacuation des déblais, des fluides de forage et de tous déchets produits.</w:t>
      </w:r>
    </w:p>
    <w:p w14:paraId="06B1636B" w14:textId="77777777" w:rsidR="0051051C" w:rsidRPr="00F6639B" w:rsidRDefault="0051051C" w:rsidP="0051051C">
      <w:pPr>
        <w:spacing w:after="120" w:line="240" w:lineRule="auto"/>
        <w:ind w:left="708" w:hanging="708"/>
        <w:jc w:val="both"/>
        <w:rPr>
          <w:rFonts w:ascii="Times New Roman" w:eastAsia="Times New Roman" w:hAnsi="Times New Roman" w:cs="Times New Roman"/>
          <w:sz w:val="24"/>
          <w:szCs w:val="24"/>
          <w:lang w:eastAsia="fr-FR"/>
        </w:rPr>
      </w:pPr>
    </w:p>
    <w:p w14:paraId="4ADA5CD6" w14:textId="728580F6" w:rsidR="00433868" w:rsidRPr="00F6639B" w:rsidRDefault="00433868" w:rsidP="0051051C">
      <w:pPr>
        <w:spacing w:after="120" w:line="240" w:lineRule="auto"/>
        <w:ind w:left="708" w:hanging="708"/>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2. Implantation des forages :</w:t>
      </w:r>
    </w:p>
    <w:p w14:paraId="36285E40" w14:textId="40C25210"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a)</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r</w:t>
      </w:r>
      <w:r w:rsidR="00433868" w:rsidRPr="00F6639B">
        <w:rPr>
          <w:rFonts w:ascii="Times New Roman" w:eastAsia="Times New Roman" w:hAnsi="Times New Roman" w:cs="Times New Roman"/>
          <w:sz w:val="24"/>
          <w:szCs w:val="24"/>
          <w:lang w:eastAsia="fr-FR"/>
        </w:rPr>
        <w:t xml:space="preserve">espect des règles d'implantation des ouvrages prévues par l'arrêté du 25 juin 2015 </w:t>
      </w:r>
      <w:r w:rsidR="00E21F1D" w:rsidRPr="00F6639B">
        <w:rPr>
          <w:rFonts w:ascii="Times New Roman" w:hAnsi="Times New Roman" w:cs="Times New Roman"/>
          <w:sz w:val="24"/>
          <w:szCs w:val="24"/>
        </w:rPr>
        <w:t xml:space="preserve">relatif aux prescriptions générales applicables aux activités géothermiques de minime importance </w:t>
      </w:r>
      <w:r w:rsidR="00433868" w:rsidRPr="00F6639B">
        <w:rPr>
          <w:rFonts w:ascii="Times New Roman" w:eastAsia="Times New Roman" w:hAnsi="Times New Roman" w:cs="Times New Roman"/>
          <w:sz w:val="24"/>
          <w:szCs w:val="24"/>
          <w:lang w:eastAsia="fr-FR"/>
        </w:rPr>
        <w:t>;</w:t>
      </w:r>
    </w:p>
    <w:p w14:paraId="45B4954A" w14:textId="2DE17777"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b)</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m</w:t>
      </w:r>
      <w:r w:rsidR="00433868" w:rsidRPr="00F6639B">
        <w:rPr>
          <w:rFonts w:ascii="Times New Roman" w:eastAsia="Times New Roman" w:hAnsi="Times New Roman" w:cs="Times New Roman"/>
          <w:sz w:val="24"/>
          <w:szCs w:val="24"/>
          <w:lang w:eastAsia="fr-FR"/>
        </w:rPr>
        <w:t xml:space="preserve">ise en place de mesures afin de prévenir des impacts sur le bâti et sur les ouvrages souterrains existants afin de respecter les dispositions du dernier alinéa du 2.1 de l’arrêté </w:t>
      </w:r>
      <w:r w:rsidR="00241EFB" w:rsidRPr="00F6639B">
        <w:rPr>
          <w:rFonts w:ascii="Times New Roman" w:eastAsia="Times New Roman" w:hAnsi="Times New Roman" w:cs="Times New Roman"/>
          <w:sz w:val="24"/>
          <w:szCs w:val="24"/>
          <w:lang w:eastAsia="fr-FR"/>
        </w:rPr>
        <w:t xml:space="preserve">du 25 juin 2015 </w:t>
      </w:r>
      <w:r w:rsidR="00E21F1D" w:rsidRPr="00F6639B">
        <w:rPr>
          <w:rFonts w:ascii="Times New Roman" w:hAnsi="Times New Roman" w:cs="Times New Roman"/>
          <w:sz w:val="24"/>
          <w:szCs w:val="24"/>
        </w:rPr>
        <w:t xml:space="preserve">précité </w:t>
      </w:r>
      <w:r w:rsidR="00433868" w:rsidRPr="00F6639B">
        <w:rPr>
          <w:rFonts w:ascii="Times New Roman" w:eastAsia="Times New Roman" w:hAnsi="Times New Roman" w:cs="Times New Roman"/>
          <w:sz w:val="24"/>
          <w:szCs w:val="24"/>
          <w:lang w:eastAsia="fr-FR"/>
        </w:rPr>
        <w:t>;</w:t>
      </w:r>
    </w:p>
    <w:p w14:paraId="3BD02222" w14:textId="45449AE7"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c)</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a</w:t>
      </w:r>
      <w:r w:rsidR="00433868" w:rsidRPr="00F6639B">
        <w:rPr>
          <w:rFonts w:ascii="Times New Roman" w:eastAsia="Times New Roman" w:hAnsi="Times New Roman" w:cs="Times New Roman"/>
          <w:sz w:val="24"/>
          <w:szCs w:val="24"/>
          <w:lang w:eastAsia="fr-FR"/>
        </w:rPr>
        <w:t>bsence d'ouvrage de captage d'eau dans le forage de géothermie sur sonde.</w:t>
      </w:r>
    </w:p>
    <w:p w14:paraId="4C90F1D9" w14:textId="77777777" w:rsidR="0051051C" w:rsidRPr="00F6639B" w:rsidRDefault="0051051C" w:rsidP="00433868">
      <w:pPr>
        <w:spacing w:after="120" w:line="240" w:lineRule="auto"/>
        <w:jc w:val="both"/>
        <w:rPr>
          <w:rFonts w:ascii="Times New Roman" w:eastAsia="Times New Roman" w:hAnsi="Times New Roman" w:cs="Times New Roman"/>
          <w:sz w:val="24"/>
          <w:szCs w:val="24"/>
          <w:lang w:eastAsia="fr-FR"/>
        </w:rPr>
      </w:pPr>
    </w:p>
    <w:p w14:paraId="3ABA3B8F" w14:textId="5E3FB1B2"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3. Conditions techniques de dimensionnement, de réalisation, et de protection des échangeurs géothermiques fermés :</w:t>
      </w:r>
    </w:p>
    <w:p w14:paraId="158BA230"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a) Dimensionnement des échangeurs :</w:t>
      </w:r>
    </w:p>
    <w:p w14:paraId="28D9B89F" w14:textId="3A004C1B"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Le dimensionnement des échangeurs géothermiques fermés doit assurer la tenue et la performance thermique de l'ouvrage. Le dimensionnement des échangeurs géothermiques fermés réalisé selon les dispositions de la norme NF EN 17522</w:t>
      </w:r>
      <w:r w:rsidR="00EC522F" w:rsidRPr="00F6639B">
        <w:rPr>
          <w:rFonts w:ascii="Times New Roman" w:eastAsia="Times New Roman" w:hAnsi="Times New Roman" w:cs="Times New Roman"/>
          <w:sz w:val="24"/>
          <w:szCs w:val="24"/>
          <w:lang w:eastAsia="fr-FR"/>
        </w:rPr>
        <w:t> : 2023</w:t>
      </w:r>
      <w:r w:rsidRPr="00F6639B">
        <w:rPr>
          <w:rFonts w:ascii="Times New Roman" w:eastAsia="Times New Roman" w:hAnsi="Times New Roman" w:cs="Times New Roman"/>
          <w:sz w:val="24"/>
          <w:szCs w:val="24"/>
          <w:lang w:eastAsia="fr-FR"/>
        </w:rPr>
        <w:t xml:space="preserve"> est présumé satisfaire cet objectif.</w:t>
      </w:r>
    </w:p>
    <w:p w14:paraId="438C738B"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b) Forage :</w:t>
      </w:r>
    </w:p>
    <w:p w14:paraId="7E3975C8" w14:textId="76A3BD82"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d</w:t>
      </w:r>
      <w:r w:rsidR="00433868" w:rsidRPr="00F6639B">
        <w:rPr>
          <w:rFonts w:ascii="Times New Roman" w:eastAsia="Times New Roman" w:hAnsi="Times New Roman" w:cs="Times New Roman"/>
          <w:sz w:val="24"/>
          <w:szCs w:val="24"/>
          <w:lang w:eastAsia="fr-FR"/>
        </w:rPr>
        <w:t>iamètre du trou nu d'au minimum 125 mm, diamètres extérieurs des tubes de la boucle de sonde d'au minimum 32 mm</w:t>
      </w:r>
      <w:r w:rsidR="00523BCA" w:rsidRPr="00F6639B">
        <w:rPr>
          <w:rFonts w:ascii="Times New Roman" w:eastAsia="Times New Roman" w:hAnsi="Times New Roman" w:cs="Times New Roman"/>
          <w:sz w:val="24"/>
          <w:szCs w:val="24"/>
          <w:lang w:eastAsia="fr-FR"/>
        </w:rPr>
        <w:t> ;</w:t>
      </w:r>
    </w:p>
    <w:p w14:paraId="7D687522" w14:textId="505C0EB6"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p</w:t>
      </w:r>
      <w:r w:rsidR="00433868" w:rsidRPr="00F6639B">
        <w:rPr>
          <w:rFonts w:ascii="Times New Roman" w:eastAsia="Times New Roman" w:hAnsi="Times New Roman" w:cs="Times New Roman"/>
          <w:sz w:val="24"/>
          <w:szCs w:val="24"/>
          <w:lang w:eastAsia="fr-FR"/>
        </w:rPr>
        <w:t>rélèvement d'échantillons de terrains traversés lors du forage (</w:t>
      </w:r>
      <w:proofErr w:type="spellStart"/>
      <w:r w:rsidR="00433868" w:rsidRPr="00F6639B">
        <w:rPr>
          <w:rFonts w:ascii="Times New Roman" w:eastAsia="Times New Roman" w:hAnsi="Times New Roman" w:cs="Times New Roman"/>
          <w:sz w:val="24"/>
          <w:szCs w:val="24"/>
          <w:lang w:eastAsia="fr-FR"/>
        </w:rPr>
        <w:t>cuttings</w:t>
      </w:r>
      <w:proofErr w:type="spellEnd"/>
      <w:r w:rsidR="00433868" w:rsidRPr="00F6639B">
        <w:rPr>
          <w:rFonts w:ascii="Times New Roman" w:eastAsia="Times New Roman" w:hAnsi="Times New Roman" w:cs="Times New Roman"/>
          <w:sz w:val="24"/>
          <w:szCs w:val="24"/>
          <w:lang w:eastAsia="fr-FR"/>
        </w:rPr>
        <w:t>) afin notamment d’élaborer la coupe géologique du forage et d’adapter l’équipement du forage en tant que de besoin ;</w:t>
      </w:r>
    </w:p>
    <w:p w14:paraId="2B62A6BE" w14:textId="71295C14"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a</w:t>
      </w:r>
      <w:r w:rsidR="00433868" w:rsidRPr="00F6639B">
        <w:rPr>
          <w:rFonts w:ascii="Times New Roman" w:eastAsia="Times New Roman" w:hAnsi="Times New Roman" w:cs="Times New Roman"/>
          <w:sz w:val="24"/>
          <w:szCs w:val="24"/>
          <w:lang w:eastAsia="fr-FR"/>
        </w:rPr>
        <w:t>bsence de réalisation sur le chantier de soudure ou de raccord mécanique, à l'exception du raccordement de la boucle à l'installation (liaison 1er raccord ou 1er collecteur) ;</w:t>
      </w:r>
    </w:p>
    <w:p w14:paraId="02A39793" w14:textId="52735747"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(iv)</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a</w:t>
      </w:r>
      <w:r w:rsidR="00433868" w:rsidRPr="00F6639B">
        <w:rPr>
          <w:rFonts w:ascii="Times New Roman" w:eastAsia="Times New Roman" w:hAnsi="Times New Roman" w:cs="Times New Roman"/>
          <w:sz w:val="24"/>
          <w:szCs w:val="24"/>
          <w:lang w:eastAsia="fr-FR"/>
        </w:rPr>
        <w:t>ccessibilité de la boucle de sonde pour le raccordement ;</w:t>
      </w:r>
    </w:p>
    <w:p w14:paraId="58FA9FFE" w14:textId="3B117B84"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(v)</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e</w:t>
      </w:r>
      <w:r w:rsidR="00433868" w:rsidRPr="00F6639B">
        <w:rPr>
          <w:rFonts w:ascii="Times New Roman" w:eastAsia="Times New Roman" w:hAnsi="Times New Roman" w:cs="Times New Roman"/>
          <w:sz w:val="24"/>
          <w:szCs w:val="24"/>
          <w:lang w:eastAsia="fr-FR"/>
        </w:rPr>
        <w:t>xistence d'une protection par des bouchons aux extrémités de la sonde.</w:t>
      </w:r>
    </w:p>
    <w:p w14:paraId="21D8B8F5"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c) Conception de la sonde</w:t>
      </w:r>
    </w:p>
    <w:p w14:paraId="123C45C8" w14:textId="5C23A587"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c</w:t>
      </w:r>
      <w:r w:rsidR="00433868" w:rsidRPr="00F6639B">
        <w:rPr>
          <w:rFonts w:ascii="Times New Roman" w:eastAsia="Times New Roman" w:hAnsi="Times New Roman" w:cs="Times New Roman"/>
          <w:sz w:val="24"/>
          <w:szCs w:val="24"/>
          <w:lang w:eastAsia="fr-FR"/>
        </w:rPr>
        <w:t>ontrôle visuel de la boucle de sonde pour déceler toute rayure ou tout autre dommage physique avant installation ;</w:t>
      </w:r>
    </w:p>
    <w:p w14:paraId="2D4DB4AB" w14:textId="257983F0"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’entreprise est en possession du certificat de conformité des boucles de sonde utilisées ;</w:t>
      </w:r>
    </w:p>
    <w:p w14:paraId="1918C1A4" w14:textId="145FC63C"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 xml:space="preserve">’assemblage des tubes </w:t>
      </w:r>
      <w:r w:rsidR="0051051C" w:rsidRPr="00F6639B">
        <w:rPr>
          <w:rFonts w:ascii="Times New Roman" w:eastAsia="Times New Roman" w:hAnsi="Times New Roman" w:cs="Times New Roman"/>
          <w:sz w:val="24"/>
          <w:szCs w:val="24"/>
          <w:lang w:eastAsia="fr-FR"/>
        </w:rPr>
        <w:t>est réalisé</w:t>
      </w:r>
      <w:r w:rsidR="00433868" w:rsidRPr="00F6639B">
        <w:rPr>
          <w:rFonts w:ascii="Times New Roman" w:eastAsia="Times New Roman" w:hAnsi="Times New Roman" w:cs="Times New Roman"/>
          <w:sz w:val="24"/>
          <w:szCs w:val="24"/>
          <w:lang w:eastAsia="fr-FR"/>
        </w:rPr>
        <w:t xml:space="preserve"> sans aucune soudure ni raccord mécanique effectué sur le chantier, excepté pour le raccordement de la boucle à l'installation (liaison 1er raccord ou 1er collecteur).</w:t>
      </w:r>
    </w:p>
    <w:p w14:paraId="65C968EC"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d) Mise en place de la sonde :</w:t>
      </w:r>
    </w:p>
    <w:p w14:paraId="7ACB1659" w14:textId="0C91D67D" w:rsidR="00433868" w:rsidRPr="00F6639B" w:rsidRDefault="00433868"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Utilisation d’un dérouleur ou </w:t>
      </w:r>
      <w:r w:rsidR="009F60E6" w:rsidRPr="00F6639B">
        <w:rPr>
          <w:rFonts w:ascii="Times New Roman" w:eastAsia="Times New Roman" w:hAnsi="Times New Roman" w:cs="Times New Roman"/>
          <w:sz w:val="24"/>
          <w:szCs w:val="24"/>
          <w:lang w:eastAsia="fr-FR"/>
        </w:rPr>
        <w:t xml:space="preserve">de </w:t>
      </w:r>
      <w:r w:rsidRPr="00F6639B">
        <w:rPr>
          <w:rFonts w:ascii="Times New Roman" w:eastAsia="Times New Roman" w:hAnsi="Times New Roman" w:cs="Times New Roman"/>
          <w:sz w:val="24"/>
          <w:szCs w:val="24"/>
          <w:lang w:eastAsia="fr-FR"/>
        </w:rPr>
        <w:t xml:space="preserve">tout autre équipement </w:t>
      </w:r>
      <w:r w:rsidR="009F60E6" w:rsidRPr="00F6639B">
        <w:rPr>
          <w:rFonts w:ascii="Times New Roman" w:eastAsia="Times New Roman" w:hAnsi="Times New Roman" w:cs="Times New Roman"/>
          <w:sz w:val="24"/>
          <w:szCs w:val="24"/>
          <w:lang w:eastAsia="fr-FR"/>
        </w:rPr>
        <w:t xml:space="preserve">qui permette </w:t>
      </w:r>
      <w:r w:rsidRPr="00F6639B">
        <w:rPr>
          <w:rFonts w:ascii="Times New Roman" w:eastAsia="Times New Roman" w:hAnsi="Times New Roman" w:cs="Times New Roman"/>
          <w:sz w:val="24"/>
          <w:szCs w:val="24"/>
          <w:lang w:eastAsia="fr-FR"/>
        </w:rPr>
        <w:t xml:space="preserve">d’éviter les dommages durant la descente de la sonde dans le forage. Pour l'installation de la boucle de </w:t>
      </w:r>
      <w:r w:rsidR="009F60E6" w:rsidRPr="00F6639B">
        <w:rPr>
          <w:rFonts w:ascii="Times New Roman" w:eastAsia="Times New Roman" w:hAnsi="Times New Roman" w:cs="Times New Roman"/>
          <w:sz w:val="24"/>
          <w:szCs w:val="24"/>
          <w:lang w:eastAsia="fr-FR"/>
        </w:rPr>
        <w:t xml:space="preserve">sonde </w:t>
      </w:r>
      <w:r w:rsidRPr="00F6639B">
        <w:rPr>
          <w:rFonts w:ascii="Times New Roman" w:eastAsia="Times New Roman" w:hAnsi="Times New Roman" w:cs="Times New Roman"/>
          <w:sz w:val="24"/>
          <w:szCs w:val="24"/>
          <w:lang w:eastAsia="fr-FR"/>
        </w:rPr>
        <w:t>dans des forages remplis d'eau/de boue de forage, la remplir d'eau (ou, si nécessaire, d'un mélange antigel en cas de risque de gel) et disposer un lest au pied de la boucle de sonde avant installation pour compenser le soulèvement.</w:t>
      </w:r>
    </w:p>
    <w:p w14:paraId="5C2554C2"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e) Cimentation :</w:t>
      </w:r>
    </w:p>
    <w:p w14:paraId="489D0EDA" w14:textId="4C688D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En complément de l'audit sur chantier, l'organisme de certification vérifie auprès de l'entreprise que ses achats facturés de ciment sont proportionnés à son activité.</w:t>
      </w:r>
      <w:r w:rsidR="009F5151" w:rsidRPr="00F6639B">
        <w:rPr>
          <w:rFonts w:ascii="Times New Roman" w:eastAsia="Times New Roman" w:hAnsi="Times New Roman" w:cs="Times New Roman"/>
          <w:sz w:val="24"/>
          <w:szCs w:val="24"/>
          <w:lang w:eastAsia="fr-FR"/>
        </w:rPr>
        <w:t xml:space="preserve"> </w:t>
      </w:r>
      <w:r w:rsidR="004A78D2" w:rsidRPr="00F6639B">
        <w:rPr>
          <w:rFonts w:ascii="Times New Roman" w:eastAsia="Times New Roman" w:hAnsi="Times New Roman" w:cs="Times New Roman"/>
          <w:sz w:val="24"/>
          <w:szCs w:val="24"/>
          <w:lang w:eastAsia="fr-FR"/>
        </w:rPr>
        <w:t xml:space="preserve">La cimentation doit respecter les exigences prévues au 4.1.5 de l'arrêté du 25 juin 2015 </w:t>
      </w:r>
      <w:r w:rsidR="004A78D2" w:rsidRPr="00F6639B">
        <w:rPr>
          <w:rFonts w:ascii="Times New Roman" w:hAnsi="Times New Roman" w:cs="Times New Roman"/>
          <w:sz w:val="24"/>
          <w:szCs w:val="24"/>
        </w:rPr>
        <w:t>relatif aux prescriptions générales applicables aux activités géothermiques de minime importance.</w:t>
      </w:r>
    </w:p>
    <w:p w14:paraId="4C4FAEAA"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f) Coulis de ciment :</w:t>
      </w:r>
    </w:p>
    <w:p w14:paraId="27EC980F" w14:textId="3F555479"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c</w:t>
      </w:r>
      <w:r w:rsidR="00433868" w:rsidRPr="00F6639B">
        <w:rPr>
          <w:rFonts w:ascii="Times New Roman" w:eastAsia="Times New Roman" w:hAnsi="Times New Roman" w:cs="Times New Roman"/>
          <w:sz w:val="24"/>
          <w:szCs w:val="24"/>
          <w:lang w:eastAsia="fr-FR"/>
        </w:rPr>
        <w:t>hoix du coulis géothermique prêt</w:t>
      </w:r>
      <w:r w:rsidR="0051051C" w:rsidRPr="00F6639B">
        <w:rPr>
          <w:rFonts w:ascii="Times New Roman" w:eastAsia="Times New Roman" w:hAnsi="Times New Roman" w:cs="Times New Roman"/>
          <w:sz w:val="24"/>
          <w:szCs w:val="24"/>
          <w:lang w:eastAsia="fr-FR"/>
        </w:rPr>
        <w:t xml:space="preserve"> </w:t>
      </w:r>
      <w:r w:rsidR="00433868" w:rsidRPr="00F6639B">
        <w:rPr>
          <w:rFonts w:ascii="Times New Roman" w:eastAsia="Times New Roman" w:hAnsi="Times New Roman" w:cs="Times New Roman"/>
          <w:sz w:val="24"/>
          <w:szCs w:val="24"/>
          <w:lang w:eastAsia="fr-FR"/>
        </w:rPr>
        <w:t>à</w:t>
      </w:r>
      <w:r w:rsidR="0051051C" w:rsidRPr="00F6639B">
        <w:rPr>
          <w:rFonts w:ascii="Times New Roman" w:eastAsia="Times New Roman" w:hAnsi="Times New Roman" w:cs="Times New Roman"/>
          <w:sz w:val="24"/>
          <w:szCs w:val="24"/>
          <w:lang w:eastAsia="fr-FR"/>
        </w:rPr>
        <w:t xml:space="preserve"> </w:t>
      </w:r>
      <w:r w:rsidR="00433868" w:rsidRPr="00F6639B">
        <w:rPr>
          <w:rFonts w:ascii="Times New Roman" w:eastAsia="Times New Roman" w:hAnsi="Times New Roman" w:cs="Times New Roman"/>
          <w:sz w:val="24"/>
          <w:szCs w:val="24"/>
          <w:lang w:eastAsia="fr-FR"/>
        </w:rPr>
        <w:t>gâcher en fonction des terrains traversés par le forage et de l'hydrogéologie locale ;</w:t>
      </w:r>
    </w:p>
    <w:p w14:paraId="3A924B4B" w14:textId="782F58AA"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 xml:space="preserve">e coulis de ciment est réalisé conformément aux exigences réglementaires prévues au 4.1.5 de l'arrêté du 25 juin 2015 </w:t>
      </w:r>
      <w:r w:rsidR="00E21F1D" w:rsidRPr="00F6639B">
        <w:rPr>
          <w:rFonts w:ascii="Times New Roman" w:hAnsi="Times New Roman" w:cs="Times New Roman"/>
          <w:sz w:val="24"/>
          <w:szCs w:val="24"/>
        </w:rPr>
        <w:t>relatif aux prescriptions générales applicables aux activités géothermiques de minime importance</w:t>
      </w:r>
      <w:r w:rsidR="00433868" w:rsidRPr="00F6639B">
        <w:rPr>
          <w:rFonts w:ascii="Times New Roman" w:eastAsia="Times New Roman" w:hAnsi="Times New Roman" w:cs="Times New Roman"/>
          <w:sz w:val="24"/>
          <w:szCs w:val="24"/>
          <w:lang w:eastAsia="fr-FR"/>
        </w:rPr>
        <w:t>. Il est non gélif et a une conductivité</w:t>
      </w:r>
      <w:r w:rsidR="009F5151" w:rsidRPr="00F6639B">
        <w:rPr>
          <w:rFonts w:ascii="Times New Roman" w:eastAsia="Times New Roman" w:hAnsi="Times New Roman" w:cs="Times New Roman"/>
          <w:sz w:val="24"/>
          <w:szCs w:val="24"/>
          <w:lang w:eastAsia="fr-FR"/>
        </w:rPr>
        <w:t xml:space="preserve"> thermique minimale de 2 W/</w:t>
      </w:r>
      <w:proofErr w:type="spellStart"/>
      <w:proofErr w:type="gramStart"/>
      <w:r w:rsidR="009F5151" w:rsidRPr="00F6639B">
        <w:rPr>
          <w:rFonts w:ascii="Times New Roman" w:eastAsia="Times New Roman" w:hAnsi="Times New Roman" w:cs="Times New Roman"/>
          <w:sz w:val="24"/>
          <w:szCs w:val="24"/>
          <w:lang w:eastAsia="fr-FR"/>
        </w:rPr>
        <w:t>m.K</w:t>
      </w:r>
      <w:proofErr w:type="spellEnd"/>
      <w:proofErr w:type="gramEnd"/>
      <w:r w:rsidR="009F5151" w:rsidRPr="00F6639B">
        <w:rPr>
          <w:rFonts w:ascii="Times New Roman" w:eastAsia="Times New Roman" w:hAnsi="Times New Roman" w:cs="Times New Roman"/>
          <w:sz w:val="24"/>
          <w:szCs w:val="24"/>
          <w:lang w:eastAsia="fr-FR"/>
        </w:rPr>
        <w:t> ;</w:t>
      </w:r>
    </w:p>
    <w:p w14:paraId="195F5FE7" w14:textId="180A80BF"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 xml:space="preserve">es prescriptions du fabricant du mélange de coulis géothermique prêt-à-gâcher respectent les exigences réglementaires prévues au 4.1.5 de l'arrêté </w:t>
      </w:r>
      <w:r w:rsidR="00241EFB" w:rsidRPr="00F6639B">
        <w:rPr>
          <w:rFonts w:ascii="Times New Roman" w:eastAsia="Times New Roman" w:hAnsi="Times New Roman" w:cs="Times New Roman"/>
          <w:sz w:val="24"/>
          <w:szCs w:val="24"/>
          <w:lang w:eastAsia="fr-FR"/>
        </w:rPr>
        <w:t xml:space="preserve">du 25 juin 2015 </w:t>
      </w:r>
      <w:r w:rsidR="00E21F1D" w:rsidRPr="00F6639B">
        <w:rPr>
          <w:rFonts w:ascii="Times New Roman" w:eastAsia="Times New Roman" w:hAnsi="Times New Roman" w:cs="Times New Roman"/>
          <w:sz w:val="24"/>
          <w:szCs w:val="24"/>
          <w:lang w:eastAsia="fr-FR"/>
        </w:rPr>
        <w:t>précité</w:t>
      </w:r>
      <w:r w:rsidR="00433868" w:rsidRPr="00F6639B">
        <w:rPr>
          <w:rFonts w:ascii="Times New Roman" w:eastAsia="Times New Roman" w:hAnsi="Times New Roman" w:cs="Times New Roman"/>
          <w:sz w:val="24"/>
          <w:szCs w:val="24"/>
          <w:lang w:eastAsia="fr-FR"/>
        </w:rPr>
        <w:t>.</w:t>
      </w:r>
    </w:p>
    <w:p w14:paraId="7AEEEAB8"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g) Injection du coulis de ciment :</w:t>
      </w:r>
    </w:p>
    <w:p w14:paraId="3AAF91D3" w14:textId="3C7455F3"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c</w:t>
      </w:r>
      <w:r w:rsidR="00433868" w:rsidRPr="00F6639B">
        <w:rPr>
          <w:rFonts w:ascii="Times New Roman" w:eastAsia="Times New Roman" w:hAnsi="Times New Roman" w:cs="Times New Roman"/>
          <w:sz w:val="24"/>
          <w:szCs w:val="24"/>
          <w:lang w:eastAsia="fr-FR"/>
        </w:rPr>
        <w:t>imentation sur la totalité de la hauteur du forage. La cimentation est réalisée depuis la base jusqu'à la cote de 1 m en dessous du niveau du terrain naturel, hors zones de pertes</w:t>
      </w:r>
      <w:r w:rsidR="00523BCA" w:rsidRPr="00F6639B">
        <w:rPr>
          <w:rFonts w:ascii="Times New Roman" w:eastAsia="Times New Roman" w:hAnsi="Times New Roman" w:cs="Times New Roman"/>
          <w:sz w:val="24"/>
          <w:szCs w:val="24"/>
          <w:lang w:eastAsia="fr-FR"/>
        </w:rPr>
        <w:t xml:space="preserve"> </w:t>
      </w:r>
      <w:r w:rsidR="00433868" w:rsidRPr="00F6639B">
        <w:rPr>
          <w:rFonts w:ascii="Times New Roman" w:eastAsia="Times New Roman" w:hAnsi="Times New Roman" w:cs="Times New Roman"/>
          <w:sz w:val="24"/>
          <w:szCs w:val="24"/>
          <w:lang w:eastAsia="fr-FR"/>
        </w:rPr>
        <w:t>;</w:t>
      </w:r>
    </w:p>
    <w:p w14:paraId="7C7A2497" w14:textId="0F2FB835"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c</w:t>
      </w:r>
      <w:r w:rsidR="00433868" w:rsidRPr="00F6639B">
        <w:rPr>
          <w:rFonts w:ascii="Times New Roman" w:eastAsia="Times New Roman" w:hAnsi="Times New Roman" w:cs="Times New Roman"/>
          <w:sz w:val="24"/>
          <w:szCs w:val="24"/>
          <w:lang w:eastAsia="fr-FR"/>
        </w:rPr>
        <w:t>ontrôle de la méthode de cimentation qui doit inclure une cimentation toute hauteur et de bas en haut ainsi que de sa bonne exécution ;</w:t>
      </w:r>
    </w:p>
    <w:p w14:paraId="74DAA5FF" w14:textId="701691B3"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r</w:t>
      </w:r>
      <w:r w:rsidR="00433868" w:rsidRPr="00F6639B">
        <w:rPr>
          <w:rFonts w:ascii="Times New Roman" w:eastAsia="Times New Roman" w:hAnsi="Times New Roman" w:cs="Times New Roman"/>
          <w:sz w:val="24"/>
          <w:szCs w:val="24"/>
          <w:lang w:eastAsia="fr-FR"/>
        </w:rPr>
        <w:t>espect de l'ordre d'exécution du chantier avec la réalisation de la cimentation dès la pose de la boucle de sonde ;</w:t>
      </w:r>
    </w:p>
    <w:p w14:paraId="031F0C45" w14:textId="39E69D27"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(iv)</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r</w:t>
      </w:r>
      <w:r w:rsidR="00433868" w:rsidRPr="00F6639B">
        <w:rPr>
          <w:rFonts w:ascii="Times New Roman" w:eastAsia="Times New Roman" w:hAnsi="Times New Roman" w:cs="Times New Roman"/>
          <w:sz w:val="24"/>
          <w:szCs w:val="24"/>
          <w:lang w:eastAsia="fr-FR"/>
        </w:rPr>
        <w:t>espect du temps de prise minimum de la cimentation ;</w:t>
      </w:r>
    </w:p>
    <w:p w14:paraId="59266471" w14:textId="102A4554"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(v)</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c</w:t>
      </w:r>
      <w:r w:rsidR="00433868" w:rsidRPr="00F6639B">
        <w:rPr>
          <w:rFonts w:ascii="Times New Roman" w:eastAsia="Times New Roman" w:hAnsi="Times New Roman" w:cs="Times New Roman"/>
          <w:sz w:val="24"/>
          <w:szCs w:val="24"/>
          <w:lang w:eastAsia="fr-FR"/>
        </w:rPr>
        <w:t>ontrôle des volumes et prise d'un échantillon de coulis durant l'injection ;</w:t>
      </w:r>
    </w:p>
    <w:p w14:paraId="30E837CB" w14:textId="148D7D21"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(vi)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p</w:t>
      </w:r>
      <w:r w:rsidR="00433868" w:rsidRPr="00F6639B">
        <w:rPr>
          <w:rFonts w:ascii="Times New Roman" w:eastAsia="Times New Roman" w:hAnsi="Times New Roman" w:cs="Times New Roman"/>
          <w:sz w:val="24"/>
          <w:szCs w:val="24"/>
          <w:lang w:eastAsia="fr-FR"/>
        </w:rPr>
        <w:t>rélèvements d'échantillons de coulis de ciment (étiquetage comportant : référence de l'ouvrage, de la profondeur, et de la date de fabrication).</w:t>
      </w:r>
    </w:p>
    <w:p w14:paraId="57B13113" w14:textId="17308108"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h) Essais de mise en pression</w:t>
      </w:r>
      <w:r w:rsidR="009F5151"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w:t>
      </w:r>
    </w:p>
    <w:p w14:paraId="43B486EF" w14:textId="78243A35" w:rsidR="00433868" w:rsidRPr="00F6639B" w:rsidRDefault="00433868"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Les essais ou épreuves de mise en pression doivent permettre de contrôler l'étanchéité de la sonde, principalement au niveau des soudures du pied de sonde. </w:t>
      </w:r>
      <w:r w:rsidR="009F5151" w:rsidRPr="00F6639B">
        <w:rPr>
          <w:rFonts w:ascii="Times New Roman" w:eastAsia="Times New Roman" w:hAnsi="Times New Roman" w:cs="Times New Roman"/>
          <w:sz w:val="24"/>
          <w:szCs w:val="24"/>
          <w:lang w:eastAsia="fr-FR"/>
        </w:rPr>
        <w:t>Ils</w:t>
      </w:r>
      <w:r w:rsidRPr="00F6639B">
        <w:rPr>
          <w:rFonts w:ascii="Times New Roman" w:eastAsia="Times New Roman" w:hAnsi="Times New Roman" w:cs="Times New Roman"/>
          <w:sz w:val="24"/>
          <w:szCs w:val="24"/>
          <w:lang w:eastAsia="fr-FR"/>
        </w:rPr>
        <w:t xml:space="preserve"> doivent répondre aux exigences du 5.1.1 de l'arrêté du 25 juin 2015 </w:t>
      </w:r>
      <w:r w:rsidR="00E21F1D" w:rsidRPr="00F6639B">
        <w:rPr>
          <w:rFonts w:ascii="Times New Roman" w:hAnsi="Times New Roman" w:cs="Times New Roman"/>
          <w:sz w:val="24"/>
          <w:szCs w:val="24"/>
        </w:rPr>
        <w:t xml:space="preserve">relatif aux prescriptions générales applicables aux activités géothermiques de minime importance. </w:t>
      </w:r>
      <w:r w:rsidRPr="00F6639B">
        <w:rPr>
          <w:rFonts w:ascii="Times New Roman" w:eastAsia="Times New Roman" w:hAnsi="Times New Roman" w:cs="Times New Roman"/>
          <w:sz w:val="24"/>
          <w:szCs w:val="24"/>
          <w:lang w:eastAsia="fr-FR"/>
        </w:rPr>
        <w:t>Les contrôles d'étanchéité de la sonde réalisés dans les conditions de la norme NF EN 17522</w:t>
      </w:r>
      <w:r w:rsidR="00EC522F" w:rsidRPr="00F6639B">
        <w:rPr>
          <w:rFonts w:ascii="Times New Roman" w:eastAsia="Times New Roman" w:hAnsi="Times New Roman" w:cs="Times New Roman"/>
          <w:sz w:val="24"/>
          <w:szCs w:val="24"/>
          <w:lang w:eastAsia="fr-FR"/>
        </w:rPr>
        <w:t> : 2023</w:t>
      </w:r>
      <w:r w:rsidRPr="00F6639B">
        <w:rPr>
          <w:rFonts w:ascii="Times New Roman" w:eastAsia="Times New Roman" w:hAnsi="Times New Roman" w:cs="Times New Roman"/>
          <w:sz w:val="24"/>
          <w:szCs w:val="24"/>
          <w:lang w:eastAsia="fr-FR"/>
        </w:rPr>
        <w:t xml:space="preserve"> sont présumés satisfaire cet objectif ;</w:t>
      </w:r>
    </w:p>
    <w:p w14:paraId="2005D48F"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 Remplissage et raccordement de la boucle de sonde :</w:t>
      </w:r>
    </w:p>
    <w:p w14:paraId="1AB83DDB"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Selon les prestations complémentaires contractuelles passées par le foreur :</w:t>
      </w:r>
    </w:p>
    <w:p w14:paraId="2929AE1C" w14:textId="0CB10EDF"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c</w:t>
      </w:r>
      <w:r w:rsidR="00433868" w:rsidRPr="00F6639B">
        <w:rPr>
          <w:rFonts w:ascii="Times New Roman" w:eastAsia="Times New Roman" w:hAnsi="Times New Roman" w:cs="Times New Roman"/>
          <w:sz w:val="24"/>
          <w:szCs w:val="24"/>
          <w:lang w:eastAsia="fr-FR"/>
        </w:rPr>
        <w:t xml:space="preserve">ontrôle de la conformité du fluide caloporteur (nature et qualité) qui doit respecter les exigences du 4.1.7 de l'arrêté du 25 juin 2015 </w:t>
      </w:r>
      <w:r w:rsidR="00E21F1D" w:rsidRPr="00F6639B">
        <w:rPr>
          <w:rFonts w:ascii="Times New Roman" w:hAnsi="Times New Roman" w:cs="Times New Roman"/>
          <w:sz w:val="24"/>
          <w:szCs w:val="24"/>
        </w:rPr>
        <w:t xml:space="preserve">relatif aux prescriptions générales applicables aux activités géothermiques de minime importance </w:t>
      </w:r>
      <w:r w:rsidR="00433868" w:rsidRPr="00F6639B">
        <w:rPr>
          <w:rFonts w:ascii="Times New Roman" w:eastAsia="Times New Roman" w:hAnsi="Times New Roman" w:cs="Times New Roman"/>
          <w:sz w:val="24"/>
          <w:szCs w:val="24"/>
          <w:lang w:eastAsia="fr-FR"/>
        </w:rPr>
        <w:t>;</w:t>
      </w:r>
    </w:p>
    <w:p w14:paraId="3F0940D0" w14:textId="72610015"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r</w:t>
      </w:r>
      <w:r w:rsidR="00433868" w:rsidRPr="00F6639B">
        <w:rPr>
          <w:rFonts w:ascii="Times New Roman" w:eastAsia="Times New Roman" w:hAnsi="Times New Roman" w:cs="Times New Roman"/>
          <w:sz w:val="24"/>
          <w:szCs w:val="24"/>
          <w:lang w:eastAsia="fr-FR"/>
        </w:rPr>
        <w:t>espect dans les tranchées du rayon de courbure de la sonde prescrit par le fabricant.</w:t>
      </w:r>
    </w:p>
    <w:p w14:paraId="610840D4" w14:textId="77777777" w:rsidR="00433868" w:rsidRPr="00F6639B" w:rsidRDefault="00433868" w:rsidP="00433868">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j) Contrôle des aspects administratifs et réglementaires :</w:t>
      </w:r>
    </w:p>
    <w:p w14:paraId="22EFEF5D" w14:textId="3D8C5256" w:rsidR="00844724"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844724" w:rsidRPr="00F6639B">
        <w:rPr>
          <w:rFonts w:ascii="Times New Roman" w:eastAsia="Times New Roman" w:hAnsi="Times New Roman" w:cs="Times New Roman"/>
          <w:sz w:val="24"/>
          <w:szCs w:val="24"/>
          <w:lang w:eastAsia="fr-FR"/>
        </w:rPr>
        <w:t>a preuve de dépôt de la télédéclaration ;</w:t>
      </w:r>
    </w:p>
    <w:p w14:paraId="14ABF9FB" w14:textId="609B11E0"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844724" w:rsidRPr="00F6639B">
        <w:rPr>
          <w:rFonts w:ascii="Times New Roman" w:eastAsia="Times New Roman" w:hAnsi="Times New Roman" w:cs="Times New Roman"/>
          <w:sz w:val="24"/>
          <w:szCs w:val="24"/>
          <w:lang w:eastAsia="fr-FR"/>
        </w:rPr>
        <w:t>’é</w:t>
      </w:r>
      <w:r w:rsidR="00433868" w:rsidRPr="00F6639B">
        <w:rPr>
          <w:rFonts w:ascii="Times New Roman" w:eastAsia="Times New Roman" w:hAnsi="Times New Roman" w:cs="Times New Roman"/>
          <w:sz w:val="24"/>
          <w:szCs w:val="24"/>
          <w:lang w:eastAsia="fr-FR"/>
        </w:rPr>
        <w:t>tude de dimensionnement de l'installation géothermique répondant aux besoins du ma</w:t>
      </w:r>
      <w:r w:rsidR="0051051C" w:rsidRPr="00F6639B">
        <w:rPr>
          <w:rFonts w:ascii="Times New Roman" w:eastAsia="Times New Roman" w:hAnsi="Times New Roman" w:cs="Times New Roman"/>
          <w:sz w:val="24"/>
          <w:szCs w:val="24"/>
          <w:lang w:eastAsia="fr-FR"/>
        </w:rPr>
        <w:t>î</w:t>
      </w:r>
      <w:r w:rsidR="00433868" w:rsidRPr="00F6639B">
        <w:rPr>
          <w:rFonts w:ascii="Times New Roman" w:eastAsia="Times New Roman" w:hAnsi="Times New Roman" w:cs="Times New Roman"/>
          <w:sz w:val="24"/>
          <w:szCs w:val="24"/>
          <w:lang w:eastAsia="fr-FR"/>
        </w:rPr>
        <w:t xml:space="preserve">tre d’ouvrage et/ou de l’exploitant et </w:t>
      </w:r>
      <w:r w:rsidRPr="00F6639B">
        <w:rPr>
          <w:rFonts w:ascii="Times New Roman" w:eastAsia="Times New Roman" w:hAnsi="Times New Roman" w:cs="Times New Roman"/>
          <w:sz w:val="24"/>
          <w:szCs w:val="24"/>
          <w:lang w:eastAsia="fr-FR"/>
        </w:rPr>
        <w:t>l’</w:t>
      </w:r>
      <w:r w:rsidR="00433868" w:rsidRPr="00F6639B">
        <w:rPr>
          <w:rFonts w:ascii="Times New Roman" w:eastAsia="Times New Roman" w:hAnsi="Times New Roman" w:cs="Times New Roman"/>
          <w:sz w:val="24"/>
          <w:szCs w:val="24"/>
          <w:lang w:eastAsia="fr-FR"/>
        </w:rPr>
        <w:t>adéquation entre le nombre de forages prévus et les préconisations de l'étude ;</w:t>
      </w:r>
    </w:p>
    <w:p w14:paraId="24A1DA6B" w14:textId="651E10C2"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(iii)</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844724" w:rsidRPr="00F6639B">
        <w:rPr>
          <w:rFonts w:ascii="Times New Roman" w:eastAsia="Times New Roman" w:hAnsi="Times New Roman" w:cs="Times New Roman"/>
          <w:sz w:val="24"/>
          <w:szCs w:val="24"/>
          <w:lang w:eastAsia="fr-FR"/>
        </w:rPr>
        <w:t>a b</w:t>
      </w:r>
      <w:r w:rsidR="00433868" w:rsidRPr="00F6639B">
        <w:rPr>
          <w:rFonts w:ascii="Times New Roman" w:eastAsia="Times New Roman" w:hAnsi="Times New Roman" w:cs="Times New Roman"/>
          <w:sz w:val="24"/>
          <w:szCs w:val="24"/>
          <w:lang w:eastAsia="fr-FR"/>
        </w:rPr>
        <w:t>onne exécution</w:t>
      </w:r>
      <w:r w:rsidR="00844724" w:rsidRPr="00F6639B">
        <w:rPr>
          <w:rFonts w:ascii="Times New Roman" w:eastAsia="Times New Roman" w:hAnsi="Times New Roman" w:cs="Times New Roman"/>
          <w:sz w:val="24"/>
          <w:szCs w:val="24"/>
          <w:lang w:eastAsia="fr-FR"/>
        </w:rPr>
        <w:t>,</w:t>
      </w:r>
      <w:r w:rsidR="00433868" w:rsidRPr="00F6639B">
        <w:rPr>
          <w:rFonts w:ascii="Times New Roman" w:eastAsia="Times New Roman" w:hAnsi="Times New Roman" w:cs="Times New Roman"/>
          <w:sz w:val="24"/>
          <w:szCs w:val="24"/>
          <w:lang w:eastAsia="fr-FR"/>
        </w:rPr>
        <w:t xml:space="preserve"> par l'entreprise</w:t>
      </w:r>
      <w:r w:rsidR="00844724" w:rsidRPr="00F6639B">
        <w:rPr>
          <w:rFonts w:ascii="Times New Roman" w:eastAsia="Times New Roman" w:hAnsi="Times New Roman" w:cs="Times New Roman"/>
          <w:sz w:val="24"/>
          <w:szCs w:val="24"/>
          <w:lang w:eastAsia="fr-FR"/>
        </w:rPr>
        <w:t>,</w:t>
      </w:r>
      <w:r w:rsidR="00433868" w:rsidRPr="00F6639B">
        <w:rPr>
          <w:rFonts w:ascii="Times New Roman" w:eastAsia="Times New Roman" w:hAnsi="Times New Roman" w:cs="Times New Roman"/>
          <w:sz w:val="24"/>
          <w:szCs w:val="24"/>
          <w:lang w:eastAsia="fr-FR"/>
        </w:rPr>
        <w:t xml:space="preserve"> des procédures administratives et réglementaires en vigueur et de la déclaration d'intention de commencement de travaux (DICT), </w:t>
      </w:r>
      <w:r w:rsidR="00844724" w:rsidRPr="00F6639B">
        <w:rPr>
          <w:rFonts w:ascii="Times New Roman" w:eastAsia="Times New Roman" w:hAnsi="Times New Roman" w:cs="Times New Roman"/>
          <w:sz w:val="24"/>
          <w:szCs w:val="24"/>
          <w:lang w:eastAsia="fr-FR"/>
        </w:rPr>
        <w:t>en application du 3</w:t>
      </w:r>
      <w:r w:rsidR="00523BCA" w:rsidRPr="00F6639B">
        <w:rPr>
          <w:rFonts w:ascii="Times New Roman" w:eastAsia="Times New Roman" w:hAnsi="Times New Roman" w:cs="Times New Roman"/>
          <w:sz w:val="24"/>
          <w:szCs w:val="24"/>
          <w:vertAlign w:val="superscript"/>
          <w:lang w:eastAsia="fr-FR"/>
        </w:rPr>
        <w:t>e</w:t>
      </w:r>
      <w:r w:rsidR="00844724" w:rsidRPr="00F6639B">
        <w:rPr>
          <w:rFonts w:ascii="Times New Roman" w:eastAsia="Times New Roman" w:hAnsi="Times New Roman" w:cs="Times New Roman"/>
          <w:sz w:val="24"/>
          <w:szCs w:val="24"/>
          <w:lang w:eastAsia="fr-FR"/>
        </w:rPr>
        <w:t xml:space="preserve"> alinéa du point 3.2 de l’arrêté du 25 juin 2015 </w:t>
      </w:r>
      <w:r w:rsidR="00E21F1D" w:rsidRPr="00F6639B">
        <w:rPr>
          <w:rFonts w:ascii="Times New Roman" w:hAnsi="Times New Roman" w:cs="Times New Roman"/>
          <w:sz w:val="24"/>
          <w:szCs w:val="24"/>
        </w:rPr>
        <w:t>relatif aux prescriptions générales applicables aux activités géothermiques de minime importance</w:t>
      </w:r>
      <w:r w:rsidR="00844724" w:rsidRPr="00F6639B">
        <w:rPr>
          <w:rFonts w:ascii="Times New Roman" w:eastAsia="Times New Roman" w:hAnsi="Times New Roman" w:cs="Times New Roman"/>
          <w:sz w:val="24"/>
          <w:szCs w:val="24"/>
          <w:lang w:eastAsia="fr-FR"/>
        </w:rPr>
        <w:t xml:space="preserve">, </w:t>
      </w:r>
      <w:r w:rsidR="00433868" w:rsidRPr="00F6639B">
        <w:rPr>
          <w:rFonts w:ascii="Times New Roman" w:eastAsia="Times New Roman" w:hAnsi="Times New Roman" w:cs="Times New Roman"/>
          <w:sz w:val="24"/>
          <w:szCs w:val="24"/>
          <w:lang w:eastAsia="fr-FR"/>
        </w:rPr>
        <w:t xml:space="preserve">y compris le respect des exigences réglementaires prévues au dernier alinéa du </w:t>
      </w:r>
      <w:r w:rsidR="00844724" w:rsidRPr="00F6639B">
        <w:rPr>
          <w:rFonts w:ascii="Times New Roman" w:eastAsia="Times New Roman" w:hAnsi="Times New Roman" w:cs="Times New Roman"/>
          <w:sz w:val="24"/>
          <w:szCs w:val="24"/>
          <w:lang w:eastAsia="fr-FR"/>
        </w:rPr>
        <w:t xml:space="preserve">point </w:t>
      </w:r>
      <w:r w:rsidR="00433868" w:rsidRPr="00F6639B">
        <w:rPr>
          <w:rFonts w:ascii="Times New Roman" w:eastAsia="Times New Roman" w:hAnsi="Times New Roman" w:cs="Times New Roman"/>
          <w:sz w:val="24"/>
          <w:szCs w:val="24"/>
          <w:lang w:eastAsia="fr-FR"/>
        </w:rPr>
        <w:t xml:space="preserve">2.1 de l’arrêté </w:t>
      </w:r>
      <w:r w:rsidR="00844724" w:rsidRPr="00F6639B">
        <w:rPr>
          <w:rFonts w:ascii="Times New Roman" w:eastAsia="Times New Roman" w:hAnsi="Times New Roman" w:cs="Times New Roman"/>
          <w:sz w:val="24"/>
          <w:szCs w:val="24"/>
          <w:lang w:eastAsia="fr-FR"/>
        </w:rPr>
        <w:t>susmentionné</w:t>
      </w:r>
      <w:r w:rsidR="00433868" w:rsidRPr="00F6639B">
        <w:rPr>
          <w:rFonts w:ascii="Times New Roman" w:eastAsia="Times New Roman" w:hAnsi="Times New Roman" w:cs="Times New Roman"/>
          <w:sz w:val="24"/>
          <w:szCs w:val="24"/>
          <w:lang w:eastAsia="fr-FR"/>
        </w:rPr>
        <w:t xml:space="preserve"> ;</w:t>
      </w:r>
    </w:p>
    <w:p w14:paraId="7044F23E" w14:textId="3E60A090"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(iv)</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l</w:t>
      </w:r>
      <w:r w:rsidR="00844724" w:rsidRPr="00F6639B">
        <w:rPr>
          <w:rFonts w:ascii="Times New Roman" w:eastAsia="Times New Roman" w:hAnsi="Times New Roman" w:cs="Times New Roman"/>
          <w:sz w:val="24"/>
          <w:szCs w:val="24"/>
          <w:lang w:eastAsia="fr-FR"/>
        </w:rPr>
        <w:t>a c</w:t>
      </w:r>
      <w:r w:rsidR="00433868" w:rsidRPr="00F6639B">
        <w:rPr>
          <w:rFonts w:ascii="Times New Roman" w:eastAsia="Times New Roman" w:hAnsi="Times New Roman" w:cs="Times New Roman"/>
          <w:sz w:val="24"/>
          <w:szCs w:val="24"/>
          <w:lang w:eastAsia="fr-FR"/>
        </w:rPr>
        <w:t>onformité de la profondeur des forages aux exigences de l’arrêté précité ;</w:t>
      </w:r>
    </w:p>
    <w:p w14:paraId="200E1748" w14:textId="451C865D" w:rsidR="00433868" w:rsidRPr="00F6639B" w:rsidRDefault="009F60E6" w:rsidP="00523BCA">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(v)</w:t>
      </w:r>
      <w:r w:rsidR="00523BCA" w:rsidRPr="00F6639B">
        <w:rPr>
          <w:rFonts w:ascii="Times New Roman" w:eastAsia="Times New Roman" w:hAnsi="Times New Roman" w:cs="Times New Roman"/>
          <w:sz w:val="24"/>
          <w:szCs w:val="24"/>
          <w:lang w:eastAsia="fr-FR"/>
        </w:rPr>
        <w:t xml:space="preserve"> </w:t>
      </w:r>
      <w:r w:rsidRPr="00F6639B">
        <w:rPr>
          <w:rFonts w:ascii="Times New Roman" w:eastAsia="Times New Roman" w:hAnsi="Times New Roman" w:cs="Times New Roman"/>
          <w:sz w:val="24"/>
          <w:szCs w:val="24"/>
          <w:lang w:eastAsia="fr-FR"/>
        </w:rPr>
        <w:t xml:space="preserve">la tenue, par l’entreprise de forage, d’un cahier de chantier </w:t>
      </w:r>
      <w:r w:rsidR="00433868" w:rsidRPr="00F6639B">
        <w:rPr>
          <w:rFonts w:ascii="Times New Roman" w:eastAsia="Times New Roman" w:hAnsi="Times New Roman" w:cs="Times New Roman"/>
          <w:sz w:val="24"/>
          <w:szCs w:val="24"/>
          <w:lang w:eastAsia="fr-FR"/>
        </w:rPr>
        <w:t>dans lequel sont consignées les informations prévues au</w:t>
      </w:r>
      <w:r w:rsidRPr="00F6639B">
        <w:rPr>
          <w:rFonts w:ascii="Times New Roman" w:eastAsia="Times New Roman" w:hAnsi="Times New Roman" w:cs="Times New Roman"/>
          <w:sz w:val="24"/>
          <w:szCs w:val="24"/>
          <w:lang w:eastAsia="fr-FR"/>
        </w:rPr>
        <w:t>x</w:t>
      </w:r>
      <w:r w:rsidR="00433868" w:rsidRPr="00F6639B">
        <w:rPr>
          <w:rFonts w:ascii="Times New Roman" w:eastAsia="Times New Roman" w:hAnsi="Times New Roman" w:cs="Times New Roman"/>
          <w:sz w:val="24"/>
          <w:szCs w:val="24"/>
          <w:lang w:eastAsia="fr-FR"/>
        </w:rPr>
        <w:t xml:space="preserve"> 4.1.1 </w:t>
      </w:r>
      <w:r w:rsidRPr="00F6639B">
        <w:rPr>
          <w:rFonts w:ascii="Times New Roman" w:eastAsia="Times New Roman" w:hAnsi="Times New Roman" w:cs="Times New Roman"/>
          <w:sz w:val="24"/>
          <w:szCs w:val="24"/>
          <w:lang w:eastAsia="fr-FR"/>
        </w:rPr>
        <w:t xml:space="preserve">et 5.1 </w:t>
      </w:r>
      <w:r w:rsidR="00433868" w:rsidRPr="00F6639B">
        <w:rPr>
          <w:rFonts w:ascii="Times New Roman" w:eastAsia="Times New Roman" w:hAnsi="Times New Roman" w:cs="Times New Roman"/>
          <w:sz w:val="24"/>
          <w:szCs w:val="24"/>
          <w:lang w:eastAsia="fr-FR"/>
        </w:rPr>
        <w:t xml:space="preserve">de l’arrêté du 25 juin 2015 </w:t>
      </w:r>
      <w:r w:rsidR="00E21F1D" w:rsidRPr="00F6639B">
        <w:rPr>
          <w:rFonts w:ascii="Times New Roman" w:eastAsia="Times New Roman" w:hAnsi="Times New Roman" w:cs="Times New Roman"/>
          <w:sz w:val="24"/>
          <w:szCs w:val="24"/>
          <w:lang w:eastAsia="fr-FR"/>
        </w:rPr>
        <w:t>précité</w:t>
      </w:r>
      <w:r w:rsidR="00433868" w:rsidRPr="00F6639B">
        <w:rPr>
          <w:rFonts w:ascii="Times New Roman" w:eastAsia="Times New Roman" w:hAnsi="Times New Roman" w:cs="Times New Roman"/>
          <w:sz w:val="24"/>
          <w:szCs w:val="24"/>
          <w:lang w:eastAsia="fr-FR"/>
        </w:rPr>
        <w:t xml:space="preserve"> en fonction de l’état d’avancement du chantier audité. Si le projet de géothermie de minime importance est situé en zone orange, l’organisme de certification doit notamment s’assurer que l'entreprise de forage a pris en compte les éventuelles préconisations de l'hydrogéologue agréé lors des travaux ;</w:t>
      </w:r>
    </w:p>
    <w:p w14:paraId="44BAF06A" w14:textId="003C0DD9" w:rsidR="002D4126" w:rsidRPr="00F6639B" w:rsidRDefault="002D4126" w:rsidP="002D4126">
      <w:pPr>
        <w:spacing w:after="120" w:line="240" w:lineRule="auto"/>
        <w:jc w:val="both"/>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t xml:space="preserve">(vi) la réalisation, pour chaque forage, d’une coupe géologique et de la coupe technique dont le contenu est précisé au 5.1 de l’arrêté du 25 juin 2015 </w:t>
      </w:r>
      <w:r w:rsidRPr="00F6639B">
        <w:rPr>
          <w:rFonts w:ascii="Times New Roman" w:hAnsi="Times New Roman" w:cs="Times New Roman"/>
          <w:sz w:val="24"/>
          <w:szCs w:val="24"/>
        </w:rPr>
        <w:t>relatif aux prescriptions générales applicables aux activités géothermiques de minime importance</w:t>
      </w:r>
      <w:r w:rsidRPr="00F6639B">
        <w:rPr>
          <w:rFonts w:ascii="Times New Roman" w:eastAsia="Times New Roman" w:hAnsi="Times New Roman" w:cs="Times New Roman"/>
          <w:sz w:val="24"/>
          <w:szCs w:val="24"/>
          <w:lang w:eastAsia="fr-FR"/>
        </w:rPr>
        <w:t>.</w:t>
      </w:r>
    </w:p>
    <w:bookmarkEnd w:id="4"/>
    <w:p w14:paraId="530C0FAE" w14:textId="77777777" w:rsidR="0051051C" w:rsidRPr="00F6639B" w:rsidRDefault="0051051C">
      <w:pPr>
        <w:spacing w:line="259" w:lineRule="auto"/>
        <w:rPr>
          <w:rFonts w:ascii="Times New Roman" w:eastAsia="Times New Roman" w:hAnsi="Times New Roman" w:cs="Times New Roman"/>
          <w:sz w:val="24"/>
          <w:szCs w:val="24"/>
          <w:lang w:eastAsia="fr-FR"/>
        </w:rPr>
      </w:pPr>
      <w:r w:rsidRPr="00F6639B">
        <w:rPr>
          <w:rFonts w:ascii="Times New Roman" w:eastAsia="Times New Roman" w:hAnsi="Times New Roman" w:cs="Times New Roman"/>
          <w:sz w:val="24"/>
          <w:szCs w:val="24"/>
          <w:lang w:eastAsia="fr-FR"/>
        </w:rPr>
        <w:br w:type="page"/>
      </w:r>
    </w:p>
    <w:p w14:paraId="1C54803C" w14:textId="3D9D729F" w:rsidR="00D260EA" w:rsidRPr="00F6639B" w:rsidRDefault="00D260EA" w:rsidP="00E440E2">
      <w:pPr>
        <w:spacing w:before="100" w:beforeAutospacing="1" w:after="100" w:afterAutospacing="1" w:line="240" w:lineRule="auto"/>
        <w:jc w:val="center"/>
        <w:rPr>
          <w:rFonts w:ascii="Times New Roman" w:hAnsi="Times New Roman" w:cs="Times New Roman"/>
          <w:b/>
          <w:bCs/>
          <w:sz w:val="24"/>
          <w:szCs w:val="24"/>
        </w:rPr>
      </w:pPr>
      <w:r w:rsidRPr="00F6639B">
        <w:rPr>
          <w:rFonts w:ascii="Times New Roman" w:eastAsia="Times New Roman" w:hAnsi="Times New Roman" w:cs="Times New Roman"/>
          <w:b/>
          <w:bCs/>
          <w:sz w:val="24"/>
          <w:szCs w:val="24"/>
          <w:lang w:eastAsia="fr-FR"/>
        </w:rPr>
        <w:t>ANNEXE IV – DOCUMENTS A TRANSMETTRE POUR LES DEMANDE</w:t>
      </w:r>
      <w:r w:rsidR="00AC33E4" w:rsidRPr="00F6639B">
        <w:rPr>
          <w:rFonts w:ascii="Times New Roman" w:eastAsia="Times New Roman" w:hAnsi="Times New Roman" w:cs="Times New Roman"/>
          <w:b/>
          <w:bCs/>
          <w:sz w:val="24"/>
          <w:szCs w:val="24"/>
          <w:lang w:eastAsia="fr-FR"/>
        </w:rPr>
        <w:t>S</w:t>
      </w:r>
      <w:r w:rsidRPr="00F6639B">
        <w:rPr>
          <w:rFonts w:ascii="Times New Roman" w:eastAsia="Times New Roman" w:hAnsi="Times New Roman" w:cs="Times New Roman"/>
          <w:b/>
          <w:bCs/>
          <w:sz w:val="24"/>
          <w:szCs w:val="24"/>
          <w:lang w:eastAsia="fr-FR"/>
        </w:rPr>
        <w:t xml:space="preserve"> DE CERTIFICATION INITIALE</w:t>
      </w:r>
      <w:r w:rsidR="00AC33E4" w:rsidRPr="00F6639B">
        <w:rPr>
          <w:rFonts w:ascii="Times New Roman" w:eastAsia="Times New Roman" w:hAnsi="Times New Roman" w:cs="Times New Roman"/>
          <w:b/>
          <w:bCs/>
          <w:sz w:val="24"/>
          <w:szCs w:val="24"/>
          <w:lang w:eastAsia="fr-FR"/>
        </w:rPr>
        <w:t xml:space="preserve"> ET LES</w:t>
      </w:r>
      <w:r w:rsidRPr="00F6639B">
        <w:rPr>
          <w:rFonts w:ascii="Times New Roman" w:eastAsia="Times New Roman" w:hAnsi="Times New Roman" w:cs="Times New Roman"/>
          <w:b/>
          <w:bCs/>
          <w:sz w:val="24"/>
          <w:szCs w:val="24"/>
          <w:lang w:eastAsia="fr-FR"/>
        </w:rPr>
        <w:t xml:space="preserve"> DEMANDE</w:t>
      </w:r>
      <w:r w:rsidR="00AC33E4" w:rsidRPr="00F6639B">
        <w:rPr>
          <w:rFonts w:ascii="Times New Roman" w:eastAsia="Times New Roman" w:hAnsi="Times New Roman" w:cs="Times New Roman"/>
          <w:b/>
          <w:bCs/>
          <w:sz w:val="24"/>
          <w:szCs w:val="24"/>
          <w:lang w:eastAsia="fr-FR"/>
        </w:rPr>
        <w:t>S</w:t>
      </w:r>
      <w:r w:rsidRPr="00F6639B">
        <w:rPr>
          <w:rFonts w:ascii="Times New Roman" w:eastAsia="Times New Roman" w:hAnsi="Times New Roman" w:cs="Times New Roman"/>
          <w:b/>
          <w:bCs/>
          <w:sz w:val="24"/>
          <w:szCs w:val="24"/>
          <w:lang w:eastAsia="fr-FR"/>
        </w:rPr>
        <w:t xml:space="preserve"> DE RENOUVELLEMENT DE CERTIFICATION</w:t>
      </w:r>
    </w:p>
    <w:p w14:paraId="70C849EC" w14:textId="77777777" w:rsidR="00D260EA" w:rsidRPr="00F6639B" w:rsidRDefault="00D260EA" w:rsidP="00D260EA">
      <w:pPr>
        <w:spacing w:line="259" w:lineRule="auto"/>
        <w:rPr>
          <w:rFonts w:ascii="Times New Roman" w:hAnsi="Times New Roman" w:cs="Times New Roman"/>
          <w:sz w:val="24"/>
          <w:szCs w:val="24"/>
        </w:rPr>
      </w:pPr>
      <w:r w:rsidRPr="00F6639B">
        <w:rPr>
          <w:rFonts w:ascii="Times New Roman" w:hAnsi="Times New Roman" w:cs="Times New Roman"/>
          <w:sz w:val="24"/>
          <w:szCs w:val="24"/>
        </w:rPr>
        <w:t>La présente annexe définit le contenu des dossiers à transmettre par l’entreprise de forage lors des différentes étapes du processus de certification telles que prévues aux articles 4 à 6.</w:t>
      </w:r>
    </w:p>
    <w:p w14:paraId="4EC8D18E" w14:textId="6DC74AB9" w:rsidR="00D260EA" w:rsidRPr="00F6639B" w:rsidRDefault="00D260EA" w:rsidP="00D260EA">
      <w:pPr>
        <w:spacing w:line="259" w:lineRule="auto"/>
        <w:jc w:val="both"/>
        <w:rPr>
          <w:rFonts w:ascii="Times New Roman" w:hAnsi="Times New Roman" w:cs="Times New Roman"/>
          <w:sz w:val="24"/>
          <w:szCs w:val="24"/>
        </w:rPr>
      </w:pPr>
      <w:r w:rsidRPr="00F6639B">
        <w:rPr>
          <w:rFonts w:ascii="Times New Roman" w:hAnsi="Times New Roman" w:cs="Times New Roman"/>
          <w:sz w:val="24"/>
          <w:szCs w:val="24"/>
        </w:rPr>
        <w:t>L’organisme de certification définit, s’il l’estime nécessaire, les éléments complémentaires pour s’assurer de mise en œuvre du processus de certification, notamment en se fondant sur les éléments énumérés aux tableaux 1, 2, 3 et 4 de la présente annexe.</w:t>
      </w:r>
    </w:p>
    <w:p w14:paraId="091C00F1" w14:textId="516905DE" w:rsidR="00D260EA" w:rsidRPr="00F6639B" w:rsidRDefault="00DA474C" w:rsidP="00DA474C">
      <w:pPr>
        <w:spacing w:line="259" w:lineRule="auto"/>
        <w:jc w:val="both"/>
        <w:rPr>
          <w:rFonts w:ascii="Times New Roman" w:hAnsi="Times New Roman" w:cs="Times New Roman"/>
          <w:b/>
          <w:bCs/>
          <w:sz w:val="24"/>
          <w:szCs w:val="24"/>
        </w:rPr>
      </w:pPr>
      <w:r w:rsidRPr="00F6639B">
        <w:rPr>
          <w:rFonts w:ascii="Times New Roman" w:hAnsi="Times New Roman" w:cs="Times New Roman"/>
          <w:b/>
          <w:bCs/>
          <w:sz w:val="24"/>
          <w:szCs w:val="24"/>
        </w:rPr>
        <w:t xml:space="preserve">Tableau n°1 : </w:t>
      </w:r>
      <w:r w:rsidR="00D260EA" w:rsidRPr="00F6639B">
        <w:rPr>
          <w:rFonts w:ascii="Times New Roman" w:hAnsi="Times New Roman" w:cs="Times New Roman"/>
          <w:b/>
          <w:bCs/>
          <w:sz w:val="24"/>
          <w:szCs w:val="24"/>
        </w:rPr>
        <w:t>Contenu du dossier à transmettre par l’entreprise de forage pour la demande de certification initiale</w:t>
      </w:r>
    </w:p>
    <w:tbl>
      <w:tblPr>
        <w:tblStyle w:val="Grilledutableau"/>
        <w:tblW w:w="5000" w:type="pct"/>
        <w:tblLook w:val="04A0" w:firstRow="1" w:lastRow="0" w:firstColumn="1" w:lastColumn="0" w:noHBand="0" w:noVBand="1"/>
      </w:tblPr>
      <w:tblGrid>
        <w:gridCol w:w="4531"/>
        <w:gridCol w:w="4531"/>
      </w:tblGrid>
      <w:tr w:rsidR="00EF71CF" w:rsidRPr="00F6639B" w14:paraId="0ABCA8C4" w14:textId="77777777" w:rsidTr="00FB26D6">
        <w:trPr>
          <w:tblHeader/>
        </w:trPr>
        <w:tc>
          <w:tcPr>
            <w:tcW w:w="2500" w:type="pct"/>
            <w:shd w:val="clear" w:color="auto" w:fill="A6A6A6" w:themeFill="background1" w:themeFillShade="A6"/>
          </w:tcPr>
          <w:p w14:paraId="5A4CD38C" w14:textId="304DA1C9" w:rsidR="00EF71CF" w:rsidRPr="00F6639B" w:rsidRDefault="00EF71CF" w:rsidP="00EF71CF">
            <w:pPr>
              <w:spacing w:line="259" w:lineRule="auto"/>
              <w:jc w:val="both"/>
              <w:rPr>
                <w:rFonts w:ascii="Times New Roman" w:hAnsi="Times New Roman" w:cs="Times New Roman"/>
                <w:b/>
                <w:bCs/>
                <w:sz w:val="24"/>
                <w:szCs w:val="24"/>
              </w:rPr>
            </w:pPr>
            <w:r w:rsidRPr="00F6639B">
              <w:rPr>
                <w:rFonts w:ascii="Times New Roman" w:hAnsi="Times New Roman" w:cs="Times New Roman"/>
                <w:b/>
                <w:bCs/>
                <w:sz w:val="24"/>
                <w:szCs w:val="24"/>
              </w:rPr>
              <w:t>Documents à transmettre</w:t>
            </w:r>
          </w:p>
        </w:tc>
        <w:tc>
          <w:tcPr>
            <w:tcW w:w="2500" w:type="pct"/>
            <w:shd w:val="clear" w:color="auto" w:fill="A6A6A6" w:themeFill="background1" w:themeFillShade="A6"/>
          </w:tcPr>
          <w:p w14:paraId="505C9493" w14:textId="70C30EB2" w:rsidR="00EF71CF" w:rsidRPr="00F6639B" w:rsidRDefault="00EF71CF" w:rsidP="00EF71CF">
            <w:pPr>
              <w:spacing w:line="259" w:lineRule="auto"/>
              <w:jc w:val="both"/>
              <w:rPr>
                <w:rFonts w:ascii="Times New Roman" w:hAnsi="Times New Roman" w:cs="Times New Roman"/>
                <w:b/>
                <w:bCs/>
                <w:sz w:val="24"/>
                <w:szCs w:val="24"/>
              </w:rPr>
            </w:pPr>
            <w:r w:rsidRPr="00F6639B">
              <w:rPr>
                <w:rFonts w:ascii="Times New Roman" w:hAnsi="Times New Roman" w:cs="Times New Roman"/>
                <w:b/>
                <w:bCs/>
                <w:sz w:val="24"/>
                <w:szCs w:val="24"/>
              </w:rPr>
              <w:t>Informations complémentaires</w:t>
            </w:r>
          </w:p>
        </w:tc>
      </w:tr>
      <w:tr w:rsidR="00EF71CF" w:rsidRPr="00F6639B" w14:paraId="22119F58" w14:textId="77777777" w:rsidTr="00FB26D6">
        <w:tc>
          <w:tcPr>
            <w:tcW w:w="5000" w:type="pct"/>
            <w:gridSpan w:val="2"/>
          </w:tcPr>
          <w:p w14:paraId="4820816A" w14:textId="6C0AF346" w:rsidR="00EF71CF" w:rsidRPr="00F6639B" w:rsidRDefault="00EF71CF" w:rsidP="00EF71CF">
            <w:pPr>
              <w:spacing w:line="259" w:lineRule="auto"/>
              <w:jc w:val="both"/>
              <w:rPr>
                <w:rFonts w:ascii="Times New Roman" w:hAnsi="Times New Roman" w:cs="Times New Roman"/>
                <w:b/>
                <w:bCs/>
                <w:sz w:val="24"/>
                <w:szCs w:val="24"/>
              </w:rPr>
            </w:pPr>
            <w:r w:rsidRPr="00F6639B">
              <w:rPr>
                <w:rFonts w:ascii="Times New Roman" w:hAnsi="Times New Roman" w:cs="Times New Roman"/>
                <w:b/>
                <w:bCs/>
                <w:sz w:val="24"/>
                <w:szCs w:val="24"/>
              </w:rPr>
              <w:t>Informations générales</w:t>
            </w:r>
          </w:p>
        </w:tc>
      </w:tr>
      <w:tr w:rsidR="00EF71CF" w:rsidRPr="00F6639B" w14:paraId="16F7CEFF" w14:textId="77777777" w:rsidTr="00FB26D6">
        <w:tc>
          <w:tcPr>
            <w:tcW w:w="2500" w:type="pct"/>
          </w:tcPr>
          <w:p w14:paraId="191AC9AA" w14:textId="01EC0600" w:rsidR="00EF71CF" w:rsidRPr="00F6639B" w:rsidRDefault="00EF71CF" w:rsidP="00EF71CF">
            <w:pPr>
              <w:spacing w:line="259" w:lineRule="auto"/>
              <w:jc w:val="both"/>
              <w:rPr>
                <w:rFonts w:ascii="Times New Roman" w:hAnsi="Times New Roman" w:cs="Times New Roman"/>
                <w:bCs/>
                <w:sz w:val="24"/>
                <w:szCs w:val="24"/>
              </w:rPr>
            </w:pPr>
            <w:r w:rsidRPr="00F6639B">
              <w:rPr>
                <w:rFonts w:ascii="Times New Roman" w:hAnsi="Times New Roman" w:cs="Times New Roman"/>
                <w:bCs/>
              </w:rPr>
              <w:t>La désignation du ou des modules sollicités (nappe et/ou sonde) définis à l’article 2 du présent arrêté</w:t>
            </w:r>
          </w:p>
        </w:tc>
        <w:tc>
          <w:tcPr>
            <w:tcW w:w="2500" w:type="pct"/>
          </w:tcPr>
          <w:p w14:paraId="33B7384E" w14:textId="56AED509" w:rsidR="00EF71CF" w:rsidRPr="00F6639B" w:rsidRDefault="00EF71CF" w:rsidP="00EF71CF">
            <w:pPr>
              <w:spacing w:line="259" w:lineRule="auto"/>
              <w:jc w:val="both"/>
              <w:rPr>
                <w:rFonts w:ascii="Times New Roman" w:hAnsi="Times New Roman" w:cs="Times New Roman"/>
                <w:b/>
                <w:bCs/>
                <w:sz w:val="24"/>
                <w:szCs w:val="24"/>
              </w:rPr>
            </w:pPr>
            <w:r w:rsidRPr="00F6639B">
              <w:rPr>
                <w:rFonts w:ascii="Times New Roman" w:hAnsi="Times New Roman" w:cs="Times New Roman"/>
                <w:color w:val="002060"/>
              </w:rPr>
              <w:t>/</w:t>
            </w:r>
          </w:p>
        </w:tc>
      </w:tr>
      <w:tr w:rsidR="00EF71CF" w:rsidRPr="00F6639B" w14:paraId="2C7E9A93" w14:textId="77777777" w:rsidTr="00FB26D6">
        <w:tc>
          <w:tcPr>
            <w:tcW w:w="2500" w:type="pct"/>
          </w:tcPr>
          <w:p w14:paraId="3BCCCB21" w14:textId="0C2FAC77" w:rsidR="00EF71CF" w:rsidRPr="00F6639B" w:rsidRDefault="00EF71CF" w:rsidP="00EF71CF">
            <w:pPr>
              <w:spacing w:line="259" w:lineRule="auto"/>
              <w:jc w:val="both"/>
              <w:rPr>
                <w:rFonts w:ascii="Times New Roman" w:hAnsi="Times New Roman" w:cs="Times New Roman"/>
                <w:bCs/>
                <w:sz w:val="24"/>
                <w:szCs w:val="24"/>
              </w:rPr>
            </w:pPr>
            <w:r w:rsidRPr="00F6639B">
              <w:rPr>
                <w:rFonts w:ascii="Times New Roman" w:hAnsi="Times New Roman" w:cs="Times New Roman"/>
                <w:bCs/>
              </w:rPr>
              <w:t>Le numéro SIREN de l’entreprise et le numéro SIRET de l’établissement</w:t>
            </w:r>
          </w:p>
        </w:tc>
        <w:tc>
          <w:tcPr>
            <w:tcW w:w="2500" w:type="pct"/>
          </w:tcPr>
          <w:p w14:paraId="3A997732" w14:textId="1BF814D1" w:rsidR="00EF71CF" w:rsidRPr="00F6639B" w:rsidRDefault="00EF71CF" w:rsidP="00EF71CF">
            <w:pPr>
              <w:spacing w:line="259" w:lineRule="auto"/>
              <w:jc w:val="both"/>
              <w:rPr>
                <w:rFonts w:ascii="Times New Roman" w:hAnsi="Times New Roman" w:cs="Times New Roman"/>
                <w:b/>
                <w:bCs/>
                <w:sz w:val="24"/>
                <w:szCs w:val="24"/>
              </w:rPr>
            </w:pPr>
            <w:r w:rsidRPr="00F6639B">
              <w:rPr>
                <w:rFonts w:ascii="Times New Roman" w:hAnsi="Times New Roman" w:cs="Times New Roman"/>
                <w:bCs/>
              </w:rPr>
              <w:t>Pour répondre à cette exigence, les entreprises étrangères doivent communiquer leur numéro de TVA intracommunautaire</w:t>
            </w:r>
          </w:p>
        </w:tc>
      </w:tr>
      <w:tr w:rsidR="00EF71CF" w:rsidRPr="00F6639B" w14:paraId="1A6D871A" w14:textId="77777777" w:rsidTr="00FB26D6">
        <w:tc>
          <w:tcPr>
            <w:tcW w:w="2500" w:type="pct"/>
          </w:tcPr>
          <w:p w14:paraId="0FFCB1FA" w14:textId="174369A0" w:rsidR="00EF71CF" w:rsidRPr="00F6639B" w:rsidRDefault="00EF71CF" w:rsidP="00EF71CF">
            <w:pPr>
              <w:spacing w:line="259" w:lineRule="auto"/>
              <w:jc w:val="both"/>
              <w:rPr>
                <w:rFonts w:ascii="Times New Roman" w:hAnsi="Times New Roman" w:cs="Times New Roman"/>
                <w:bCs/>
                <w:sz w:val="24"/>
                <w:szCs w:val="24"/>
              </w:rPr>
            </w:pPr>
            <w:r w:rsidRPr="00F6639B">
              <w:rPr>
                <w:rFonts w:ascii="Times New Roman" w:hAnsi="Times New Roman" w:cs="Times New Roman"/>
                <w:bCs/>
              </w:rPr>
              <w:t>Le prénom, nom et coordonnées de la personne responsable de l’organisation permettant de répondre au référentiel de certification</w:t>
            </w:r>
          </w:p>
        </w:tc>
        <w:tc>
          <w:tcPr>
            <w:tcW w:w="2500" w:type="pct"/>
          </w:tcPr>
          <w:p w14:paraId="6C447C9D" w14:textId="1037CE7C" w:rsidR="00EF71CF" w:rsidRPr="00F6639B" w:rsidRDefault="00EF71CF" w:rsidP="00EF71CF">
            <w:pPr>
              <w:spacing w:line="259" w:lineRule="auto"/>
              <w:jc w:val="both"/>
              <w:rPr>
                <w:rFonts w:ascii="Times New Roman" w:hAnsi="Times New Roman" w:cs="Times New Roman"/>
                <w:b/>
                <w:bCs/>
                <w:sz w:val="24"/>
                <w:szCs w:val="24"/>
              </w:rPr>
            </w:pPr>
            <w:r w:rsidRPr="00F6639B">
              <w:rPr>
                <w:rFonts w:ascii="Times New Roman" w:hAnsi="Times New Roman" w:cs="Times New Roman"/>
                <w:color w:val="002060"/>
              </w:rPr>
              <w:t>/</w:t>
            </w:r>
          </w:p>
        </w:tc>
      </w:tr>
      <w:tr w:rsidR="00EF71CF" w:rsidRPr="00F6639B" w14:paraId="049B6CD7" w14:textId="77777777" w:rsidTr="00FB26D6">
        <w:tc>
          <w:tcPr>
            <w:tcW w:w="5000" w:type="pct"/>
            <w:gridSpan w:val="2"/>
          </w:tcPr>
          <w:p w14:paraId="3E880E5A" w14:textId="5929DE08" w:rsidR="00EF71CF" w:rsidRPr="00F6639B" w:rsidRDefault="00EF71CF" w:rsidP="00EF71CF">
            <w:pPr>
              <w:spacing w:line="259" w:lineRule="auto"/>
              <w:jc w:val="both"/>
              <w:rPr>
                <w:rFonts w:ascii="Times New Roman" w:hAnsi="Times New Roman" w:cs="Times New Roman"/>
                <w:b/>
                <w:bCs/>
                <w:sz w:val="24"/>
                <w:szCs w:val="24"/>
              </w:rPr>
            </w:pPr>
            <w:r w:rsidRPr="00F6639B">
              <w:rPr>
                <w:rFonts w:ascii="Times New Roman" w:hAnsi="Times New Roman" w:cs="Times New Roman"/>
                <w:b/>
                <w:color w:val="000000" w:themeColor="text1"/>
              </w:rPr>
              <w:t>Documents administratifs et juridiques</w:t>
            </w:r>
          </w:p>
        </w:tc>
      </w:tr>
      <w:tr w:rsidR="00EF71CF" w:rsidRPr="00F6639B" w14:paraId="481DA316" w14:textId="77777777" w:rsidTr="00FB26D6">
        <w:tc>
          <w:tcPr>
            <w:tcW w:w="2500" w:type="pct"/>
          </w:tcPr>
          <w:p w14:paraId="6528E796" w14:textId="77777777" w:rsidR="00EF71CF" w:rsidRPr="00F6639B" w:rsidRDefault="00EF71CF" w:rsidP="00EF71CF">
            <w:pPr>
              <w:tabs>
                <w:tab w:val="num" w:pos="720"/>
              </w:tabs>
              <w:spacing w:line="240" w:lineRule="auto"/>
              <w:jc w:val="both"/>
              <w:rPr>
                <w:rFonts w:ascii="Times New Roman" w:hAnsi="Times New Roman" w:cs="Times New Roman"/>
                <w:bCs/>
              </w:rPr>
            </w:pPr>
            <w:r w:rsidRPr="00F6639B">
              <w:rPr>
                <w:rFonts w:ascii="Times New Roman" w:hAnsi="Times New Roman" w:cs="Times New Roman"/>
                <w:bCs/>
              </w:rPr>
              <w:t>Une attestation de régularité fiscale</w:t>
            </w:r>
          </w:p>
          <w:p w14:paraId="59AB14EC" w14:textId="77777777" w:rsidR="00EF71CF" w:rsidRPr="00F6639B" w:rsidRDefault="00EF71CF" w:rsidP="00EF71CF">
            <w:pPr>
              <w:spacing w:line="259" w:lineRule="auto"/>
              <w:jc w:val="both"/>
              <w:rPr>
                <w:rFonts w:ascii="Times New Roman" w:hAnsi="Times New Roman" w:cs="Times New Roman"/>
                <w:bCs/>
                <w:sz w:val="24"/>
                <w:szCs w:val="24"/>
              </w:rPr>
            </w:pPr>
          </w:p>
        </w:tc>
        <w:tc>
          <w:tcPr>
            <w:tcW w:w="2500" w:type="pct"/>
          </w:tcPr>
          <w:p w14:paraId="134E9102" w14:textId="6D495EF3" w:rsidR="00EF71CF" w:rsidRPr="00F6639B" w:rsidRDefault="00EF71CF" w:rsidP="00EF71CF">
            <w:pPr>
              <w:spacing w:line="259" w:lineRule="auto"/>
              <w:jc w:val="both"/>
              <w:rPr>
                <w:rFonts w:ascii="Times New Roman" w:hAnsi="Times New Roman" w:cs="Times New Roman"/>
                <w:b/>
                <w:bCs/>
                <w:sz w:val="24"/>
                <w:szCs w:val="24"/>
              </w:rPr>
            </w:pPr>
            <w:r w:rsidRPr="00F6639B">
              <w:rPr>
                <w:rFonts w:ascii="Times New Roman" w:hAnsi="Times New Roman" w:cs="Times New Roman"/>
              </w:rPr>
              <w:t>Pour répondre à ces exigences les entreprises étrangères doivent produire les documents équivalents délivrés par les services et autorités compétentes du pays où elles sont établies et où elles exercent.</w:t>
            </w:r>
          </w:p>
        </w:tc>
      </w:tr>
      <w:tr w:rsidR="00EF71CF" w:rsidRPr="00F6639B" w14:paraId="62AFF23E" w14:textId="77777777" w:rsidTr="00FB26D6">
        <w:tc>
          <w:tcPr>
            <w:tcW w:w="2500" w:type="pct"/>
          </w:tcPr>
          <w:p w14:paraId="34066706" w14:textId="32CC7AFA" w:rsidR="00EF71CF" w:rsidRPr="00F6639B" w:rsidRDefault="00EF71CF" w:rsidP="00EF71CF">
            <w:pPr>
              <w:spacing w:line="259" w:lineRule="auto"/>
              <w:jc w:val="both"/>
              <w:rPr>
                <w:rFonts w:ascii="Times New Roman" w:hAnsi="Times New Roman" w:cs="Times New Roman"/>
                <w:bCs/>
                <w:sz w:val="24"/>
                <w:szCs w:val="24"/>
              </w:rPr>
            </w:pPr>
            <w:r w:rsidRPr="00F6639B">
              <w:rPr>
                <w:rFonts w:ascii="Times New Roman" w:hAnsi="Times New Roman" w:cs="Times New Roman"/>
                <w:bCs/>
              </w:rPr>
              <w:t>Une attestation de régularité sociale</w:t>
            </w:r>
          </w:p>
        </w:tc>
        <w:tc>
          <w:tcPr>
            <w:tcW w:w="2500" w:type="pct"/>
          </w:tcPr>
          <w:p w14:paraId="74AB1776" w14:textId="69969578" w:rsidR="00EF71CF" w:rsidRPr="00F6639B" w:rsidRDefault="00EF71CF" w:rsidP="00EF71CF">
            <w:pPr>
              <w:spacing w:line="259" w:lineRule="auto"/>
              <w:jc w:val="both"/>
              <w:rPr>
                <w:rFonts w:ascii="Times New Roman" w:hAnsi="Times New Roman" w:cs="Times New Roman"/>
                <w:b/>
                <w:bCs/>
                <w:sz w:val="24"/>
                <w:szCs w:val="24"/>
              </w:rPr>
            </w:pPr>
            <w:r w:rsidRPr="00F6639B">
              <w:rPr>
                <w:rFonts w:ascii="Times New Roman" w:hAnsi="Times New Roman" w:cs="Times New Roman"/>
              </w:rPr>
              <w:t>Pour répondre à ces exigences les entreprises étrangères doivent produire les documents équivalents délivrés par les services et autorités compétentes du pays où elles sont établies et où elles exercent.</w:t>
            </w:r>
          </w:p>
        </w:tc>
      </w:tr>
      <w:tr w:rsidR="00EF71CF" w:rsidRPr="00F6639B" w14:paraId="45CC475D" w14:textId="77777777" w:rsidTr="00FB26D6">
        <w:tc>
          <w:tcPr>
            <w:tcW w:w="2500" w:type="pct"/>
          </w:tcPr>
          <w:p w14:paraId="12ED0F6A" w14:textId="622B95C2" w:rsidR="00EF71CF" w:rsidRPr="00F6639B" w:rsidRDefault="00EF71CF" w:rsidP="00EF71CF">
            <w:pPr>
              <w:spacing w:line="259" w:lineRule="auto"/>
              <w:jc w:val="both"/>
              <w:rPr>
                <w:rFonts w:ascii="Times New Roman" w:hAnsi="Times New Roman" w:cs="Times New Roman"/>
                <w:bCs/>
                <w:sz w:val="24"/>
                <w:szCs w:val="24"/>
              </w:rPr>
            </w:pPr>
            <w:r w:rsidRPr="00F6639B">
              <w:rPr>
                <w:rFonts w:ascii="Times New Roman" w:hAnsi="Times New Roman" w:cs="Times New Roman"/>
                <w:bCs/>
              </w:rPr>
              <w:t>L’effectif global de l’entreprise ainsi que les effectifs de l’activité Forage GMI</w:t>
            </w:r>
          </w:p>
        </w:tc>
        <w:tc>
          <w:tcPr>
            <w:tcW w:w="2500" w:type="pct"/>
          </w:tcPr>
          <w:p w14:paraId="2B7515A6" w14:textId="3D1D2059" w:rsidR="00EF71CF" w:rsidRPr="00F6639B" w:rsidRDefault="00EF71CF" w:rsidP="00EF71CF">
            <w:pPr>
              <w:spacing w:line="259" w:lineRule="auto"/>
              <w:jc w:val="both"/>
              <w:rPr>
                <w:rFonts w:ascii="Times New Roman" w:hAnsi="Times New Roman" w:cs="Times New Roman"/>
                <w:bCs/>
                <w:sz w:val="24"/>
                <w:szCs w:val="24"/>
              </w:rPr>
            </w:pPr>
            <w:r w:rsidRPr="00F6639B">
              <w:rPr>
                <w:rFonts w:ascii="Times New Roman" w:hAnsi="Times New Roman" w:cs="Times New Roman"/>
              </w:rPr>
              <w:t>/</w:t>
            </w:r>
          </w:p>
        </w:tc>
      </w:tr>
      <w:tr w:rsidR="00EF71CF" w:rsidRPr="00F6639B" w14:paraId="4F2C35CB" w14:textId="77777777" w:rsidTr="00FB26D6">
        <w:tc>
          <w:tcPr>
            <w:tcW w:w="2500" w:type="pct"/>
          </w:tcPr>
          <w:p w14:paraId="28C42865" w14:textId="77777777" w:rsidR="002C46E9" w:rsidRPr="00F6639B" w:rsidRDefault="00EF71CF" w:rsidP="002C46E9">
            <w:pPr>
              <w:spacing w:line="240" w:lineRule="auto"/>
              <w:jc w:val="both"/>
              <w:rPr>
                <w:rFonts w:ascii="Times New Roman" w:hAnsi="Times New Roman" w:cs="Times New Roman"/>
              </w:rPr>
            </w:pPr>
            <w:r w:rsidRPr="00F6639B">
              <w:rPr>
                <w:rFonts w:ascii="Times New Roman" w:hAnsi="Times New Roman" w:cs="Times New Roman"/>
                <w:bCs/>
              </w:rPr>
              <w:t>Une attestation d'assurance Responsabilité Civile Générale en cours de validité (article L. 164-1-1 du code minier)</w:t>
            </w:r>
            <w:r w:rsidR="002C46E9" w:rsidRPr="00F6639B">
              <w:rPr>
                <w:rFonts w:ascii="Times New Roman" w:hAnsi="Times New Roman" w:cs="Times New Roman"/>
                <w:bCs/>
              </w:rPr>
              <w:t xml:space="preserve"> </w:t>
            </w:r>
            <w:r w:rsidR="002C46E9" w:rsidRPr="00F6639B">
              <w:rPr>
                <w:rFonts w:ascii="Times New Roman" w:hAnsi="Times New Roman" w:cs="Times New Roman"/>
              </w:rPr>
              <w:t xml:space="preserve">couvrant : </w:t>
            </w:r>
          </w:p>
          <w:p w14:paraId="084E76D3" w14:textId="2FB01E7F" w:rsidR="002C46E9" w:rsidRPr="00F6639B" w:rsidRDefault="002C46E9" w:rsidP="002C46E9">
            <w:pPr>
              <w:spacing w:line="240" w:lineRule="auto"/>
              <w:contextualSpacing/>
              <w:jc w:val="both"/>
              <w:rPr>
                <w:rFonts w:ascii="Times New Roman" w:hAnsi="Times New Roman" w:cs="Times New Roman"/>
              </w:rPr>
            </w:pPr>
            <w:r w:rsidRPr="00F6639B">
              <w:rPr>
                <w:rFonts w:ascii="Times New Roman" w:hAnsi="Times New Roman" w:cs="Times New Roman"/>
              </w:rPr>
              <w:t>- pour sonde : forage géothermique ou sonde géothermique</w:t>
            </w:r>
          </w:p>
          <w:p w14:paraId="45311EBF" w14:textId="4DA43D2A" w:rsidR="002C46E9" w:rsidRPr="00F6639B" w:rsidRDefault="002C46E9" w:rsidP="002C46E9">
            <w:pPr>
              <w:spacing w:line="240" w:lineRule="auto"/>
              <w:contextualSpacing/>
              <w:jc w:val="both"/>
              <w:rPr>
                <w:rFonts w:ascii="Times New Roman" w:hAnsi="Times New Roman" w:cs="Times New Roman"/>
              </w:rPr>
            </w:pPr>
            <w:r w:rsidRPr="00F6639B">
              <w:rPr>
                <w:rFonts w:ascii="Times New Roman" w:hAnsi="Times New Roman" w:cs="Times New Roman"/>
              </w:rPr>
              <w:t xml:space="preserve">- pour nappe : forage géothermique </w:t>
            </w:r>
          </w:p>
          <w:p w14:paraId="48DA8E41" w14:textId="49ED1ED2" w:rsidR="00EF71CF" w:rsidRPr="00F6639B" w:rsidRDefault="00EF71CF" w:rsidP="00EF71CF">
            <w:pPr>
              <w:spacing w:line="259" w:lineRule="auto"/>
              <w:jc w:val="both"/>
              <w:rPr>
                <w:rFonts w:ascii="Times New Roman" w:hAnsi="Times New Roman" w:cs="Times New Roman"/>
                <w:bCs/>
                <w:sz w:val="24"/>
                <w:szCs w:val="24"/>
              </w:rPr>
            </w:pPr>
          </w:p>
        </w:tc>
        <w:tc>
          <w:tcPr>
            <w:tcW w:w="2500" w:type="pct"/>
          </w:tcPr>
          <w:p w14:paraId="03903ACB" w14:textId="5C431BDF" w:rsidR="00EF71CF" w:rsidRPr="00F6639B" w:rsidRDefault="00EF71CF" w:rsidP="0011091B">
            <w:pPr>
              <w:spacing w:line="259" w:lineRule="auto"/>
              <w:jc w:val="both"/>
              <w:rPr>
                <w:rFonts w:ascii="Times New Roman" w:hAnsi="Times New Roman" w:cs="Times New Roman"/>
                <w:bCs/>
                <w:sz w:val="24"/>
                <w:szCs w:val="24"/>
              </w:rPr>
            </w:pPr>
            <w:r w:rsidRPr="00F6639B">
              <w:rPr>
                <w:rFonts w:ascii="Times New Roman" w:hAnsi="Times New Roman" w:cs="Times New Roman"/>
              </w:rPr>
              <w:t xml:space="preserve">Couverture assurantielle conforme aux exigences du décret n° 2016-835 du 24/06/2016 </w:t>
            </w:r>
          </w:p>
        </w:tc>
      </w:tr>
      <w:tr w:rsidR="00EF71CF" w:rsidRPr="00F6639B" w14:paraId="232ED493" w14:textId="77777777" w:rsidTr="00FB26D6">
        <w:tc>
          <w:tcPr>
            <w:tcW w:w="2500" w:type="pct"/>
          </w:tcPr>
          <w:p w14:paraId="05FF1D44" w14:textId="77777777" w:rsidR="002C46E9" w:rsidRPr="00F6639B" w:rsidRDefault="00EF71CF" w:rsidP="002C46E9">
            <w:pPr>
              <w:spacing w:line="240" w:lineRule="auto"/>
              <w:rPr>
                <w:rFonts w:ascii="Times New Roman" w:hAnsi="Times New Roman" w:cs="Times New Roman"/>
              </w:rPr>
            </w:pPr>
            <w:r w:rsidRPr="00F6639B">
              <w:rPr>
                <w:rFonts w:ascii="Times New Roman" w:hAnsi="Times New Roman" w:cs="Times New Roman"/>
                <w:bCs/>
              </w:rPr>
              <w:t>Une attestation d'assurance Responsabilité Civile Décennale en cours de validité (article L. 164-1-1 du code minier)</w:t>
            </w:r>
            <w:r w:rsidR="002C46E9" w:rsidRPr="00F6639B">
              <w:rPr>
                <w:rFonts w:ascii="Times New Roman" w:hAnsi="Times New Roman" w:cs="Times New Roman"/>
                <w:bCs/>
              </w:rPr>
              <w:t xml:space="preserve"> </w:t>
            </w:r>
            <w:r w:rsidR="002C46E9" w:rsidRPr="00F6639B">
              <w:rPr>
                <w:rFonts w:ascii="Times New Roman" w:hAnsi="Times New Roman" w:cs="Times New Roman"/>
              </w:rPr>
              <w:t xml:space="preserve">couvrant : </w:t>
            </w:r>
          </w:p>
          <w:p w14:paraId="271267A3" w14:textId="037FD240" w:rsidR="002C46E9" w:rsidRPr="00F6639B" w:rsidRDefault="002C46E9" w:rsidP="002C46E9">
            <w:pPr>
              <w:spacing w:line="240" w:lineRule="auto"/>
              <w:contextualSpacing/>
              <w:rPr>
                <w:rFonts w:ascii="Times New Roman" w:hAnsi="Times New Roman" w:cs="Times New Roman"/>
              </w:rPr>
            </w:pPr>
            <w:r w:rsidRPr="00F6639B">
              <w:rPr>
                <w:rFonts w:ascii="Times New Roman" w:hAnsi="Times New Roman" w:cs="Times New Roman"/>
              </w:rPr>
              <w:t>- pour sonde : forage géothermique ou sonde géothermique</w:t>
            </w:r>
          </w:p>
          <w:p w14:paraId="61015B0A" w14:textId="7DC4AA15" w:rsidR="00EF71CF" w:rsidRPr="00F6639B" w:rsidRDefault="002C46E9" w:rsidP="002C46E9">
            <w:pPr>
              <w:spacing w:line="259" w:lineRule="auto"/>
              <w:jc w:val="both"/>
              <w:rPr>
                <w:rFonts w:ascii="Times New Roman" w:hAnsi="Times New Roman" w:cs="Times New Roman"/>
                <w:bCs/>
                <w:sz w:val="24"/>
                <w:szCs w:val="24"/>
              </w:rPr>
            </w:pPr>
            <w:r w:rsidRPr="00F6639B">
              <w:rPr>
                <w:rFonts w:ascii="Times New Roman" w:hAnsi="Times New Roman" w:cs="Times New Roman"/>
              </w:rPr>
              <w:t>- pour nappe : forage géothermique</w:t>
            </w:r>
          </w:p>
        </w:tc>
        <w:tc>
          <w:tcPr>
            <w:tcW w:w="2500" w:type="pct"/>
          </w:tcPr>
          <w:p w14:paraId="0C0E7F1B" w14:textId="1D092167" w:rsidR="00EF71CF" w:rsidRPr="00F6639B" w:rsidRDefault="002C46E9" w:rsidP="00EF71CF">
            <w:pPr>
              <w:spacing w:line="259" w:lineRule="auto"/>
              <w:jc w:val="both"/>
              <w:rPr>
                <w:rFonts w:ascii="Times New Roman" w:hAnsi="Times New Roman" w:cs="Times New Roman"/>
                <w:bCs/>
                <w:sz w:val="24"/>
                <w:szCs w:val="24"/>
              </w:rPr>
            </w:pPr>
            <w:r w:rsidRPr="00F6639B">
              <w:rPr>
                <w:rFonts w:ascii="Times New Roman" w:hAnsi="Times New Roman" w:cs="Times New Roman"/>
              </w:rPr>
              <w:t>/</w:t>
            </w:r>
            <w:r w:rsidR="00EF71CF" w:rsidRPr="00F6639B">
              <w:rPr>
                <w:rFonts w:ascii="Times New Roman" w:hAnsi="Times New Roman" w:cs="Times New Roman"/>
              </w:rPr>
              <w:t xml:space="preserve"> </w:t>
            </w:r>
          </w:p>
        </w:tc>
      </w:tr>
      <w:tr w:rsidR="00EF71CF" w:rsidRPr="00F6639B" w14:paraId="73781A93" w14:textId="77777777" w:rsidTr="00FB26D6">
        <w:tc>
          <w:tcPr>
            <w:tcW w:w="2500" w:type="pct"/>
          </w:tcPr>
          <w:p w14:paraId="397E59EC" w14:textId="353ED391" w:rsidR="00EF71CF" w:rsidRPr="00F6639B" w:rsidRDefault="00EF71CF" w:rsidP="00EF71CF">
            <w:pPr>
              <w:spacing w:line="259" w:lineRule="auto"/>
              <w:jc w:val="both"/>
              <w:rPr>
                <w:rFonts w:ascii="Times New Roman" w:hAnsi="Times New Roman" w:cs="Times New Roman"/>
                <w:bCs/>
                <w:sz w:val="24"/>
                <w:szCs w:val="24"/>
              </w:rPr>
            </w:pPr>
            <w:r w:rsidRPr="00F6639B">
              <w:rPr>
                <w:rFonts w:ascii="Times New Roman" w:hAnsi="Times New Roman" w:cs="Times New Roman"/>
                <w:bCs/>
              </w:rPr>
              <w:t xml:space="preserve">Un extrait </w:t>
            </w:r>
            <w:proofErr w:type="spellStart"/>
            <w:r w:rsidRPr="00F6639B">
              <w:rPr>
                <w:rFonts w:ascii="Times New Roman" w:hAnsi="Times New Roman" w:cs="Times New Roman"/>
                <w:bCs/>
              </w:rPr>
              <w:t>Kbis</w:t>
            </w:r>
            <w:proofErr w:type="spellEnd"/>
            <w:r w:rsidRPr="00F6639B">
              <w:rPr>
                <w:rFonts w:ascii="Times New Roman" w:hAnsi="Times New Roman" w:cs="Times New Roman"/>
                <w:bCs/>
              </w:rPr>
              <w:t xml:space="preserve"> ou attestation d'inscription au RM (Répertoire des Métiers) ou équivalent</w:t>
            </w:r>
          </w:p>
        </w:tc>
        <w:tc>
          <w:tcPr>
            <w:tcW w:w="2500" w:type="pct"/>
          </w:tcPr>
          <w:p w14:paraId="3F4C76D8" w14:textId="46472B7B" w:rsidR="00EF71CF" w:rsidRPr="00F6639B" w:rsidRDefault="00EF71CF" w:rsidP="00EF71CF">
            <w:pPr>
              <w:spacing w:line="259" w:lineRule="auto"/>
              <w:jc w:val="both"/>
              <w:rPr>
                <w:rFonts w:ascii="Times New Roman" w:hAnsi="Times New Roman" w:cs="Times New Roman"/>
                <w:bCs/>
                <w:sz w:val="24"/>
                <w:szCs w:val="24"/>
              </w:rPr>
            </w:pPr>
            <w:r w:rsidRPr="00F6639B">
              <w:rPr>
                <w:rFonts w:ascii="Times New Roman" w:hAnsi="Times New Roman" w:cs="Times New Roman"/>
              </w:rPr>
              <w:t>/</w:t>
            </w:r>
          </w:p>
        </w:tc>
      </w:tr>
      <w:tr w:rsidR="00EF71CF" w:rsidRPr="00F6639B" w14:paraId="4EADD603" w14:textId="77777777" w:rsidTr="00FB26D6">
        <w:tc>
          <w:tcPr>
            <w:tcW w:w="2500" w:type="pct"/>
          </w:tcPr>
          <w:p w14:paraId="335BE44D" w14:textId="77777777" w:rsidR="00EF71CF" w:rsidRPr="00F6639B" w:rsidRDefault="00EF71CF" w:rsidP="00EF71CF">
            <w:pPr>
              <w:spacing w:line="240" w:lineRule="auto"/>
              <w:jc w:val="both"/>
              <w:rPr>
                <w:rFonts w:ascii="Times New Roman" w:hAnsi="Times New Roman" w:cs="Times New Roman"/>
              </w:rPr>
            </w:pPr>
            <w:r w:rsidRPr="00F6639B">
              <w:rPr>
                <w:rFonts w:ascii="Times New Roman" w:hAnsi="Times New Roman" w:cs="Times New Roman"/>
                <w:bCs/>
              </w:rPr>
              <w:t>Les engagements suivants :</w:t>
            </w:r>
          </w:p>
          <w:p w14:paraId="675236E9" w14:textId="520510AB" w:rsidR="00EF71CF" w:rsidRPr="00F6639B" w:rsidRDefault="002C46E9" w:rsidP="002C46E9">
            <w:pPr>
              <w:spacing w:line="240" w:lineRule="auto"/>
              <w:jc w:val="both"/>
              <w:rPr>
                <w:rFonts w:ascii="Times New Roman" w:hAnsi="Times New Roman" w:cs="Times New Roman"/>
                <w:bCs/>
              </w:rPr>
            </w:pPr>
            <w:r w:rsidRPr="00F6639B">
              <w:rPr>
                <w:rFonts w:ascii="Times New Roman" w:hAnsi="Times New Roman" w:cs="Times New Roman"/>
                <w:bCs/>
              </w:rPr>
              <w:t xml:space="preserve">- </w:t>
            </w:r>
            <w:r w:rsidR="00EF71CF" w:rsidRPr="00F6639B">
              <w:rPr>
                <w:rFonts w:ascii="Times New Roman" w:hAnsi="Times New Roman" w:cs="Times New Roman"/>
                <w:bCs/>
              </w:rPr>
              <w:t>Les dirigeants de fait ou de droit ne doivent pas faire l’objet d’une interdiction de gérer ou d’une décision de faillite personnelle ;</w:t>
            </w:r>
          </w:p>
          <w:p w14:paraId="581179C9" w14:textId="32B746F5" w:rsidR="00EF71CF" w:rsidRPr="00F6639B" w:rsidRDefault="002C46E9" w:rsidP="002C46E9">
            <w:pPr>
              <w:spacing w:line="240" w:lineRule="auto"/>
              <w:contextualSpacing/>
              <w:jc w:val="both"/>
              <w:rPr>
                <w:rFonts w:ascii="Times New Roman" w:hAnsi="Times New Roman" w:cs="Times New Roman"/>
                <w:bCs/>
              </w:rPr>
            </w:pPr>
            <w:r w:rsidRPr="00F6639B">
              <w:rPr>
                <w:rFonts w:ascii="Times New Roman" w:hAnsi="Times New Roman" w:cs="Times New Roman"/>
                <w:bCs/>
              </w:rPr>
              <w:t xml:space="preserve">- </w:t>
            </w:r>
            <w:r w:rsidR="00EF71CF" w:rsidRPr="00F6639B">
              <w:rPr>
                <w:rFonts w:ascii="Times New Roman" w:hAnsi="Times New Roman" w:cs="Times New Roman"/>
                <w:bCs/>
              </w:rPr>
              <w:t>Ne pas appartenir à une société dont le siège social est situé dans un pays avec lequel tout commerce est interdit ;</w:t>
            </w:r>
          </w:p>
          <w:p w14:paraId="3C111E92" w14:textId="330331E7" w:rsidR="00EF71CF" w:rsidRPr="00F6639B" w:rsidRDefault="002C46E9" w:rsidP="002C46E9">
            <w:pPr>
              <w:spacing w:line="259" w:lineRule="auto"/>
              <w:jc w:val="both"/>
              <w:rPr>
                <w:rFonts w:ascii="Times New Roman" w:hAnsi="Times New Roman" w:cs="Times New Roman"/>
                <w:bCs/>
                <w:sz w:val="24"/>
                <w:szCs w:val="24"/>
              </w:rPr>
            </w:pPr>
            <w:r w:rsidRPr="00F6639B">
              <w:rPr>
                <w:rFonts w:ascii="Times New Roman" w:hAnsi="Times New Roman" w:cs="Times New Roman"/>
                <w:bCs/>
              </w:rPr>
              <w:t>- R</w:t>
            </w:r>
            <w:r w:rsidR="00EF71CF" w:rsidRPr="00F6639B">
              <w:rPr>
                <w:rFonts w:ascii="Times New Roman" w:hAnsi="Times New Roman" w:cs="Times New Roman"/>
                <w:bCs/>
              </w:rPr>
              <w:t>especter l'arrêté du 25/06/2015 relatif aux prescriptions générales applicables aux activités géothermiques de minime importance.</w:t>
            </w:r>
          </w:p>
        </w:tc>
        <w:tc>
          <w:tcPr>
            <w:tcW w:w="2500" w:type="pct"/>
          </w:tcPr>
          <w:p w14:paraId="77CEAC1D" w14:textId="2F3F103B" w:rsidR="00EF71CF" w:rsidRPr="00F6639B" w:rsidRDefault="00EF71CF" w:rsidP="00EF71CF">
            <w:pPr>
              <w:spacing w:line="259" w:lineRule="auto"/>
              <w:jc w:val="both"/>
              <w:rPr>
                <w:rFonts w:ascii="Times New Roman" w:hAnsi="Times New Roman" w:cs="Times New Roman"/>
                <w:bCs/>
                <w:sz w:val="24"/>
                <w:szCs w:val="24"/>
              </w:rPr>
            </w:pPr>
            <w:r w:rsidRPr="00F6639B">
              <w:rPr>
                <w:rFonts w:ascii="Times New Roman" w:hAnsi="Times New Roman" w:cs="Times New Roman"/>
              </w:rPr>
              <w:t>/</w:t>
            </w:r>
          </w:p>
        </w:tc>
      </w:tr>
      <w:tr w:rsidR="002C46E9" w:rsidRPr="00F6639B" w14:paraId="1D51F92C" w14:textId="77777777" w:rsidTr="00FB26D6">
        <w:tc>
          <w:tcPr>
            <w:tcW w:w="5000" w:type="pct"/>
            <w:gridSpan w:val="2"/>
          </w:tcPr>
          <w:p w14:paraId="6BAB1503" w14:textId="2AB94FBD" w:rsidR="002C46E9" w:rsidRPr="00F6639B" w:rsidRDefault="002C46E9" w:rsidP="002C46E9">
            <w:pPr>
              <w:spacing w:line="259" w:lineRule="auto"/>
              <w:jc w:val="both"/>
              <w:rPr>
                <w:rFonts w:ascii="Times New Roman" w:hAnsi="Times New Roman" w:cs="Times New Roman"/>
                <w:b/>
                <w:bCs/>
                <w:sz w:val="24"/>
                <w:szCs w:val="24"/>
              </w:rPr>
            </w:pPr>
            <w:r w:rsidRPr="00F6639B">
              <w:rPr>
                <w:rFonts w:ascii="Times New Roman" w:hAnsi="Times New Roman" w:cs="Times New Roman"/>
                <w:b/>
                <w:color w:val="000000" w:themeColor="text1"/>
              </w:rPr>
              <w:t>Documents financiers pour le dernier exercice comptable clos</w:t>
            </w:r>
          </w:p>
        </w:tc>
      </w:tr>
      <w:tr w:rsidR="002C46E9" w:rsidRPr="00F6639B" w14:paraId="45400DAD" w14:textId="77777777" w:rsidTr="00FB26D6">
        <w:tc>
          <w:tcPr>
            <w:tcW w:w="2500" w:type="pct"/>
          </w:tcPr>
          <w:p w14:paraId="0AD0398F" w14:textId="1B6F1DC4" w:rsidR="002C46E9" w:rsidRPr="00F6639B" w:rsidRDefault="002C46E9" w:rsidP="002C46E9">
            <w:pPr>
              <w:spacing w:line="259" w:lineRule="auto"/>
              <w:jc w:val="both"/>
              <w:rPr>
                <w:rFonts w:ascii="Times New Roman" w:hAnsi="Times New Roman" w:cs="Times New Roman"/>
                <w:bCs/>
                <w:sz w:val="24"/>
                <w:szCs w:val="24"/>
              </w:rPr>
            </w:pPr>
            <w:r w:rsidRPr="00F6639B">
              <w:rPr>
                <w:rFonts w:ascii="Times New Roman" w:hAnsi="Times New Roman" w:cs="Times New Roman"/>
                <w:bCs/>
              </w:rPr>
              <w:t>La date de clôture, le chiffre d’affaires global et le nombre d’installations relevant du champ de certification</w:t>
            </w:r>
          </w:p>
        </w:tc>
        <w:tc>
          <w:tcPr>
            <w:tcW w:w="2500" w:type="pct"/>
          </w:tcPr>
          <w:p w14:paraId="713CD18D" w14:textId="309ED349" w:rsidR="002C46E9" w:rsidRPr="00F6639B" w:rsidRDefault="002C46E9" w:rsidP="002C46E9">
            <w:pPr>
              <w:spacing w:line="259" w:lineRule="auto"/>
              <w:jc w:val="both"/>
              <w:rPr>
                <w:rFonts w:ascii="Times New Roman" w:hAnsi="Times New Roman" w:cs="Times New Roman"/>
                <w:b/>
                <w:bCs/>
                <w:sz w:val="24"/>
                <w:szCs w:val="24"/>
              </w:rPr>
            </w:pPr>
            <w:r w:rsidRPr="00F6639B">
              <w:rPr>
                <w:rFonts w:ascii="Times New Roman" w:hAnsi="Times New Roman" w:cs="Times New Roman"/>
              </w:rPr>
              <w:t>/</w:t>
            </w:r>
          </w:p>
        </w:tc>
      </w:tr>
      <w:tr w:rsidR="002C46E9" w:rsidRPr="00F6639B" w14:paraId="31F99638" w14:textId="77777777" w:rsidTr="00FB26D6">
        <w:tc>
          <w:tcPr>
            <w:tcW w:w="5000" w:type="pct"/>
            <w:gridSpan w:val="2"/>
          </w:tcPr>
          <w:p w14:paraId="6C91D732" w14:textId="60972EB9" w:rsidR="002C46E9" w:rsidRPr="00F6639B" w:rsidRDefault="002C46E9" w:rsidP="00EF71CF">
            <w:pPr>
              <w:spacing w:line="259" w:lineRule="auto"/>
              <w:jc w:val="both"/>
              <w:rPr>
                <w:rFonts w:ascii="Times New Roman" w:hAnsi="Times New Roman" w:cs="Times New Roman"/>
                <w:b/>
                <w:bCs/>
                <w:sz w:val="24"/>
                <w:szCs w:val="24"/>
              </w:rPr>
            </w:pPr>
            <w:r w:rsidRPr="00F6639B">
              <w:rPr>
                <w:rFonts w:ascii="Times New Roman" w:hAnsi="Times New Roman" w:cs="Times New Roman"/>
                <w:b/>
                <w:color w:val="000000" w:themeColor="text1"/>
              </w:rPr>
              <w:t>Documents techniques : permettant de démontrer la capacité de l’entreprise à respecter le référentiel de certification, en particulier le respect de l’annexe I, notamment :</w:t>
            </w:r>
          </w:p>
        </w:tc>
      </w:tr>
      <w:tr w:rsidR="002C46E9" w:rsidRPr="00F6639B" w14:paraId="2FCDD654" w14:textId="77777777" w:rsidTr="00FB26D6">
        <w:tc>
          <w:tcPr>
            <w:tcW w:w="2500" w:type="pct"/>
          </w:tcPr>
          <w:p w14:paraId="1373E96C" w14:textId="763375B6" w:rsidR="002C46E9" w:rsidRPr="00F6639B" w:rsidRDefault="002C46E9" w:rsidP="002C46E9">
            <w:pPr>
              <w:spacing w:line="240" w:lineRule="auto"/>
              <w:contextualSpacing/>
              <w:jc w:val="both"/>
              <w:rPr>
                <w:rFonts w:ascii="Times New Roman" w:hAnsi="Times New Roman" w:cs="Times New Roman"/>
                <w:bCs/>
              </w:rPr>
            </w:pPr>
            <w:r w:rsidRPr="00F6639B">
              <w:rPr>
                <w:rFonts w:ascii="Times New Roman" w:hAnsi="Times New Roman" w:cs="Times New Roman"/>
                <w:bCs/>
              </w:rPr>
              <w:t xml:space="preserve">La preuve que l’établissement dispose d’un ou plusieurs référents techniques tel que visé à l’annexe I </w:t>
            </w:r>
          </w:p>
          <w:p w14:paraId="0419EBD1" w14:textId="60CE9F63" w:rsidR="002C46E9" w:rsidRPr="00F6639B" w:rsidRDefault="002C46E9" w:rsidP="002C46E9">
            <w:pPr>
              <w:spacing w:line="259" w:lineRule="auto"/>
              <w:jc w:val="both"/>
              <w:rPr>
                <w:rFonts w:ascii="Times New Roman" w:hAnsi="Times New Roman" w:cs="Times New Roman"/>
                <w:bCs/>
                <w:sz w:val="24"/>
                <w:szCs w:val="24"/>
              </w:rPr>
            </w:pPr>
            <w:r w:rsidRPr="00F6639B">
              <w:rPr>
                <w:rFonts w:ascii="Times New Roman" w:hAnsi="Times New Roman" w:cs="Times New Roman"/>
                <w:bCs/>
              </w:rPr>
              <w:t>Les justificatifs prévus au 1. de l’annexe I du présent arrêté du ou des référent(s) technique</w:t>
            </w:r>
          </w:p>
        </w:tc>
        <w:tc>
          <w:tcPr>
            <w:tcW w:w="2500" w:type="pct"/>
          </w:tcPr>
          <w:p w14:paraId="71785124" w14:textId="71C579EB" w:rsidR="002C46E9" w:rsidRPr="00F6639B" w:rsidRDefault="002C46E9" w:rsidP="002C46E9">
            <w:pPr>
              <w:spacing w:line="259" w:lineRule="auto"/>
              <w:jc w:val="both"/>
              <w:rPr>
                <w:rFonts w:ascii="Times New Roman" w:hAnsi="Times New Roman" w:cs="Times New Roman"/>
                <w:b/>
                <w:bCs/>
                <w:sz w:val="24"/>
                <w:szCs w:val="24"/>
              </w:rPr>
            </w:pPr>
            <w:r w:rsidRPr="00F6639B">
              <w:rPr>
                <w:rFonts w:ascii="Times New Roman" w:hAnsi="Times New Roman" w:cs="Times New Roman"/>
              </w:rPr>
              <w:t>La démonstration de la compétence du ou des Référents techniques (cf. Annexe I)</w:t>
            </w:r>
          </w:p>
        </w:tc>
      </w:tr>
      <w:tr w:rsidR="002C46E9" w:rsidRPr="00F6639B" w14:paraId="5239A2C4" w14:textId="77777777" w:rsidTr="00FB26D6">
        <w:tc>
          <w:tcPr>
            <w:tcW w:w="2500" w:type="pct"/>
          </w:tcPr>
          <w:p w14:paraId="370E3A58" w14:textId="3FE32E39" w:rsidR="002C46E9" w:rsidRPr="00F6639B" w:rsidRDefault="002C46E9" w:rsidP="002C46E9">
            <w:pPr>
              <w:spacing w:line="259" w:lineRule="auto"/>
              <w:jc w:val="both"/>
              <w:rPr>
                <w:rFonts w:ascii="Times New Roman" w:hAnsi="Times New Roman" w:cs="Times New Roman"/>
                <w:bCs/>
                <w:sz w:val="24"/>
                <w:szCs w:val="24"/>
              </w:rPr>
            </w:pPr>
            <w:r w:rsidRPr="00F6639B">
              <w:rPr>
                <w:rFonts w:ascii="Times New Roman" w:hAnsi="Times New Roman" w:cs="Times New Roman"/>
                <w:bCs/>
              </w:rPr>
              <w:t xml:space="preserve">Les justificatifs prévus au 1 de l’annexe I du présent arrêté </w:t>
            </w:r>
            <w:r w:rsidRPr="00F6639B">
              <w:rPr>
                <w:rFonts w:ascii="Times New Roman" w:hAnsi="Times New Roman" w:cs="Times New Roman"/>
              </w:rPr>
              <w:t>pour l’exécutant des travaux si différent du référent technique</w:t>
            </w:r>
          </w:p>
        </w:tc>
        <w:tc>
          <w:tcPr>
            <w:tcW w:w="2500" w:type="pct"/>
          </w:tcPr>
          <w:p w14:paraId="37E11D9B" w14:textId="0971124F" w:rsidR="002C46E9" w:rsidRPr="00F6639B" w:rsidRDefault="002C46E9" w:rsidP="002C46E9">
            <w:pPr>
              <w:spacing w:line="259" w:lineRule="auto"/>
              <w:jc w:val="both"/>
              <w:rPr>
                <w:rFonts w:ascii="Times New Roman" w:hAnsi="Times New Roman" w:cs="Times New Roman"/>
                <w:b/>
                <w:bCs/>
                <w:sz w:val="24"/>
                <w:szCs w:val="24"/>
              </w:rPr>
            </w:pPr>
            <w:r w:rsidRPr="00F6639B">
              <w:rPr>
                <w:rFonts w:ascii="Times New Roman" w:hAnsi="Times New Roman" w:cs="Times New Roman"/>
              </w:rPr>
              <w:t>La démonstration de la compétence du personnel réalisant des chantiers (cf. Annexe I)</w:t>
            </w:r>
          </w:p>
        </w:tc>
      </w:tr>
      <w:tr w:rsidR="002C46E9" w:rsidRPr="00F6639B" w14:paraId="77E3F32A" w14:textId="77777777" w:rsidTr="00FB26D6">
        <w:tc>
          <w:tcPr>
            <w:tcW w:w="2500" w:type="pct"/>
          </w:tcPr>
          <w:p w14:paraId="39C07C8D" w14:textId="7441FAB6" w:rsidR="002C46E9" w:rsidRPr="00F6639B" w:rsidRDefault="002C46E9" w:rsidP="00AC3927">
            <w:pPr>
              <w:tabs>
                <w:tab w:val="num" w:pos="720"/>
              </w:tabs>
              <w:spacing w:line="240" w:lineRule="auto"/>
              <w:jc w:val="both"/>
              <w:rPr>
                <w:rFonts w:ascii="Times New Roman" w:hAnsi="Times New Roman" w:cs="Times New Roman"/>
                <w:bCs/>
                <w:sz w:val="24"/>
                <w:szCs w:val="24"/>
              </w:rPr>
            </w:pPr>
            <w:r w:rsidRPr="00F6639B">
              <w:rPr>
                <w:rFonts w:ascii="Times New Roman" w:hAnsi="Times New Roman" w:cs="Times New Roman"/>
                <w:bCs/>
              </w:rPr>
              <w:t>Les justificatifs prévus au 1. de l’annexe I du présent arrêté du ou des conducteurs d’engins I</w:t>
            </w:r>
          </w:p>
        </w:tc>
        <w:tc>
          <w:tcPr>
            <w:tcW w:w="2500" w:type="pct"/>
          </w:tcPr>
          <w:p w14:paraId="2876FD66" w14:textId="686E40D2" w:rsidR="002C46E9" w:rsidRPr="00F6639B" w:rsidRDefault="002C46E9" w:rsidP="002C46E9">
            <w:pPr>
              <w:spacing w:line="259" w:lineRule="auto"/>
              <w:jc w:val="both"/>
              <w:rPr>
                <w:rFonts w:ascii="Times New Roman" w:hAnsi="Times New Roman" w:cs="Times New Roman"/>
                <w:b/>
                <w:bCs/>
                <w:sz w:val="24"/>
                <w:szCs w:val="24"/>
              </w:rPr>
            </w:pPr>
            <w:r w:rsidRPr="00F6639B">
              <w:rPr>
                <w:rFonts w:ascii="Times New Roman" w:hAnsi="Times New Roman" w:cs="Times New Roman"/>
              </w:rPr>
              <w:t>La démonstration de la compétence du personnel réalisant des chantiers (cf. Annexe I)</w:t>
            </w:r>
          </w:p>
        </w:tc>
      </w:tr>
      <w:tr w:rsidR="002C46E9" w:rsidRPr="00F6639B" w14:paraId="29514EC7" w14:textId="77777777" w:rsidTr="00FB26D6">
        <w:tc>
          <w:tcPr>
            <w:tcW w:w="2500" w:type="pct"/>
          </w:tcPr>
          <w:p w14:paraId="204BFC3D" w14:textId="68B9AA07" w:rsidR="002C46E9" w:rsidRPr="00F6639B" w:rsidRDefault="002C46E9" w:rsidP="002C46E9">
            <w:pPr>
              <w:spacing w:line="259" w:lineRule="auto"/>
              <w:jc w:val="both"/>
              <w:rPr>
                <w:rFonts w:ascii="Times New Roman" w:hAnsi="Times New Roman" w:cs="Times New Roman"/>
                <w:bCs/>
                <w:sz w:val="24"/>
                <w:szCs w:val="24"/>
              </w:rPr>
            </w:pPr>
            <w:r w:rsidRPr="00F6639B">
              <w:rPr>
                <w:rFonts w:ascii="Times New Roman" w:hAnsi="Times New Roman" w:cs="Times New Roman"/>
                <w:bCs/>
              </w:rPr>
              <w:t>Liste du matériel de forage en propre</w:t>
            </w:r>
          </w:p>
        </w:tc>
        <w:tc>
          <w:tcPr>
            <w:tcW w:w="2500" w:type="pct"/>
          </w:tcPr>
          <w:p w14:paraId="1E1867C2" w14:textId="35BCC468" w:rsidR="002C46E9" w:rsidRPr="00F6639B" w:rsidRDefault="002C46E9" w:rsidP="002C46E9">
            <w:pPr>
              <w:spacing w:line="259" w:lineRule="auto"/>
              <w:jc w:val="both"/>
              <w:rPr>
                <w:rFonts w:ascii="Times New Roman" w:hAnsi="Times New Roman" w:cs="Times New Roman"/>
                <w:b/>
                <w:bCs/>
                <w:sz w:val="24"/>
                <w:szCs w:val="24"/>
              </w:rPr>
            </w:pPr>
            <w:r w:rsidRPr="00F6639B">
              <w:rPr>
                <w:rFonts w:ascii="Times New Roman" w:hAnsi="Times New Roman" w:cs="Times New Roman"/>
              </w:rPr>
              <w:t>Afin de vérifier le respect de l’annexe I</w:t>
            </w:r>
          </w:p>
        </w:tc>
      </w:tr>
      <w:tr w:rsidR="002C46E9" w:rsidRPr="00F6639B" w14:paraId="06533B7B" w14:textId="77777777" w:rsidTr="00FB26D6">
        <w:tc>
          <w:tcPr>
            <w:tcW w:w="2500" w:type="pct"/>
          </w:tcPr>
          <w:p w14:paraId="25C798E8" w14:textId="77777777" w:rsidR="002C46E9" w:rsidRPr="00F6639B" w:rsidRDefault="002C46E9" w:rsidP="002C46E9">
            <w:pPr>
              <w:spacing w:line="240" w:lineRule="auto"/>
              <w:jc w:val="both"/>
              <w:rPr>
                <w:rFonts w:ascii="Times New Roman" w:hAnsi="Times New Roman" w:cs="Times New Roman"/>
                <w:bCs/>
              </w:rPr>
            </w:pPr>
            <w:r w:rsidRPr="00F6639B">
              <w:rPr>
                <w:rFonts w:ascii="Times New Roman" w:hAnsi="Times New Roman" w:cs="Times New Roman"/>
                <w:bCs/>
              </w:rPr>
              <w:t>Des éléments sur la gestion des réclamations clients :</w:t>
            </w:r>
          </w:p>
          <w:p w14:paraId="7541CEED" w14:textId="09FD07C4" w:rsidR="002C46E9" w:rsidRPr="00F6639B" w:rsidRDefault="00AC3927" w:rsidP="00AC3927">
            <w:pPr>
              <w:spacing w:line="240" w:lineRule="auto"/>
              <w:jc w:val="both"/>
              <w:rPr>
                <w:rFonts w:ascii="Times New Roman" w:hAnsi="Times New Roman" w:cs="Times New Roman"/>
              </w:rPr>
            </w:pPr>
            <w:r w:rsidRPr="00F6639B">
              <w:rPr>
                <w:rFonts w:ascii="Times New Roman" w:hAnsi="Times New Roman" w:cs="Times New Roman"/>
              </w:rPr>
              <w:t xml:space="preserve">- </w:t>
            </w:r>
            <w:r w:rsidR="002C46E9" w:rsidRPr="00F6639B">
              <w:rPr>
                <w:rFonts w:ascii="Times New Roman" w:hAnsi="Times New Roman" w:cs="Times New Roman"/>
              </w:rPr>
              <w:t>Procédure de gestion des réclamations clients</w:t>
            </w:r>
          </w:p>
          <w:p w14:paraId="7CC28110" w14:textId="5F42406F" w:rsidR="002C46E9" w:rsidRPr="00F6639B" w:rsidRDefault="00AC3927" w:rsidP="002C46E9">
            <w:pPr>
              <w:spacing w:line="259" w:lineRule="auto"/>
              <w:jc w:val="both"/>
              <w:rPr>
                <w:rFonts w:ascii="Times New Roman" w:hAnsi="Times New Roman" w:cs="Times New Roman"/>
                <w:bCs/>
                <w:sz w:val="24"/>
                <w:szCs w:val="24"/>
              </w:rPr>
            </w:pPr>
            <w:r w:rsidRPr="00F6639B">
              <w:rPr>
                <w:rFonts w:ascii="Times New Roman" w:hAnsi="Times New Roman" w:cs="Times New Roman"/>
              </w:rPr>
              <w:t xml:space="preserve">- </w:t>
            </w:r>
            <w:r w:rsidR="002C46E9" w:rsidRPr="00F6639B">
              <w:rPr>
                <w:rFonts w:ascii="Times New Roman" w:hAnsi="Times New Roman" w:cs="Times New Roman"/>
              </w:rPr>
              <w:t>Tableau de suivi du traitement des réclamations clients</w:t>
            </w:r>
          </w:p>
        </w:tc>
        <w:tc>
          <w:tcPr>
            <w:tcW w:w="2500" w:type="pct"/>
          </w:tcPr>
          <w:p w14:paraId="4CDE46E9" w14:textId="0353D8DD" w:rsidR="002C46E9" w:rsidRPr="00F6639B" w:rsidRDefault="002C46E9" w:rsidP="002C46E9">
            <w:pPr>
              <w:spacing w:line="259" w:lineRule="auto"/>
              <w:jc w:val="both"/>
              <w:rPr>
                <w:rFonts w:ascii="Times New Roman" w:hAnsi="Times New Roman" w:cs="Times New Roman"/>
                <w:b/>
                <w:bCs/>
                <w:sz w:val="24"/>
                <w:szCs w:val="24"/>
              </w:rPr>
            </w:pPr>
            <w:r w:rsidRPr="00F6639B">
              <w:rPr>
                <w:rFonts w:ascii="Times New Roman" w:hAnsi="Times New Roman" w:cs="Times New Roman"/>
              </w:rPr>
              <w:t>/</w:t>
            </w:r>
          </w:p>
        </w:tc>
      </w:tr>
      <w:tr w:rsidR="00AC3927" w:rsidRPr="00F6639B" w14:paraId="0DAC2A31" w14:textId="77777777" w:rsidTr="00FB26D6">
        <w:tc>
          <w:tcPr>
            <w:tcW w:w="5000" w:type="pct"/>
            <w:gridSpan w:val="2"/>
          </w:tcPr>
          <w:p w14:paraId="0C755E37" w14:textId="5A26E692" w:rsidR="00AC3927" w:rsidRPr="00F6639B" w:rsidRDefault="00AC3927" w:rsidP="00EF71CF">
            <w:pPr>
              <w:spacing w:line="259" w:lineRule="auto"/>
              <w:jc w:val="both"/>
              <w:rPr>
                <w:rFonts w:ascii="Times New Roman" w:hAnsi="Times New Roman" w:cs="Times New Roman"/>
                <w:b/>
                <w:bCs/>
                <w:sz w:val="24"/>
                <w:szCs w:val="24"/>
              </w:rPr>
            </w:pPr>
            <w:r w:rsidRPr="00F6639B">
              <w:rPr>
                <w:rFonts w:ascii="Times New Roman" w:hAnsi="Times New Roman" w:cs="Times New Roman"/>
                <w:b/>
                <w:bCs/>
                <w:sz w:val="24"/>
                <w:szCs w:val="24"/>
              </w:rPr>
              <w:t>Autres documents</w:t>
            </w:r>
          </w:p>
        </w:tc>
      </w:tr>
      <w:tr w:rsidR="00AC3927" w:rsidRPr="00F6639B" w14:paraId="414AEEEE" w14:textId="77777777" w:rsidTr="00FB26D6">
        <w:tc>
          <w:tcPr>
            <w:tcW w:w="2500" w:type="pct"/>
          </w:tcPr>
          <w:p w14:paraId="16D26B94" w14:textId="501C1C39" w:rsidR="00AC3927" w:rsidRPr="00F6639B" w:rsidRDefault="00AC3927" w:rsidP="00AC3927">
            <w:pPr>
              <w:spacing w:line="259" w:lineRule="auto"/>
              <w:jc w:val="both"/>
              <w:rPr>
                <w:rFonts w:ascii="Times New Roman" w:hAnsi="Times New Roman" w:cs="Times New Roman"/>
                <w:bCs/>
                <w:sz w:val="24"/>
                <w:szCs w:val="24"/>
              </w:rPr>
            </w:pPr>
            <w:r w:rsidRPr="00F6639B">
              <w:rPr>
                <w:rFonts w:ascii="Times New Roman" w:hAnsi="Times New Roman" w:cs="Times New Roman"/>
                <w:bCs/>
              </w:rPr>
              <w:t>Engagement de déposer une demande de certification auprès d’un seul organisme de certification</w:t>
            </w:r>
          </w:p>
        </w:tc>
        <w:tc>
          <w:tcPr>
            <w:tcW w:w="2500" w:type="pct"/>
          </w:tcPr>
          <w:p w14:paraId="2175DA78" w14:textId="617394E4" w:rsidR="00AC3927" w:rsidRPr="00F6639B" w:rsidRDefault="00AC3927" w:rsidP="00AC3927">
            <w:pPr>
              <w:spacing w:line="259" w:lineRule="auto"/>
              <w:jc w:val="both"/>
              <w:rPr>
                <w:rFonts w:ascii="Times New Roman" w:hAnsi="Times New Roman" w:cs="Times New Roman"/>
                <w:b/>
                <w:bCs/>
                <w:sz w:val="24"/>
                <w:szCs w:val="24"/>
              </w:rPr>
            </w:pPr>
            <w:r w:rsidRPr="00F6639B">
              <w:rPr>
                <w:rFonts w:ascii="Times New Roman" w:hAnsi="Times New Roman" w:cs="Times New Roman"/>
              </w:rPr>
              <w:t>/</w:t>
            </w:r>
          </w:p>
        </w:tc>
      </w:tr>
      <w:tr w:rsidR="00AC3927" w:rsidRPr="00F6639B" w14:paraId="15D2D913" w14:textId="77777777" w:rsidTr="00FB26D6">
        <w:tc>
          <w:tcPr>
            <w:tcW w:w="2500" w:type="pct"/>
          </w:tcPr>
          <w:p w14:paraId="2A23EC09" w14:textId="77777777" w:rsidR="00AC3927" w:rsidRPr="00F6639B" w:rsidRDefault="00AC3927" w:rsidP="00AC3927">
            <w:pPr>
              <w:spacing w:line="240" w:lineRule="auto"/>
              <w:jc w:val="both"/>
              <w:rPr>
                <w:rFonts w:ascii="Times New Roman" w:hAnsi="Times New Roman" w:cs="Times New Roman"/>
                <w:bCs/>
              </w:rPr>
            </w:pPr>
            <w:r w:rsidRPr="00F6639B">
              <w:rPr>
                <w:rFonts w:ascii="Times New Roman" w:hAnsi="Times New Roman" w:cs="Times New Roman"/>
                <w:bCs/>
              </w:rPr>
              <w:t>Engagement de l’entreprise de ne pas avoir fait l’objet de retrait de certification avec délai de carence.</w:t>
            </w:r>
          </w:p>
          <w:p w14:paraId="3F3BE823" w14:textId="29696768" w:rsidR="00AC3927" w:rsidRPr="00F6639B" w:rsidRDefault="00AC3927" w:rsidP="00091162">
            <w:pPr>
              <w:spacing w:line="259" w:lineRule="auto"/>
              <w:jc w:val="both"/>
              <w:rPr>
                <w:rFonts w:ascii="Times New Roman" w:hAnsi="Times New Roman" w:cs="Times New Roman"/>
                <w:bCs/>
                <w:sz w:val="24"/>
                <w:szCs w:val="24"/>
              </w:rPr>
            </w:pPr>
            <w:r w:rsidRPr="00F6639B">
              <w:rPr>
                <w:rFonts w:ascii="Times New Roman" w:hAnsi="Times New Roman" w:cs="Times New Roman"/>
                <w:bCs/>
              </w:rPr>
              <w:t xml:space="preserve">Sinon, elle fournit les éléments satisfaisants à l’article </w:t>
            </w:r>
            <w:r w:rsidR="00091162" w:rsidRPr="00F6639B">
              <w:rPr>
                <w:rFonts w:ascii="Times New Roman" w:hAnsi="Times New Roman" w:cs="Times New Roman"/>
                <w:bCs/>
              </w:rPr>
              <w:t xml:space="preserve">12 </w:t>
            </w:r>
            <w:r w:rsidRPr="00F6639B">
              <w:rPr>
                <w:rFonts w:ascii="Times New Roman" w:hAnsi="Times New Roman" w:cs="Times New Roman"/>
                <w:bCs/>
              </w:rPr>
              <w:t>du présent arrêté.</w:t>
            </w:r>
          </w:p>
        </w:tc>
        <w:tc>
          <w:tcPr>
            <w:tcW w:w="2500" w:type="pct"/>
          </w:tcPr>
          <w:p w14:paraId="78454E1E" w14:textId="377B9688" w:rsidR="00AC3927" w:rsidRPr="00F6639B" w:rsidRDefault="00AC3927" w:rsidP="00AC3927">
            <w:pPr>
              <w:spacing w:line="259" w:lineRule="auto"/>
              <w:jc w:val="both"/>
              <w:rPr>
                <w:rFonts w:ascii="Times New Roman" w:hAnsi="Times New Roman" w:cs="Times New Roman"/>
                <w:b/>
                <w:bCs/>
                <w:sz w:val="24"/>
                <w:szCs w:val="24"/>
              </w:rPr>
            </w:pPr>
            <w:r w:rsidRPr="00F6639B">
              <w:rPr>
                <w:rFonts w:ascii="Times New Roman" w:hAnsi="Times New Roman" w:cs="Times New Roman"/>
              </w:rPr>
              <w:t>/</w:t>
            </w:r>
          </w:p>
        </w:tc>
      </w:tr>
      <w:tr w:rsidR="00AC3927" w:rsidRPr="00F6639B" w14:paraId="54E50FFC" w14:textId="77777777" w:rsidTr="00FB26D6">
        <w:tc>
          <w:tcPr>
            <w:tcW w:w="2500" w:type="pct"/>
          </w:tcPr>
          <w:p w14:paraId="05024FDC" w14:textId="1B4A9EA6" w:rsidR="00AC3927" w:rsidRPr="00F6639B" w:rsidRDefault="00AC3927" w:rsidP="00AC3927">
            <w:pPr>
              <w:spacing w:line="259" w:lineRule="auto"/>
              <w:jc w:val="both"/>
              <w:rPr>
                <w:rFonts w:ascii="Times New Roman" w:hAnsi="Times New Roman" w:cs="Times New Roman"/>
                <w:bCs/>
                <w:sz w:val="24"/>
                <w:szCs w:val="24"/>
              </w:rPr>
            </w:pPr>
            <w:r w:rsidRPr="00F6639B">
              <w:rPr>
                <w:rFonts w:ascii="Times New Roman" w:hAnsi="Times New Roman" w:cs="Times New Roman"/>
                <w:bCs/>
              </w:rPr>
              <w:t>Toute autre information jugée pertinente par l’organisme de certification</w:t>
            </w:r>
          </w:p>
        </w:tc>
        <w:tc>
          <w:tcPr>
            <w:tcW w:w="2500" w:type="pct"/>
          </w:tcPr>
          <w:p w14:paraId="44BE558E" w14:textId="18B50579" w:rsidR="00AC3927" w:rsidRPr="00F6639B" w:rsidRDefault="00AC3927" w:rsidP="00AC3927">
            <w:pPr>
              <w:spacing w:line="259" w:lineRule="auto"/>
              <w:jc w:val="both"/>
              <w:rPr>
                <w:rFonts w:ascii="Times New Roman" w:hAnsi="Times New Roman" w:cs="Times New Roman"/>
                <w:b/>
                <w:bCs/>
                <w:sz w:val="24"/>
                <w:szCs w:val="24"/>
              </w:rPr>
            </w:pPr>
            <w:r w:rsidRPr="00F6639B">
              <w:rPr>
                <w:rFonts w:ascii="Times New Roman" w:hAnsi="Times New Roman" w:cs="Times New Roman"/>
              </w:rPr>
              <w:t>/</w:t>
            </w:r>
          </w:p>
        </w:tc>
      </w:tr>
    </w:tbl>
    <w:p w14:paraId="7BF8EE81" w14:textId="77777777" w:rsidR="00EF71CF" w:rsidRPr="00F6639B" w:rsidRDefault="00EF71CF" w:rsidP="00EF71CF">
      <w:pPr>
        <w:spacing w:line="259" w:lineRule="auto"/>
        <w:jc w:val="both"/>
        <w:rPr>
          <w:rFonts w:ascii="Times New Roman" w:hAnsi="Times New Roman" w:cs="Times New Roman"/>
          <w:b/>
          <w:bCs/>
          <w:sz w:val="24"/>
          <w:szCs w:val="24"/>
        </w:rPr>
      </w:pPr>
    </w:p>
    <w:p w14:paraId="645F3FB4" w14:textId="77777777" w:rsidR="00D260EA" w:rsidRPr="00F6639B" w:rsidRDefault="00D260EA" w:rsidP="00D260EA">
      <w:pPr>
        <w:spacing w:line="259" w:lineRule="auto"/>
        <w:rPr>
          <w:rFonts w:ascii="Times New Roman" w:hAnsi="Times New Roman" w:cs="Times New Roman"/>
          <w:sz w:val="24"/>
          <w:szCs w:val="24"/>
        </w:rPr>
      </w:pPr>
    </w:p>
    <w:p w14:paraId="2D215EE3" w14:textId="77777777" w:rsidR="00AC3927" w:rsidRPr="00F6639B" w:rsidRDefault="00AC3927">
      <w:pPr>
        <w:spacing w:line="259" w:lineRule="auto"/>
        <w:rPr>
          <w:rFonts w:ascii="Times New Roman" w:hAnsi="Times New Roman" w:cs="Times New Roman"/>
          <w:b/>
          <w:bCs/>
          <w:sz w:val="24"/>
          <w:szCs w:val="24"/>
        </w:rPr>
      </w:pPr>
      <w:r w:rsidRPr="00F6639B">
        <w:rPr>
          <w:rFonts w:ascii="Times New Roman" w:hAnsi="Times New Roman" w:cs="Times New Roman"/>
          <w:b/>
          <w:bCs/>
          <w:sz w:val="24"/>
          <w:szCs w:val="24"/>
        </w:rPr>
        <w:br w:type="page"/>
      </w:r>
    </w:p>
    <w:p w14:paraId="351BBDCC" w14:textId="15532899" w:rsidR="00D260EA" w:rsidRPr="00F6639B" w:rsidRDefault="00DA474C" w:rsidP="00DA474C">
      <w:pPr>
        <w:spacing w:line="259" w:lineRule="auto"/>
        <w:jc w:val="both"/>
        <w:rPr>
          <w:rFonts w:ascii="Times New Roman" w:hAnsi="Times New Roman" w:cs="Times New Roman"/>
          <w:b/>
          <w:bCs/>
          <w:sz w:val="24"/>
          <w:szCs w:val="24"/>
        </w:rPr>
      </w:pPr>
      <w:r w:rsidRPr="00F6639B">
        <w:rPr>
          <w:rFonts w:ascii="Times New Roman" w:hAnsi="Times New Roman" w:cs="Times New Roman"/>
          <w:b/>
          <w:bCs/>
          <w:sz w:val="24"/>
          <w:szCs w:val="24"/>
        </w:rPr>
        <w:t xml:space="preserve">Tableau n° 2 : </w:t>
      </w:r>
      <w:r w:rsidR="00D260EA" w:rsidRPr="00F6639B">
        <w:rPr>
          <w:rFonts w:ascii="Times New Roman" w:hAnsi="Times New Roman" w:cs="Times New Roman"/>
          <w:b/>
          <w:bCs/>
          <w:sz w:val="24"/>
          <w:szCs w:val="24"/>
        </w:rPr>
        <w:t xml:space="preserve">Contenu du dossier à transmettre par l’entreprise de forage pour la demande </w:t>
      </w:r>
      <w:r w:rsidR="00E727C8" w:rsidRPr="00F6639B">
        <w:rPr>
          <w:rFonts w:ascii="Times New Roman" w:hAnsi="Times New Roman" w:cs="Times New Roman"/>
          <w:b/>
          <w:bCs/>
          <w:sz w:val="24"/>
          <w:szCs w:val="24"/>
        </w:rPr>
        <w:t>de renouvellement</w:t>
      </w:r>
      <w:r w:rsidR="00D260EA" w:rsidRPr="00F6639B">
        <w:rPr>
          <w:rFonts w:ascii="Times New Roman" w:hAnsi="Times New Roman" w:cs="Times New Roman"/>
          <w:b/>
          <w:bCs/>
          <w:sz w:val="24"/>
          <w:szCs w:val="24"/>
        </w:rPr>
        <w:t xml:space="preserve"> de certification</w:t>
      </w:r>
    </w:p>
    <w:tbl>
      <w:tblPr>
        <w:tblStyle w:val="Grilledutableau"/>
        <w:tblW w:w="5000" w:type="pct"/>
        <w:tblLook w:val="04A0" w:firstRow="1" w:lastRow="0" w:firstColumn="1" w:lastColumn="0" w:noHBand="0" w:noVBand="1"/>
      </w:tblPr>
      <w:tblGrid>
        <w:gridCol w:w="4531"/>
        <w:gridCol w:w="4531"/>
      </w:tblGrid>
      <w:tr w:rsidR="00FB26D6" w:rsidRPr="00F6639B" w14:paraId="3CF63373" w14:textId="77777777" w:rsidTr="000D4C1E">
        <w:trPr>
          <w:tblHeader/>
        </w:trPr>
        <w:tc>
          <w:tcPr>
            <w:tcW w:w="2500" w:type="pct"/>
            <w:shd w:val="clear" w:color="auto" w:fill="A6A6A6" w:themeFill="background1" w:themeFillShade="A6"/>
          </w:tcPr>
          <w:p w14:paraId="05E58AC2"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b/>
                <w:bCs/>
                <w:sz w:val="24"/>
                <w:szCs w:val="24"/>
              </w:rPr>
              <w:t>Documents à transmettre</w:t>
            </w:r>
          </w:p>
        </w:tc>
        <w:tc>
          <w:tcPr>
            <w:tcW w:w="2500" w:type="pct"/>
            <w:shd w:val="clear" w:color="auto" w:fill="A6A6A6" w:themeFill="background1" w:themeFillShade="A6"/>
          </w:tcPr>
          <w:p w14:paraId="5208F6F0"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b/>
                <w:bCs/>
                <w:sz w:val="24"/>
                <w:szCs w:val="24"/>
              </w:rPr>
              <w:t>Informations complémentaires</w:t>
            </w:r>
          </w:p>
        </w:tc>
      </w:tr>
      <w:tr w:rsidR="00FB26D6" w:rsidRPr="00F6639B" w14:paraId="174B0BEC" w14:textId="77777777" w:rsidTr="000D4C1E">
        <w:tc>
          <w:tcPr>
            <w:tcW w:w="5000" w:type="pct"/>
            <w:gridSpan w:val="2"/>
          </w:tcPr>
          <w:p w14:paraId="4C208996"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b/>
                <w:bCs/>
                <w:sz w:val="24"/>
                <w:szCs w:val="24"/>
              </w:rPr>
              <w:t>Informations générales</w:t>
            </w:r>
          </w:p>
        </w:tc>
      </w:tr>
      <w:tr w:rsidR="00FB26D6" w:rsidRPr="00F6639B" w14:paraId="05220DF8" w14:textId="77777777" w:rsidTr="000D4C1E">
        <w:tc>
          <w:tcPr>
            <w:tcW w:w="2500" w:type="pct"/>
          </w:tcPr>
          <w:p w14:paraId="35151AB3"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bCs/>
              </w:rPr>
              <w:t>La désignation du ou des modules sollicités (nappe et/ou sonde) définis à l’article 2 du présent arrêté</w:t>
            </w:r>
          </w:p>
        </w:tc>
        <w:tc>
          <w:tcPr>
            <w:tcW w:w="2500" w:type="pct"/>
          </w:tcPr>
          <w:p w14:paraId="05AE2730"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color w:val="002060"/>
              </w:rPr>
              <w:t>/</w:t>
            </w:r>
          </w:p>
        </w:tc>
      </w:tr>
      <w:tr w:rsidR="00FB26D6" w:rsidRPr="00F6639B" w14:paraId="4C6435E6" w14:textId="77777777" w:rsidTr="000D4C1E">
        <w:tc>
          <w:tcPr>
            <w:tcW w:w="2500" w:type="pct"/>
          </w:tcPr>
          <w:p w14:paraId="067E990C"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bCs/>
              </w:rPr>
              <w:t>Le numéro SIREN de l’entreprise et le numéro SIRET de l’établissement</w:t>
            </w:r>
          </w:p>
        </w:tc>
        <w:tc>
          <w:tcPr>
            <w:tcW w:w="2500" w:type="pct"/>
          </w:tcPr>
          <w:p w14:paraId="41C20C72"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bCs/>
              </w:rPr>
              <w:t>Pour répondre à cette exigence, les entreprises étrangères doivent communiquer leur numéro de TVA intracommunautaire</w:t>
            </w:r>
          </w:p>
        </w:tc>
      </w:tr>
      <w:tr w:rsidR="00FB26D6" w:rsidRPr="00F6639B" w14:paraId="158B3216" w14:textId="77777777" w:rsidTr="000D4C1E">
        <w:tc>
          <w:tcPr>
            <w:tcW w:w="2500" w:type="pct"/>
          </w:tcPr>
          <w:p w14:paraId="3B749325"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bCs/>
              </w:rPr>
              <w:t>Le prénom, nom et coordonnées de la personne responsable de l’organisation permettant de répondre au référentiel de certification</w:t>
            </w:r>
          </w:p>
        </w:tc>
        <w:tc>
          <w:tcPr>
            <w:tcW w:w="2500" w:type="pct"/>
          </w:tcPr>
          <w:p w14:paraId="023DBD13"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color w:val="002060"/>
              </w:rPr>
              <w:t>/</w:t>
            </w:r>
          </w:p>
        </w:tc>
      </w:tr>
      <w:tr w:rsidR="00FB26D6" w:rsidRPr="00F6639B" w14:paraId="4ACEF6D9" w14:textId="77777777" w:rsidTr="000D4C1E">
        <w:tc>
          <w:tcPr>
            <w:tcW w:w="5000" w:type="pct"/>
            <w:gridSpan w:val="2"/>
          </w:tcPr>
          <w:p w14:paraId="180D219B"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b/>
                <w:color w:val="000000" w:themeColor="text1"/>
              </w:rPr>
              <w:t>Documents administratifs et juridiques</w:t>
            </w:r>
          </w:p>
        </w:tc>
      </w:tr>
      <w:tr w:rsidR="00FB26D6" w:rsidRPr="00F6639B" w14:paraId="348059AB" w14:textId="77777777" w:rsidTr="000D4C1E">
        <w:tc>
          <w:tcPr>
            <w:tcW w:w="2500" w:type="pct"/>
          </w:tcPr>
          <w:p w14:paraId="00E0BDE0" w14:textId="77777777" w:rsidR="00FB26D6" w:rsidRPr="00F6639B" w:rsidRDefault="00FB26D6" w:rsidP="000D4C1E">
            <w:pPr>
              <w:tabs>
                <w:tab w:val="num" w:pos="720"/>
              </w:tabs>
              <w:spacing w:line="240" w:lineRule="auto"/>
              <w:jc w:val="both"/>
              <w:rPr>
                <w:rFonts w:ascii="Times New Roman" w:hAnsi="Times New Roman" w:cs="Times New Roman"/>
                <w:bCs/>
              </w:rPr>
            </w:pPr>
            <w:r w:rsidRPr="00F6639B">
              <w:rPr>
                <w:rFonts w:ascii="Times New Roman" w:hAnsi="Times New Roman" w:cs="Times New Roman"/>
                <w:bCs/>
              </w:rPr>
              <w:t>Une attestation de régularité fiscale</w:t>
            </w:r>
          </w:p>
          <w:p w14:paraId="48E0E216" w14:textId="77777777" w:rsidR="00FB26D6" w:rsidRPr="00F6639B" w:rsidRDefault="00FB26D6" w:rsidP="000D4C1E">
            <w:pPr>
              <w:spacing w:line="259" w:lineRule="auto"/>
              <w:jc w:val="both"/>
              <w:rPr>
                <w:rFonts w:ascii="Times New Roman" w:hAnsi="Times New Roman" w:cs="Times New Roman"/>
                <w:bCs/>
                <w:sz w:val="24"/>
                <w:szCs w:val="24"/>
              </w:rPr>
            </w:pPr>
          </w:p>
        </w:tc>
        <w:tc>
          <w:tcPr>
            <w:tcW w:w="2500" w:type="pct"/>
          </w:tcPr>
          <w:p w14:paraId="764E4A2B"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rPr>
              <w:t>Pour répondre à ces exigences les entreprises étrangères doivent produire les documents équivalents délivrés par les services et autorités compétentes du pays où elles sont établies et où elles exercent.</w:t>
            </w:r>
          </w:p>
        </w:tc>
      </w:tr>
      <w:tr w:rsidR="00FB26D6" w:rsidRPr="00F6639B" w14:paraId="089B906E" w14:textId="77777777" w:rsidTr="000D4C1E">
        <w:tc>
          <w:tcPr>
            <w:tcW w:w="2500" w:type="pct"/>
          </w:tcPr>
          <w:p w14:paraId="3AFCCD50"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bCs/>
              </w:rPr>
              <w:t>Une attestation de régularité sociale</w:t>
            </w:r>
          </w:p>
        </w:tc>
        <w:tc>
          <w:tcPr>
            <w:tcW w:w="2500" w:type="pct"/>
          </w:tcPr>
          <w:p w14:paraId="0F5D47E3"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rPr>
              <w:t>Pour répondre à ces exigences les entreprises étrangères doivent produire les documents équivalents délivrés par les services et autorités compétentes du pays où elles sont établies et où elles exercent.</w:t>
            </w:r>
          </w:p>
        </w:tc>
      </w:tr>
      <w:tr w:rsidR="00FB26D6" w:rsidRPr="00F6639B" w14:paraId="09CE76CF" w14:textId="77777777" w:rsidTr="000D4C1E">
        <w:tc>
          <w:tcPr>
            <w:tcW w:w="2500" w:type="pct"/>
          </w:tcPr>
          <w:p w14:paraId="530091F1"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bCs/>
              </w:rPr>
              <w:t>L’effectif global de l’entreprise ainsi que les effectifs de l’activité Forage GMI</w:t>
            </w:r>
          </w:p>
        </w:tc>
        <w:tc>
          <w:tcPr>
            <w:tcW w:w="2500" w:type="pct"/>
          </w:tcPr>
          <w:p w14:paraId="57EBBD6A"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rPr>
              <w:t>/</w:t>
            </w:r>
          </w:p>
        </w:tc>
      </w:tr>
      <w:tr w:rsidR="00FB26D6" w:rsidRPr="00F6639B" w14:paraId="6C7321EC" w14:textId="77777777" w:rsidTr="000D4C1E">
        <w:tc>
          <w:tcPr>
            <w:tcW w:w="2500" w:type="pct"/>
          </w:tcPr>
          <w:p w14:paraId="50B09ADF" w14:textId="77777777" w:rsidR="00FB26D6" w:rsidRPr="00F6639B" w:rsidRDefault="00FB26D6" w:rsidP="000D4C1E">
            <w:pPr>
              <w:spacing w:line="240" w:lineRule="auto"/>
              <w:jc w:val="both"/>
              <w:rPr>
                <w:rFonts w:ascii="Times New Roman" w:hAnsi="Times New Roman" w:cs="Times New Roman"/>
              </w:rPr>
            </w:pPr>
            <w:r w:rsidRPr="00F6639B">
              <w:rPr>
                <w:rFonts w:ascii="Times New Roman" w:hAnsi="Times New Roman" w:cs="Times New Roman"/>
                <w:bCs/>
              </w:rPr>
              <w:t xml:space="preserve">Une attestation d'assurance Responsabilité Civile Générale en cours de validité (article L. 164-1-1 du code minier) </w:t>
            </w:r>
            <w:r w:rsidRPr="00F6639B">
              <w:rPr>
                <w:rFonts w:ascii="Times New Roman" w:hAnsi="Times New Roman" w:cs="Times New Roman"/>
              </w:rPr>
              <w:t xml:space="preserve">couvrant : </w:t>
            </w:r>
          </w:p>
          <w:p w14:paraId="22323548" w14:textId="77777777" w:rsidR="00FB26D6" w:rsidRPr="00F6639B" w:rsidRDefault="00FB26D6" w:rsidP="000D4C1E">
            <w:pPr>
              <w:spacing w:line="240" w:lineRule="auto"/>
              <w:contextualSpacing/>
              <w:jc w:val="both"/>
              <w:rPr>
                <w:rFonts w:ascii="Times New Roman" w:hAnsi="Times New Roman" w:cs="Times New Roman"/>
              </w:rPr>
            </w:pPr>
            <w:r w:rsidRPr="00F6639B">
              <w:rPr>
                <w:rFonts w:ascii="Times New Roman" w:hAnsi="Times New Roman" w:cs="Times New Roman"/>
              </w:rPr>
              <w:t>- pour sonde : forage géothermique ou sonde géothermique</w:t>
            </w:r>
          </w:p>
          <w:p w14:paraId="7B32BD94" w14:textId="77777777" w:rsidR="00FB26D6" w:rsidRPr="00F6639B" w:rsidRDefault="00FB26D6" w:rsidP="000D4C1E">
            <w:pPr>
              <w:spacing w:line="240" w:lineRule="auto"/>
              <w:contextualSpacing/>
              <w:jc w:val="both"/>
              <w:rPr>
                <w:rFonts w:ascii="Times New Roman" w:hAnsi="Times New Roman" w:cs="Times New Roman"/>
              </w:rPr>
            </w:pPr>
            <w:r w:rsidRPr="00F6639B">
              <w:rPr>
                <w:rFonts w:ascii="Times New Roman" w:hAnsi="Times New Roman" w:cs="Times New Roman"/>
              </w:rPr>
              <w:t xml:space="preserve">- pour nappe : forage géothermique </w:t>
            </w:r>
          </w:p>
          <w:p w14:paraId="649FE055" w14:textId="77777777" w:rsidR="00FB26D6" w:rsidRPr="00F6639B" w:rsidRDefault="00FB26D6" w:rsidP="000D4C1E">
            <w:pPr>
              <w:spacing w:line="259" w:lineRule="auto"/>
              <w:jc w:val="both"/>
              <w:rPr>
                <w:rFonts w:ascii="Times New Roman" w:hAnsi="Times New Roman" w:cs="Times New Roman"/>
                <w:bCs/>
                <w:sz w:val="24"/>
                <w:szCs w:val="24"/>
              </w:rPr>
            </w:pPr>
          </w:p>
        </w:tc>
        <w:tc>
          <w:tcPr>
            <w:tcW w:w="2500" w:type="pct"/>
          </w:tcPr>
          <w:p w14:paraId="646E0999" w14:textId="4BB0C32B" w:rsidR="00FB26D6" w:rsidRPr="00F6639B" w:rsidRDefault="00FB26D6" w:rsidP="0011091B">
            <w:pPr>
              <w:spacing w:line="259" w:lineRule="auto"/>
              <w:jc w:val="both"/>
              <w:rPr>
                <w:rFonts w:ascii="Times New Roman" w:hAnsi="Times New Roman" w:cs="Times New Roman"/>
                <w:bCs/>
                <w:sz w:val="24"/>
                <w:szCs w:val="24"/>
              </w:rPr>
            </w:pPr>
            <w:r w:rsidRPr="00F6639B">
              <w:rPr>
                <w:rFonts w:ascii="Times New Roman" w:hAnsi="Times New Roman" w:cs="Times New Roman"/>
              </w:rPr>
              <w:t xml:space="preserve">Couverture assurantielle conforme aux exigences du décret n° 2016-835 du 24/06/2016 </w:t>
            </w:r>
          </w:p>
        </w:tc>
      </w:tr>
      <w:tr w:rsidR="00FB26D6" w:rsidRPr="00F6639B" w14:paraId="4C571757" w14:textId="77777777" w:rsidTr="000D4C1E">
        <w:tc>
          <w:tcPr>
            <w:tcW w:w="2500" w:type="pct"/>
          </w:tcPr>
          <w:p w14:paraId="17E957CB" w14:textId="77777777" w:rsidR="00FB26D6" w:rsidRPr="00F6639B" w:rsidRDefault="00FB26D6" w:rsidP="000D4C1E">
            <w:pPr>
              <w:spacing w:line="240" w:lineRule="auto"/>
              <w:rPr>
                <w:rFonts w:ascii="Times New Roman" w:hAnsi="Times New Roman" w:cs="Times New Roman"/>
              </w:rPr>
            </w:pPr>
            <w:r w:rsidRPr="00F6639B">
              <w:rPr>
                <w:rFonts w:ascii="Times New Roman" w:hAnsi="Times New Roman" w:cs="Times New Roman"/>
                <w:bCs/>
              </w:rPr>
              <w:t xml:space="preserve">Une attestation d'assurance Responsabilité Civile Décennale en cours de validité (article L. 164-1-1 du code minier) </w:t>
            </w:r>
            <w:r w:rsidRPr="00F6639B">
              <w:rPr>
                <w:rFonts w:ascii="Times New Roman" w:hAnsi="Times New Roman" w:cs="Times New Roman"/>
              </w:rPr>
              <w:t xml:space="preserve">couvrant : </w:t>
            </w:r>
          </w:p>
          <w:p w14:paraId="6DD9C05D" w14:textId="77777777" w:rsidR="00FB26D6" w:rsidRPr="00F6639B" w:rsidRDefault="00FB26D6" w:rsidP="000D4C1E">
            <w:pPr>
              <w:spacing w:line="240" w:lineRule="auto"/>
              <w:contextualSpacing/>
              <w:rPr>
                <w:rFonts w:ascii="Times New Roman" w:hAnsi="Times New Roman" w:cs="Times New Roman"/>
              </w:rPr>
            </w:pPr>
            <w:r w:rsidRPr="00F6639B">
              <w:rPr>
                <w:rFonts w:ascii="Times New Roman" w:hAnsi="Times New Roman" w:cs="Times New Roman"/>
              </w:rPr>
              <w:t>- pour sonde : forage géothermique ou sonde géothermique</w:t>
            </w:r>
          </w:p>
          <w:p w14:paraId="55B5A3C6"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rPr>
              <w:t>- pour nappe : forage géothermique</w:t>
            </w:r>
          </w:p>
        </w:tc>
        <w:tc>
          <w:tcPr>
            <w:tcW w:w="2500" w:type="pct"/>
          </w:tcPr>
          <w:p w14:paraId="3458C3AA"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rPr>
              <w:t xml:space="preserve">/ </w:t>
            </w:r>
          </w:p>
        </w:tc>
      </w:tr>
      <w:tr w:rsidR="00FB26D6" w:rsidRPr="00F6639B" w14:paraId="65A7147A" w14:textId="77777777" w:rsidTr="000D4C1E">
        <w:tc>
          <w:tcPr>
            <w:tcW w:w="2500" w:type="pct"/>
          </w:tcPr>
          <w:p w14:paraId="4427427E"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bCs/>
              </w:rPr>
              <w:t xml:space="preserve">Un extrait </w:t>
            </w:r>
            <w:proofErr w:type="spellStart"/>
            <w:r w:rsidRPr="00F6639B">
              <w:rPr>
                <w:rFonts w:ascii="Times New Roman" w:hAnsi="Times New Roman" w:cs="Times New Roman"/>
                <w:bCs/>
              </w:rPr>
              <w:t>Kbis</w:t>
            </w:r>
            <w:proofErr w:type="spellEnd"/>
            <w:r w:rsidRPr="00F6639B">
              <w:rPr>
                <w:rFonts w:ascii="Times New Roman" w:hAnsi="Times New Roman" w:cs="Times New Roman"/>
                <w:bCs/>
              </w:rPr>
              <w:t xml:space="preserve"> ou attestation d'inscription au RM (Répertoire des Métiers) ou équivalent</w:t>
            </w:r>
          </w:p>
        </w:tc>
        <w:tc>
          <w:tcPr>
            <w:tcW w:w="2500" w:type="pct"/>
          </w:tcPr>
          <w:p w14:paraId="312EA61B"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rPr>
              <w:t>/</w:t>
            </w:r>
          </w:p>
        </w:tc>
      </w:tr>
      <w:tr w:rsidR="00FB26D6" w:rsidRPr="00F6639B" w14:paraId="04D7E5B4" w14:textId="77777777" w:rsidTr="000D4C1E">
        <w:tc>
          <w:tcPr>
            <w:tcW w:w="2500" w:type="pct"/>
          </w:tcPr>
          <w:p w14:paraId="17A25D15" w14:textId="77777777" w:rsidR="00FB26D6" w:rsidRPr="00F6639B" w:rsidRDefault="00FB26D6" w:rsidP="000D4C1E">
            <w:pPr>
              <w:spacing w:line="240" w:lineRule="auto"/>
              <w:jc w:val="both"/>
              <w:rPr>
                <w:rFonts w:ascii="Times New Roman" w:hAnsi="Times New Roman" w:cs="Times New Roman"/>
              </w:rPr>
            </w:pPr>
            <w:r w:rsidRPr="00F6639B">
              <w:rPr>
                <w:rFonts w:ascii="Times New Roman" w:hAnsi="Times New Roman" w:cs="Times New Roman"/>
                <w:bCs/>
              </w:rPr>
              <w:t>Les engagements suivants :</w:t>
            </w:r>
          </w:p>
          <w:p w14:paraId="4AD9AA6C" w14:textId="77777777" w:rsidR="00FB26D6" w:rsidRPr="00F6639B" w:rsidRDefault="00FB26D6" w:rsidP="000D4C1E">
            <w:pPr>
              <w:spacing w:line="240" w:lineRule="auto"/>
              <w:jc w:val="both"/>
              <w:rPr>
                <w:rFonts w:ascii="Times New Roman" w:hAnsi="Times New Roman" w:cs="Times New Roman"/>
                <w:bCs/>
              </w:rPr>
            </w:pPr>
            <w:r w:rsidRPr="00F6639B">
              <w:rPr>
                <w:rFonts w:ascii="Times New Roman" w:hAnsi="Times New Roman" w:cs="Times New Roman"/>
                <w:bCs/>
              </w:rPr>
              <w:t>- Les dirigeants de fait ou de droit ne doivent pas faire l’objet d’une interdiction de gérer ou d’une décision de faillite personnelle ;</w:t>
            </w:r>
          </w:p>
          <w:p w14:paraId="1B6BC921" w14:textId="77777777" w:rsidR="00FB26D6" w:rsidRPr="00F6639B" w:rsidRDefault="00FB26D6" w:rsidP="000D4C1E">
            <w:pPr>
              <w:spacing w:line="240" w:lineRule="auto"/>
              <w:contextualSpacing/>
              <w:jc w:val="both"/>
              <w:rPr>
                <w:rFonts w:ascii="Times New Roman" w:hAnsi="Times New Roman" w:cs="Times New Roman"/>
                <w:bCs/>
              </w:rPr>
            </w:pPr>
            <w:r w:rsidRPr="00F6639B">
              <w:rPr>
                <w:rFonts w:ascii="Times New Roman" w:hAnsi="Times New Roman" w:cs="Times New Roman"/>
                <w:bCs/>
              </w:rPr>
              <w:t>- Ne pas appartenir à une société dont le siège social est situé dans un pays avec lequel tout commerce est interdit ;</w:t>
            </w:r>
          </w:p>
          <w:p w14:paraId="110FACF1"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bCs/>
              </w:rPr>
              <w:t>- Respecter l'arrêté du 25/06/2015 relatif aux prescriptions générales applicables aux activités géothermiques de minime importance.</w:t>
            </w:r>
          </w:p>
        </w:tc>
        <w:tc>
          <w:tcPr>
            <w:tcW w:w="2500" w:type="pct"/>
          </w:tcPr>
          <w:p w14:paraId="216A44A3"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rPr>
              <w:t>/</w:t>
            </w:r>
          </w:p>
        </w:tc>
      </w:tr>
      <w:tr w:rsidR="00FB26D6" w:rsidRPr="00F6639B" w14:paraId="3CAB4F53" w14:textId="77777777" w:rsidTr="000D4C1E">
        <w:tc>
          <w:tcPr>
            <w:tcW w:w="2500" w:type="pct"/>
          </w:tcPr>
          <w:p w14:paraId="739D59E0" w14:textId="593D62B8" w:rsidR="00FB26D6" w:rsidRPr="00F6639B" w:rsidRDefault="00FB26D6" w:rsidP="00FB26D6">
            <w:pPr>
              <w:spacing w:line="259" w:lineRule="auto"/>
              <w:jc w:val="both"/>
              <w:rPr>
                <w:rFonts w:ascii="Times New Roman" w:hAnsi="Times New Roman" w:cs="Times New Roman"/>
                <w:bCs/>
              </w:rPr>
            </w:pPr>
            <w:r w:rsidRPr="00F6639B">
              <w:rPr>
                <w:rFonts w:ascii="Times New Roman" w:hAnsi="Times New Roman" w:cs="Times New Roman"/>
                <w:bCs/>
              </w:rPr>
              <w:t>Le pourcentage de sous-traitance de l’activité objet de la certification</w:t>
            </w:r>
          </w:p>
        </w:tc>
        <w:tc>
          <w:tcPr>
            <w:tcW w:w="2500" w:type="pct"/>
          </w:tcPr>
          <w:p w14:paraId="768DE586" w14:textId="23011944" w:rsidR="00FB26D6" w:rsidRPr="00F6639B" w:rsidRDefault="00FB26D6" w:rsidP="00FB26D6">
            <w:pPr>
              <w:spacing w:line="259" w:lineRule="auto"/>
              <w:jc w:val="both"/>
              <w:rPr>
                <w:rFonts w:ascii="Times New Roman" w:hAnsi="Times New Roman" w:cs="Times New Roman"/>
              </w:rPr>
            </w:pPr>
            <w:r w:rsidRPr="00F6639B">
              <w:rPr>
                <w:rFonts w:ascii="Times New Roman" w:hAnsi="Times New Roman" w:cs="Times New Roman"/>
              </w:rPr>
              <w:t>Ce pourcentage est calculé suivant la formule suivante : (Montant chiffre d’affaires des chantiers confiés en sous-traitance dans le domaine de la certification concernée / Montant chiffre d’affaires total de l’activité concernée) x 100</w:t>
            </w:r>
          </w:p>
        </w:tc>
      </w:tr>
      <w:tr w:rsidR="00FB26D6" w:rsidRPr="00F6639B" w14:paraId="6F8412DE" w14:textId="77777777" w:rsidTr="000D4C1E">
        <w:tc>
          <w:tcPr>
            <w:tcW w:w="2500" w:type="pct"/>
          </w:tcPr>
          <w:p w14:paraId="7C33192B" w14:textId="77777777" w:rsidR="00FB26D6" w:rsidRPr="00F6639B" w:rsidRDefault="00FB26D6" w:rsidP="00FB26D6">
            <w:pPr>
              <w:spacing w:line="240" w:lineRule="auto"/>
              <w:jc w:val="both"/>
              <w:rPr>
                <w:rFonts w:ascii="Times New Roman" w:hAnsi="Times New Roman" w:cs="Times New Roman"/>
                <w:bCs/>
              </w:rPr>
            </w:pPr>
            <w:r w:rsidRPr="00F6639B">
              <w:rPr>
                <w:rFonts w:ascii="Times New Roman" w:hAnsi="Times New Roman" w:cs="Times New Roman"/>
                <w:bCs/>
              </w:rPr>
              <w:t>En cas de sous-traitance :</w:t>
            </w:r>
          </w:p>
          <w:p w14:paraId="4F599429" w14:textId="358F8140" w:rsidR="00FB26D6" w:rsidRPr="00F6639B" w:rsidRDefault="00FB26D6" w:rsidP="00FB26D6">
            <w:pPr>
              <w:spacing w:line="240" w:lineRule="auto"/>
              <w:contextualSpacing/>
              <w:jc w:val="both"/>
              <w:rPr>
                <w:rFonts w:ascii="Times New Roman" w:hAnsi="Times New Roman" w:cs="Times New Roman"/>
              </w:rPr>
            </w:pPr>
            <w:r w:rsidRPr="00F6639B">
              <w:rPr>
                <w:rFonts w:ascii="Times New Roman" w:hAnsi="Times New Roman" w:cs="Times New Roman"/>
              </w:rPr>
              <w:t xml:space="preserve">- Liste des sous-traitants </w:t>
            </w:r>
          </w:p>
          <w:p w14:paraId="3A95C761" w14:textId="6820E818" w:rsidR="00FB26D6" w:rsidRPr="00F6639B" w:rsidRDefault="00FB26D6" w:rsidP="00FB26D6">
            <w:pPr>
              <w:spacing w:line="240" w:lineRule="auto"/>
              <w:contextualSpacing/>
              <w:jc w:val="both"/>
              <w:rPr>
                <w:rFonts w:ascii="Times New Roman" w:hAnsi="Times New Roman" w:cs="Times New Roman"/>
                <w:bCs/>
              </w:rPr>
            </w:pPr>
            <w:r w:rsidRPr="00F6639B">
              <w:rPr>
                <w:rFonts w:ascii="Times New Roman" w:hAnsi="Times New Roman" w:cs="Times New Roman"/>
                <w:bCs/>
              </w:rPr>
              <w:t>- Justificatifs des compétences des sous-traitants (Annexe I)</w:t>
            </w:r>
          </w:p>
          <w:p w14:paraId="1F0EAFF4" w14:textId="0C0DCD99" w:rsidR="00FB26D6" w:rsidRPr="00F6639B" w:rsidRDefault="00FB26D6" w:rsidP="00FB26D6">
            <w:pPr>
              <w:spacing w:line="240" w:lineRule="auto"/>
              <w:contextualSpacing/>
              <w:jc w:val="both"/>
              <w:rPr>
                <w:rFonts w:ascii="Times New Roman" w:hAnsi="Times New Roman" w:cs="Times New Roman"/>
                <w:bCs/>
              </w:rPr>
            </w:pPr>
            <w:r w:rsidRPr="00F6639B">
              <w:rPr>
                <w:rFonts w:ascii="Times New Roman" w:hAnsi="Times New Roman" w:cs="Times New Roman"/>
              </w:rPr>
              <w:t>- Attestation</w:t>
            </w:r>
            <w:r w:rsidRPr="00F6639B">
              <w:rPr>
                <w:rFonts w:ascii="Times New Roman" w:hAnsi="Times New Roman" w:cs="Times New Roman"/>
                <w:bCs/>
              </w:rPr>
              <w:t xml:space="preserve"> d'assurance Responsabilité Civile Décennale en cours de validité de l’entreprise sous-traitante (Art. L. 164-1-1 du code minier)</w:t>
            </w:r>
          </w:p>
          <w:p w14:paraId="6D8F1B7B" w14:textId="5DDE630C" w:rsidR="00FB26D6" w:rsidRPr="00F6639B" w:rsidRDefault="00FB26D6" w:rsidP="00FB26D6">
            <w:pPr>
              <w:spacing w:line="259" w:lineRule="auto"/>
              <w:jc w:val="both"/>
              <w:rPr>
                <w:rFonts w:ascii="Times New Roman" w:hAnsi="Times New Roman" w:cs="Times New Roman"/>
                <w:bCs/>
              </w:rPr>
            </w:pPr>
            <w:r w:rsidRPr="00F6639B">
              <w:rPr>
                <w:rFonts w:ascii="Times New Roman" w:hAnsi="Times New Roman" w:cs="Times New Roman"/>
              </w:rPr>
              <w:t>- Attestation</w:t>
            </w:r>
            <w:r w:rsidRPr="00F6639B">
              <w:rPr>
                <w:rFonts w:ascii="Times New Roman" w:hAnsi="Times New Roman" w:cs="Times New Roman"/>
                <w:bCs/>
              </w:rPr>
              <w:t xml:space="preserve"> d'assurance Responsabilité Civile Générale en cours de validité de l’entreprises sous-traitante (art. L. 164-1-1 du code minier)</w:t>
            </w:r>
          </w:p>
        </w:tc>
        <w:tc>
          <w:tcPr>
            <w:tcW w:w="2500" w:type="pct"/>
          </w:tcPr>
          <w:p w14:paraId="261E3280" w14:textId="18AC55D9" w:rsidR="00FB26D6" w:rsidRPr="00F6639B" w:rsidRDefault="00FB26D6" w:rsidP="00FB26D6">
            <w:pPr>
              <w:spacing w:line="259" w:lineRule="auto"/>
              <w:jc w:val="both"/>
              <w:rPr>
                <w:rFonts w:ascii="Times New Roman" w:hAnsi="Times New Roman" w:cs="Times New Roman"/>
              </w:rPr>
            </w:pPr>
            <w:r w:rsidRPr="00F6639B">
              <w:rPr>
                <w:rFonts w:ascii="Times New Roman" w:hAnsi="Times New Roman" w:cs="Times New Roman"/>
              </w:rPr>
              <w:t xml:space="preserve">/ </w:t>
            </w:r>
          </w:p>
        </w:tc>
      </w:tr>
      <w:tr w:rsidR="00FB26D6" w:rsidRPr="00F6639B" w14:paraId="59199E05" w14:textId="77777777" w:rsidTr="000D4C1E">
        <w:tc>
          <w:tcPr>
            <w:tcW w:w="5000" w:type="pct"/>
            <w:gridSpan w:val="2"/>
          </w:tcPr>
          <w:p w14:paraId="2767EDC6"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b/>
                <w:color w:val="000000" w:themeColor="text1"/>
              </w:rPr>
              <w:t>Documents financiers pour le dernier exercice comptable clos</w:t>
            </w:r>
          </w:p>
        </w:tc>
      </w:tr>
      <w:tr w:rsidR="00FB26D6" w:rsidRPr="00F6639B" w14:paraId="0F1B1B6C" w14:textId="77777777" w:rsidTr="000D4C1E">
        <w:tc>
          <w:tcPr>
            <w:tcW w:w="2500" w:type="pct"/>
          </w:tcPr>
          <w:p w14:paraId="46CFFE88"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bCs/>
              </w:rPr>
              <w:t>La date de clôture, le chiffre d’affaires global et le nombre d’installations relevant du champ de certification</w:t>
            </w:r>
          </w:p>
        </w:tc>
        <w:tc>
          <w:tcPr>
            <w:tcW w:w="2500" w:type="pct"/>
          </w:tcPr>
          <w:p w14:paraId="346483A5"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rPr>
              <w:t>/</w:t>
            </w:r>
          </w:p>
        </w:tc>
      </w:tr>
      <w:tr w:rsidR="00FB26D6" w:rsidRPr="00F6639B" w14:paraId="45940052" w14:textId="77777777" w:rsidTr="000D4C1E">
        <w:tc>
          <w:tcPr>
            <w:tcW w:w="5000" w:type="pct"/>
            <w:gridSpan w:val="2"/>
          </w:tcPr>
          <w:p w14:paraId="1DF7C6D8"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b/>
                <w:color w:val="000000" w:themeColor="text1"/>
              </w:rPr>
              <w:t>Documents techniques : permettant de démontrer la capacité de l’entreprise à respecter le référentiel de certification, en particulier le respect de l’annexe I, notamment :</w:t>
            </w:r>
          </w:p>
        </w:tc>
      </w:tr>
      <w:tr w:rsidR="00FB26D6" w:rsidRPr="00F6639B" w14:paraId="4286D61D" w14:textId="77777777" w:rsidTr="000D4C1E">
        <w:tc>
          <w:tcPr>
            <w:tcW w:w="2500" w:type="pct"/>
          </w:tcPr>
          <w:p w14:paraId="59DD17F0" w14:textId="77777777" w:rsidR="00FB26D6" w:rsidRPr="00F6639B" w:rsidRDefault="00FB26D6" w:rsidP="000D4C1E">
            <w:pPr>
              <w:spacing w:line="240" w:lineRule="auto"/>
              <w:contextualSpacing/>
              <w:jc w:val="both"/>
              <w:rPr>
                <w:rFonts w:ascii="Times New Roman" w:hAnsi="Times New Roman" w:cs="Times New Roman"/>
                <w:bCs/>
              </w:rPr>
            </w:pPr>
            <w:r w:rsidRPr="00F6639B">
              <w:rPr>
                <w:rFonts w:ascii="Times New Roman" w:hAnsi="Times New Roman" w:cs="Times New Roman"/>
                <w:bCs/>
              </w:rPr>
              <w:t xml:space="preserve">La preuve que l’établissement dispose d’un ou plusieurs référents techniques tel que visé à l’annexe I </w:t>
            </w:r>
          </w:p>
          <w:p w14:paraId="11EC3D57"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bCs/>
              </w:rPr>
              <w:t>Les justificatifs prévus au 1. de l’annexe I du présent arrêté du ou des référent(s) technique</w:t>
            </w:r>
          </w:p>
        </w:tc>
        <w:tc>
          <w:tcPr>
            <w:tcW w:w="2500" w:type="pct"/>
          </w:tcPr>
          <w:p w14:paraId="2EF9DC58"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rPr>
              <w:t>La démonstration de la compétence du ou des Référents techniques (cf. Annexe I)</w:t>
            </w:r>
          </w:p>
        </w:tc>
      </w:tr>
      <w:tr w:rsidR="00FB26D6" w:rsidRPr="00F6639B" w14:paraId="6D5E3ADF" w14:textId="77777777" w:rsidTr="000D4C1E">
        <w:tc>
          <w:tcPr>
            <w:tcW w:w="2500" w:type="pct"/>
          </w:tcPr>
          <w:p w14:paraId="49D0EE93"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bCs/>
              </w:rPr>
              <w:t xml:space="preserve">Les justificatifs prévus au 1 de l’annexe I du présent arrêté </w:t>
            </w:r>
            <w:r w:rsidRPr="00F6639B">
              <w:rPr>
                <w:rFonts w:ascii="Times New Roman" w:hAnsi="Times New Roman" w:cs="Times New Roman"/>
              </w:rPr>
              <w:t>pour l’exécutant des travaux si différent du référent technique</w:t>
            </w:r>
          </w:p>
        </w:tc>
        <w:tc>
          <w:tcPr>
            <w:tcW w:w="2500" w:type="pct"/>
          </w:tcPr>
          <w:p w14:paraId="6F5D67A6"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rPr>
              <w:t>La démonstration de la compétence du personnel réalisant des chantiers (cf. Annexe I)</w:t>
            </w:r>
          </w:p>
        </w:tc>
      </w:tr>
      <w:tr w:rsidR="00FB26D6" w:rsidRPr="00F6639B" w14:paraId="0A4401E4" w14:textId="77777777" w:rsidTr="000D4C1E">
        <w:tc>
          <w:tcPr>
            <w:tcW w:w="2500" w:type="pct"/>
          </w:tcPr>
          <w:p w14:paraId="530568AF" w14:textId="77777777" w:rsidR="00FB26D6" w:rsidRPr="00F6639B" w:rsidRDefault="00FB26D6" w:rsidP="000D4C1E">
            <w:pPr>
              <w:tabs>
                <w:tab w:val="num" w:pos="720"/>
              </w:tabs>
              <w:spacing w:line="240" w:lineRule="auto"/>
              <w:jc w:val="both"/>
              <w:rPr>
                <w:rFonts w:ascii="Times New Roman" w:hAnsi="Times New Roman" w:cs="Times New Roman"/>
                <w:bCs/>
                <w:sz w:val="24"/>
                <w:szCs w:val="24"/>
              </w:rPr>
            </w:pPr>
            <w:r w:rsidRPr="00F6639B">
              <w:rPr>
                <w:rFonts w:ascii="Times New Roman" w:hAnsi="Times New Roman" w:cs="Times New Roman"/>
                <w:bCs/>
              </w:rPr>
              <w:t>Les justificatifs prévus au 1. de l’annexe I du présent arrêté du ou des conducteurs d’engins I</w:t>
            </w:r>
          </w:p>
        </w:tc>
        <w:tc>
          <w:tcPr>
            <w:tcW w:w="2500" w:type="pct"/>
          </w:tcPr>
          <w:p w14:paraId="118DDC2A"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rPr>
              <w:t>La démonstration de la compétence du personnel réalisant des chantiers (cf. Annexe I)</w:t>
            </w:r>
          </w:p>
        </w:tc>
      </w:tr>
      <w:tr w:rsidR="00FB26D6" w:rsidRPr="00F6639B" w14:paraId="5CF48013" w14:textId="77777777" w:rsidTr="000D4C1E">
        <w:tc>
          <w:tcPr>
            <w:tcW w:w="2500" w:type="pct"/>
          </w:tcPr>
          <w:p w14:paraId="6E093801"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bCs/>
              </w:rPr>
              <w:t>Liste du matériel de forage en propre</w:t>
            </w:r>
          </w:p>
        </w:tc>
        <w:tc>
          <w:tcPr>
            <w:tcW w:w="2500" w:type="pct"/>
          </w:tcPr>
          <w:p w14:paraId="72B676B2"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rPr>
              <w:t>Afin de vérifier le respect de l’annexe I</w:t>
            </w:r>
          </w:p>
        </w:tc>
      </w:tr>
      <w:tr w:rsidR="00FB26D6" w:rsidRPr="00F6639B" w14:paraId="1544F3C5" w14:textId="77777777" w:rsidTr="000D4C1E">
        <w:tc>
          <w:tcPr>
            <w:tcW w:w="2500" w:type="pct"/>
          </w:tcPr>
          <w:p w14:paraId="7262EA3F" w14:textId="77777777" w:rsidR="00FB26D6" w:rsidRPr="00F6639B" w:rsidRDefault="00FB26D6" w:rsidP="000D4C1E">
            <w:pPr>
              <w:spacing w:line="240" w:lineRule="auto"/>
              <w:jc w:val="both"/>
              <w:rPr>
                <w:rFonts w:ascii="Times New Roman" w:hAnsi="Times New Roman" w:cs="Times New Roman"/>
                <w:bCs/>
              </w:rPr>
            </w:pPr>
            <w:r w:rsidRPr="00F6639B">
              <w:rPr>
                <w:rFonts w:ascii="Times New Roman" w:hAnsi="Times New Roman" w:cs="Times New Roman"/>
                <w:bCs/>
              </w:rPr>
              <w:t>Des éléments sur la gestion des réclamations clients :</w:t>
            </w:r>
          </w:p>
          <w:p w14:paraId="57C155CA" w14:textId="77777777" w:rsidR="00FB26D6" w:rsidRPr="00F6639B" w:rsidRDefault="00FB26D6" w:rsidP="000D4C1E">
            <w:pPr>
              <w:spacing w:line="240" w:lineRule="auto"/>
              <w:jc w:val="both"/>
              <w:rPr>
                <w:rFonts w:ascii="Times New Roman" w:hAnsi="Times New Roman" w:cs="Times New Roman"/>
              </w:rPr>
            </w:pPr>
            <w:r w:rsidRPr="00F6639B">
              <w:rPr>
                <w:rFonts w:ascii="Times New Roman" w:hAnsi="Times New Roman" w:cs="Times New Roman"/>
              </w:rPr>
              <w:t>- Procédure de gestion des réclamations clients</w:t>
            </w:r>
          </w:p>
          <w:p w14:paraId="2F051D98"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rPr>
              <w:t>- Tableau de suivi du traitement des réclamations clients</w:t>
            </w:r>
          </w:p>
        </w:tc>
        <w:tc>
          <w:tcPr>
            <w:tcW w:w="2500" w:type="pct"/>
          </w:tcPr>
          <w:p w14:paraId="724D29AE"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rPr>
              <w:t>/</w:t>
            </w:r>
          </w:p>
        </w:tc>
      </w:tr>
      <w:tr w:rsidR="00FB26D6" w:rsidRPr="00F6639B" w14:paraId="0F7B30A1" w14:textId="77777777" w:rsidTr="000D4C1E">
        <w:tc>
          <w:tcPr>
            <w:tcW w:w="2500" w:type="pct"/>
          </w:tcPr>
          <w:p w14:paraId="1E0CD4B2" w14:textId="133828F5" w:rsidR="00FB26D6" w:rsidRPr="00F6639B" w:rsidRDefault="00FB26D6" w:rsidP="00FB26D6">
            <w:pPr>
              <w:spacing w:line="240" w:lineRule="auto"/>
              <w:jc w:val="both"/>
              <w:rPr>
                <w:rFonts w:ascii="Times New Roman" w:hAnsi="Times New Roman" w:cs="Times New Roman"/>
                <w:bCs/>
              </w:rPr>
            </w:pPr>
            <w:r w:rsidRPr="00F6639B">
              <w:rPr>
                <w:rFonts w:ascii="Times New Roman" w:hAnsi="Times New Roman" w:cs="Times New Roman"/>
                <w:bCs/>
              </w:rPr>
              <w:t>Liste des prestations finalisées (réalisées au cours des 2 dernières années)</w:t>
            </w:r>
          </w:p>
        </w:tc>
        <w:tc>
          <w:tcPr>
            <w:tcW w:w="2500" w:type="pct"/>
          </w:tcPr>
          <w:p w14:paraId="6D487346" w14:textId="6C87EFB4" w:rsidR="00FB26D6" w:rsidRPr="00F6639B" w:rsidRDefault="00FB26D6" w:rsidP="00FB26D6">
            <w:pPr>
              <w:spacing w:line="259" w:lineRule="auto"/>
              <w:jc w:val="both"/>
              <w:rPr>
                <w:rFonts w:ascii="Times New Roman" w:hAnsi="Times New Roman" w:cs="Times New Roman"/>
              </w:rPr>
            </w:pPr>
            <w:r w:rsidRPr="00F6639B">
              <w:rPr>
                <w:rFonts w:ascii="Times New Roman" w:hAnsi="Times New Roman" w:cs="Times New Roman"/>
              </w:rPr>
              <w:t xml:space="preserve">/ </w:t>
            </w:r>
          </w:p>
        </w:tc>
      </w:tr>
      <w:tr w:rsidR="00FB26D6" w:rsidRPr="00F6639B" w14:paraId="748C6A74" w14:textId="77777777" w:rsidTr="000D4C1E">
        <w:tc>
          <w:tcPr>
            <w:tcW w:w="2500" w:type="pct"/>
          </w:tcPr>
          <w:p w14:paraId="4B2E7091" w14:textId="106BB911" w:rsidR="00FB26D6" w:rsidRPr="00F6639B" w:rsidRDefault="00FB26D6" w:rsidP="00FB26D6">
            <w:pPr>
              <w:spacing w:line="240" w:lineRule="auto"/>
              <w:jc w:val="both"/>
              <w:rPr>
                <w:rFonts w:ascii="Times New Roman" w:hAnsi="Times New Roman" w:cs="Times New Roman"/>
                <w:bCs/>
              </w:rPr>
            </w:pPr>
            <w:r w:rsidRPr="00F6639B">
              <w:rPr>
                <w:rFonts w:ascii="Times New Roman" w:hAnsi="Times New Roman" w:cs="Times New Roman"/>
                <w:bCs/>
                <w:u w:val="single"/>
              </w:rPr>
              <w:t xml:space="preserve">Pour l’entreprise de forage </w:t>
            </w:r>
            <w:r w:rsidR="009013A5" w:rsidRPr="00F6639B">
              <w:rPr>
                <w:rFonts w:ascii="Times New Roman" w:hAnsi="Times New Roman" w:cs="Times New Roman"/>
                <w:bCs/>
                <w:u w:val="single"/>
              </w:rPr>
              <w:t>certifiée pour le « module Nappe »</w:t>
            </w:r>
            <w:r w:rsidRPr="00F6639B">
              <w:rPr>
                <w:rFonts w:ascii="Times New Roman" w:hAnsi="Times New Roman" w:cs="Times New Roman"/>
                <w:bCs/>
                <w:u w:val="single"/>
              </w:rPr>
              <w:t>, pour chaque chantier réalisé sur la période du dernier exercice comptable clos</w:t>
            </w:r>
            <w:r w:rsidRPr="00F6639B">
              <w:rPr>
                <w:rFonts w:ascii="Times New Roman" w:hAnsi="Times New Roman" w:cs="Times New Roman"/>
                <w:bCs/>
              </w:rPr>
              <w:t xml:space="preserve"> :</w:t>
            </w:r>
          </w:p>
          <w:p w14:paraId="7BC80B5A" w14:textId="0A042C1C" w:rsidR="00FB26D6" w:rsidRPr="00F6639B" w:rsidRDefault="00FB26D6" w:rsidP="00FB26D6">
            <w:pPr>
              <w:tabs>
                <w:tab w:val="num" w:pos="1080"/>
              </w:tabs>
              <w:spacing w:line="240" w:lineRule="auto"/>
              <w:jc w:val="both"/>
              <w:rPr>
                <w:rFonts w:ascii="Times New Roman" w:hAnsi="Times New Roman" w:cs="Times New Roman"/>
                <w:bCs/>
              </w:rPr>
            </w:pPr>
            <w:r w:rsidRPr="00F6639B">
              <w:rPr>
                <w:rFonts w:ascii="Times New Roman" w:hAnsi="Times New Roman" w:cs="Times New Roman"/>
                <w:bCs/>
              </w:rPr>
              <w:t xml:space="preserve">- La longueur de forage géothermique sur nappe, </w:t>
            </w:r>
          </w:p>
          <w:p w14:paraId="4468698A" w14:textId="5D1CDB81" w:rsidR="00FB26D6" w:rsidRPr="00F6639B" w:rsidRDefault="00FB26D6" w:rsidP="00FB26D6">
            <w:pPr>
              <w:tabs>
                <w:tab w:val="num" w:pos="1080"/>
              </w:tabs>
              <w:spacing w:line="240" w:lineRule="auto"/>
              <w:jc w:val="both"/>
              <w:rPr>
                <w:rFonts w:ascii="Times New Roman" w:hAnsi="Times New Roman" w:cs="Times New Roman"/>
                <w:bCs/>
              </w:rPr>
            </w:pPr>
            <w:r w:rsidRPr="00F6639B">
              <w:rPr>
                <w:rFonts w:ascii="Times New Roman" w:hAnsi="Times New Roman" w:cs="Times New Roman"/>
                <w:bCs/>
              </w:rPr>
              <w:t xml:space="preserve">- La longueur cimentée, </w:t>
            </w:r>
          </w:p>
          <w:p w14:paraId="74A5B80F" w14:textId="371DB995" w:rsidR="00FB26D6" w:rsidRPr="00F6639B" w:rsidRDefault="00FB26D6" w:rsidP="00FB26D6">
            <w:pPr>
              <w:tabs>
                <w:tab w:val="num" w:pos="1080"/>
              </w:tabs>
              <w:spacing w:line="240" w:lineRule="auto"/>
              <w:jc w:val="both"/>
              <w:rPr>
                <w:rFonts w:ascii="Times New Roman" w:hAnsi="Times New Roman" w:cs="Times New Roman"/>
                <w:bCs/>
              </w:rPr>
            </w:pPr>
            <w:r w:rsidRPr="00F6639B">
              <w:rPr>
                <w:rFonts w:ascii="Times New Roman" w:hAnsi="Times New Roman" w:cs="Times New Roman"/>
                <w:bCs/>
              </w:rPr>
              <w:t xml:space="preserve">- Le diamètre de </w:t>
            </w:r>
            <w:proofErr w:type="spellStart"/>
            <w:r w:rsidRPr="00F6639B">
              <w:rPr>
                <w:rFonts w:ascii="Times New Roman" w:hAnsi="Times New Roman" w:cs="Times New Roman"/>
                <w:bCs/>
              </w:rPr>
              <w:t>foration</w:t>
            </w:r>
            <w:proofErr w:type="spellEnd"/>
            <w:r w:rsidRPr="00F6639B">
              <w:rPr>
                <w:rFonts w:ascii="Times New Roman" w:hAnsi="Times New Roman" w:cs="Times New Roman"/>
                <w:bCs/>
              </w:rPr>
              <w:t xml:space="preserve">. </w:t>
            </w:r>
          </w:p>
          <w:p w14:paraId="7BC1E2FC" w14:textId="01D490F6" w:rsidR="00FB26D6" w:rsidRPr="00F6639B" w:rsidRDefault="00FB26D6" w:rsidP="00FB26D6">
            <w:pPr>
              <w:spacing w:line="240" w:lineRule="auto"/>
              <w:jc w:val="both"/>
              <w:rPr>
                <w:rFonts w:ascii="Times New Roman" w:hAnsi="Times New Roman" w:cs="Times New Roman"/>
                <w:bCs/>
              </w:rPr>
            </w:pPr>
            <w:r w:rsidRPr="00F6639B">
              <w:rPr>
                <w:rFonts w:ascii="Times New Roman" w:hAnsi="Times New Roman" w:cs="Times New Roman"/>
                <w:bCs/>
              </w:rPr>
              <w:t>La quantité totale de ciment achetée pour la totalité des chantiers concernés</w:t>
            </w:r>
          </w:p>
        </w:tc>
        <w:tc>
          <w:tcPr>
            <w:tcW w:w="2500" w:type="pct"/>
          </w:tcPr>
          <w:p w14:paraId="582DEA90" w14:textId="0DF5A16E" w:rsidR="00C31A61" w:rsidRPr="00F6639B" w:rsidRDefault="00C31A61" w:rsidP="00C31A61">
            <w:pPr>
              <w:spacing w:line="259" w:lineRule="auto"/>
              <w:jc w:val="both"/>
              <w:rPr>
                <w:rFonts w:ascii="Times New Roman" w:hAnsi="Times New Roman" w:cs="Times New Roman"/>
              </w:rPr>
            </w:pPr>
            <w:r w:rsidRPr="00F6639B">
              <w:rPr>
                <w:rFonts w:ascii="Times New Roman" w:hAnsi="Times New Roman" w:cs="Times New Roman"/>
              </w:rPr>
              <w:t>Les modalités de vérification associées sont fixés dans un guide disponible sur le site internet du ministère en charge de l’environnement</w:t>
            </w:r>
          </w:p>
        </w:tc>
      </w:tr>
      <w:tr w:rsidR="00FB26D6" w:rsidRPr="00F6639B" w14:paraId="5D932B48" w14:textId="77777777" w:rsidTr="000D4C1E">
        <w:tc>
          <w:tcPr>
            <w:tcW w:w="2500" w:type="pct"/>
          </w:tcPr>
          <w:p w14:paraId="29580B61" w14:textId="75EAFA7C" w:rsidR="00FB26D6" w:rsidRPr="00F6639B" w:rsidRDefault="00FB26D6" w:rsidP="00FB26D6">
            <w:pPr>
              <w:spacing w:line="240" w:lineRule="auto"/>
              <w:jc w:val="both"/>
              <w:rPr>
                <w:rFonts w:ascii="Times New Roman" w:hAnsi="Times New Roman" w:cs="Times New Roman"/>
                <w:bCs/>
                <w:u w:val="single"/>
              </w:rPr>
            </w:pPr>
            <w:r w:rsidRPr="00F6639B">
              <w:rPr>
                <w:rFonts w:ascii="Times New Roman" w:hAnsi="Times New Roman" w:cs="Times New Roman"/>
                <w:bCs/>
                <w:u w:val="single"/>
              </w:rPr>
              <w:t>Pour l</w:t>
            </w:r>
            <w:r w:rsidR="009013A5" w:rsidRPr="00F6639B">
              <w:rPr>
                <w:rFonts w:ascii="Times New Roman" w:hAnsi="Times New Roman" w:cs="Times New Roman"/>
                <w:bCs/>
                <w:u w:val="single"/>
              </w:rPr>
              <w:t>’</w:t>
            </w:r>
            <w:r w:rsidRPr="00F6639B">
              <w:rPr>
                <w:rFonts w:ascii="Times New Roman" w:hAnsi="Times New Roman" w:cs="Times New Roman"/>
                <w:bCs/>
                <w:u w:val="single"/>
              </w:rPr>
              <w:t>e</w:t>
            </w:r>
            <w:r w:rsidR="009013A5" w:rsidRPr="00F6639B">
              <w:rPr>
                <w:rFonts w:ascii="Times New Roman" w:hAnsi="Times New Roman" w:cs="Times New Roman"/>
                <w:bCs/>
                <w:u w:val="single"/>
              </w:rPr>
              <w:t>ntreprise de forage certifiée pour le</w:t>
            </w:r>
            <w:r w:rsidRPr="00F6639B">
              <w:rPr>
                <w:rFonts w:ascii="Times New Roman" w:hAnsi="Times New Roman" w:cs="Times New Roman"/>
                <w:bCs/>
                <w:u w:val="single"/>
              </w:rPr>
              <w:t xml:space="preserve"> « module Sonde »</w:t>
            </w:r>
            <w:r w:rsidR="009013A5" w:rsidRPr="00F6639B">
              <w:rPr>
                <w:rFonts w:ascii="Times New Roman" w:hAnsi="Times New Roman" w:cs="Times New Roman"/>
                <w:bCs/>
                <w:u w:val="single"/>
              </w:rPr>
              <w:t>, pour l’ensemble des chantiers réalisés sur la période du dernier exercice comptable clos :</w:t>
            </w:r>
          </w:p>
          <w:p w14:paraId="2B290229" w14:textId="38F7D3DE" w:rsidR="00FB26D6" w:rsidRPr="00F6639B" w:rsidRDefault="009013A5" w:rsidP="009013A5">
            <w:pPr>
              <w:tabs>
                <w:tab w:val="num" w:pos="720"/>
              </w:tabs>
              <w:spacing w:line="240" w:lineRule="auto"/>
              <w:jc w:val="both"/>
              <w:rPr>
                <w:rFonts w:ascii="Times New Roman" w:hAnsi="Times New Roman" w:cs="Times New Roman"/>
                <w:bCs/>
              </w:rPr>
            </w:pPr>
            <w:r w:rsidRPr="00F6639B">
              <w:rPr>
                <w:rFonts w:ascii="Times New Roman" w:hAnsi="Times New Roman" w:cs="Times New Roman"/>
                <w:bCs/>
              </w:rPr>
              <w:t xml:space="preserve">- </w:t>
            </w:r>
            <w:r w:rsidR="00FB26D6" w:rsidRPr="00F6639B">
              <w:rPr>
                <w:rFonts w:ascii="Times New Roman" w:hAnsi="Times New Roman" w:cs="Times New Roman"/>
                <w:bCs/>
              </w:rPr>
              <w:t>La longueur de forage géothermique sur sonde</w:t>
            </w:r>
          </w:p>
          <w:p w14:paraId="5C529084" w14:textId="77777777" w:rsidR="009013A5" w:rsidRPr="00F6639B" w:rsidRDefault="009013A5" w:rsidP="00FB26D6">
            <w:pPr>
              <w:spacing w:line="259" w:lineRule="auto"/>
              <w:jc w:val="both"/>
              <w:rPr>
                <w:rFonts w:ascii="Times New Roman" w:hAnsi="Times New Roman" w:cs="Times New Roman"/>
                <w:bCs/>
              </w:rPr>
            </w:pPr>
          </w:p>
          <w:p w14:paraId="4284E9AB" w14:textId="0403BA96" w:rsidR="00FB26D6" w:rsidRPr="00F6639B" w:rsidRDefault="00FB26D6" w:rsidP="009013A5">
            <w:pPr>
              <w:spacing w:line="259" w:lineRule="auto"/>
              <w:jc w:val="both"/>
              <w:rPr>
                <w:rFonts w:ascii="Times New Roman" w:hAnsi="Times New Roman" w:cs="Times New Roman"/>
                <w:bCs/>
              </w:rPr>
            </w:pPr>
            <w:r w:rsidRPr="00F6639B">
              <w:rPr>
                <w:rFonts w:ascii="Times New Roman" w:hAnsi="Times New Roman" w:cs="Times New Roman"/>
                <w:bCs/>
              </w:rPr>
              <w:t xml:space="preserve">La quantité </w:t>
            </w:r>
            <w:r w:rsidR="009013A5" w:rsidRPr="00F6639B">
              <w:rPr>
                <w:rFonts w:ascii="Times New Roman" w:hAnsi="Times New Roman" w:cs="Times New Roman"/>
                <w:bCs/>
              </w:rPr>
              <w:t>ciment ou coulis géothermique prêt à gâcher acheté</w:t>
            </w:r>
          </w:p>
        </w:tc>
        <w:tc>
          <w:tcPr>
            <w:tcW w:w="2500" w:type="pct"/>
          </w:tcPr>
          <w:p w14:paraId="00051214" w14:textId="699DFF68" w:rsidR="00FB26D6" w:rsidRPr="00F6639B" w:rsidRDefault="00FB26D6" w:rsidP="00FB26D6">
            <w:pPr>
              <w:spacing w:line="259" w:lineRule="auto"/>
              <w:jc w:val="both"/>
              <w:rPr>
                <w:rFonts w:ascii="Times New Roman" w:hAnsi="Times New Roman" w:cs="Times New Roman"/>
              </w:rPr>
            </w:pPr>
            <w:r w:rsidRPr="00F6639B">
              <w:rPr>
                <w:rFonts w:ascii="Times New Roman" w:hAnsi="Times New Roman" w:cs="Times New Roman"/>
              </w:rPr>
              <w:t>Le ratio de quantité de coulis géothermique prêt à gâcher achetée par rapport à la longueur de forage géothermique sur sonde du dernier exercice comptable clos ne doit pas être inférieur à 8 kg/m.</w:t>
            </w:r>
          </w:p>
        </w:tc>
      </w:tr>
      <w:tr w:rsidR="00FB26D6" w:rsidRPr="00F6639B" w14:paraId="301D8ED8" w14:textId="77777777" w:rsidTr="000D4C1E">
        <w:tc>
          <w:tcPr>
            <w:tcW w:w="5000" w:type="pct"/>
            <w:gridSpan w:val="2"/>
          </w:tcPr>
          <w:p w14:paraId="0A992498"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b/>
                <w:bCs/>
                <w:sz w:val="24"/>
                <w:szCs w:val="24"/>
              </w:rPr>
              <w:t>Autres documents</w:t>
            </w:r>
          </w:p>
        </w:tc>
      </w:tr>
      <w:tr w:rsidR="00FB26D6" w:rsidRPr="00F6639B" w14:paraId="598AB58E" w14:textId="77777777" w:rsidTr="000D4C1E">
        <w:tc>
          <w:tcPr>
            <w:tcW w:w="2500" w:type="pct"/>
          </w:tcPr>
          <w:p w14:paraId="78FDD413"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bCs/>
              </w:rPr>
              <w:t>Engagement de déposer une demande de certification auprès d’un seul organisme de certification</w:t>
            </w:r>
          </w:p>
        </w:tc>
        <w:tc>
          <w:tcPr>
            <w:tcW w:w="2500" w:type="pct"/>
          </w:tcPr>
          <w:p w14:paraId="3CBDD46A"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rPr>
              <w:t>/</w:t>
            </w:r>
          </w:p>
        </w:tc>
      </w:tr>
      <w:tr w:rsidR="00FB26D6" w:rsidRPr="00F6639B" w14:paraId="63260139" w14:textId="77777777" w:rsidTr="000D4C1E">
        <w:tc>
          <w:tcPr>
            <w:tcW w:w="2500" w:type="pct"/>
          </w:tcPr>
          <w:p w14:paraId="3963FAA1" w14:textId="14922BB7" w:rsidR="00FB26D6" w:rsidRPr="00F6639B" w:rsidRDefault="00FB26D6" w:rsidP="000D4C1E">
            <w:pPr>
              <w:spacing w:line="240" w:lineRule="auto"/>
              <w:jc w:val="both"/>
              <w:rPr>
                <w:rFonts w:ascii="Times New Roman" w:hAnsi="Times New Roman" w:cs="Times New Roman"/>
                <w:bCs/>
              </w:rPr>
            </w:pPr>
            <w:r w:rsidRPr="00F6639B">
              <w:rPr>
                <w:rFonts w:ascii="Times New Roman" w:hAnsi="Times New Roman" w:cs="Times New Roman"/>
                <w:bCs/>
              </w:rPr>
              <w:t xml:space="preserve">Engagement de l’entreprise de ne pas avoir fait l’objet de retrait de certification avec </w:t>
            </w:r>
            <w:r w:rsidR="009013A5" w:rsidRPr="00F6639B">
              <w:rPr>
                <w:rFonts w:ascii="Times New Roman" w:hAnsi="Times New Roman" w:cs="Times New Roman"/>
                <w:bCs/>
              </w:rPr>
              <w:t xml:space="preserve">un </w:t>
            </w:r>
            <w:r w:rsidRPr="00F6639B">
              <w:rPr>
                <w:rFonts w:ascii="Times New Roman" w:hAnsi="Times New Roman" w:cs="Times New Roman"/>
                <w:bCs/>
              </w:rPr>
              <w:t>délai de carence.</w:t>
            </w:r>
          </w:p>
          <w:p w14:paraId="4B92B77F" w14:textId="396C73B3" w:rsidR="00FB26D6" w:rsidRPr="00F6639B" w:rsidRDefault="00FB26D6" w:rsidP="00091162">
            <w:pPr>
              <w:spacing w:line="259" w:lineRule="auto"/>
              <w:jc w:val="both"/>
              <w:rPr>
                <w:rFonts w:ascii="Times New Roman" w:hAnsi="Times New Roman" w:cs="Times New Roman"/>
                <w:bCs/>
                <w:sz w:val="24"/>
                <w:szCs w:val="24"/>
              </w:rPr>
            </w:pPr>
            <w:r w:rsidRPr="00F6639B">
              <w:rPr>
                <w:rFonts w:ascii="Times New Roman" w:hAnsi="Times New Roman" w:cs="Times New Roman"/>
                <w:bCs/>
              </w:rPr>
              <w:t xml:space="preserve">Sinon, elle fournit les éléments satisfaisants à l’article </w:t>
            </w:r>
            <w:r w:rsidR="00091162" w:rsidRPr="00F6639B">
              <w:rPr>
                <w:rFonts w:ascii="Times New Roman" w:hAnsi="Times New Roman" w:cs="Times New Roman"/>
                <w:bCs/>
              </w:rPr>
              <w:t xml:space="preserve">12 </w:t>
            </w:r>
            <w:r w:rsidRPr="00F6639B">
              <w:rPr>
                <w:rFonts w:ascii="Times New Roman" w:hAnsi="Times New Roman" w:cs="Times New Roman"/>
                <w:bCs/>
              </w:rPr>
              <w:t>du présent arrêté.</w:t>
            </w:r>
          </w:p>
        </w:tc>
        <w:tc>
          <w:tcPr>
            <w:tcW w:w="2500" w:type="pct"/>
          </w:tcPr>
          <w:p w14:paraId="56966824"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rPr>
              <w:t>/</w:t>
            </w:r>
          </w:p>
        </w:tc>
      </w:tr>
      <w:tr w:rsidR="00FB26D6" w:rsidRPr="00F6639B" w14:paraId="385C26C8" w14:textId="77777777" w:rsidTr="000D4C1E">
        <w:tc>
          <w:tcPr>
            <w:tcW w:w="2500" w:type="pct"/>
          </w:tcPr>
          <w:p w14:paraId="4409C0DF" w14:textId="77777777" w:rsidR="00FB26D6" w:rsidRPr="00F6639B" w:rsidRDefault="00FB26D6" w:rsidP="000D4C1E">
            <w:pPr>
              <w:spacing w:line="259" w:lineRule="auto"/>
              <w:jc w:val="both"/>
              <w:rPr>
                <w:rFonts w:ascii="Times New Roman" w:hAnsi="Times New Roman" w:cs="Times New Roman"/>
                <w:bCs/>
                <w:sz w:val="24"/>
                <w:szCs w:val="24"/>
              </w:rPr>
            </w:pPr>
            <w:r w:rsidRPr="00F6639B">
              <w:rPr>
                <w:rFonts w:ascii="Times New Roman" w:hAnsi="Times New Roman" w:cs="Times New Roman"/>
                <w:bCs/>
              </w:rPr>
              <w:t>Toute autre information jugée pertinente par l’organisme de certification</w:t>
            </w:r>
          </w:p>
        </w:tc>
        <w:tc>
          <w:tcPr>
            <w:tcW w:w="2500" w:type="pct"/>
          </w:tcPr>
          <w:p w14:paraId="45390AB2" w14:textId="77777777" w:rsidR="00FB26D6" w:rsidRPr="00F6639B" w:rsidRDefault="00FB26D6" w:rsidP="000D4C1E">
            <w:pPr>
              <w:spacing w:line="259" w:lineRule="auto"/>
              <w:jc w:val="both"/>
              <w:rPr>
                <w:rFonts w:ascii="Times New Roman" w:hAnsi="Times New Roman" w:cs="Times New Roman"/>
                <w:b/>
                <w:bCs/>
                <w:sz w:val="24"/>
                <w:szCs w:val="24"/>
              </w:rPr>
            </w:pPr>
            <w:r w:rsidRPr="00F6639B">
              <w:rPr>
                <w:rFonts w:ascii="Times New Roman" w:hAnsi="Times New Roman" w:cs="Times New Roman"/>
              </w:rPr>
              <w:t>/</w:t>
            </w:r>
          </w:p>
        </w:tc>
      </w:tr>
    </w:tbl>
    <w:p w14:paraId="008878FD" w14:textId="77777777" w:rsidR="009013A5" w:rsidRPr="00F6639B" w:rsidRDefault="009013A5" w:rsidP="00897B6E">
      <w:pPr>
        <w:spacing w:line="259" w:lineRule="auto"/>
        <w:rPr>
          <w:rFonts w:ascii="Times New Roman" w:hAnsi="Times New Roman" w:cs="Times New Roman"/>
          <w:b/>
          <w:bCs/>
          <w:sz w:val="24"/>
          <w:szCs w:val="24"/>
        </w:rPr>
      </w:pPr>
    </w:p>
    <w:p w14:paraId="3593313B" w14:textId="77777777" w:rsidR="009013A5" w:rsidRPr="00F6639B" w:rsidRDefault="009013A5">
      <w:pPr>
        <w:spacing w:line="259" w:lineRule="auto"/>
        <w:rPr>
          <w:rFonts w:ascii="Times New Roman" w:hAnsi="Times New Roman" w:cs="Times New Roman"/>
          <w:b/>
          <w:bCs/>
          <w:sz w:val="24"/>
          <w:szCs w:val="24"/>
        </w:rPr>
      </w:pPr>
      <w:r w:rsidRPr="00F6639B">
        <w:rPr>
          <w:rFonts w:ascii="Times New Roman" w:hAnsi="Times New Roman" w:cs="Times New Roman"/>
          <w:b/>
          <w:bCs/>
          <w:sz w:val="24"/>
          <w:szCs w:val="24"/>
        </w:rPr>
        <w:br w:type="page"/>
      </w:r>
    </w:p>
    <w:p w14:paraId="1C9D9A5D" w14:textId="0E9642F4" w:rsidR="00897B6E" w:rsidRPr="00F6639B" w:rsidRDefault="00897B6E" w:rsidP="00897B6E">
      <w:pPr>
        <w:spacing w:line="259" w:lineRule="auto"/>
        <w:rPr>
          <w:rFonts w:ascii="Times New Roman" w:hAnsi="Times New Roman" w:cs="Times New Roman"/>
          <w:b/>
          <w:bCs/>
          <w:sz w:val="24"/>
          <w:szCs w:val="24"/>
        </w:rPr>
      </w:pPr>
      <w:r w:rsidRPr="00F6639B">
        <w:rPr>
          <w:rFonts w:ascii="Times New Roman" w:hAnsi="Times New Roman" w:cs="Times New Roman"/>
          <w:b/>
          <w:bCs/>
          <w:sz w:val="24"/>
          <w:szCs w:val="24"/>
        </w:rPr>
        <w:t xml:space="preserve">ANNEXE V – </w:t>
      </w:r>
      <w:r w:rsidR="003D4B3E" w:rsidRPr="00F6639B">
        <w:rPr>
          <w:rFonts w:ascii="Times New Roman" w:hAnsi="Times New Roman" w:cs="Times New Roman"/>
          <w:b/>
          <w:bCs/>
          <w:sz w:val="24"/>
          <w:szCs w:val="24"/>
        </w:rPr>
        <w:t>VÉRIFICATION DE RÉFÉRENCE</w:t>
      </w:r>
    </w:p>
    <w:p w14:paraId="2190F14A" w14:textId="67419B12" w:rsidR="00DA474C" w:rsidRPr="00F6639B" w:rsidRDefault="00DA474C" w:rsidP="00DA474C">
      <w:pPr>
        <w:spacing w:line="259" w:lineRule="auto"/>
        <w:jc w:val="both"/>
        <w:rPr>
          <w:rFonts w:ascii="Times New Roman" w:hAnsi="Times New Roman" w:cs="Times New Roman"/>
          <w:b/>
          <w:sz w:val="24"/>
          <w:szCs w:val="24"/>
        </w:rPr>
      </w:pPr>
      <w:r w:rsidRPr="00F6639B">
        <w:rPr>
          <w:rFonts w:ascii="Times New Roman" w:hAnsi="Times New Roman" w:cs="Times New Roman"/>
          <w:b/>
          <w:sz w:val="24"/>
          <w:szCs w:val="24"/>
        </w:rPr>
        <w:t xml:space="preserve">Tableau n° 1 : </w:t>
      </w:r>
      <w:r w:rsidRPr="00F6639B">
        <w:rPr>
          <w:rFonts w:ascii="Times New Roman" w:hAnsi="Times New Roman" w:cs="Times New Roman"/>
          <w:b/>
          <w:bCs/>
          <w:sz w:val="24"/>
          <w:szCs w:val="24"/>
        </w:rPr>
        <w:t>Contenu du dossier à transmettre par l’entreprise de forage pour la vérification de référence prévue à</w:t>
      </w:r>
      <w:r w:rsidRPr="00F6639B">
        <w:rPr>
          <w:rFonts w:ascii="Times New Roman" w:hAnsi="Times New Roman" w:cs="Times New Roman"/>
          <w:b/>
          <w:sz w:val="24"/>
          <w:szCs w:val="24"/>
        </w:rPr>
        <w:t xml:space="preserve"> l’article 9</w:t>
      </w:r>
    </w:p>
    <w:tbl>
      <w:tblPr>
        <w:tblStyle w:val="Grilledutableau1"/>
        <w:tblW w:w="5000" w:type="pct"/>
        <w:tblLook w:val="04A0" w:firstRow="1" w:lastRow="0" w:firstColumn="1" w:lastColumn="0" w:noHBand="0" w:noVBand="1"/>
      </w:tblPr>
      <w:tblGrid>
        <w:gridCol w:w="4531"/>
        <w:gridCol w:w="4531"/>
      </w:tblGrid>
      <w:tr w:rsidR="00897B6E" w:rsidRPr="00F6639B" w14:paraId="745C547C" w14:textId="77777777" w:rsidTr="00DA474C">
        <w:tc>
          <w:tcPr>
            <w:tcW w:w="2500" w:type="pct"/>
            <w:shd w:val="clear" w:color="auto" w:fill="F2F2F2" w:themeFill="background1" w:themeFillShade="F2"/>
          </w:tcPr>
          <w:p w14:paraId="4E5C560B" w14:textId="1F91ABC8" w:rsidR="00897B6E" w:rsidRPr="00F6639B" w:rsidRDefault="00DA474C" w:rsidP="00DA474C">
            <w:pPr>
              <w:spacing w:line="240" w:lineRule="auto"/>
              <w:jc w:val="both"/>
              <w:rPr>
                <w:rFonts w:ascii="Times New Roman" w:hAnsi="Times New Roman" w:cs="Times New Roman"/>
                <w:b/>
              </w:rPr>
            </w:pPr>
            <w:r w:rsidRPr="00F6639B">
              <w:rPr>
                <w:rFonts w:ascii="Times New Roman" w:hAnsi="Times New Roman" w:cs="Times New Roman"/>
                <w:b/>
              </w:rPr>
              <w:t>Pour l’entreprise de forage certifiée pour le « m</w:t>
            </w:r>
            <w:r w:rsidR="00897B6E" w:rsidRPr="00F6639B">
              <w:rPr>
                <w:rFonts w:ascii="Times New Roman" w:hAnsi="Times New Roman" w:cs="Times New Roman"/>
                <w:b/>
              </w:rPr>
              <w:t>odule Nappe</w:t>
            </w:r>
            <w:r w:rsidRPr="00F6639B">
              <w:rPr>
                <w:rFonts w:ascii="Times New Roman" w:hAnsi="Times New Roman" w:cs="Times New Roman"/>
                <w:b/>
              </w:rPr>
              <w:t> »</w:t>
            </w:r>
          </w:p>
        </w:tc>
        <w:tc>
          <w:tcPr>
            <w:tcW w:w="2500" w:type="pct"/>
            <w:shd w:val="clear" w:color="auto" w:fill="F2F2F2" w:themeFill="background1" w:themeFillShade="F2"/>
          </w:tcPr>
          <w:p w14:paraId="475DCBB2" w14:textId="350C2F73" w:rsidR="00897B6E" w:rsidRPr="00F6639B" w:rsidRDefault="00DA474C" w:rsidP="00DA474C">
            <w:pPr>
              <w:spacing w:line="240" w:lineRule="auto"/>
              <w:jc w:val="both"/>
              <w:rPr>
                <w:rFonts w:ascii="Times New Roman" w:hAnsi="Times New Roman" w:cs="Times New Roman"/>
                <w:b/>
              </w:rPr>
            </w:pPr>
            <w:r w:rsidRPr="00F6639B">
              <w:rPr>
                <w:rFonts w:ascii="Times New Roman" w:hAnsi="Times New Roman" w:cs="Times New Roman"/>
                <w:b/>
              </w:rPr>
              <w:t>Pour l’entreprise de forage certifiée pour le « m</w:t>
            </w:r>
            <w:r w:rsidR="00897B6E" w:rsidRPr="00F6639B">
              <w:rPr>
                <w:rFonts w:ascii="Times New Roman" w:hAnsi="Times New Roman" w:cs="Times New Roman"/>
                <w:b/>
              </w:rPr>
              <w:t>odule Sonde</w:t>
            </w:r>
            <w:r w:rsidRPr="00F6639B">
              <w:rPr>
                <w:rFonts w:ascii="Times New Roman" w:hAnsi="Times New Roman" w:cs="Times New Roman"/>
                <w:b/>
              </w:rPr>
              <w:t> »</w:t>
            </w:r>
          </w:p>
        </w:tc>
      </w:tr>
      <w:tr w:rsidR="00DA474C" w:rsidRPr="00F6639B" w14:paraId="0E7B05E3" w14:textId="77777777" w:rsidTr="00DA474C">
        <w:tc>
          <w:tcPr>
            <w:tcW w:w="2500" w:type="pct"/>
          </w:tcPr>
          <w:p w14:paraId="509A778A" w14:textId="6C54FB55" w:rsidR="00DA474C" w:rsidRPr="00F6639B" w:rsidRDefault="00DA474C" w:rsidP="00DA474C">
            <w:pPr>
              <w:spacing w:line="240" w:lineRule="auto"/>
              <w:jc w:val="both"/>
              <w:rPr>
                <w:rFonts w:ascii="Times New Roman" w:hAnsi="Times New Roman" w:cs="Times New Roman"/>
              </w:rPr>
            </w:pPr>
            <w:r w:rsidRPr="00F6639B">
              <w:rPr>
                <w:rFonts w:ascii="Times New Roman" w:hAnsi="Times New Roman" w:cs="Times New Roman"/>
              </w:rPr>
              <w:t xml:space="preserve">Preuve de dépôt de la télé-déclaration sous </w:t>
            </w:r>
            <w:proofErr w:type="spellStart"/>
            <w:r w:rsidRPr="00F6639B">
              <w:rPr>
                <w:rFonts w:ascii="Times New Roman" w:hAnsi="Times New Roman" w:cs="Times New Roman"/>
              </w:rPr>
              <w:t>TéléGMI</w:t>
            </w:r>
            <w:proofErr w:type="spellEnd"/>
            <w:r w:rsidRPr="00F6639B">
              <w:rPr>
                <w:rFonts w:ascii="Times New Roman" w:hAnsi="Times New Roman" w:cs="Times New Roman"/>
              </w:rPr>
              <w:t xml:space="preserve"> (récépissé de déclaration)</w:t>
            </w:r>
          </w:p>
        </w:tc>
        <w:tc>
          <w:tcPr>
            <w:tcW w:w="2500" w:type="pct"/>
          </w:tcPr>
          <w:p w14:paraId="50E8CFDC" w14:textId="5DA86D9F" w:rsidR="00DA474C" w:rsidRPr="00F6639B" w:rsidRDefault="00DA474C" w:rsidP="00DA474C">
            <w:pPr>
              <w:spacing w:line="240" w:lineRule="auto"/>
              <w:jc w:val="both"/>
              <w:rPr>
                <w:rFonts w:ascii="Times New Roman" w:hAnsi="Times New Roman" w:cs="Times New Roman"/>
              </w:rPr>
            </w:pPr>
            <w:r w:rsidRPr="00F6639B">
              <w:rPr>
                <w:rFonts w:ascii="Times New Roman" w:hAnsi="Times New Roman" w:cs="Times New Roman"/>
              </w:rPr>
              <w:t xml:space="preserve">Preuve de dépôt de la télé-déclaration sous </w:t>
            </w:r>
            <w:proofErr w:type="spellStart"/>
            <w:r w:rsidRPr="00F6639B">
              <w:rPr>
                <w:rFonts w:ascii="Times New Roman" w:hAnsi="Times New Roman" w:cs="Times New Roman"/>
              </w:rPr>
              <w:t>TéléGMI</w:t>
            </w:r>
            <w:proofErr w:type="spellEnd"/>
            <w:r w:rsidRPr="00F6639B">
              <w:rPr>
                <w:rFonts w:ascii="Times New Roman" w:hAnsi="Times New Roman" w:cs="Times New Roman"/>
              </w:rPr>
              <w:t xml:space="preserve"> (récépissé de déclaration)</w:t>
            </w:r>
          </w:p>
        </w:tc>
      </w:tr>
      <w:tr w:rsidR="00DA474C" w:rsidRPr="00F6639B" w14:paraId="1E7D6DAE" w14:textId="77777777" w:rsidTr="00DA474C">
        <w:tc>
          <w:tcPr>
            <w:tcW w:w="2500" w:type="pct"/>
          </w:tcPr>
          <w:p w14:paraId="0520AEAD" w14:textId="47157533" w:rsidR="00DA474C" w:rsidRPr="00F6639B" w:rsidRDefault="00DA474C" w:rsidP="00DA474C">
            <w:pPr>
              <w:spacing w:line="240" w:lineRule="auto"/>
              <w:jc w:val="both"/>
              <w:rPr>
                <w:rFonts w:ascii="Times New Roman" w:hAnsi="Times New Roman" w:cs="Times New Roman"/>
              </w:rPr>
            </w:pPr>
            <w:r w:rsidRPr="00F6639B">
              <w:rPr>
                <w:rFonts w:ascii="Times New Roman" w:hAnsi="Times New Roman" w:cs="Times New Roman"/>
              </w:rPr>
              <w:t>L’offre (contenu détaillé au tableau n° 2 de la présente annexe)</w:t>
            </w:r>
          </w:p>
        </w:tc>
        <w:tc>
          <w:tcPr>
            <w:tcW w:w="2500" w:type="pct"/>
          </w:tcPr>
          <w:p w14:paraId="46BEBDA0" w14:textId="3B3D555A" w:rsidR="00DA474C" w:rsidRPr="00F6639B" w:rsidRDefault="00DA474C" w:rsidP="00DA474C">
            <w:pPr>
              <w:spacing w:line="240" w:lineRule="auto"/>
              <w:jc w:val="both"/>
              <w:rPr>
                <w:rFonts w:ascii="Times New Roman" w:hAnsi="Times New Roman" w:cs="Times New Roman"/>
              </w:rPr>
            </w:pPr>
            <w:r w:rsidRPr="00F6639B">
              <w:rPr>
                <w:rFonts w:ascii="Times New Roman" w:hAnsi="Times New Roman" w:cs="Times New Roman"/>
              </w:rPr>
              <w:t>L’offre (contenu détaillé au tableau n° 2 de la présente annexe)</w:t>
            </w:r>
          </w:p>
        </w:tc>
      </w:tr>
      <w:tr w:rsidR="00C56B81" w:rsidRPr="00F6639B" w14:paraId="24A79DA2" w14:textId="77777777" w:rsidTr="00DA474C">
        <w:tc>
          <w:tcPr>
            <w:tcW w:w="2500" w:type="pct"/>
          </w:tcPr>
          <w:p w14:paraId="37F82972" w14:textId="22B7D995"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Copie de la facture détaillée de la prestation effectuée</w:t>
            </w:r>
          </w:p>
        </w:tc>
        <w:tc>
          <w:tcPr>
            <w:tcW w:w="2500" w:type="pct"/>
          </w:tcPr>
          <w:p w14:paraId="465ACE42" w14:textId="655BE077"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Copie de la facture détaillée de la prestation effectuée</w:t>
            </w:r>
          </w:p>
        </w:tc>
      </w:tr>
      <w:tr w:rsidR="00C56B81" w:rsidRPr="00F6639B" w14:paraId="41811A78" w14:textId="77777777" w:rsidTr="00DA474C">
        <w:tc>
          <w:tcPr>
            <w:tcW w:w="2500" w:type="pct"/>
          </w:tcPr>
          <w:p w14:paraId="0FA266D0" w14:textId="35E70913" w:rsidR="00C56B81" w:rsidRPr="00F6639B" w:rsidRDefault="00C56B81" w:rsidP="000D4C1E">
            <w:pPr>
              <w:spacing w:line="240" w:lineRule="auto"/>
              <w:jc w:val="both"/>
              <w:rPr>
                <w:rFonts w:ascii="Times New Roman" w:hAnsi="Times New Roman" w:cs="Times New Roman"/>
              </w:rPr>
            </w:pPr>
            <w:r w:rsidRPr="00F6639B">
              <w:rPr>
                <w:rFonts w:ascii="Times New Roman" w:hAnsi="Times New Roman" w:cs="Times New Roman"/>
              </w:rPr>
              <w:t>Eléments justifiant qu’une DICT a été réalisée dans le respect des délais réglementaires en application du point 3.2 de l’arrêté du 25 juin 2015 relatif aux prescriptions générales applicables aux activités géothermiques de minime importance</w:t>
            </w:r>
          </w:p>
        </w:tc>
        <w:tc>
          <w:tcPr>
            <w:tcW w:w="2500" w:type="pct"/>
          </w:tcPr>
          <w:p w14:paraId="644EE3AC" w14:textId="457C4363" w:rsidR="00C56B81" w:rsidRPr="00F6639B" w:rsidRDefault="00C56B81" w:rsidP="000D4C1E">
            <w:pPr>
              <w:spacing w:line="240" w:lineRule="auto"/>
              <w:jc w:val="both"/>
              <w:rPr>
                <w:rFonts w:ascii="Times New Roman" w:hAnsi="Times New Roman" w:cs="Times New Roman"/>
              </w:rPr>
            </w:pPr>
            <w:r w:rsidRPr="00F6639B">
              <w:rPr>
                <w:rFonts w:ascii="Times New Roman" w:hAnsi="Times New Roman" w:cs="Times New Roman"/>
              </w:rPr>
              <w:t>Eléments justifiant qu’une DICT a été réalisée dans le respect des délais réglementaires en application du point 3.2 de l’arrêté du 25 juin 2015 relatif aux prescriptions générales applicables aux activités géothermiques de minime importance</w:t>
            </w:r>
          </w:p>
        </w:tc>
      </w:tr>
      <w:tr w:rsidR="00C56B81" w:rsidRPr="00F6639B" w14:paraId="7C811E52" w14:textId="77777777" w:rsidTr="00DA474C">
        <w:tc>
          <w:tcPr>
            <w:tcW w:w="2500" w:type="pct"/>
          </w:tcPr>
          <w:p w14:paraId="623A286B" w14:textId="77777777" w:rsidR="00C56B81" w:rsidRPr="00F6639B" w:rsidRDefault="00C56B81" w:rsidP="00C56B81">
            <w:pPr>
              <w:spacing w:line="240" w:lineRule="auto"/>
              <w:jc w:val="both"/>
              <w:rPr>
                <w:rFonts w:ascii="Times New Roman" w:hAnsi="Times New Roman" w:cs="Times New Roman"/>
                <w:u w:val="single"/>
              </w:rPr>
            </w:pPr>
            <w:r w:rsidRPr="00F6639B">
              <w:rPr>
                <w:rFonts w:ascii="Times New Roman" w:hAnsi="Times New Roman" w:cs="Times New Roman"/>
                <w:u w:val="single"/>
              </w:rPr>
              <w:t>Référent technique :</w:t>
            </w:r>
          </w:p>
          <w:p w14:paraId="723C41E0" w14:textId="276EC241"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 xml:space="preserve">- Identification du référent technique en charge de la prestation </w:t>
            </w:r>
          </w:p>
          <w:p w14:paraId="5A0CB8EA" w14:textId="665CB165"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 Justificatifs prévus au 1. de l’annexe I du présent arrêté pour le référent technique</w:t>
            </w:r>
          </w:p>
        </w:tc>
        <w:tc>
          <w:tcPr>
            <w:tcW w:w="2500" w:type="pct"/>
          </w:tcPr>
          <w:p w14:paraId="405754C8" w14:textId="77777777" w:rsidR="00C56B81" w:rsidRPr="00F6639B" w:rsidRDefault="00C56B81" w:rsidP="00C56B81">
            <w:pPr>
              <w:spacing w:line="240" w:lineRule="auto"/>
              <w:jc w:val="both"/>
              <w:rPr>
                <w:rFonts w:ascii="Times New Roman" w:hAnsi="Times New Roman" w:cs="Times New Roman"/>
                <w:u w:val="single"/>
              </w:rPr>
            </w:pPr>
            <w:r w:rsidRPr="00F6639B">
              <w:rPr>
                <w:rFonts w:ascii="Times New Roman" w:hAnsi="Times New Roman" w:cs="Times New Roman"/>
                <w:u w:val="single"/>
              </w:rPr>
              <w:t>Référent technique :</w:t>
            </w:r>
          </w:p>
          <w:p w14:paraId="715C4842" w14:textId="77777777"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 xml:space="preserve">- Identification du référent technique en charge de la prestation </w:t>
            </w:r>
          </w:p>
          <w:p w14:paraId="351EDFEC" w14:textId="7C4CF061"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 Justificatifs prévus au 1. de l’annexe I du présent arrêté pour le référent technique</w:t>
            </w:r>
          </w:p>
        </w:tc>
      </w:tr>
      <w:tr w:rsidR="00C56B81" w:rsidRPr="00F6639B" w14:paraId="115A27B9" w14:textId="77777777" w:rsidTr="00DA474C">
        <w:tc>
          <w:tcPr>
            <w:tcW w:w="2500" w:type="pct"/>
          </w:tcPr>
          <w:p w14:paraId="7D9139BD" w14:textId="4D1BC877" w:rsidR="00C56B81" w:rsidRPr="00F6639B" w:rsidRDefault="00C56B81" w:rsidP="00C56B81">
            <w:pPr>
              <w:spacing w:line="240" w:lineRule="auto"/>
              <w:jc w:val="both"/>
              <w:rPr>
                <w:rFonts w:ascii="Times New Roman" w:hAnsi="Times New Roman" w:cs="Times New Roman"/>
                <w:u w:val="single"/>
              </w:rPr>
            </w:pPr>
            <w:r w:rsidRPr="00F6639B">
              <w:rPr>
                <w:rFonts w:ascii="Times New Roman" w:hAnsi="Times New Roman" w:cs="Times New Roman"/>
                <w:u w:val="single"/>
              </w:rPr>
              <w:t>Conducteur(s) d’engins de chantier :</w:t>
            </w:r>
          </w:p>
          <w:p w14:paraId="1E494DA6" w14:textId="77777777"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 Identification du conducteur d’engin ayant effectué le chantier</w:t>
            </w:r>
          </w:p>
          <w:p w14:paraId="0A3FFBE7" w14:textId="5B77817E"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 Justificatifs prévus au 1. de l’annexe I du présent arrêté pour le conducteur de chantier</w:t>
            </w:r>
          </w:p>
        </w:tc>
        <w:tc>
          <w:tcPr>
            <w:tcW w:w="2500" w:type="pct"/>
          </w:tcPr>
          <w:p w14:paraId="2EAEA25D" w14:textId="77777777" w:rsidR="00C56B81" w:rsidRPr="00F6639B" w:rsidRDefault="00C56B81" w:rsidP="00C56B81">
            <w:pPr>
              <w:spacing w:line="240" w:lineRule="auto"/>
              <w:jc w:val="both"/>
              <w:rPr>
                <w:rFonts w:ascii="Times New Roman" w:hAnsi="Times New Roman" w:cs="Times New Roman"/>
                <w:u w:val="single"/>
              </w:rPr>
            </w:pPr>
            <w:r w:rsidRPr="00F6639B">
              <w:rPr>
                <w:rFonts w:ascii="Times New Roman" w:hAnsi="Times New Roman" w:cs="Times New Roman"/>
                <w:u w:val="single"/>
              </w:rPr>
              <w:t>Conducteur(s) d’engins de chantier :</w:t>
            </w:r>
          </w:p>
          <w:p w14:paraId="7C979DA0" w14:textId="77777777"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 Identification du conducteur d’engin ayant effectué le chantier</w:t>
            </w:r>
          </w:p>
          <w:p w14:paraId="53AF90FD" w14:textId="5F870D24"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 Justificatifs prévus au 1. de l’annexe I du présent arrêté pour le conducteur de chantier</w:t>
            </w:r>
          </w:p>
        </w:tc>
      </w:tr>
      <w:tr w:rsidR="00C56B81" w:rsidRPr="00F6639B" w14:paraId="725AE6A2" w14:textId="77777777" w:rsidTr="00DA474C">
        <w:tc>
          <w:tcPr>
            <w:tcW w:w="2500" w:type="pct"/>
          </w:tcPr>
          <w:p w14:paraId="3E1B97DA" w14:textId="77777777" w:rsidR="00C56B81" w:rsidRPr="00F6639B" w:rsidRDefault="00C56B81" w:rsidP="00C56B81">
            <w:pPr>
              <w:spacing w:line="240" w:lineRule="auto"/>
              <w:jc w:val="both"/>
              <w:rPr>
                <w:rFonts w:ascii="Times New Roman" w:hAnsi="Times New Roman" w:cs="Times New Roman"/>
                <w:u w:val="single"/>
              </w:rPr>
            </w:pPr>
            <w:r w:rsidRPr="00F6639B">
              <w:rPr>
                <w:rFonts w:ascii="Times New Roman" w:hAnsi="Times New Roman" w:cs="Times New Roman"/>
                <w:u w:val="single"/>
              </w:rPr>
              <w:t>Matériel de forage :</w:t>
            </w:r>
          </w:p>
          <w:p w14:paraId="4FB1A39D" w14:textId="77777777"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 xml:space="preserve">- Identification de la machine de forage utilisée sur le chantier </w:t>
            </w:r>
          </w:p>
          <w:p w14:paraId="6D4892D5" w14:textId="5E8457BB"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 Copie du certificat de vérification générale périodique (VGP) de la machine de forage utilisée sur le chantier</w:t>
            </w:r>
          </w:p>
        </w:tc>
        <w:tc>
          <w:tcPr>
            <w:tcW w:w="2500" w:type="pct"/>
          </w:tcPr>
          <w:p w14:paraId="6B504AD8" w14:textId="77777777" w:rsidR="00C56B81" w:rsidRPr="00F6639B" w:rsidRDefault="00C56B81" w:rsidP="00C56B81">
            <w:pPr>
              <w:spacing w:line="240" w:lineRule="auto"/>
              <w:jc w:val="both"/>
              <w:rPr>
                <w:rFonts w:ascii="Times New Roman" w:hAnsi="Times New Roman" w:cs="Times New Roman"/>
                <w:u w:val="single"/>
              </w:rPr>
            </w:pPr>
            <w:r w:rsidRPr="00F6639B">
              <w:rPr>
                <w:rFonts w:ascii="Times New Roman" w:hAnsi="Times New Roman" w:cs="Times New Roman"/>
                <w:u w:val="single"/>
              </w:rPr>
              <w:t>Matériel de forage :</w:t>
            </w:r>
          </w:p>
          <w:p w14:paraId="02543E47" w14:textId="77777777"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 xml:space="preserve">- Identification de la machine de forage utilisée sur le chantier </w:t>
            </w:r>
          </w:p>
          <w:p w14:paraId="1435E33A" w14:textId="74E5DC5E"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 Copie du certificat de vérification générale périodique (VGP) de la machine de forage utilisée sur le chantier</w:t>
            </w:r>
          </w:p>
        </w:tc>
      </w:tr>
      <w:tr w:rsidR="00C56B81" w:rsidRPr="00F6639B" w14:paraId="0EB3A6C8" w14:textId="77777777" w:rsidTr="00DA474C">
        <w:tc>
          <w:tcPr>
            <w:tcW w:w="2500" w:type="pct"/>
          </w:tcPr>
          <w:p w14:paraId="1E490BED" w14:textId="7F7396BD" w:rsidR="00C56B81" w:rsidRPr="00F6639B" w:rsidRDefault="00C56B81" w:rsidP="000D4C1E">
            <w:pPr>
              <w:spacing w:line="240" w:lineRule="auto"/>
              <w:jc w:val="both"/>
              <w:rPr>
                <w:rFonts w:ascii="Times New Roman" w:hAnsi="Times New Roman" w:cs="Times New Roman"/>
              </w:rPr>
            </w:pPr>
            <w:r w:rsidRPr="00F6639B">
              <w:rPr>
                <w:rFonts w:ascii="Times New Roman" w:hAnsi="Times New Roman" w:cs="Times New Roman"/>
              </w:rPr>
              <w:t>Extrait du carnet de chantier associé à la prestation</w:t>
            </w:r>
          </w:p>
        </w:tc>
        <w:tc>
          <w:tcPr>
            <w:tcW w:w="2500" w:type="pct"/>
          </w:tcPr>
          <w:p w14:paraId="735B4003" w14:textId="43BBAB4C" w:rsidR="00C56B81" w:rsidRPr="00F6639B" w:rsidRDefault="00C56B81" w:rsidP="000D4C1E">
            <w:pPr>
              <w:spacing w:line="240" w:lineRule="auto"/>
              <w:jc w:val="both"/>
              <w:rPr>
                <w:rFonts w:ascii="Times New Roman" w:hAnsi="Times New Roman" w:cs="Times New Roman"/>
              </w:rPr>
            </w:pPr>
            <w:r w:rsidRPr="00F6639B">
              <w:rPr>
                <w:rFonts w:ascii="Times New Roman" w:hAnsi="Times New Roman" w:cs="Times New Roman"/>
              </w:rPr>
              <w:t>Extrait du carnet de chantier associé à la prestation</w:t>
            </w:r>
          </w:p>
        </w:tc>
      </w:tr>
      <w:tr w:rsidR="00C56B81" w:rsidRPr="00F6639B" w14:paraId="2265B2B4" w14:textId="77777777" w:rsidTr="00DA474C">
        <w:tc>
          <w:tcPr>
            <w:tcW w:w="2500" w:type="pct"/>
          </w:tcPr>
          <w:p w14:paraId="0C59B0F9" w14:textId="7403DC91"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u w:val="single"/>
              </w:rPr>
              <w:t>Rapport de fin de forage</w:t>
            </w:r>
            <w:r w:rsidRPr="00F6639B">
              <w:rPr>
                <w:rFonts w:ascii="Times New Roman" w:hAnsi="Times New Roman" w:cs="Times New Roman"/>
              </w:rPr>
              <w:t xml:space="preserve"> prévu au point au 5.1.3 de l’arrêté du 25 juin 2015 relatif aux prescriptions générales applicables aux activités géothermiques de minime importance </w:t>
            </w:r>
          </w:p>
          <w:p w14:paraId="533190B3" w14:textId="77777777" w:rsidR="00C56B81" w:rsidRPr="00F6639B" w:rsidRDefault="00C56B81" w:rsidP="00C56B81">
            <w:pPr>
              <w:spacing w:line="240" w:lineRule="auto"/>
              <w:jc w:val="both"/>
              <w:rPr>
                <w:rFonts w:ascii="Times New Roman" w:hAnsi="Times New Roman" w:cs="Times New Roman"/>
              </w:rPr>
            </w:pPr>
          </w:p>
          <w:p w14:paraId="1011E7F8" w14:textId="58F33B2D" w:rsidR="00C56B81" w:rsidRPr="00F6639B" w:rsidRDefault="009F5151" w:rsidP="00C56B81">
            <w:pPr>
              <w:spacing w:line="240" w:lineRule="auto"/>
              <w:jc w:val="both"/>
              <w:rPr>
                <w:rFonts w:ascii="Times New Roman" w:hAnsi="Times New Roman" w:cs="Times New Roman"/>
              </w:rPr>
            </w:pPr>
            <w:proofErr w:type="gramStart"/>
            <w:r w:rsidRPr="00F6639B">
              <w:rPr>
                <w:rFonts w:ascii="Times New Roman" w:hAnsi="Times New Roman" w:cs="Times New Roman"/>
              </w:rPr>
              <w:t>o</w:t>
            </w:r>
            <w:r w:rsidR="00C56B81" w:rsidRPr="00F6639B">
              <w:rPr>
                <w:rFonts w:ascii="Times New Roman" w:hAnsi="Times New Roman" w:cs="Times New Roman"/>
              </w:rPr>
              <w:t>u</w:t>
            </w:r>
            <w:proofErr w:type="gramEnd"/>
            <w:r w:rsidR="00C56B81" w:rsidRPr="00F6639B">
              <w:rPr>
                <w:rFonts w:ascii="Times New Roman" w:hAnsi="Times New Roman" w:cs="Times New Roman"/>
              </w:rPr>
              <w:t xml:space="preserve"> </w:t>
            </w:r>
          </w:p>
          <w:p w14:paraId="11C1398D" w14:textId="77777777" w:rsidR="00C56B81" w:rsidRPr="00F6639B" w:rsidRDefault="00C56B81" w:rsidP="00C56B81">
            <w:pPr>
              <w:spacing w:line="240" w:lineRule="auto"/>
              <w:jc w:val="both"/>
              <w:rPr>
                <w:rFonts w:ascii="Times New Roman" w:hAnsi="Times New Roman" w:cs="Times New Roman"/>
              </w:rPr>
            </w:pPr>
          </w:p>
          <w:p w14:paraId="0F6F8549" w14:textId="1AD40847"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u w:val="single"/>
              </w:rPr>
              <w:t>Rapport de fin de travaux</w:t>
            </w:r>
            <w:r w:rsidRPr="00F6639B">
              <w:rPr>
                <w:rFonts w:ascii="Times New Roman" w:hAnsi="Times New Roman" w:cs="Times New Roman"/>
              </w:rPr>
              <w:t xml:space="preserve"> prévu au point 4.3.3 de l’arrêté précité</w:t>
            </w:r>
          </w:p>
        </w:tc>
        <w:tc>
          <w:tcPr>
            <w:tcW w:w="2500" w:type="pct"/>
          </w:tcPr>
          <w:p w14:paraId="1B6D425E" w14:textId="2F88FDC4"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u w:val="single"/>
              </w:rPr>
              <w:t>Rapport de fin de forage</w:t>
            </w:r>
            <w:r w:rsidRPr="00F6639B">
              <w:rPr>
                <w:rFonts w:ascii="Times New Roman" w:hAnsi="Times New Roman" w:cs="Times New Roman"/>
              </w:rPr>
              <w:t xml:space="preserve"> prévu au point au 5.1.3 de l’arrêté du 25 juin 2015 relatif aux prescriptions générales applicables aux activités géothermiques de minime importance </w:t>
            </w:r>
          </w:p>
          <w:p w14:paraId="357C20C5" w14:textId="77777777" w:rsidR="00C56B81" w:rsidRPr="00F6639B" w:rsidRDefault="00C56B81" w:rsidP="00C56B81">
            <w:pPr>
              <w:spacing w:line="240" w:lineRule="auto"/>
              <w:jc w:val="both"/>
              <w:rPr>
                <w:rFonts w:ascii="Times New Roman" w:hAnsi="Times New Roman" w:cs="Times New Roman"/>
              </w:rPr>
            </w:pPr>
          </w:p>
          <w:p w14:paraId="37322A5E" w14:textId="4802B158" w:rsidR="00C56B81" w:rsidRPr="00F6639B" w:rsidRDefault="009F5151" w:rsidP="00C56B81">
            <w:pPr>
              <w:spacing w:line="240" w:lineRule="auto"/>
              <w:jc w:val="both"/>
              <w:rPr>
                <w:rFonts w:ascii="Times New Roman" w:hAnsi="Times New Roman" w:cs="Times New Roman"/>
              </w:rPr>
            </w:pPr>
            <w:proofErr w:type="gramStart"/>
            <w:r w:rsidRPr="00F6639B">
              <w:rPr>
                <w:rFonts w:ascii="Times New Roman" w:hAnsi="Times New Roman" w:cs="Times New Roman"/>
              </w:rPr>
              <w:t>o</w:t>
            </w:r>
            <w:r w:rsidR="00C56B81" w:rsidRPr="00F6639B">
              <w:rPr>
                <w:rFonts w:ascii="Times New Roman" w:hAnsi="Times New Roman" w:cs="Times New Roman"/>
              </w:rPr>
              <w:t>u</w:t>
            </w:r>
            <w:proofErr w:type="gramEnd"/>
            <w:r w:rsidR="00C56B81" w:rsidRPr="00F6639B">
              <w:rPr>
                <w:rFonts w:ascii="Times New Roman" w:hAnsi="Times New Roman" w:cs="Times New Roman"/>
              </w:rPr>
              <w:t xml:space="preserve"> </w:t>
            </w:r>
          </w:p>
          <w:p w14:paraId="29F71BC8" w14:textId="77777777" w:rsidR="00C56B81" w:rsidRPr="00F6639B" w:rsidRDefault="00C56B81" w:rsidP="00C56B81">
            <w:pPr>
              <w:spacing w:line="240" w:lineRule="auto"/>
              <w:jc w:val="both"/>
              <w:rPr>
                <w:rFonts w:ascii="Times New Roman" w:hAnsi="Times New Roman" w:cs="Times New Roman"/>
              </w:rPr>
            </w:pPr>
          </w:p>
          <w:p w14:paraId="4458EC15" w14:textId="5815E19D"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u w:val="single"/>
              </w:rPr>
              <w:t>Rapport de fin de travaux</w:t>
            </w:r>
            <w:r w:rsidRPr="00F6639B">
              <w:rPr>
                <w:rFonts w:ascii="Times New Roman" w:hAnsi="Times New Roman" w:cs="Times New Roman"/>
              </w:rPr>
              <w:t xml:space="preserve"> prévu au point 4.3.3 de l’arrêté précité</w:t>
            </w:r>
          </w:p>
        </w:tc>
      </w:tr>
      <w:tr w:rsidR="00C56B81" w:rsidRPr="00F6639B" w14:paraId="3CAA216D" w14:textId="77777777" w:rsidTr="00DA474C">
        <w:tc>
          <w:tcPr>
            <w:tcW w:w="2500" w:type="pct"/>
          </w:tcPr>
          <w:p w14:paraId="558C9EC9" w14:textId="36E43571" w:rsidR="00C56B81" w:rsidRPr="00F6639B" w:rsidRDefault="00C56B81" w:rsidP="00C56B81">
            <w:pPr>
              <w:spacing w:line="240" w:lineRule="auto"/>
              <w:jc w:val="both"/>
              <w:rPr>
                <w:rFonts w:ascii="Times New Roman" w:hAnsi="Times New Roman" w:cs="Times New Roman"/>
                <w:u w:val="single"/>
              </w:rPr>
            </w:pPr>
            <w:r w:rsidRPr="00F6639B">
              <w:rPr>
                <w:rFonts w:ascii="Times New Roman" w:hAnsi="Times New Roman" w:cs="Times New Roman"/>
              </w:rPr>
              <w:t>Copie du procès-verbal de réception pour les prestations réalisées prévu au point 3.1 de l’arrêté du 25 juin 2015 relatif aux prescriptions générales applicables aux activités géothermiques de minime importance</w:t>
            </w:r>
          </w:p>
        </w:tc>
        <w:tc>
          <w:tcPr>
            <w:tcW w:w="2500" w:type="pct"/>
          </w:tcPr>
          <w:p w14:paraId="0EB4799C" w14:textId="7AB2DCE9"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Copie du procès-verbal de réception pour les prestations réalisées prévu au point 3.1 de l’arrêté du 25 juin 2015 relatif aux prescriptions générales applicables aux activités géothermiques de minime importance</w:t>
            </w:r>
          </w:p>
        </w:tc>
      </w:tr>
      <w:tr w:rsidR="00C56B81" w:rsidRPr="00F6639B" w14:paraId="1B9913FE" w14:textId="77777777" w:rsidTr="00DA474C">
        <w:tc>
          <w:tcPr>
            <w:tcW w:w="2500" w:type="pct"/>
          </w:tcPr>
          <w:p w14:paraId="7A010315" w14:textId="6B2D837B"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w:t>
            </w:r>
          </w:p>
        </w:tc>
        <w:tc>
          <w:tcPr>
            <w:tcW w:w="2500" w:type="pct"/>
          </w:tcPr>
          <w:p w14:paraId="13E0368A" w14:textId="25970E8F"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Copie du certificat de conformité des boucles de sonde</w:t>
            </w:r>
          </w:p>
        </w:tc>
      </w:tr>
      <w:tr w:rsidR="00C56B81" w:rsidRPr="00F6639B" w14:paraId="0A663EFB" w14:textId="77777777" w:rsidTr="00DA474C">
        <w:tc>
          <w:tcPr>
            <w:tcW w:w="2500" w:type="pct"/>
            <w:tcBorders>
              <w:bottom w:val="single" w:sz="4" w:space="0" w:color="auto"/>
            </w:tcBorders>
          </w:tcPr>
          <w:p w14:paraId="668550CC" w14:textId="32A9E459"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Toute autre information jugée pertinente par l’organisme de certification</w:t>
            </w:r>
          </w:p>
        </w:tc>
        <w:tc>
          <w:tcPr>
            <w:tcW w:w="2500" w:type="pct"/>
            <w:tcBorders>
              <w:bottom w:val="single" w:sz="4" w:space="0" w:color="auto"/>
            </w:tcBorders>
          </w:tcPr>
          <w:p w14:paraId="2379956D" w14:textId="5C7A634E" w:rsidR="00C56B81" w:rsidRPr="00F6639B" w:rsidRDefault="00C56B81" w:rsidP="00C56B81">
            <w:pPr>
              <w:spacing w:line="240" w:lineRule="auto"/>
              <w:jc w:val="both"/>
              <w:rPr>
                <w:rFonts w:ascii="Times New Roman" w:hAnsi="Times New Roman" w:cs="Times New Roman"/>
              </w:rPr>
            </w:pPr>
            <w:r w:rsidRPr="00F6639B">
              <w:rPr>
                <w:rFonts w:ascii="Times New Roman" w:hAnsi="Times New Roman" w:cs="Times New Roman"/>
              </w:rPr>
              <w:t>Toute autre information jugée pertinente par l’organisme de certification</w:t>
            </w:r>
          </w:p>
        </w:tc>
      </w:tr>
    </w:tbl>
    <w:p w14:paraId="4CE57BC9" w14:textId="0A128B57" w:rsidR="00897B6E" w:rsidRPr="00F6639B" w:rsidRDefault="00897B6E" w:rsidP="00897B6E">
      <w:pPr>
        <w:spacing w:line="259" w:lineRule="auto"/>
        <w:rPr>
          <w:rFonts w:ascii="Times New Roman" w:hAnsi="Times New Roman" w:cs="Times New Roman"/>
          <w:sz w:val="24"/>
          <w:szCs w:val="24"/>
        </w:rPr>
      </w:pPr>
    </w:p>
    <w:p w14:paraId="04784779" w14:textId="42DDBE65" w:rsidR="00DA474C" w:rsidRPr="00F6639B" w:rsidRDefault="00DA474C" w:rsidP="00897B6E">
      <w:pPr>
        <w:spacing w:line="259" w:lineRule="auto"/>
        <w:rPr>
          <w:rFonts w:ascii="Times New Roman" w:hAnsi="Times New Roman" w:cs="Times New Roman"/>
          <w:b/>
          <w:sz w:val="24"/>
          <w:szCs w:val="24"/>
        </w:rPr>
      </w:pPr>
      <w:r w:rsidRPr="00F6639B">
        <w:rPr>
          <w:rFonts w:ascii="Times New Roman" w:hAnsi="Times New Roman" w:cs="Times New Roman"/>
          <w:b/>
          <w:sz w:val="24"/>
          <w:szCs w:val="24"/>
        </w:rPr>
        <w:t>Tableau n°2 : Contenu de l’offre</w:t>
      </w:r>
    </w:p>
    <w:tbl>
      <w:tblPr>
        <w:tblStyle w:val="Grilledutableau1"/>
        <w:tblW w:w="5000" w:type="pct"/>
        <w:shd w:val="clear" w:color="auto" w:fill="A6A6A6" w:themeFill="background1" w:themeFillShade="A6"/>
        <w:tblLook w:val="04A0" w:firstRow="1" w:lastRow="0" w:firstColumn="1" w:lastColumn="0" w:noHBand="0" w:noVBand="1"/>
      </w:tblPr>
      <w:tblGrid>
        <w:gridCol w:w="4531"/>
        <w:gridCol w:w="4531"/>
      </w:tblGrid>
      <w:tr w:rsidR="007510DC" w:rsidRPr="00F6639B" w14:paraId="529E0FF6" w14:textId="77777777" w:rsidTr="00924B1D">
        <w:trPr>
          <w:tblHeader/>
        </w:trPr>
        <w:tc>
          <w:tcPr>
            <w:tcW w:w="2500" w:type="pct"/>
            <w:shd w:val="clear" w:color="auto" w:fill="A6A6A6" w:themeFill="background1" w:themeFillShade="A6"/>
          </w:tcPr>
          <w:p w14:paraId="1B7C9D4F" w14:textId="6BF52388" w:rsidR="007510DC" w:rsidRPr="00F6639B" w:rsidRDefault="007510DC" w:rsidP="00D719CA">
            <w:pPr>
              <w:spacing w:line="240" w:lineRule="auto"/>
              <w:jc w:val="both"/>
              <w:rPr>
                <w:rFonts w:ascii="Times New Roman" w:hAnsi="Times New Roman" w:cs="Times New Roman"/>
                <w:b/>
              </w:rPr>
            </w:pPr>
            <w:r w:rsidRPr="00F6639B">
              <w:rPr>
                <w:rFonts w:ascii="Times New Roman" w:hAnsi="Times New Roman" w:cs="Times New Roman"/>
                <w:b/>
              </w:rPr>
              <w:t>Pour l’entreprise de forage certifiée pour le « module nappe »</w:t>
            </w:r>
          </w:p>
        </w:tc>
        <w:tc>
          <w:tcPr>
            <w:tcW w:w="2500" w:type="pct"/>
            <w:shd w:val="clear" w:color="auto" w:fill="A6A6A6" w:themeFill="background1" w:themeFillShade="A6"/>
          </w:tcPr>
          <w:p w14:paraId="16ABA9CE" w14:textId="7CEA6DA6" w:rsidR="007510DC" w:rsidRPr="00F6639B" w:rsidRDefault="007510DC" w:rsidP="00D719CA">
            <w:pPr>
              <w:spacing w:line="240" w:lineRule="auto"/>
              <w:jc w:val="both"/>
              <w:rPr>
                <w:rFonts w:ascii="Times New Roman" w:hAnsi="Times New Roman" w:cs="Times New Roman"/>
                <w:b/>
              </w:rPr>
            </w:pPr>
            <w:r w:rsidRPr="00F6639B">
              <w:rPr>
                <w:rFonts w:ascii="Times New Roman" w:hAnsi="Times New Roman" w:cs="Times New Roman"/>
                <w:b/>
              </w:rPr>
              <w:t>Pour l’entreprise de forage certifiée pour le « module sonde »</w:t>
            </w:r>
          </w:p>
        </w:tc>
      </w:tr>
      <w:tr w:rsidR="007510DC" w:rsidRPr="00F6639B" w14:paraId="60DC3677" w14:textId="77777777" w:rsidTr="007510DC">
        <w:tblPrEx>
          <w:shd w:val="clear" w:color="auto" w:fill="auto"/>
        </w:tblPrEx>
        <w:tc>
          <w:tcPr>
            <w:tcW w:w="5000" w:type="pct"/>
            <w:gridSpan w:val="2"/>
            <w:shd w:val="clear" w:color="auto" w:fill="auto"/>
          </w:tcPr>
          <w:p w14:paraId="0DED3A24" w14:textId="74D06B70"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b/>
              </w:rPr>
              <w:t>Partie administrative</w:t>
            </w:r>
          </w:p>
        </w:tc>
      </w:tr>
      <w:tr w:rsidR="007510DC" w:rsidRPr="00F6639B" w14:paraId="3DADDCB5" w14:textId="77777777" w:rsidTr="00D719CA">
        <w:tblPrEx>
          <w:shd w:val="clear" w:color="auto" w:fill="auto"/>
        </w:tblPrEx>
        <w:tc>
          <w:tcPr>
            <w:tcW w:w="2500" w:type="pct"/>
            <w:shd w:val="clear" w:color="auto" w:fill="auto"/>
          </w:tcPr>
          <w:p w14:paraId="089B671A" w14:textId="77777777" w:rsidR="007510DC" w:rsidRPr="00F6639B" w:rsidRDefault="007510DC" w:rsidP="00D719CA">
            <w:pPr>
              <w:spacing w:line="240" w:lineRule="auto"/>
              <w:jc w:val="both"/>
              <w:rPr>
                <w:rFonts w:ascii="Times New Roman" w:hAnsi="Times New Roman" w:cs="Times New Roman"/>
              </w:rPr>
            </w:pPr>
            <w:r w:rsidRPr="00F6639B">
              <w:rPr>
                <w:rFonts w:ascii="Times New Roman" w:hAnsi="Times New Roman" w:cs="Times New Roman"/>
              </w:rPr>
              <w:t>Numéro de devis permettant son identification</w:t>
            </w:r>
          </w:p>
        </w:tc>
        <w:tc>
          <w:tcPr>
            <w:tcW w:w="2500" w:type="pct"/>
            <w:shd w:val="clear" w:color="auto" w:fill="auto"/>
          </w:tcPr>
          <w:p w14:paraId="4CCF098A" w14:textId="77777777" w:rsidR="007510DC" w:rsidRPr="00F6639B" w:rsidRDefault="007510DC" w:rsidP="00D719CA">
            <w:pPr>
              <w:spacing w:line="240" w:lineRule="auto"/>
              <w:jc w:val="both"/>
              <w:rPr>
                <w:rFonts w:ascii="Times New Roman" w:hAnsi="Times New Roman" w:cs="Times New Roman"/>
              </w:rPr>
            </w:pPr>
            <w:r w:rsidRPr="00F6639B">
              <w:rPr>
                <w:rFonts w:ascii="Times New Roman" w:hAnsi="Times New Roman" w:cs="Times New Roman"/>
              </w:rPr>
              <w:t>Numéro de devis permettant son identification</w:t>
            </w:r>
          </w:p>
        </w:tc>
      </w:tr>
      <w:tr w:rsidR="007510DC" w:rsidRPr="00F6639B" w14:paraId="00909FC4" w14:textId="77777777" w:rsidTr="007510DC">
        <w:tblPrEx>
          <w:shd w:val="clear" w:color="auto" w:fill="auto"/>
        </w:tblPrEx>
        <w:tc>
          <w:tcPr>
            <w:tcW w:w="2500" w:type="pct"/>
            <w:shd w:val="clear" w:color="auto" w:fill="auto"/>
          </w:tcPr>
          <w:p w14:paraId="2D062E99" w14:textId="263CD69A"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Adresse de son siège social et de l’établissement en charge de l’offre</w:t>
            </w:r>
          </w:p>
        </w:tc>
        <w:tc>
          <w:tcPr>
            <w:tcW w:w="2500" w:type="pct"/>
            <w:shd w:val="clear" w:color="auto" w:fill="auto"/>
          </w:tcPr>
          <w:p w14:paraId="613670C2" w14:textId="0B875948"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Adresse de son siège social et de l’établissement en charge de l’offre</w:t>
            </w:r>
          </w:p>
        </w:tc>
      </w:tr>
      <w:tr w:rsidR="007510DC" w:rsidRPr="00F6639B" w14:paraId="508B76F6" w14:textId="77777777" w:rsidTr="007510DC">
        <w:tblPrEx>
          <w:shd w:val="clear" w:color="auto" w:fill="auto"/>
        </w:tblPrEx>
        <w:tc>
          <w:tcPr>
            <w:tcW w:w="2500" w:type="pct"/>
            <w:shd w:val="clear" w:color="auto" w:fill="auto"/>
          </w:tcPr>
          <w:p w14:paraId="0D9905FA" w14:textId="07019B87"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Numéro d’identification d’établissement (SIRET) ou équivalent</w:t>
            </w:r>
          </w:p>
        </w:tc>
        <w:tc>
          <w:tcPr>
            <w:tcW w:w="2500" w:type="pct"/>
            <w:shd w:val="clear" w:color="auto" w:fill="auto"/>
          </w:tcPr>
          <w:p w14:paraId="42870304" w14:textId="6278E5F6"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Numéro d’identification d’établissement (SIRET) ou équivalent</w:t>
            </w:r>
          </w:p>
        </w:tc>
      </w:tr>
      <w:tr w:rsidR="007510DC" w:rsidRPr="00F6639B" w14:paraId="7B04A293" w14:textId="77777777" w:rsidTr="007510DC">
        <w:tblPrEx>
          <w:shd w:val="clear" w:color="auto" w:fill="auto"/>
        </w:tblPrEx>
        <w:tc>
          <w:tcPr>
            <w:tcW w:w="2500" w:type="pct"/>
            <w:shd w:val="clear" w:color="auto" w:fill="auto"/>
          </w:tcPr>
          <w:p w14:paraId="19D9B2C1" w14:textId="63B84BC1"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Coordonnées de la personne de contact de l’entreprise de forage</w:t>
            </w:r>
          </w:p>
        </w:tc>
        <w:tc>
          <w:tcPr>
            <w:tcW w:w="2500" w:type="pct"/>
            <w:shd w:val="clear" w:color="auto" w:fill="auto"/>
          </w:tcPr>
          <w:p w14:paraId="4FAB55BA" w14:textId="531B0128"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Coordonnées de la personne de contact de l’entreprise de forage</w:t>
            </w:r>
          </w:p>
        </w:tc>
      </w:tr>
      <w:tr w:rsidR="007510DC" w:rsidRPr="00F6639B" w14:paraId="037F3B43" w14:textId="77777777" w:rsidTr="007510DC">
        <w:tblPrEx>
          <w:shd w:val="clear" w:color="auto" w:fill="auto"/>
        </w:tblPrEx>
        <w:tc>
          <w:tcPr>
            <w:tcW w:w="2500" w:type="pct"/>
            <w:shd w:val="clear" w:color="auto" w:fill="auto"/>
          </w:tcPr>
          <w:p w14:paraId="6DF24DB2" w14:textId="303F106B"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Références du chantier et du client</w:t>
            </w:r>
          </w:p>
        </w:tc>
        <w:tc>
          <w:tcPr>
            <w:tcW w:w="2500" w:type="pct"/>
            <w:shd w:val="clear" w:color="auto" w:fill="auto"/>
          </w:tcPr>
          <w:p w14:paraId="039B9A68" w14:textId="4E083FDC"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Références du chantier et du client</w:t>
            </w:r>
          </w:p>
        </w:tc>
      </w:tr>
      <w:tr w:rsidR="007510DC" w:rsidRPr="00F6639B" w14:paraId="1286491C" w14:textId="77777777" w:rsidTr="007510DC">
        <w:tblPrEx>
          <w:shd w:val="clear" w:color="auto" w:fill="auto"/>
        </w:tblPrEx>
        <w:tc>
          <w:tcPr>
            <w:tcW w:w="2500" w:type="pct"/>
            <w:shd w:val="clear" w:color="auto" w:fill="auto"/>
          </w:tcPr>
          <w:p w14:paraId="3D5AF3E4" w14:textId="7E65A286"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Numéro d'attestations d'assurance de Responsabilité Civile Générale (RCG)</w:t>
            </w:r>
          </w:p>
        </w:tc>
        <w:tc>
          <w:tcPr>
            <w:tcW w:w="2500" w:type="pct"/>
            <w:shd w:val="clear" w:color="auto" w:fill="auto"/>
          </w:tcPr>
          <w:p w14:paraId="654B3D94" w14:textId="2D86BD14"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Numéro d'attestations d'assurance de Responsabilité Civile Générale (RCG)</w:t>
            </w:r>
          </w:p>
        </w:tc>
      </w:tr>
      <w:tr w:rsidR="007510DC" w:rsidRPr="00F6639B" w14:paraId="6E423EE8" w14:textId="77777777" w:rsidTr="007510DC">
        <w:tblPrEx>
          <w:shd w:val="clear" w:color="auto" w:fill="auto"/>
        </w:tblPrEx>
        <w:tc>
          <w:tcPr>
            <w:tcW w:w="2500" w:type="pct"/>
            <w:shd w:val="clear" w:color="auto" w:fill="auto"/>
          </w:tcPr>
          <w:p w14:paraId="1300B8EF" w14:textId="1C18DDBA"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Attestation(s) d’assurance(s) de l’entreprise de forage</w:t>
            </w:r>
          </w:p>
        </w:tc>
        <w:tc>
          <w:tcPr>
            <w:tcW w:w="2500" w:type="pct"/>
            <w:shd w:val="clear" w:color="auto" w:fill="auto"/>
          </w:tcPr>
          <w:p w14:paraId="1DC373E8" w14:textId="25108029"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Attestation(s) d’assurance(s) de l’entreprise de forage</w:t>
            </w:r>
          </w:p>
        </w:tc>
      </w:tr>
      <w:tr w:rsidR="007510DC" w:rsidRPr="00F6639B" w14:paraId="7FB5764E" w14:textId="77777777" w:rsidTr="007510DC">
        <w:tblPrEx>
          <w:shd w:val="clear" w:color="auto" w:fill="auto"/>
        </w:tblPrEx>
        <w:tc>
          <w:tcPr>
            <w:tcW w:w="2500" w:type="pct"/>
            <w:shd w:val="clear" w:color="auto" w:fill="auto"/>
          </w:tcPr>
          <w:p w14:paraId="16FEA5DF" w14:textId="00FEE38B"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Engagement de souscription d’une assurance complémentaire au cas où les risques dépassent le montant de la garantie</w:t>
            </w:r>
          </w:p>
        </w:tc>
        <w:tc>
          <w:tcPr>
            <w:tcW w:w="2500" w:type="pct"/>
            <w:shd w:val="clear" w:color="auto" w:fill="auto"/>
          </w:tcPr>
          <w:p w14:paraId="422E27B1" w14:textId="05115AD9"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Engagement de souscription d’une assurance complémentaire au cas où les risques dépassent le montant de la garantie</w:t>
            </w:r>
          </w:p>
        </w:tc>
      </w:tr>
      <w:tr w:rsidR="007510DC" w:rsidRPr="00F6639B" w14:paraId="704DF761" w14:textId="77777777" w:rsidTr="007510DC">
        <w:tblPrEx>
          <w:shd w:val="clear" w:color="auto" w:fill="auto"/>
        </w:tblPrEx>
        <w:tc>
          <w:tcPr>
            <w:tcW w:w="2500" w:type="pct"/>
            <w:shd w:val="clear" w:color="auto" w:fill="auto"/>
          </w:tcPr>
          <w:p w14:paraId="42D98B5D" w14:textId="77777777" w:rsidR="007510DC" w:rsidRPr="00F6639B" w:rsidRDefault="007510DC" w:rsidP="007510DC">
            <w:pPr>
              <w:spacing w:line="240" w:lineRule="auto"/>
              <w:contextualSpacing/>
              <w:jc w:val="both"/>
              <w:rPr>
                <w:rFonts w:ascii="Times New Roman" w:hAnsi="Times New Roman" w:cs="Times New Roman"/>
              </w:rPr>
            </w:pPr>
            <w:r w:rsidRPr="00F6639B">
              <w:rPr>
                <w:rFonts w:ascii="Times New Roman" w:hAnsi="Times New Roman" w:cs="Times New Roman"/>
                <w:u w:val="single"/>
              </w:rPr>
              <w:t>Cas particulier</w:t>
            </w:r>
            <w:r w:rsidRPr="00F6639B">
              <w:rPr>
                <w:rFonts w:ascii="Times New Roman" w:hAnsi="Times New Roman" w:cs="Times New Roman"/>
              </w:rPr>
              <w:t xml:space="preserve"> : à partir de 2 offres envoyées dans l’année à un même interlocuteur ou contrat cadre, la partie administrative est communiquée au client </w:t>
            </w:r>
          </w:p>
          <w:p w14:paraId="2EC44794" w14:textId="77777777" w:rsidR="007510DC" w:rsidRPr="00F6639B" w:rsidRDefault="007510DC" w:rsidP="007510DC">
            <w:pPr>
              <w:spacing w:line="240" w:lineRule="auto"/>
              <w:contextualSpacing/>
              <w:jc w:val="both"/>
              <w:rPr>
                <w:rFonts w:ascii="Times New Roman" w:hAnsi="Times New Roman" w:cs="Times New Roman"/>
              </w:rPr>
            </w:pPr>
            <w:r w:rsidRPr="00F6639B">
              <w:rPr>
                <w:rFonts w:ascii="Times New Roman" w:hAnsi="Times New Roman" w:cs="Times New Roman"/>
              </w:rPr>
              <w:t>- une fois par an,</w:t>
            </w:r>
          </w:p>
          <w:p w14:paraId="3AFAB59C" w14:textId="77777777" w:rsidR="007510DC" w:rsidRPr="00F6639B" w:rsidRDefault="007510DC" w:rsidP="007510DC">
            <w:pPr>
              <w:spacing w:line="240" w:lineRule="auto"/>
              <w:contextualSpacing/>
              <w:jc w:val="both"/>
              <w:rPr>
                <w:rFonts w:ascii="Times New Roman" w:hAnsi="Times New Roman" w:cs="Times New Roman"/>
              </w:rPr>
            </w:pPr>
            <w:r w:rsidRPr="00F6639B">
              <w:rPr>
                <w:rFonts w:ascii="Times New Roman" w:hAnsi="Times New Roman" w:cs="Times New Roman"/>
              </w:rPr>
              <w:t>- dès modification de son contenu,</w:t>
            </w:r>
          </w:p>
          <w:p w14:paraId="7339FB02" w14:textId="3F15E808"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 à sa demande expresse.</w:t>
            </w:r>
          </w:p>
        </w:tc>
        <w:tc>
          <w:tcPr>
            <w:tcW w:w="2500" w:type="pct"/>
            <w:shd w:val="clear" w:color="auto" w:fill="auto"/>
          </w:tcPr>
          <w:p w14:paraId="05D6E1EB" w14:textId="77777777" w:rsidR="007510DC" w:rsidRPr="00F6639B" w:rsidRDefault="007510DC" w:rsidP="007510DC">
            <w:pPr>
              <w:spacing w:line="240" w:lineRule="auto"/>
              <w:contextualSpacing/>
              <w:jc w:val="both"/>
              <w:rPr>
                <w:rFonts w:ascii="Times New Roman" w:hAnsi="Times New Roman" w:cs="Times New Roman"/>
              </w:rPr>
            </w:pPr>
            <w:r w:rsidRPr="00F6639B">
              <w:rPr>
                <w:rFonts w:ascii="Times New Roman" w:hAnsi="Times New Roman" w:cs="Times New Roman"/>
                <w:u w:val="single"/>
              </w:rPr>
              <w:t>Cas particulier</w:t>
            </w:r>
            <w:r w:rsidRPr="00F6639B">
              <w:rPr>
                <w:rFonts w:ascii="Times New Roman" w:hAnsi="Times New Roman" w:cs="Times New Roman"/>
              </w:rPr>
              <w:t xml:space="preserve"> : à partir de 2 offres envoyées dans l’année à un même interlocuteur ou contrat cadre, la partie administrative est communiquée au client </w:t>
            </w:r>
          </w:p>
          <w:p w14:paraId="1FA5B8DC" w14:textId="77777777" w:rsidR="007510DC" w:rsidRPr="00F6639B" w:rsidRDefault="007510DC" w:rsidP="007510DC">
            <w:pPr>
              <w:spacing w:line="240" w:lineRule="auto"/>
              <w:contextualSpacing/>
              <w:jc w:val="both"/>
              <w:rPr>
                <w:rFonts w:ascii="Times New Roman" w:hAnsi="Times New Roman" w:cs="Times New Roman"/>
              </w:rPr>
            </w:pPr>
            <w:r w:rsidRPr="00F6639B">
              <w:rPr>
                <w:rFonts w:ascii="Times New Roman" w:hAnsi="Times New Roman" w:cs="Times New Roman"/>
              </w:rPr>
              <w:t>- une fois par an,</w:t>
            </w:r>
          </w:p>
          <w:p w14:paraId="33B18426" w14:textId="77777777" w:rsidR="007510DC" w:rsidRPr="00F6639B" w:rsidRDefault="007510DC" w:rsidP="007510DC">
            <w:pPr>
              <w:spacing w:line="240" w:lineRule="auto"/>
              <w:contextualSpacing/>
              <w:jc w:val="both"/>
              <w:rPr>
                <w:rFonts w:ascii="Times New Roman" w:hAnsi="Times New Roman" w:cs="Times New Roman"/>
              </w:rPr>
            </w:pPr>
            <w:r w:rsidRPr="00F6639B">
              <w:rPr>
                <w:rFonts w:ascii="Times New Roman" w:hAnsi="Times New Roman" w:cs="Times New Roman"/>
              </w:rPr>
              <w:t>- dès modification de son contenu,</w:t>
            </w:r>
          </w:p>
          <w:p w14:paraId="125F6262" w14:textId="3C27706F"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 à sa demande expresse.</w:t>
            </w:r>
          </w:p>
        </w:tc>
      </w:tr>
      <w:tr w:rsidR="007510DC" w:rsidRPr="00F6639B" w14:paraId="5D0B6D88" w14:textId="77777777" w:rsidTr="007510DC">
        <w:tblPrEx>
          <w:shd w:val="clear" w:color="auto" w:fill="auto"/>
        </w:tblPrEx>
        <w:tc>
          <w:tcPr>
            <w:tcW w:w="2500" w:type="pct"/>
            <w:shd w:val="clear" w:color="auto" w:fill="auto"/>
          </w:tcPr>
          <w:p w14:paraId="3C27DA90" w14:textId="4F003228"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 xml:space="preserve">Certificat </w:t>
            </w:r>
            <w:proofErr w:type="spellStart"/>
            <w:r w:rsidRPr="00F6639B">
              <w:rPr>
                <w:rFonts w:ascii="Times New Roman" w:hAnsi="Times New Roman" w:cs="Times New Roman"/>
              </w:rPr>
              <w:t>CertiForage</w:t>
            </w:r>
            <w:proofErr w:type="spellEnd"/>
            <w:r w:rsidRPr="00F6639B">
              <w:rPr>
                <w:rFonts w:ascii="Times New Roman" w:hAnsi="Times New Roman" w:cs="Times New Roman"/>
              </w:rPr>
              <w:t xml:space="preserve"> en cours de validité, ou une information permettant d’accéder au certificat sur le site de l’organisme de certification (peut être transmis séparément)</w:t>
            </w:r>
          </w:p>
        </w:tc>
        <w:tc>
          <w:tcPr>
            <w:tcW w:w="2500" w:type="pct"/>
            <w:shd w:val="clear" w:color="auto" w:fill="auto"/>
          </w:tcPr>
          <w:p w14:paraId="5FF88B78" w14:textId="3D599E9F"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 xml:space="preserve">Certificat </w:t>
            </w:r>
            <w:proofErr w:type="spellStart"/>
            <w:r w:rsidRPr="00F6639B">
              <w:rPr>
                <w:rFonts w:ascii="Times New Roman" w:hAnsi="Times New Roman" w:cs="Times New Roman"/>
              </w:rPr>
              <w:t>CertiForage</w:t>
            </w:r>
            <w:proofErr w:type="spellEnd"/>
            <w:r w:rsidRPr="00F6639B">
              <w:rPr>
                <w:rFonts w:ascii="Times New Roman" w:hAnsi="Times New Roman" w:cs="Times New Roman"/>
              </w:rPr>
              <w:t xml:space="preserve"> en cours de validité, ou une information permettant d’accéder au certificat sur le site de l’organisme de certification (peut être transmis séparément)</w:t>
            </w:r>
          </w:p>
        </w:tc>
      </w:tr>
      <w:tr w:rsidR="007510DC" w:rsidRPr="00F6639B" w14:paraId="231E316D" w14:textId="77777777" w:rsidTr="007510DC">
        <w:tblPrEx>
          <w:shd w:val="clear" w:color="auto" w:fill="auto"/>
        </w:tblPrEx>
        <w:tc>
          <w:tcPr>
            <w:tcW w:w="5000" w:type="pct"/>
            <w:gridSpan w:val="2"/>
            <w:shd w:val="clear" w:color="auto" w:fill="auto"/>
          </w:tcPr>
          <w:p w14:paraId="7F66BAEE" w14:textId="328FC27F"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b/>
              </w:rPr>
              <w:t>Partie technique</w:t>
            </w:r>
          </w:p>
        </w:tc>
      </w:tr>
      <w:tr w:rsidR="007510DC" w:rsidRPr="00F6639B" w14:paraId="152899CB" w14:textId="77777777" w:rsidTr="007510DC">
        <w:tblPrEx>
          <w:shd w:val="clear" w:color="auto" w:fill="auto"/>
        </w:tblPrEx>
        <w:tc>
          <w:tcPr>
            <w:tcW w:w="2500" w:type="pct"/>
            <w:shd w:val="clear" w:color="auto" w:fill="auto"/>
          </w:tcPr>
          <w:p w14:paraId="1CD6A666" w14:textId="78E99D15"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Synthèse des informations fournies par le client sur ses besoins et attentes</w:t>
            </w:r>
          </w:p>
        </w:tc>
        <w:tc>
          <w:tcPr>
            <w:tcW w:w="2500" w:type="pct"/>
            <w:shd w:val="clear" w:color="auto" w:fill="auto"/>
          </w:tcPr>
          <w:p w14:paraId="71BA5A56" w14:textId="1F33B272"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Synthèse des informations fournies par le client sur ses besoins et attentes</w:t>
            </w:r>
          </w:p>
        </w:tc>
      </w:tr>
      <w:tr w:rsidR="007510DC" w:rsidRPr="00F6639B" w14:paraId="34F6077D" w14:textId="77777777" w:rsidTr="007510DC">
        <w:tblPrEx>
          <w:shd w:val="clear" w:color="auto" w:fill="auto"/>
        </w:tblPrEx>
        <w:tc>
          <w:tcPr>
            <w:tcW w:w="2500" w:type="pct"/>
            <w:shd w:val="clear" w:color="auto" w:fill="auto"/>
          </w:tcPr>
          <w:p w14:paraId="2A1FE249" w14:textId="77777777" w:rsidR="007510DC" w:rsidRPr="00F6639B" w:rsidRDefault="007510DC" w:rsidP="007510DC">
            <w:pPr>
              <w:spacing w:line="259" w:lineRule="auto"/>
              <w:contextualSpacing/>
              <w:jc w:val="both"/>
              <w:rPr>
                <w:rFonts w:ascii="Times New Roman" w:hAnsi="Times New Roman" w:cs="Times New Roman"/>
              </w:rPr>
            </w:pPr>
            <w:r w:rsidRPr="00F6639B">
              <w:rPr>
                <w:rFonts w:ascii="Times New Roman" w:hAnsi="Times New Roman" w:cs="Times New Roman"/>
              </w:rPr>
              <w:t>- Technique de forage,</w:t>
            </w:r>
          </w:p>
          <w:p w14:paraId="2438CCE8" w14:textId="77777777" w:rsidR="007510DC" w:rsidRPr="00F6639B" w:rsidRDefault="007510DC" w:rsidP="007510DC">
            <w:pPr>
              <w:spacing w:line="259" w:lineRule="auto"/>
              <w:contextualSpacing/>
              <w:jc w:val="both"/>
              <w:rPr>
                <w:rFonts w:ascii="Times New Roman" w:hAnsi="Times New Roman" w:cs="Times New Roman"/>
              </w:rPr>
            </w:pPr>
            <w:r w:rsidRPr="00F6639B">
              <w:rPr>
                <w:rFonts w:ascii="Times New Roman" w:hAnsi="Times New Roman" w:cs="Times New Roman"/>
              </w:rPr>
              <w:t>- Profondeur de forage,</w:t>
            </w:r>
          </w:p>
          <w:p w14:paraId="3219B793" w14:textId="77777777" w:rsidR="007510DC" w:rsidRPr="00F6639B" w:rsidRDefault="007510DC" w:rsidP="007510DC">
            <w:pPr>
              <w:spacing w:line="259" w:lineRule="auto"/>
              <w:contextualSpacing/>
              <w:jc w:val="both"/>
              <w:rPr>
                <w:rFonts w:ascii="Times New Roman" w:hAnsi="Times New Roman" w:cs="Times New Roman"/>
              </w:rPr>
            </w:pPr>
            <w:r w:rsidRPr="00F6639B">
              <w:rPr>
                <w:rFonts w:ascii="Times New Roman" w:hAnsi="Times New Roman" w:cs="Times New Roman"/>
              </w:rPr>
              <w:t xml:space="preserve">- Diamètre de </w:t>
            </w:r>
            <w:proofErr w:type="spellStart"/>
            <w:r w:rsidRPr="00F6639B">
              <w:rPr>
                <w:rFonts w:ascii="Times New Roman" w:hAnsi="Times New Roman" w:cs="Times New Roman"/>
              </w:rPr>
              <w:t>foration</w:t>
            </w:r>
            <w:proofErr w:type="spellEnd"/>
            <w:r w:rsidRPr="00F6639B">
              <w:rPr>
                <w:rFonts w:ascii="Times New Roman" w:hAnsi="Times New Roman" w:cs="Times New Roman"/>
              </w:rPr>
              <w:t>,</w:t>
            </w:r>
          </w:p>
          <w:p w14:paraId="1FA44D55" w14:textId="77777777" w:rsidR="007510DC" w:rsidRPr="00F6639B" w:rsidRDefault="007510DC" w:rsidP="007510DC">
            <w:pPr>
              <w:spacing w:line="240" w:lineRule="auto"/>
              <w:contextualSpacing/>
              <w:jc w:val="both"/>
              <w:rPr>
                <w:rFonts w:ascii="Times New Roman" w:hAnsi="Times New Roman" w:cs="Times New Roman"/>
              </w:rPr>
            </w:pPr>
            <w:r w:rsidRPr="00F6639B">
              <w:rPr>
                <w:rFonts w:ascii="Times New Roman" w:hAnsi="Times New Roman" w:cs="Times New Roman"/>
              </w:rPr>
              <w:t xml:space="preserve">- Diamètres et type de tubage, </w:t>
            </w:r>
          </w:p>
          <w:p w14:paraId="7D3781ED" w14:textId="77777777" w:rsidR="007510DC" w:rsidRPr="00F6639B" w:rsidRDefault="007510DC" w:rsidP="007510DC">
            <w:pPr>
              <w:spacing w:line="240" w:lineRule="auto"/>
              <w:contextualSpacing/>
              <w:jc w:val="both"/>
              <w:rPr>
                <w:rFonts w:ascii="Times New Roman" w:hAnsi="Times New Roman" w:cs="Times New Roman"/>
              </w:rPr>
            </w:pPr>
            <w:r w:rsidRPr="00F6639B">
              <w:rPr>
                <w:rFonts w:ascii="Times New Roman" w:hAnsi="Times New Roman" w:cs="Times New Roman"/>
              </w:rPr>
              <w:t>- Diamètre et type de crépine,</w:t>
            </w:r>
          </w:p>
          <w:p w14:paraId="55806F50" w14:textId="77777777" w:rsidR="007510DC" w:rsidRPr="00F6639B" w:rsidRDefault="007510DC" w:rsidP="007510DC">
            <w:pPr>
              <w:spacing w:line="240" w:lineRule="auto"/>
              <w:contextualSpacing/>
              <w:jc w:val="both"/>
              <w:rPr>
                <w:rFonts w:ascii="Times New Roman" w:hAnsi="Times New Roman" w:cs="Times New Roman"/>
              </w:rPr>
            </w:pPr>
            <w:r w:rsidRPr="00F6639B">
              <w:rPr>
                <w:rFonts w:ascii="Times New Roman" w:hAnsi="Times New Roman" w:cs="Times New Roman"/>
              </w:rPr>
              <w:t>- Complétion forage eau : références massif filtrant, nature, granulométrie, quantité. Référence du ciment, quantité,</w:t>
            </w:r>
          </w:p>
          <w:p w14:paraId="3B3B209C" w14:textId="77777777" w:rsidR="007510DC" w:rsidRPr="00F6639B" w:rsidRDefault="007510DC" w:rsidP="007510DC">
            <w:pPr>
              <w:spacing w:line="240" w:lineRule="auto"/>
              <w:contextualSpacing/>
              <w:jc w:val="both"/>
              <w:rPr>
                <w:rFonts w:ascii="Times New Roman" w:hAnsi="Times New Roman" w:cs="Times New Roman"/>
              </w:rPr>
            </w:pPr>
            <w:r w:rsidRPr="00F6639B">
              <w:rPr>
                <w:rFonts w:ascii="Times New Roman" w:hAnsi="Times New Roman" w:cs="Times New Roman"/>
              </w:rPr>
              <w:t>- Essais forage eau : pompage d'essai par paliers conformément à la NF X10-999 : 2014 (nombre de paliers, débit, durée), pompage longue durée (débit, durée fixée par la norme),</w:t>
            </w:r>
          </w:p>
          <w:p w14:paraId="273FCC7B" w14:textId="665EE4A0" w:rsidR="007510DC" w:rsidRPr="00F6639B" w:rsidRDefault="007510DC" w:rsidP="007510DC">
            <w:pPr>
              <w:spacing w:line="240" w:lineRule="auto"/>
              <w:jc w:val="both"/>
              <w:rPr>
                <w:rFonts w:ascii="Times New Roman" w:hAnsi="Times New Roman" w:cs="Times New Roman"/>
                <w:b/>
              </w:rPr>
            </w:pPr>
            <w:r w:rsidRPr="00F6639B">
              <w:rPr>
                <w:rFonts w:ascii="Times New Roman" w:hAnsi="Times New Roman" w:cs="Times New Roman"/>
              </w:rPr>
              <w:t xml:space="preserve">- Réserves : passage de blocs, difficultés prévisionnelles ou préconisation de l'expert attendue (zone orange), correction dimensionnement en cours de </w:t>
            </w:r>
            <w:proofErr w:type="spellStart"/>
            <w:r w:rsidRPr="00F6639B">
              <w:rPr>
                <w:rFonts w:ascii="Times New Roman" w:hAnsi="Times New Roman" w:cs="Times New Roman"/>
              </w:rPr>
              <w:t>foration</w:t>
            </w:r>
            <w:proofErr w:type="spellEnd"/>
            <w:r w:rsidRPr="00F6639B">
              <w:rPr>
                <w:rFonts w:ascii="Times New Roman" w:hAnsi="Times New Roman" w:cs="Times New Roman"/>
              </w:rPr>
              <w:t>.</w:t>
            </w:r>
          </w:p>
        </w:tc>
        <w:tc>
          <w:tcPr>
            <w:tcW w:w="2500" w:type="pct"/>
            <w:shd w:val="clear" w:color="auto" w:fill="auto"/>
          </w:tcPr>
          <w:p w14:paraId="7C86D344" w14:textId="77777777" w:rsidR="00924B1D" w:rsidRPr="00F6639B" w:rsidRDefault="00924B1D" w:rsidP="00924B1D">
            <w:pPr>
              <w:spacing w:line="259" w:lineRule="auto"/>
              <w:contextualSpacing/>
              <w:jc w:val="both"/>
              <w:rPr>
                <w:rFonts w:ascii="Times New Roman" w:hAnsi="Times New Roman" w:cs="Times New Roman"/>
              </w:rPr>
            </w:pPr>
            <w:r w:rsidRPr="00F6639B">
              <w:rPr>
                <w:rFonts w:ascii="Times New Roman" w:hAnsi="Times New Roman" w:cs="Times New Roman"/>
              </w:rPr>
              <w:t>- Technique de forage,</w:t>
            </w:r>
          </w:p>
          <w:p w14:paraId="5B63E491" w14:textId="77777777" w:rsidR="00924B1D" w:rsidRPr="00F6639B" w:rsidRDefault="00924B1D" w:rsidP="00924B1D">
            <w:pPr>
              <w:spacing w:line="259" w:lineRule="auto"/>
              <w:contextualSpacing/>
              <w:jc w:val="both"/>
              <w:rPr>
                <w:rFonts w:ascii="Times New Roman" w:hAnsi="Times New Roman" w:cs="Times New Roman"/>
              </w:rPr>
            </w:pPr>
            <w:r w:rsidRPr="00F6639B">
              <w:rPr>
                <w:rFonts w:ascii="Times New Roman" w:hAnsi="Times New Roman" w:cs="Times New Roman"/>
              </w:rPr>
              <w:t>- Profondeur de forage,</w:t>
            </w:r>
          </w:p>
          <w:p w14:paraId="22447B19" w14:textId="77777777" w:rsidR="00924B1D" w:rsidRPr="00F6639B" w:rsidRDefault="00924B1D" w:rsidP="00924B1D">
            <w:pPr>
              <w:spacing w:line="259" w:lineRule="auto"/>
              <w:contextualSpacing/>
              <w:jc w:val="both"/>
              <w:rPr>
                <w:rFonts w:ascii="Times New Roman" w:hAnsi="Times New Roman" w:cs="Times New Roman"/>
              </w:rPr>
            </w:pPr>
            <w:r w:rsidRPr="00F6639B">
              <w:rPr>
                <w:rFonts w:ascii="Times New Roman" w:hAnsi="Times New Roman" w:cs="Times New Roman"/>
              </w:rPr>
              <w:t xml:space="preserve">- Diamètre de </w:t>
            </w:r>
            <w:proofErr w:type="spellStart"/>
            <w:r w:rsidRPr="00F6639B">
              <w:rPr>
                <w:rFonts w:ascii="Times New Roman" w:hAnsi="Times New Roman" w:cs="Times New Roman"/>
              </w:rPr>
              <w:t>foration</w:t>
            </w:r>
            <w:proofErr w:type="spellEnd"/>
            <w:r w:rsidRPr="00F6639B">
              <w:rPr>
                <w:rFonts w:ascii="Times New Roman" w:hAnsi="Times New Roman" w:cs="Times New Roman"/>
              </w:rPr>
              <w:t>,</w:t>
            </w:r>
          </w:p>
          <w:p w14:paraId="3833418E" w14:textId="77777777" w:rsidR="00924B1D" w:rsidRPr="00F6639B" w:rsidRDefault="00924B1D" w:rsidP="00924B1D">
            <w:pPr>
              <w:spacing w:line="240" w:lineRule="auto"/>
              <w:contextualSpacing/>
              <w:jc w:val="both"/>
              <w:rPr>
                <w:rFonts w:ascii="Times New Roman" w:hAnsi="Times New Roman" w:cs="Times New Roman"/>
              </w:rPr>
            </w:pPr>
            <w:r w:rsidRPr="00F6639B">
              <w:rPr>
                <w:rFonts w:ascii="Times New Roman" w:hAnsi="Times New Roman" w:cs="Times New Roman"/>
              </w:rPr>
              <w:t>- Références de la boucle de sonde, diamètre, géométrie, longueur de tubes, raccordements,</w:t>
            </w:r>
          </w:p>
          <w:p w14:paraId="2166A567" w14:textId="77777777" w:rsidR="00924B1D" w:rsidRPr="00F6639B" w:rsidRDefault="00924B1D" w:rsidP="00924B1D">
            <w:pPr>
              <w:spacing w:line="240" w:lineRule="auto"/>
              <w:contextualSpacing/>
              <w:jc w:val="both"/>
              <w:rPr>
                <w:rFonts w:ascii="Times New Roman" w:hAnsi="Times New Roman" w:cs="Times New Roman"/>
              </w:rPr>
            </w:pPr>
            <w:r w:rsidRPr="00F6639B">
              <w:rPr>
                <w:rFonts w:ascii="Times New Roman" w:hAnsi="Times New Roman" w:cs="Times New Roman"/>
              </w:rPr>
              <w:t xml:space="preserve">- Complétion SGV : Ciment conforme aux prescriptions du 4.1.5. </w:t>
            </w:r>
            <w:proofErr w:type="gramStart"/>
            <w:r w:rsidRPr="00F6639B">
              <w:rPr>
                <w:rFonts w:ascii="Times New Roman" w:hAnsi="Times New Roman" w:cs="Times New Roman"/>
              </w:rPr>
              <w:t>de</w:t>
            </w:r>
            <w:proofErr w:type="gramEnd"/>
            <w:r w:rsidRPr="00F6639B">
              <w:rPr>
                <w:rFonts w:ascii="Times New Roman" w:hAnsi="Times New Roman" w:cs="Times New Roman"/>
              </w:rPr>
              <w:t xml:space="preserve"> l’arrêté du 25 juin 2015 relatif aux prescriptions générales applicables aux activités géothermiques de minime importance,</w:t>
            </w:r>
          </w:p>
          <w:p w14:paraId="79E41876" w14:textId="77777777" w:rsidR="00924B1D" w:rsidRPr="00F6639B" w:rsidRDefault="00924B1D" w:rsidP="00924B1D">
            <w:pPr>
              <w:spacing w:line="240" w:lineRule="auto"/>
              <w:contextualSpacing/>
              <w:jc w:val="both"/>
              <w:rPr>
                <w:rFonts w:ascii="Times New Roman" w:hAnsi="Times New Roman" w:cs="Times New Roman"/>
              </w:rPr>
            </w:pPr>
            <w:r w:rsidRPr="00F6639B">
              <w:rPr>
                <w:rFonts w:ascii="Times New Roman" w:hAnsi="Times New Roman" w:cs="Times New Roman"/>
              </w:rPr>
              <w:t>- Essais SGV : contrôle visuel et d'étanchéité (avant cimentation) conformément à la NF EN 17522 ; contrôle d’écoulement (après cimentation) conformément à la NF EN 17522 pour chaque sonde, reprenant le fluide employé lors du test, la sonde concernée, le débit du test, et les pertes de charge associées,</w:t>
            </w:r>
          </w:p>
          <w:p w14:paraId="55944A5F" w14:textId="3E8B61FA" w:rsidR="007510DC" w:rsidRPr="00F6639B" w:rsidRDefault="00924B1D" w:rsidP="00924B1D">
            <w:pPr>
              <w:spacing w:line="240" w:lineRule="auto"/>
              <w:jc w:val="both"/>
              <w:rPr>
                <w:rFonts w:ascii="Times New Roman" w:hAnsi="Times New Roman" w:cs="Times New Roman"/>
                <w:b/>
              </w:rPr>
            </w:pPr>
            <w:r w:rsidRPr="00F6639B">
              <w:rPr>
                <w:rFonts w:ascii="Times New Roman" w:hAnsi="Times New Roman" w:cs="Times New Roman"/>
              </w:rPr>
              <w:t xml:space="preserve">- Réserves : passage de blocs, difficultés prévisionnelles ou préconisation de l'expert attendue (zone orange), correction dimensionnement en cours de </w:t>
            </w:r>
            <w:proofErr w:type="spellStart"/>
            <w:r w:rsidRPr="00F6639B">
              <w:rPr>
                <w:rFonts w:ascii="Times New Roman" w:hAnsi="Times New Roman" w:cs="Times New Roman"/>
              </w:rPr>
              <w:t>foration</w:t>
            </w:r>
            <w:proofErr w:type="spellEnd"/>
            <w:r w:rsidRPr="00F6639B">
              <w:rPr>
                <w:rFonts w:ascii="Times New Roman" w:hAnsi="Times New Roman" w:cs="Times New Roman"/>
              </w:rPr>
              <w:t>.</w:t>
            </w:r>
          </w:p>
        </w:tc>
      </w:tr>
      <w:tr w:rsidR="00924B1D" w:rsidRPr="00F6639B" w14:paraId="0FCEAA67" w14:textId="77777777" w:rsidTr="007510DC">
        <w:tblPrEx>
          <w:shd w:val="clear" w:color="auto" w:fill="auto"/>
        </w:tblPrEx>
        <w:tc>
          <w:tcPr>
            <w:tcW w:w="2500" w:type="pct"/>
            <w:shd w:val="clear" w:color="auto" w:fill="auto"/>
          </w:tcPr>
          <w:p w14:paraId="51436B0E" w14:textId="156A243E" w:rsidR="00924B1D" w:rsidRPr="00F6639B" w:rsidRDefault="00924B1D" w:rsidP="007510DC">
            <w:pPr>
              <w:spacing w:line="259" w:lineRule="auto"/>
              <w:contextualSpacing/>
              <w:jc w:val="both"/>
              <w:rPr>
                <w:rFonts w:ascii="Times New Roman" w:hAnsi="Times New Roman" w:cs="Times New Roman"/>
              </w:rPr>
            </w:pPr>
            <w:r w:rsidRPr="00F6639B">
              <w:rPr>
                <w:rFonts w:ascii="Times New Roman" w:hAnsi="Times New Roman" w:cs="Times New Roman"/>
                <w:b/>
                <w:bCs/>
              </w:rPr>
              <w:t>Partie financière</w:t>
            </w:r>
          </w:p>
        </w:tc>
        <w:tc>
          <w:tcPr>
            <w:tcW w:w="2500" w:type="pct"/>
            <w:shd w:val="clear" w:color="auto" w:fill="auto"/>
          </w:tcPr>
          <w:p w14:paraId="226ECD82" w14:textId="77777777" w:rsidR="00924B1D" w:rsidRPr="00F6639B" w:rsidRDefault="00924B1D" w:rsidP="00924B1D">
            <w:pPr>
              <w:spacing w:line="259" w:lineRule="auto"/>
              <w:contextualSpacing/>
              <w:jc w:val="both"/>
              <w:rPr>
                <w:rFonts w:ascii="Times New Roman" w:hAnsi="Times New Roman" w:cs="Times New Roman"/>
              </w:rPr>
            </w:pPr>
          </w:p>
        </w:tc>
      </w:tr>
      <w:tr w:rsidR="00924B1D" w:rsidRPr="00F6639B" w14:paraId="218ECF48" w14:textId="77777777" w:rsidTr="007510DC">
        <w:tblPrEx>
          <w:shd w:val="clear" w:color="auto" w:fill="auto"/>
        </w:tblPrEx>
        <w:tc>
          <w:tcPr>
            <w:tcW w:w="2500" w:type="pct"/>
            <w:shd w:val="clear" w:color="auto" w:fill="auto"/>
          </w:tcPr>
          <w:p w14:paraId="3852696B" w14:textId="6CEF626E" w:rsidR="00924B1D" w:rsidRPr="00F6639B" w:rsidRDefault="00924B1D" w:rsidP="00924B1D">
            <w:pPr>
              <w:spacing w:line="259" w:lineRule="auto"/>
              <w:contextualSpacing/>
              <w:jc w:val="both"/>
              <w:rPr>
                <w:rFonts w:ascii="Times New Roman" w:hAnsi="Times New Roman" w:cs="Times New Roman"/>
              </w:rPr>
            </w:pPr>
            <w:r w:rsidRPr="00F6639B">
              <w:rPr>
                <w:rFonts w:ascii="Times New Roman" w:hAnsi="Times New Roman" w:cs="Times New Roman"/>
              </w:rPr>
              <w:t>Si l’offre financière est forfaitaire, il peut être fourni une décomposition du prix global et forfaitaire (DPGF), à la demande du donneur d’ordre</w:t>
            </w:r>
          </w:p>
        </w:tc>
        <w:tc>
          <w:tcPr>
            <w:tcW w:w="2500" w:type="pct"/>
            <w:shd w:val="clear" w:color="auto" w:fill="auto"/>
          </w:tcPr>
          <w:p w14:paraId="4CA2EDEF" w14:textId="2F70A767" w:rsidR="00924B1D" w:rsidRPr="00F6639B" w:rsidRDefault="00924B1D" w:rsidP="00924B1D">
            <w:pPr>
              <w:spacing w:line="259" w:lineRule="auto"/>
              <w:contextualSpacing/>
              <w:jc w:val="both"/>
              <w:rPr>
                <w:rFonts w:ascii="Times New Roman" w:hAnsi="Times New Roman" w:cs="Times New Roman"/>
              </w:rPr>
            </w:pPr>
            <w:r w:rsidRPr="00F6639B">
              <w:rPr>
                <w:rFonts w:ascii="Times New Roman" w:hAnsi="Times New Roman" w:cs="Times New Roman"/>
              </w:rPr>
              <w:t>Si l’offre financière est forfaitaire, il peut être fourni une décomposition du prix global et forfaitaire (DPGF), à la demande du donneur d’ordre</w:t>
            </w:r>
          </w:p>
        </w:tc>
      </w:tr>
      <w:tr w:rsidR="00924B1D" w:rsidRPr="00F6639B" w14:paraId="43AE73E3" w14:textId="77777777" w:rsidTr="007510DC">
        <w:tblPrEx>
          <w:shd w:val="clear" w:color="auto" w:fill="auto"/>
        </w:tblPrEx>
        <w:tc>
          <w:tcPr>
            <w:tcW w:w="2500" w:type="pct"/>
            <w:shd w:val="clear" w:color="auto" w:fill="auto"/>
          </w:tcPr>
          <w:p w14:paraId="43266D59" w14:textId="369FFB1D" w:rsidR="00924B1D" w:rsidRPr="00F6639B" w:rsidRDefault="00924B1D" w:rsidP="00924B1D">
            <w:pPr>
              <w:spacing w:line="259" w:lineRule="auto"/>
              <w:contextualSpacing/>
              <w:jc w:val="both"/>
              <w:rPr>
                <w:rFonts w:ascii="Times New Roman" w:hAnsi="Times New Roman" w:cs="Times New Roman"/>
              </w:rPr>
            </w:pPr>
            <w:r w:rsidRPr="00F6639B">
              <w:rPr>
                <w:rFonts w:ascii="Times New Roman" w:hAnsi="Times New Roman" w:cs="Times New Roman"/>
              </w:rPr>
              <w:t>Si l’offre financière est à prix unitaires, un détail quantitatif estimatif (DQE) doit être fourni ; il peut être fourni un bordereau des prix unitaires (BPU) selon la demande du donneur d’ordre</w:t>
            </w:r>
          </w:p>
        </w:tc>
        <w:tc>
          <w:tcPr>
            <w:tcW w:w="2500" w:type="pct"/>
            <w:shd w:val="clear" w:color="auto" w:fill="auto"/>
          </w:tcPr>
          <w:p w14:paraId="343DD8AF" w14:textId="0FD2E067" w:rsidR="00924B1D" w:rsidRPr="00F6639B" w:rsidRDefault="00924B1D" w:rsidP="00924B1D">
            <w:pPr>
              <w:spacing w:line="259" w:lineRule="auto"/>
              <w:contextualSpacing/>
              <w:jc w:val="both"/>
              <w:rPr>
                <w:rFonts w:ascii="Times New Roman" w:hAnsi="Times New Roman" w:cs="Times New Roman"/>
              </w:rPr>
            </w:pPr>
            <w:r w:rsidRPr="00F6639B">
              <w:rPr>
                <w:rFonts w:ascii="Times New Roman" w:hAnsi="Times New Roman" w:cs="Times New Roman"/>
              </w:rPr>
              <w:t>Si l’offre financière est à prix unitaires, un détail quantitatif estimatif (DQE) doit être fourni ; il peut être fourni un bordereau des prix unitaires (BPU) selon la demande du donneur d’ordre</w:t>
            </w:r>
          </w:p>
        </w:tc>
      </w:tr>
      <w:tr w:rsidR="00924B1D" w:rsidRPr="00F6639B" w14:paraId="12F2CD85" w14:textId="77777777" w:rsidTr="007510DC">
        <w:tblPrEx>
          <w:shd w:val="clear" w:color="auto" w:fill="auto"/>
        </w:tblPrEx>
        <w:tc>
          <w:tcPr>
            <w:tcW w:w="2500" w:type="pct"/>
            <w:shd w:val="clear" w:color="auto" w:fill="auto"/>
          </w:tcPr>
          <w:p w14:paraId="327169C4" w14:textId="77777777" w:rsidR="00924B1D" w:rsidRPr="00F6639B" w:rsidRDefault="00924B1D" w:rsidP="00924B1D">
            <w:pPr>
              <w:spacing w:line="240" w:lineRule="auto"/>
              <w:contextualSpacing/>
              <w:jc w:val="both"/>
              <w:rPr>
                <w:rFonts w:ascii="Times New Roman" w:hAnsi="Times New Roman" w:cs="Times New Roman"/>
              </w:rPr>
            </w:pPr>
            <w:r w:rsidRPr="00F6639B">
              <w:rPr>
                <w:rFonts w:ascii="Times New Roman" w:hAnsi="Times New Roman" w:cs="Times New Roman"/>
              </w:rPr>
              <w:t>Exposé des conditions de validité du devis, de révision et d’actualisation du prix, en particulier :</w:t>
            </w:r>
          </w:p>
          <w:p w14:paraId="43F36310" w14:textId="77777777" w:rsidR="00924B1D" w:rsidRPr="00F6639B" w:rsidRDefault="00924B1D" w:rsidP="00924B1D">
            <w:pPr>
              <w:spacing w:line="240" w:lineRule="auto"/>
              <w:contextualSpacing/>
              <w:jc w:val="both"/>
              <w:rPr>
                <w:rFonts w:ascii="Times New Roman" w:hAnsi="Times New Roman" w:cs="Times New Roman"/>
              </w:rPr>
            </w:pPr>
            <w:r w:rsidRPr="00F6639B">
              <w:rPr>
                <w:rFonts w:ascii="Times New Roman" w:hAnsi="Times New Roman" w:cs="Times New Roman"/>
              </w:rPr>
              <w:t>- Une mention des prestations prévues et de leurs limites (par exemple : aménagement des accès et/ou repérage de canalisations enfouies préalables aux forages, levés topographiques, fourniture d’eau et d’électricité, suppléments pour travail de week-end dans les sites en activité, etc.) ;</w:t>
            </w:r>
          </w:p>
          <w:p w14:paraId="6B2C3500" w14:textId="77777777" w:rsidR="00924B1D" w:rsidRPr="00F6639B" w:rsidRDefault="00924B1D" w:rsidP="00924B1D">
            <w:pPr>
              <w:spacing w:line="240" w:lineRule="auto"/>
              <w:contextualSpacing/>
              <w:jc w:val="both"/>
              <w:rPr>
                <w:rFonts w:ascii="Times New Roman" w:hAnsi="Times New Roman" w:cs="Times New Roman"/>
              </w:rPr>
            </w:pPr>
            <w:r w:rsidRPr="00F6639B">
              <w:rPr>
                <w:rFonts w:ascii="Times New Roman" w:hAnsi="Times New Roman" w:cs="Times New Roman"/>
              </w:rPr>
              <w:t>- Les conditions de paiement ;</w:t>
            </w:r>
          </w:p>
          <w:p w14:paraId="5A446500" w14:textId="19FA3930" w:rsidR="00924B1D" w:rsidRPr="00F6639B" w:rsidRDefault="00924B1D" w:rsidP="00924B1D">
            <w:pPr>
              <w:spacing w:line="259" w:lineRule="auto"/>
              <w:contextualSpacing/>
              <w:jc w:val="both"/>
              <w:rPr>
                <w:rFonts w:ascii="Times New Roman" w:hAnsi="Times New Roman" w:cs="Times New Roman"/>
              </w:rPr>
            </w:pPr>
            <w:r w:rsidRPr="00F6639B">
              <w:rPr>
                <w:rFonts w:ascii="Times New Roman" w:hAnsi="Times New Roman" w:cs="Times New Roman"/>
              </w:rPr>
              <w:t>- Le délai de validité de l’offre.</w:t>
            </w:r>
          </w:p>
        </w:tc>
        <w:tc>
          <w:tcPr>
            <w:tcW w:w="2500" w:type="pct"/>
            <w:shd w:val="clear" w:color="auto" w:fill="auto"/>
          </w:tcPr>
          <w:p w14:paraId="27F79BEC" w14:textId="77777777" w:rsidR="00924B1D" w:rsidRPr="00F6639B" w:rsidRDefault="00924B1D" w:rsidP="00924B1D">
            <w:pPr>
              <w:spacing w:line="240" w:lineRule="auto"/>
              <w:contextualSpacing/>
              <w:jc w:val="both"/>
              <w:rPr>
                <w:rFonts w:ascii="Times New Roman" w:hAnsi="Times New Roman" w:cs="Times New Roman"/>
              </w:rPr>
            </w:pPr>
            <w:r w:rsidRPr="00F6639B">
              <w:rPr>
                <w:rFonts w:ascii="Times New Roman" w:hAnsi="Times New Roman" w:cs="Times New Roman"/>
              </w:rPr>
              <w:t>Exposé des conditions de validité du devis, de révision et d’actualisation du prix, en particulier :</w:t>
            </w:r>
          </w:p>
          <w:p w14:paraId="612571AB" w14:textId="77777777" w:rsidR="00924B1D" w:rsidRPr="00F6639B" w:rsidRDefault="00924B1D" w:rsidP="00924B1D">
            <w:pPr>
              <w:spacing w:line="240" w:lineRule="auto"/>
              <w:contextualSpacing/>
              <w:jc w:val="both"/>
              <w:rPr>
                <w:rFonts w:ascii="Times New Roman" w:hAnsi="Times New Roman" w:cs="Times New Roman"/>
              </w:rPr>
            </w:pPr>
            <w:r w:rsidRPr="00F6639B">
              <w:rPr>
                <w:rFonts w:ascii="Times New Roman" w:hAnsi="Times New Roman" w:cs="Times New Roman"/>
              </w:rPr>
              <w:t>- Une mention des prestations prévues et de leurs limites (par exemple : aménagement des accès et/ou repérage de canalisations enfouies préalables aux forages, levés topographiques, fourniture d’eau et d’électricité, suppléments pour travail de week-end dans les sites en activité, etc.) ;</w:t>
            </w:r>
          </w:p>
          <w:p w14:paraId="74868B27" w14:textId="77777777" w:rsidR="00924B1D" w:rsidRPr="00F6639B" w:rsidRDefault="00924B1D" w:rsidP="00924B1D">
            <w:pPr>
              <w:spacing w:line="240" w:lineRule="auto"/>
              <w:contextualSpacing/>
              <w:jc w:val="both"/>
              <w:rPr>
                <w:rFonts w:ascii="Times New Roman" w:hAnsi="Times New Roman" w:cs="Times New Roman"/>
              </w:rPr>
            </w:pPr>
            <w:r w:rsidRPr="00F6639B">
              <w:rPr>
                <w:rFonts w:ascii="Times New Roman" w:hAnsi="Times New Roman" w:cs="Times New Roman"/>
              </w:rPr>
              <w:t>- Les conditions de paiement ;</w:t>
            </w:r>
          </w:p>
          <w:p w14:paraId="0CE39C60" w14:textId="689555CB" w:rsidR="00924B1D" w:rsidRPr="00F6639B" w:rsidRDefault="00924B1D" w:rsidP="00924B1D">
            <w:pPr>
              <w:spacing w:line="259" w:lineRule="auto"/>
              <w:contextualSpacing/>
              <w:jc w:val="both"/>
              <w:rPr>
                <w:rFonts w:ascii="Times New Roman" w:hAnsi="Times New Roman" w:cs="Times New Roman"/>
              </w:rPr>
            </w:pPr>
            <w:r w:rsidRPr="00F6639B">
              <w:rPr>
                <w:rFonts w:ascii="Times New Roman" w:hAnsi="Times New Roman" w:cs="Times New Roman"/>
              </w:rPr>
              <w:t>- Le délai de validité de l’offre.</w:t>
            </w:r>
          </w:p>
        </w:tc>
      </w:tr>
    </w:tbl>
    <w:p w14:paraId="4FDDFE7C" w14:textId="1278B411" w:rsidR="007510DC" w:rsidRPr="00F6639B" w:rsidRDefault="007510DC" w:rsidP="00897B6E">
      <w:pPr>
        <w:spacing w:line="259" w:lineRule="auto"/>
        <w:rPr>
          <w:rFonts w:ascii="Times New Roman" w:hAnsi="Times New Roman" w:cs="Times New Roman"/>
          <w:b/>
          <w:sz w:val="24"/>
          <w:szCs w:val="24"/>
        </w:rPr>
      </w:pPr>
    </w:p>
    <w:p w14:paraId="40725D76" w14:textId="77777777" w:rsidR="00ED40B8" w:rsidRPr="00F6639B" w:rsidRDefault="00ED40B8" w:rsidP="00ED40B8">
      <w:pPr>
        <w:spacing w:after="0" w:line="240" w:lineRule="auto"/>
        <w:rPr>
          <w:rFonts w:ascii="Times New Roman" w:hAnsi="Times New Roman" w:cs="Times New Roman"/>
          <w:lang w:eastAsia="fr-FR"/>
        </w:rPr>
      </w:pPr>
      <w:r w:rsidRPr="00F6639B">
        <w:rPr>
          <w:rFonts w:ascii="Times New Roman" w:hAnsi="Times New Roman" w:cs="Times New Roman"/>
          <w:lang w:eastAsia="fr-FR"/>
        </w:rPr>
        <w:t>Fait le</w:t>
      </w:r>
    </w:p>
    <w:p w14:paraId="7E7843C4" w14:textId="77777777" w:rsidR="00ED40B8" w:rsidRPr="00F6639B" w:rsidRDefault="00ED40B8" w:rsidP="00ED40B8">
      <w:pPr>
        <w:spacing w:after="0" w:line="240" w:lineRule="auto"/>
        <w:rPr>
          <w:rFonts w:ascii="Times New Roman" w:hAnsi="Times New Roman" w:cs="Times New Roman"/>
          <w:lang w:eastAsia="fr-FR"/>
        </w:rPr>
      </w:pPr>
    </w:p>
    <w:p w14:paraId="66CCB67A" w14:textId="77777777" w:rsidR="00ED40B8" w:rsidRPr="00F6639B" w:rsidRDefault="00ED40B8" w:rsidP="00ED40B8">
      <w:pPr>
        <w:spacing w:after="0" w:line="240" w:lineRule="auto"/>
        <w:rPr>
          <w:rFonts w:ascii="Times New Roman" w:hAnsi="Times New Roman" w:cs="Times New Roman"/>
          <w:lang w:eastAsia="fr-FR"/>
        </w:rPr>
      </w:pPr>
      <w:r w:rsidRPr="00F6639B">
        <w:rPr>
          <w:rFonts w:ascii="Times New Roman" w:hAnsi="Times New Roman" w:cs="Times New Roman"/>
          <w:lang w:eastAsia="fr-FR"/>
        </w:rPr>
        <w:t>Le ministre de l'économie, des finances et de la souveraineté industrielle et numérique</w:t>
      </w:r>
    </w:p>
    <w:p w14:paraId="56816553" w14:textId="77777777" w:rsidR="00ED40B8" w:rsidRPr="00F6639B" w:rsidRDefault="00ED40B8" w:rsidP="00ED40B8">
      <w:pPr>
        <w:spacing w:after="0" w:line="240" w:lineRule="auto"/>
        <w:rPr>
          <w:rFonts w:ascii="Times New Roman" w:hAnsi="Times New Roman" w:cs="Times New Roman"/>
          <w:lang w:eastAsia="fr-FR"/>
        </w:rPr>
      </w:pPr>
      <w:r w:rsidRPr="00F6639B">
        <w:rPr>
          <w:rFonts w:ascii="Times New Roman" w:hAnsi="Times New Roman" w:cs="Times New Roman"/>
          <w:lang w:eastAsia="fr-FR"/>
        </w:rPr>
        <w:t>Pour le ministre et par délégation :</w:t>
      </w:r>
    </w:p>
    <w:p w14:paraId="3D18F66C" w14:textId="77777777" w:rsidR="00ED40B8" w:rsidRPr="00F6639B" w:rsidRDefault="00ED40B8" w:rsidP="00ED40B8">
      <w:pPr>
        <w:spacing w:after="0" w:line="240" w:lineRule="auto"/>
        <w:rPr>
          <w:rFonts w:ascii="Times New Roman" w:hAnsi="Times New Roman" w:cs="Times New Roman"/>
          <w:lang w:eastAsia="fr-FR"/>
        </w:rPr>
      </w:pPr>
      <w:r w:rsidRPr="00F6639B">
        <w:rPr>
          <w:rFonts w:ascii="Times New Roman" w:hAnsi="Times New Roman" w:cs="Times New Roman"/>
          <w:lang w:eastAsia="fr-FR"/>
        </w:rPr>
        <w:t>Le directeur général des entreprises</w:t>
      </w:r>
    </w:p>
    <w:p w14:paraId="01B25BD7" w14:textId="77777777" w:rsidR="00ED40B8" w:rsidRPr="00F6639B" w:rsidRDefault="00ED40B8" w:rsidP="00ED40B8">
      <w:pPr>
        <w:spacing w:after="0" w:line="240" w:lineRule="auto"/>
        <w:rPr>
          <w:rFonts w:ascii="Times New Roman" w:hAnsi="Times New Roman" w:cs="Times New Roman"/>
          <w:lang w:eastAsia="fr-FR"/>
        </w:rPr>
      </w:pPr>
      <w:r w:rsidRPr="00F6639B">
        <w:rPr>
          <w:rFonts w:ascii="Times New Roman" w:hAnsi="Times New Roman" w:cs="Times New Roman"/>
          <w:lang w:eastAsia="fr-FR"/>
        </w:rPr>
        <w:t>T. Courbe</w:t>
      </w:r>
    </w:p>
    <w:p w14:paraId="3279E8F9" w14:textId="09B30056" w:rsidR="00ED40B8" w:rsidRPr="00F6639B" w:rsidRDefault="00ED40B8" w:rsidP="00ED40B8">
      <w:pPr>
        <w:spacing w:after="0" w:line="240" w:lineRule="auto"/>
        <w:jc w:val="center"/>
        <w:rPr>
          <w:rFonts w:ascii="Times New Roman" w:hAnsi="Times New Roman" w:cs="Times New Roman"/>
          <w:lang w:eastAsia="zh-CN"/>
        </w:rPr>
      </w:pPr>
    </w:p>
    <w:p w14:paraId="3320A4F5" w14:textId="066509F3" w:rsidR="009F5151" w:rsidRPr="00F6639B" w:rsidRDefault="009F5151" w:rsidP="00ED40B8">
      <w:pPr>
        <w:spacing w:after="0" w:line="240" w:lineRule="auto"/>
        <w:jc w:val="center"/>
        <w:rPr>
          <w:rFonts w:ascii="Times New Roman" w:hAnsi="Times New Roman" w:cs="Times New Roman"/>
          <w:lang w:eastAsia="zh-CN"/>
        </w:rPr>
      </w:pPr>
    </w:p>
    <w:p w14:paraId="6D3B5291" w14:textId="77777777" w:rsidR="009F5151" w:rsidRPr="00F6639B" w:rsidRDefault="009F5151" w:rsidP="00ED40B8">
      <w:pPr>
        <w:spacing w:after="0" w:line="240" w:lineRule="auto"/>
        <w:jc w:val="center"/>
        <w:rPr>
          <w:rFonts w:ascii="Times New Roman" w:hAnsi="Times New Roman" w:cs="Times New Roman"/>
          <w:lang w:eastAsia="zh-CN"/>
        </w:rPr>
      </w:pPr>
    </w:p>
    <w:p w14:paraId="7431E39E" w14:textId="38F60894" w:rsidR="009F5151" w:rsidRPr="00F6639B" w:rsidRDefault="009F5151" w:rsidP="00ED40B8">
      <w:pPr>
        <w:spacing w:after="0" w:line="240" w:lineRule="auto"/>
        <w:jc w:val="center"/>
        <w:rPr>
          <w:rFonts w:ascii="Times New Roman" w:hAnsi="Times New Roman" w:cs="Times New Roman"/>
          <w:lang w:eastAsia="zh-CN"/>
        </w:rPr>
      </w:pPr>
    </w:p>
    <w:p w14:paraId="51B3EA0F" w14:textId="77777777" w:rsidR="009F5151" w:rsidRPr="00F6639B" w:rsidRDefault="009F5151" w:rsidP="00ED40B8">
      <w:pPr>
        <w:spacing w:after="0" w:line="240" w:lineRule="auto"/>
        <w:jc w:val="center"/>
        <w:rPr>
          <w:rFonts w:ascii="Times New Roman" w:hAnsi="Times New Roman" w:cs="Times New Roman"/>
          <w:lang w:eastAsia="zh-CN"/>
        </w:rPr>
      </w:pPr>
    </w:p>
    <w:p w14:paraId="09EB7633" w14:textId="77777777" w:rsidR="00ED40B8" w:rsidRPr="00F6639B" w:rsidRDefault="00ED40B8" w:rsidP="00ED40B8">
      <w:pPr>
        <w:spacing w:after="0" w:line="240" w:lineRule="auto"/>
        <w:jc w:val="center"/>
        <w:rPr>
          <w:rFonts w:ascii="Times New Roman" w:hAnsi="Times New Roman" w:cs="Times New Roman"/>
        </w:rPr>
      </w:pPr>
    </w:p>
    <w:p w14:paraId="29222F90" w14:textId="77777777" w:rsidR="00ED40B8" w:rsidRPr="00F6639B" w:rsidRDefault="00ED40B8" w:rsidP="00ED40B8">
      <w:pPr>
        <w:spacing w:after="0" w:line="240" w:lineRule="auto"/>
        <w:jc w:val="right"/>
        <w:rPr>
          <w:rFonts w:ascii="Times New Roman" w:hAnsi="Times New Roman" w:cs="Times New Roman"/>
        </w:rPr>
      </w:pPr>
      <w:r w:rsidRPr="00F6639B">
        <w:rPr>
          <w:rFonts w:ascii="Times New Roman" w:hAnsi="Times New Roman" w:cs="Times New Roman"/>
        </w:rPr>
        <w:t>Le ministre de la transition écologique et de la cohésion des territoires</w:t>
      </w:r>
    </w:p>
    <w:p w14:paraId="1F876129" w14:textId="77777777" w:rsidR="00ED40B8" w:rsidRPr="00F6639B" w:rsidRDefault="00ED40B8" w:rsidP="00ED40B8">
      <w:pPr>
        <w:spacing w:after="0" w:line="240" w:lineRule="auto"/>
        <w:jc w:val="right"/>
        <w:rPr>
          <w:rFonts w:ascii="Times New Roman" w:hAnsi="Times New Roman" w:cs="Times New Roman"/>
        </w:rPr>
      </w:pPr>
      <w:r w:rsidRPr="00F6639B">
        <w:rPr>
          <w:rFonts w:ascii="Times New Roman" w:hAnsi="Times New Roman" w:cs="Times New Roman"/>
        </w:rPr>
        <w:t>Pour le ministre et par délégation :</w:t>
      </w:r>
    </w:p>
    <w:p w14:paraId="27A71E10" w14:textId="77777777" w:rsidR="00ED40B8" w:rsidRPr="00F6639B" w:rsidRDefault="00ED40B8" w:rsidP="00ED40B8">
      <w:pPr>
        <w:spacing w:after="0" w:line="240" w:lineRule="auto"/>
        <w:jc w:val="right"/>
        <w:rPr>
          <w:rFonts w:ascii="Times New Roman" w:hAnsi="Times New Roman" w:cs="Times New Roman"/>
        </w:rPr>
      </w:pPr>
      <w:r w:rsidRPr="00F6639B">
        <w:rPr>
          <w:rFonts w:ascii="Times New Roman" w:hAnsi="Times New Roman" w:cs="Times New Roman"/>
        </w:rPr>
        <w:t>Le directeur général de la prévention des risques</w:t>
      </w:r>
    </w:p>
    <w:p w14:paraId="5139202E" w14:textId="77777777" w:rsidR="00ED40B8" w:rsidRPr="00F6639B" w:rsidRDefault="00ED40B8" w:rsidP="00ED40B8">
      <w:pPr>
        <w:spacing w:after="0" w:line="240" w:lineRule="auto"/>
        <w:jc w:val="right"/>
        <w:rPr>
          <w:rFonts w:ascii="Times New Roman" w:hAnsi="Times New Roman" w:cs="Times New Roman"/>
        </w:rPr>
      </w:pPr>
      <w:r w:rsidRPr="00F6639B">
        <w:rPr>
          <w:rFonts w:ascii="Times New Roman" w:hAnsi="Times New Roman" w:cs="Times New Roman"/>
        </w:rPr>
        <w:t xml:space="preserve">C. </w:t>
      </w:r>
      <w:proofErr w:type="spellStart"/>
      <w:r w:rsidRPr="00F6639B">
        <w:rPr>
          <w:rFonts w:ascii="Times New Roman" w:hAnsi="Times New Roman" w:cs="Times New Roman"/>
        </w:rPr>
        <w:t>Bourillet</w:t>
      </w:r>
      <w:proofErr w:type="spellEnd"/>
    </w:p>
    <w:p w14:paraId="179472C9" w14:textId="7E27288C" w:rsidR="00ED40B8" w:rsidRPr="00F6639B" w:rsidRDefault="00ED40B8" w:rsidP="00ED40B8">
      <w:pPr>
        <w:spacing w:after="0" w:line="240" w:lineRule="auto"/>
        <w:jc w:val="right"/>
        <w:rPr>
          <w:rFonts w:ascii="Times New Roman" w:hAnsi="Times New Roman" w:cs="Times New Roman"/>
        </w:rPr>
      </w:pPr>
    </w:p>
    <w:p w14:paraId="3F4B80AA" w14:textId="4E93D2B2" w:rsidR="009F5151" w:rsidRPr="00F6639B" w:rsidRDefault="009F5151" w:rsidP="00ED40B8">
      <w:pPr>
        <w:spacing w:after="0" w:line="240" w:lineRule="auto"/>
        <w:jc w:val="right"/>
        <w:rPr>
          <w:rFonts w:ascii="Times New Roman" w:hAnsi="Times New Roman" w:cs="Times New Roman"/>
        </w:rPr>
      </w:pPr>
    </w:p>
    <w:p w14:paraId="1806E7CF" w14:textId="5BF7AE50" w:rsidR="009F5151" w:rsidRPr="00F6639B" w:rsidRDefault="009F5151" w:rsidP="00ED40B8">
      <w:pPr>
        <w:spacing w:after="0" w:line="240" w:lineRule="auto"/>
        <w:jc w:val="right"/>
        <w:rPr>
          <w:rFonts w:ascii="Times New Roman" w:hAnsi="Times New Roman" w:cs="Times New Roman"/>
        </w:rPr>
      </w:pPr>
    </w:p>
    <w:p w14:paraId="47E72328" w14:textId="093C852F" w:rsidR="009F5151" w:rsidRPr="00F6639B" w:rsidRDefault="009F5151" w:rsidP="00ED40B8">
      <w:pPr>
        <w:spacing w:after="0" w:line="240" w:lineRule="auto"/>
        <w:jc w:val="right"/>
        <w:rPr>
          <w:rFonts w:ascii="Times New Roman" w:hAnsi="Times New Roman" w:cs="Times New Roman"/>
        </w:rPr>
      </w:pPr>
    </w:p>
    <w:p w14:paraId="71CE12C5" w14:textId="77777777" w:rsidR="009F5151" w:rsidRPr="00F6639B" w:rsidRDefault="009F5151" w:rsidP="00ED40B8">
      <w:pPr>
        <w:spacing w:after="0" w:line="240" w:lineRule="auto"/>
        <w:jc w:val="right"/>
        <w:rPr>
          <w:rFonts w:ascii="Times New Roman" w:hAnsi="Times New Roman" w:cs="Times New Roman"/>
        </w:rPr>
      </w:pPr>
    </w:p>
    <w:p w14:paraId="350435FA" w14:textId="77777777" w:rsidR="00ED40B8" w:rsidRPr="00F6639B" w:rsidRDefault="00ED40B8" w:rsidP="00ED40B8">
      <w:pPr>
        <w:spacing w:after="0" w:line="240" w:lineRule="auto"/>
        <w:rPr>
          <w:rFonts w:ascii="Times New Roman" w:hAnsi="Times New Roman" w:cs="Times New Roman"/>
        </w:rPr>
      </w:pPr>
      <w:r w:rsidRPr="00F6639B">
        <w:rPr>
          <w:rFonts w:ascii="Times New Roman" w:hAnsi="Times New Roman" w:cs="Times New Roman"/>
        </w:rPr>
        <w:t>La ministre de la transition énergétique</w:t>
      </w:r>
    </w:p>
    <w:p w14:paraId="7D97910E" w14:textId="77777777" w:rsidR="00ED40B8" w:rsidRPr="00F6639B" w:rsidRDefault="00ED40B8" w:rsidP="00ED40B8">
      <w:pPr>
        <w:spacing w:after="0" w:line="240" w:lineRule="auto"/>
        <w:rPr>
          <w:rFonts w:ascii="Times New Roman" w:hAnsi="Times New Roman" w:cs="Times New Roman"/>
        </w:rPr>
      </w:pPr>
      <w:r w:rsidRPr="00F6639B">
        <w:rPr>
          <w:rFonts w:ascii="Times New Roman" w:hAnsi="Times New Roman" w:cs="Times New Roman"/>
        </w:rPr>
        <w:t>Pour la ministre et par délégation</w:t>
      </w:r>
    </w:p>
    <w:p w14:paraId="3AA4D31A" w14:textId="77777777" w:rsidR="00ED40B8" w:rsidRPr="00F6639B" w:rsidRDefault="00ED40B8" w:rsidP="00ED40B8">
      <w:pPr>
        <w:spacing w:after="0" w:line="240" w:lineRule="auto"/>
        <w:rPr>
          <w:rFonts w:ascii="Times New Roman" w:hAnsi="Times New Roman" w:cs="Times New Roman"/>
        </w:rPr>
      </w:pPr>
      <w:r w:rsidRPr="00F6639B">
        <w:rPr>
          <w:rFonts w:ascii="Times New Roman" w:hAnsi="Times New Roman" w:cs="Times New Roman"/>
        </w:rPr>
        <w:t>La directrice générale de l’énergie</w:t>
      </w:r>
    </w:p>
    <w:p w14:paraId="60436097" w14:textId="77777777" w:rsidR="00ED40B8" w:rsidRPr="00ED40B8" w:rsidRDefault="00ED40B8" w:rsidP="00ED40B8">
      <w:pPr>
        <w:spacing w:after="0" w:line="240" w:lineRule="auto"/>
        <w:rPr>
          <w:rFonts w:ascii="Times New Roman" w:hAnsi="Times New Roman" w:cs="Times New Roman"/>
        </w:rPr>
      </w:pPr>
      <w:r w:rsidRPr="00F6639B">
        <w:rPr>
          <w:rFonts w:ascii="Times New Roman" w:hAnsi="Times New Roman" w:cs="Times New Roman"/>
        </w:rPr>
        <w:t xml:space="preserve">S. </w:t>
      </w:r>
      <w:proofErr w:type="spellStart"/>
      <w:r w:rsidRPr="00F6639B">
        <w:rPr>
          <w:rFonts w:ascii="Times New Roman" w:hAnsi="Times New Roman" w:cs="Times New Roman"/>
        </w:rPr>
        <w:t>Mourlon</w:t>
      </w:r>
      <w:proofErr w:type="spellEnd"/>
    </w:p>
    <w:p w14:paraId="18357B8C" w14:textId="77777777" w:rsidR="006863B4" w:rsidRPr="00E041BE" w:rsidRDefault="006863B4" w:rsidP="00433868">
      <w:pPr>
        <w:spacing w:after="120" w:line="240" w:lineRule="auto"/>
        <w:jc w:val="both"/>
        <w:rPr>
          <w:rFonts w:ascii="Times New Roman" w:eastAsia="Times New Roman" w:hAnsi="Times New Roman" w:cs="Times New Roman"/>
          <w:sz w:val="24"/>
          <w:szCs w:val="24"/>
          <w:lang w:eastAsia="fr-FR"/>
        </w:rPr>
      </w:pPr>
    </w:p>
    <w:sectPr w:rsidR="006863B4" w:rsidRPr="00E041B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914550" w16cid:durableId="2FF530A6"/>
  <w16cid:commentId w16cid:paraId="525B6D15" w16cid:durableId="492E1C39"/>
  <w16cid:commentId w16cid:paraId="1C7E1314" w16cid:durableId="51177F29"/>
  <w16cid:commentId w16cid:paraId="46BC7416" w16cid:durableId="5F0E49EB"/>
  <w16cid:commentId w16cid:paraId="4F234FC4" w16cid:durableId="40B10DCE"/>
  <w16cid:commentId w16cid:paraId="2BB4883A" w16cid:durableId="7C9C8E42"/>
  <w16cid:commentId w16cid:paraId="4744DA1A" w16cid:durableId="031DA00E"/>
  <w16cid:commentId w16cid:paraId="00FD47F2" w16cid:durableId="28FE0FEA"/>
  <w16cid:commentId w16cid:paraId="13EAB5F7" w16cid:durableId="391AF3EF"/>
  <w16cid:commentId w16cid:paraId="53D33CD5" w16cid:durableId="67016385"/>
  <w16cid:commentId w16cid:paraId="348C74D8" w16cid:durableId="67C0411A"/>
  <w16cid:commentId w16cid:paraId="2B9E0644" w16cid:durableId="5405320A"/>
  <w16cid:commentId w16cid:paraId="46D1FB3E" w16cid:durableId="6E2949C4"/>
  <w16cid:commentId w16cid:paraId="3528CDFB" w16cid:durableId="7D740991"/>
  <w16cid:commentId w16cid:paraId="49E1E2AE" w16cid:durableId="46033D0B"/>
  <w16cid:commentId w16cid:paraId="19DCB2CF" w16cid:durableId="28FE0FF2"/>
  <w16cid:commentId w16cid:paraId="041E64A1" w16cid:durableId="6A663B02"/>
  <w16cid:commentId w16cid:paraId="0E963F97" w16cid:durableId="01314626"/>
  <w16cid:commentId w16cid:paraId="388AE82F" w16cid:durableId="4137B2CF"/>
  <w16cid:commentId w16cid:paraId="7AD25458" w16cid:durableId="28FE0FF6"/>
  <w16cid:commentId w16cid:paraId="6E8FE073" w16cid:durableId="27343E7A"/>
  <w16cid:commentId w16cid:paraId="326B2CB5" w16cid:durableId="28FE0FF8"/>
  <w16cid:commentId w16cid:paraId="753826BC" w16cid:durableId="28FE0FF9"/>
  <w16cid:commentId w16cid:paraId="1A4BC432" w16cid:durableId="28FE0FFA"/>
  <w16cid:commentId w16cid:paraId="13911AFA" w16cid:durableId="28FE0FFB"/>
  <w16cid:commentId w16cid:paraId="6B81770E" w16cid:durableId="363CAABE"/>
  <w16cid:commentId w16cid:paraId="441BF48F" w16cid:durableId="522809E0"/>
  <w16cid:commentId w16cid:paraId="0044C06B" w16cid:durableId="3E02E16E"/>
  <w16cid:commentId w16cid:paraId="6DB1F095" w16cid:durableId="4B4326A8"/>
  <w16cid:commentId w16cid:paraId="58C3229D" w16cid:durableId="2B313709"/>
  <w16cid:commentId w16cid:paraId="7C758B40" w16cid:durableId="33884936"/>
  <w16cid:commentId w16cid:paraId="309E8CC5" w16cid:durableId="28FE1002"/>
  <w16cid:commentId w16cid:paraId="467343E3" w16cid:durableId="516E8B6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273"/>
    <w:multiLevelType w:val="hybridMultilevel"/>
    <w:tmpl w:val="E020A99C"/>
    <w:lvl w:ilvl="0" w:tplc="4BA67362">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C6BC2"/>
    <w:multiLevelType w:val="hybridMultilevel"/>
    <w:tmpl w:val="8F66D43A"/>
    <w:lvl w:ilvl="0" w:tplc="71044A76">
      <w:start w:val="1"/>
      <w:numFmt w:val="bullet"/>
      <w:lvlText w:val="•"/>
      <w:lvlJc w:val="left"/>
      <w:pPr>
        <w:tabs>
          <w:tab w:val="num" w:pos="360"/>
        </w:tabs>
        <w:ind w:left="360" w:hanging="360"/>
      </w:pPr>
      <w:rPr>
        <w:rFonts w:ascii="Arial" w:hAnsi="Arial" w:hint="default"/>
      </w:rPr>
    </w:lvl>
    <w:lvl w:ilvl="1" w:tplc="27E87C12" w:tentative="1">
      <w:start w:val="1"/>
      <w:numFmt w:val="bullet"/>
      <w:lvlText w:val="•"/>
      <w:lvlJc w:val="left"/>
      <w:pPr>
        <w:tabs>
          <w:tab w:val="num" w:pos="1080"/>
        </w:tabs>
        <w:ind w:left="1080" w:hanging="360"/>
      </w:pPr>
      <w:rPr>
        <w:rFonts w:ascii="Arial" w:hAnsi="Arial" w:hint="default"/>
      </w:rPr>
    </w:lvl>
    <w:lvl w:ilvl="2" w:tplc="4BEE597E" w:tentative="1">
      <w:start w:val="1"/>
      <w:numFmt w:val="bullet"/>
      <w:lvlText w:val="•"/>
      <w:lvlJc w:val="left"/>
      <w:pPr>
        <w:tabs>
          <w:tab w:val="num" w:pos="1800"/>
        </w:tabs>
        <w:ind w:left="1800" w:hanging="360"/>
      </w:pPr>
      <w:rPr>
        <w:rFonts w:ascii="Arial" w:hAnsi="Arial" w:hint="default"/>
      </w:rPr>
    </w:lvl>
    <w:lvl w:ilvl="3" w:tplc="C44045C8" w:tentative="1">
      <w:start w:val="1"/>
      <w:numFmt w:val="bullet"/>
      <w:lvlText w:val="•"/>
      <w:lvlJc w:val="left"/>
      <w:pPr>
        <w:tabs>
          <w:tab w:val="num" w:pos="2520"/>
        </w:tabs>
        <w:ind w:left="2520" w:hanging="360"/>
      </w:pPr>
      <w:rPr>
        <w:rFonts w:ascii="Arial" w:hAnsi="Arial" w:hint="default"/>
      </w:rPr>
    </w:lvl>
    <w:lvl w:ilvl="4" w:tplc="72EAE844" w:tentative="1">
      <w:start w:val="1"/>
      <w:numFmt w:val="bullet"/>
      <w:lvlText w:val="•"/>
      <w:lvlJc w:val="left"/>
      <w:pPr>
        <w:tabs>
          <w:tab w:val="num" w:pos="3240"/>
        </w:tabs>
        <w:ind w:left="3240" w:hanging="360"/>
      </w:pPr>
      <w:rPr>
        <w:rFonts w:ascii="Arial" w:hAnsi="Arial" w:hint="default"/>
      </w:rPr>
    </w:lvl>
    <w:lvl w:ilvl="5" w:tplc="1C7C269A" w:tentative="1">
      <w:start w:val="1"/>
      <w:numFmt w:val="bullet"/>
      <w:lvlText w:val="•"/>
      <w:lvlJc w:val="left"/>
      <w:pPr>
        <w:tabs>
          <w:tab w:val="num" w:pos="3960"/>
        </w:tabs>
        <w:ind w:left="3960" w:hanging="360"/>
      </w:pPr>
      <w:rPr>
        <w:rFonts w:ascii="Arial" w:hAnsi="Arial" w:hint="default"/>
      </w:rPr>
    </w:lvl>
    <w:lvl w:ilvl="6" w:tplc="5ED46068" w:tentative="1">
      <w:start w:val="1"/>
      <w:numFmt w:val="bullet"/>
      <w:lvlText w:val="•"/>
      <w:lvlJc w:val="left"/>
      <w:pPr>
        <w:tabs>
          <w:tab w:val="num" w:pos="4680"/>
        </w:tabs>
        <w:ind w:left="4680" w:hanging="360"/>
      </w:pPr>
      <w:rPr>
        <w:rFonts w:ascii="Arial" w:hAnsi="Arial" w:hint="default"/>
      </w:rPr>
    </w:lvl>
    <w:lvl w:ilvl="7" w:tplc="E8FC9DB8" w:tentative="1">
      <w:start w:val="1"/>
      <w:numFmt w:val="bullet"/>
      <w:lvlText w:val="•"/>
      <w:lvlJc w:val="left"/>
      <w:pPr>
        <w:tabs>
          <w:tab w:val="num" w:pos="5400"/>
        </w:tabs>
        <w:ind w:left="5400" w:hanging="360"/>
      </w:pPr>
      <w:rPr>
        <w:rFonts w:ascii="Arial" w:hAnsi="Arial" w:hint="default"/>
      </w:rPr>
    </w:lvl>
    <w:lvl w:ilvl="8" w:tplc="3DE83CA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31855BC"/>
    <w:multiLevelType w:val="hybridMultilevel"/>
    <w:tmpl w:val="C2828FB8"/>
    <w:lvl w:ilvl="0" w:tplc="C6ECFC22">
      <w:start w:val="1"/>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4962A8D"/>
    <w:multiLevelType w:val="hybridMultilevel"/>
    <w:tmpl w:val="3BAA4504"/>
    <w:lvl w:ilvl="0" w:tplc="FBD232BA">
      <w:start w:val="4"/>
      <w:numFmt w:val="bullet"/>
      <w:lvlText w:val="-"/>
      <w:lvlJc w:val="left"/>
      <w:pPr>
        <w:tabs>
          <w:tab w:val="num" w:pos="360"/>
        </w:tabs>
        <w:ind w:left="360" w:hanging="360"/>
      </w:pPr>
      <w:rPr>
        <w:rFonts w:ascii="Times New Roman" w:eastAsia="Times New Roman" w:hAnsi="Times New Roman" w:cs="Times New Roman" w:hint="default"/>
        <w:color w:val="auto"/>
      </w:rPr>
    </w:lvl>
    <w:lvl w:ilvl="1" w:tplc="8BBE6590" w:tentative="1">
      <w:start w:val="1"/>
      <w:numFmt w:val="bullet"/>
      <w:lvlText w:val="•"/>
      <w:lvlJc w:val="left"/>
      <w:pPr>
        <w:tabs>
          <w:tab w:val="num" w:pos="1080"/>
        </w:tabs>
        <w:ind w:left="1080" w:hanging="360"/>
      </w:pPr>
      <w:rPr>
        <w:rFonts w:ascii="Arial" w:hAnsi="Arial" w:hint="default"/>
      </w:rPr>
    </w:lvl>
    <w:lvl w:ilvl="2" w:tplc="C792B76E" w:tentative="1">
      <w:start w:val="1"/>
      <w:numFmt w:val="bullet"/>
      <w:lvlText w:val="•"/>
      <w:lvlJc w:val="left"/>
      <w:pPr>
        <w:tabs>
          <w:tab w:val="num" w:pos="1800"/>
        </w:tabs>
        <w:ind w:left="1800" w:hanging="360"/>
      </w:pPr>
      <w:rPr>
        <w:rFonts w:ascii="Arial" w:hAnsi="Arial" w:hint="default"/>
      </w:rPr>
    </w:lvl>
    <w:lvl w:ilvl="3" w:tplc="AED8476C" w:tentative="1">
      <w:start w:val="1"/>
      <w:numFmt w:val="bullet"/>
      <w:lvlText w:val="•"/>
      <w:lvlJc w:val="left"/>
      <w:pPr>
        <w:tabs>
          <w:tab w:val="num" w:pos="2520"/>
        </w:tabs>
        <w:ind w:left="2520" w:hanging="360"/>
      </w:pPr>
      <w:rPr>
        <w:rFonts w:ascii="Arial" w:hAnsi="Arial" w:hint="default"/>
      </w:rPr>
    </w:lvl>
    <w:lvl w:ilvl="4" w:tplc="48E4A046" w:tentative="1">
      <w:start w:val="1"/>
      <w:numFmt w:val="bullet"/>
      <w:lvlText w:val="•"/>
      <w:lvlJc w:val="left"/>
      <w:pPr>
        <w:tabs>
          <w:tab w:val="num" w:pos="3240"/>
        </w:tabs>
        <w:ind w:left="3240" w:hanging="360"/>
      </w:pPr>
      <w:rPr>
        <w:rFonts w:ascii="Arial" w:hAnsi="Arial" w:hint="default"/>
      </w:rPr>
    </w:lvl>
    <w:lvl w:ilvl="5" w:tplc="0FB6F7A8" w:tentative="1">
      <w:start w:val="1"/>
      <w:numFmt w:val="bullet"/>
      <w:lvlText w:val="•"/>
      <w:lvlJc w:val="left"/>
      <w:pPr>
        <w:tabs>
          <w:tab w:val="num" w:pos="3960"/>
        </w:tabs>
        <w:ind w:left="3960" w:hanging="360"/>
      </w:pPr>
      <w:rPr>
        <w:rFonts w:ascii="Arial" w:hAnsi="Arial" w:hint="default"/>
      </w:rPr>
    </w:lvl>
    <w:lvl w:ilvl="6" w:tplc="843ECA3A" w:tentative="1">
      <w:start w:val="1"/>
      <w:numFmt w:val="bullet"/>
      <w:lvlText w:val="•"/>
      <w:lvlJc w:val="left"/>
      <w:pPr>
        <w:tabs>
          <w:tab w:val="num" w:pos="4680"/>
        </w:tabs>
        <w:ind w:left="4680" w:hanging="360"/>
      </w:pPr>
      <w:rPr>
        <w:rFonts w:ascii="Arial" w:hAnsi="Arial" w:hint="default"/>
      </w:rPr>
    </w:lvl>
    <w:lvl w:ilvl="7" w:tplc="906AA468" w:tentative="1">
      <w:start w:val="1"/>
      <w:numFmt w:val="bullet"/>
      <w:lvlText w:val="•"/>
      <w:lvlJc w:val="left"/>
      <w:pPr>
        <w:tabs>
          <w:tab w:val="num" w:pos="5400"/>
        </w:tabs>
        <w:ind w:left="5400" w:hanging="360"/>
      </w:pPr>
      <w:rPr>
        <w:rFonts w:ascii="Arial" w:hAnsi="Arial" w:hint="default"/>
      </w:rPr>
    </w:lvl>
    <w:lvl w:ilvl="8" w:tplc="AFC48BD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4B12434"/>
    <w:multiLevelType w:val="hybridMultilevel"/>
    <w:tmpl w:val="30626A3C"/>
    <w:lvl w:ilvl="0" w:tplc="430A3E7A">
      <w:start w:val="2"/>
      <w:numFmt w:val="bullet"/>
      <w:lvlText w:val="-"/>
      <w:lvlJc w:val="left"/>
      <w:pPr>
        <w:ind w:left="360" w:hanging="360"/>
      </w:pPr>
      <w:rPr>
        <w:rFonts w:ascii="Arial" w:eastAsiaTheme="minorHAnsi" w:hAnsi="Arial" w:cs="Aria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57E54C9"/>
    <w:multiLevelType w:val="hybridMultilevel"/>
    <w:tmpl w:val="D4E61C7C"/>
    <w:lvl w:ilvl="0" w:tplc="A2FE8A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3608D9"/>
    <w:multiLevelType w:val="hybridMultilevel"/>
    <w:tmpl w:val="53D6BB12"/>
    <w:lvl w:ilvl="0" w:tplc="FBD232BA">
      <w:start w:val="4"/>
      <w:numFmt w:val="bullet"/>
      <w:lvlText w:val="-"/>
      <w:lvlJc w:val="left"/>
      <w:pPr>
        <w:ind w:left="360" w:hanging="360"/>
      </w:pPr>
      <w:rPr>
        <w:rFonts w:ascii="Times New Roman" w:eastAsia="Times New Roman" w:hAnsi="Times New Roman" w:cs="Times New Roman" w:hint="default"/>
        <w:color w:val="auto"/>
      </w:rPr>
    </w:lvl>
    <w:lvl w:ilvl="1" w:tplc="FBD232BA">
      <w:start w:val="4"/>
      <w:numFmt w:val="bullet"/>
      <w:lvlText w:val="-"/>
      <w:lvlJc w:val="left"/>
      <w:pPr>
        <w:ind w:left="1080" w:hanging="360"/>
      </w:pPr>
      <w:rPr>
        <w:rFonts w:ascii="Times New Roman" w:eastAsia="Times New Roman" w:hAnsi="Times New Roman" w:cs="Times New Roman"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06A6452A"/>
    <w:multiLevelType w:val="hybridMultilevel"/>
    <w:tmpl w:val="262A92AE"/>
    <w:lvl w:ilvl="0" w:tplc="C6ECFC22">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7B72729"/>
    <w:multiLevelType w:val="multilevel"/>
    <w:tmpl w:val="17BC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2324B3"/>
    <w:multiLevelType w:val="hybridMultilevel"/>
    <w:tmpl w:val="300CB2CA"/>
    <w:lvl w:ilvl="0" w:tplc="FBD232BA">
      <w:start w:val="4"/>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D3701B"/>
    <w:multiLevelType w:val="hybridMultilevel"/>
    <w:tmpl w:val="3D3EEF1C"/>
    <w:lvl w:ilvl="0" w:tplc="C9486378">
      <w:start w:val="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83022CF"/>
    <w:multiLevelType w:val="hybridMultilevel"/>
    <w:tmpl w:val="2FE836DC"/>
    <w:lvl w:ilvl="0" w:tplc="430A3E7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7D1F2A"/>
    <w:multiLevelType w:val="hybridMultilevel"/>
    <w:tmpl w:val="8FA8C9DE"/>
    <w:lvl w:ilvl="0" w:tplc="FBD232BA">
      <w:start w:val="4"/>
      <w:numFmt w:val="bullet"/>
      <w:lvlText w:val="-"/>
      <w:lvlJc w:val="left"/>
      <w:pPr>
        <w:ind w:left="360" w:hanging="360"/>
      </w:pPr>
      <w:rPr>
        <w:rFonts w:ascii="Times New Roman" w:eastAsia="Times New Roman" w:hAnsi="Times New Roman"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8A10BF2"/>
    <w:multiLevelType w:val="hybridMultilevel"/>
    <w:tmpl w:val="8F0C4E48"/>
    <w:lvl w:ilvl="0" w:tplc="C9486378">
      <w:start w:val="6"/>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4" w15:restartNumberingAfterBreak="0">
    <w:nsid w:val="19CF401A"/>
    <w:multiLevelType w:val="hybridMultilevel"/>
    <w:tmpl w:val="BCC20DAA"/>
    <w:lvl w:ilvl="0" w:tplc="FBD232BA">
      <w:start w:val="4"/>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A0F5997"/>
    <w:multiLevelType w:val="hybridMultilevel"/>
    <w:tmpl w:val="6A9678D2"/>
    <w:lvl w:ilvl="0" w:tplc="FBD232BA">
      <w:start w:val="4"/>
      <w:numFmt w:val="bullet"/>
      <w:lvlText w:val="-"/>
      <w:lvlJc w:val="left"/>
      <w:pPr>
        <w:ind w:left="720" w:hanging="720"/>
      </w:pPr>
      <w:rPr>
        <w:rFonts w:ascii="Times New Roman" w:eastAsia="Times New Roman" w:hAnsi="Times New Roman" w:cs="Times New Roman" w:hint="default"/>
        <w:color w:val="auto"/>
      </w:rPr>
    </w:lvl>
    <w:lvl w:ilvl="1" w:tplc="37F882E8">
      <w:numFmt w:val="bullet"/>
      <w:lvlText w:val="‒"/>
      <w:lvlJc w:val="left"/>
      <w:pPr>
        <w:ind w:left="1080" w:hanging="360"/>
      </w:pPr>
      <w:rPr>
        <w:rFonts w:ascii="Calibri" w:eastAsiaTheme="minorHAnsi" w:hAnsi="Calibr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1CE52A35"/>
    <w:multiLevelType w:val="hybridMultilevel"/>
    <w:tmpl w:val="703C4B9A"/>
    <w:lvl w:ilvl="0" w:tplc="9CA29B3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334AEC"/>
    <w:multiLevelType w:val="hybridMultilevel"/>
    <w:tmpl w:val="1C5C5496"/>
    <w:lvl w:ilvl="0" w:tplc="C6ECFC22">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1EED256E"/>
    <w:multiLevelType w:val="hybridMultilevel"/>
    <w:tmpl w:val="2F7863C6"/>
    <w:lvl w:ilvl="0" w:tplc="A2FE8A58">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2CA5D20"/>
    <w:multiLevelType w:val="hybridMultilevel"/>
    <w:tmpl w:val="A2820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6BD486F"/>
    <w:multiLevelType w:val="hybridMultilevel"/>
    <w:tmpl w:val="036A446E"/>
    <w:lvl w:ilvl="0" w:tplc="430A3E7A">
      <w:start w:val="2"/>
      <w:numFmt w:val="bullet"/>
      <w:lvlText w:val="-"/>
      <w:lvlJc w:val="left"/>
      <w:pPr>
        <w:tabs>
          <w:tab w:val="num" w:pos="360"/>
        </w:tabs>
        <w:ind w:left="360" w:hanging="360"/>
      </w:pPr>
      <w:rPr>
        <w:rFonts w:ascii="Arial" w:eastAsiaTheme="minorHAnsi" w:hAnsi="Arial" w:cs="Arial" w:hint="default"/>
      </w:rPr>
    </w:lvl>
    <w:lvl w:ilvl="1" w:tplc="8BBE6590" w:tentative="1">
      <w:start w:val="1"/>
      <w:numFmt w:val="bullet"/>
      <w:lvlText w:val="•"/>
      <w:lvlJc w:val="left"/>
      <w:pPr>
        <w:tabs>
          <w:tab w:val="num" w:pos="1080"/>
        </w:tabs>
        <w:ind w:left="1080" w:hanging="360"/>
      </w:pPr>
      <w:rPr>
        <w:rFonts w:ascii="Arial" w:hAnsi="Arial" w:hint="default"/>
      </w:rPr>
    </w:lvl>
    <w:lvl w:ilvl="2" w:tplc="C792B76E" w:tentative="1">
      <w:start w:val="1"/>
      <w:numFmt w:val="bullet"/>
      <w:lvlText w:val="•"/>
      <w:lvlJc w:val="left"/>
      <w:pPr>
        <w:tabs>
          <w:tab w:val="num" w:pos="1800"/>
        </w:tabs>
        <w:ind w:left="1800" w:hanging="360"/>
      </w:pPr>
      <w:rPr>
        <w:rFonts w:ascii="Arial" w:hAnsi="Arial" w:hint="default"/>
      </w:rPr>
    </w:lvl>
    <w:lvl w:ilvl="3" w:tplc="AED8476C" w:tentative="1">
      <w:start w:val="1"/>
      <w:numFmt w:val="bullet"/>
      <w:lvlText w:val="•"/>
      <w:lvlJc w:val="left"/>
      <w:pPr>
        <w:tabs>
          <w:tab w:val="num" w:pos="2520"/>
        </w:tabs>
        <w:ind w:left="2520" w:hanging="360"/>
      </w:pPr>
      <w:rPr>
        <w:rFonts w:ascii="Arial" w:hAnsi="Arial" w:hint="default"/>
      </w:rPr>
    </w:lvl>
    <w:lvl w:ilvl="4" w:tplc="48E4A046" w:tentative="1">
      <w:start w:val="1"/>
      <w:numFmt w:val="bullet"/>
      <w:lvlText w:val="•"/>
      <w:lvlJc w:val="left"/>
      <w:pPr>
        <w:tabs>
          <w:tab w:val="num" w:pos="3240"/>
        </w:tabs>
        <w:ind w:left="3240" w:hanging="360"/>
      </w:pPr>
      <w:rPr>
        <w:rFonts w:ascii="Arial" w:hAnsi="Arial" w:hint="default"/>
      </w:rPr>
    </w:lvl>
    <w:lvl w:ilvl="5" w:tplc="0FB6F7A8" w:tentative="1">
      <w:start w:val="1"/>
      <w:numFmt w:val="bullet"/>
      <w:lvlText w:val="•"/>
      <w:lvlJc w:val="left"/>
      <w:pPr>
        <w:tabs>
          <w:tab w:val="num" w:pos="3960"/>
        </w:tabs>
        <w:ind w:left="3960" w:hanging="360"/>
      </w:pPr>
      <w:rPr>
        <w:rFonts w:ascii="Arial" w:hAnsi="Arial" w:hint="default"/>
      </w:rPr>
    </w:lvl>
    <w:lvl w:ilvl="6" w:tplc="843ECA3A" w:tentative="1">
      <w:start w:val="1"/>
      <w:numFmt w:val="bullet"/>
      <w:lvlText w:val="•"/>
      <w:lvlJc w:val="left"/>
      <w:pPr>
        <w:tabs>
          <w:tab w:val="num" w:pos="4680"/>
        </w:tabs>
        <w:ind w:left="4680" w:hanging="360"/>
      </w:pPr>
      <w:rPr>
        <w:rFonts w:ascii="Arial" w:hAnsi="Arial" w:hint="default"/>
      </w:rPr>
    </w:lvl>
    <w:lvl w:ilvl="7" w:tplc="906AA468" w:tentative="1">
      <w:start w:val="1"/>
      <w:numFmt w:val="bullet"/>
      <w:lvlText w:val="•"/>
      <w:lvlJc w:val="left"/>
      <w:pPr>
        <w:tabs>
          <w:tab w:val="num" w:pos="5400"/>
        </w:tabs>
        <w:ind w:left="5400" w:hanging="360"/>
      </w:pPr>
      <w:rPr>
        <w:rFonts w:ascii="Arial" w:hAnsi="Arial" w:hint="default"/>
      </w:rPr>
    </w:lvl>
    <w:lvl w:ilvl="8" w:tplc="AFC48BDA"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289E6C24"/>
    <w:multiLevelType w:val="hybridMultilevel"/>
    <w:tmpl w:val="F274EE44"/>
    <w:lvl w:ilvl="0" w:tplc="C9486378">
      <w:start w:val="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29F85197"/>
    <w:multiLevelType w:val="hybridMultilevel"/>
    <w:tmpl w:val="A7BC4D0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2AC75E45"/>
    <w:multiLevelType w:val="hybridMultilevel"/>
    <w:tmpl w:val="983EF36A"/>
    <w:lvl w:ilvl="0" w:tplc="C6ECFC22">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2B7845E8"/>
    <w:multiLevelType w:val="hybridMultilevel"/>
    <w:tmpl w:val="441084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06D0093"/>
    <w:multiLevelType w:val="hybridMultilevel"/>
    <w:tmpl w:val="4822C1AA"/>
    <w:lvl w:ilvl="0" w:tplc="C6ECFC2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18D2A0D"/>
    <w:multiLevelType w:val="hybridMultilevel"/>
    <w:tmpl w:val="EE0CF6AA"/>
    <w:lvl w:ilvl="0" w:tplc="37F882E8">
      <w:numFmt w:val="bullet"/>
      <w:lvlText w:val="‒"/>
      <w:lvlJc w:val="left"/>
      <w:pPr>
        <w:ind w:left="360" w:hanging="360"/>
      </w:pPr>
      <w:rPr>
        <w:rFonts w:ascii="Calibri" w:eastAsiaTheme="minorHAnsi" w:hAnsi="Calibri" w:hint="default"/>
      </w:rPr>
    </w:lvl>
    <w:lvl w:ilvl="1" w:tplc="FBD232BA">
      <w:start w:val="4"/>
      <w:numFmt w:val="bullet"/>
      <w:lvlText w:val="-"/>
      <w:lvlJc w:val="left"/>
      <w:pPr>
        <w:ind w:left="1080" w:hanging="360"/>
      </w:pPr>
      <w:rPr>
        <w:rFonts w:ascii="Times New Roman" w:eastAsia="Times New Roman" w:hAnsi="Times New Roman" w:cs="Times New Roman"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34D215BC"/>
    <w:multiLevelType w:val="hybridMultilevel"/>
    <w:tmpl w:val="147EA06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36C260F6"/>
    <w:multiLevelType w:val="hybridMultilevel"/>
    <w:tmpl w:val="27149D18"/>
    <w:lvl w:ilvl="0" w:tplc="FBD232BA">
      <w:start w:val="4"/>
      <w:numFmt w:val="bullet"/>
      <w:lvlText w:val="-"/>
      <w:lvlJc w:val="left"/>
      <w:pPr>
        <w:ind w:left="360" w:hanging="360"/>
      </w:pPr>
      <w:rPr>
        <w:rFonts w:ascii="Times New Roman" w:eastAsia="Times New Roman" w:hAnsi="Times New Roman"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36D54D58"/>
    <w:multiLevelType w:val="hybridMultilevel"/>
    <w:tmpl w:val="B8D8BE44"/>
    <w:lvl w:ilvl="0" w:tplc="CB562EE6">
      <w:start w:val="1"/>
      <w:numFmt w:val="bullet"/>
      <w:lvlText w:val="-"/>
      <w:lvlJc w:val="left"/>
      <w:pPr>
        <w:tabs>
          <w:tab w:val="num" w:pos="360"/>
        </w:tabs>
        <w:ind w:left="360" w:hanging="360"/>
      </w:pPr>
      <w:rPr>
        <w:rFonts w:ascii="Times New Roman" w:hAnsi="Times New Roman" w:hint="default"/>
      </w:rPr>
    </w:lvl>
    <w:lvl w:ilvl="1" w:tplc="93664E9E">
      <w:start w:val="1"/>
      <w:numFmt w:val="bullet"/>
      <w:lvlText w:val="-"/>
      <w:lvlJc w:val="left"/>
      <w:pPr>
        <w:tabs>
          <w:tab w:val="num" w:pos="1080"/>
        </w:tabs>
        <w:ind w:left="1080" w:hanging="360"/>
      </w:pPr>
      <w:rPr>
        <w:rFonts w:ascii="Times New Roman" w:hAnsi="Times New Roman" w:hint="default"/>
      </w:rPr>
    </w:lvl>
    <w:lvl w:ilvl="2" w:tplc="82CE798C" w:tentative="1">
      <w:start w:val="1"/>
      <w:numFmt w:val="bullet"/>
      <w:lvlText w:val="-"/>
      <w:lvlJc w:val="left"/>
      <w:pPr>
        <w:tabs>
          <w:tab w:val="num" w:pos="1800"/>
        </w:tabs>
        <w:ind w:left="1800" w:hanging="360"/>
      </w:pPr>
      <w:rPr>
        <w:rFonts w:ascii="Times New Roman" w:hAnsi="Times New Roman" w:hint="default"/>
      </w:rPr>
    </w:lvl>
    <w:lvl w:ilvl="3" w:tplc="5714FAE6" w:tentative="1">
      <w:start w:val="1"/>
      <w:numFmt w:val="bullet"/>
      <w:lvlText w:val="-"/>
      <w:lvlJc w:val="left"/>
      <w:pPr>
        <w:tabs>
          <w:tab w:val="num" w:pos="2520"/>
        </w:tabs>
        <w:ind w:left="2520" w:hanging="360"/>
      </w:pPr>
      <w:rPr>
        <w:rFonts w:ascii="Times New Roman" w:hAnsi="Times New Roman" w:hint="default"/>
      </w:rPr>
    </w:lvl>
    <w:lvl w:ilvl="4" w:tplc="D2000B7C" w:tentative="1">
      <w:start w:val="1"/>
      <w:numFmt w:val="bullet"/>
      <w:lvlText w:val="-"/>
      <w:lvlJc w:val="left"/>
      <w:pPr>
        <w:tabs>
          <w:tab w:val="num" w:pos="3240"/>
        </w:tabs>
        <w:ind w:left="3240" w:hanging="360"/>
      </w:pPr>
      <w:rPr>
        <w:rFonts w:ascii="Times New Roman" w:hAnsi="Times New Roman" w:hint="default"/>
      </w:rPr>
    </w:lvl>
    <w:lvl w:ilvl="5" w:tplc="15DE3C82" w:tentative="1">
      <w:start w:val="1"/>
      <w:numFmt w:val="bullet"/>
      <w:lvlText w:val="-"/>
      <w:lvlJc w:val="left"/>
      <w:pPr>
        <w:tabs>
          <w:tab w:val="num" w:pos="3960"/>
        </w:tabs>
        <w:ind w:left="3960" w:hanging="360"/>
      </w:pPr>
      <w:rPr>
        <w:rFonts w:ascii="Times New Roman" w:hAnsi="Times New Roman" w:hint="default"/>
      </w:rPr>
    </w:lvl>
    <w:lvl w:ilvl="6" w:tplc="D5E08A18" w:tentative="1">
      <w:start w:val="1"/>
      <w:numFmt w:val="bullet"/>
      <w:lvlText w:val="-"/>
      <w:lvlJc w:val="left"/>
      <w:pPr>
        <w:tabs>
          <w:tab w:val="num" w:pos="4680"/>
        </w:tabs>
        <w:ind w:left="4680" w:hanging="360"/>
      </w:pPr>
      <w:rPr>
        <w:rFonts w:ascii="Times New Roman" w:hAnsi="Times New Roman" w:hint="default"/>
      </w:rPr>
    </w:lvl>
    <w:lvl w:ilvl="7" w:tplc="593A5EEC" w:tentative="1">
      <w:start w:val="1"/>
      <w:numFmt w:val="bullet"/>
      <w:lvlText w:val="-"/>
      <w:lvlJc w:val="left"/>
      <w:pPr>
        <w:tabs>
          <w:tab w:val="num" w:pos="5400"/>
        </w:tabs>
        <w:ind w:left="5400" w:hanging="360"/>
      </w:pPr>
      <w:rPr>
        <w:rFonts w:ascii="Times New Roman" w:hAnsi="Times New Roman" w:hint="default"/>
      </w:rPr>
    </w:lvl>
    <w:lvl w:ilvl="8" w:tplc="EA24E410" w:tentative="1">
      <w:start w:val="1"/>
      <w:numFmt w:val="bullet"/>
      <w:lvlText w:val="-"/>
      <w:lvlJc w:val="left"/>
      <w:pPr>
        <w:tabs>
          <w:tab w:val="num" w:pos="6120"/>
        </w:tabs>
        <w:ind w:left="6120" w:hanging="360"/>
      </w:pPr>
      <w:rPr>
        <w:rFonts w:ascii="Times New Roman" w:hAnsi="Times New Roman" w:hint="default"/>
      </w:rPr>
    </w:lvl>
  </w:abstractNum>
  <w:abstractNum w:abstractNumId="30" w15:restartNumberingAfterBreak="0">
    <w:nsid w:val="37A90F7A"/>
    <w:multiLevelType w:val="hybridMultilevel"/>
    <w:tmpl w:val="DC600B4C"/>
    <w:lvl w:ilvl="0" w:tplc="CB562EE6">
      <w:start w:val="1"/>
      <w:numFmt w:val="bullet"/>
      <w:lvlText w:val="-"/>
      <w:lvlJc w:val="left"/>
      <w:pPr>
        <w:tabs>
          <w:tab w:val="num" w:pos="360"/>
        </w:tabs>
        <w:ind w:left="360" w:hanging="360"/>
      </w:pPr>
      <w:rPr>
        <w:rFonts w:ascii="Times New Roman" w:hAnsi="Times New Roman" w:hint="default"/>
      </w:rPr>
    </w:lvl>
    <w:lvl w:ilvl="1" w:tplc="040C0001">
      <w:start w:val="1"/>
      <w:numFmt w:val="bullet"/>
      <w:lvlText w:val=""/>
      <w:lvlJc w:val="left"/>
      <w:pPr>
        <w:tabs>
          <w:tab w:val="num" w:pos="1080"/>
        </w:tabs>
        <w:ind w:left="1080" w:hanging="360"/>
      </w:pPr>
      <w:rPr>
        <w:rFonts w:ascii="Symbol" w:hAnsi="Symbol" w:hint="default"/>
      </w:rPr>
    </w:lvl>
    <w:lvl w:ilvl="2" w:tplc="82CE798C" w:tentative="1">
      <w:start w:val="1"/>
      <w:numFmt w:val="bullet"/>
      <w:lvlText w:val="-"/>
      <w:lvlJc w:val="left"/>
      <w:pPr>
        <w:tabs>
          <w:tab w:val="num" w:pos="1800"/>
        </w:tabs>
        <w:ind w:left="1800" w:hanging="360"/>
      </w:pPr>
      <w:rPr>
        <w:rFonts w:ascii="Times New Roman" w:hAnsi="Times New Roman" w:hint="default"/>
      </w:rPr>
    </w:lvl>
    <w:lvl w:ilvl="3" w:tplc="5714FAE6" w:tentative="1">
      <w:start w:val="1"/>
      <w:numFmt w:val="bullet"/>
      <w:lvlText w:val="-"/>
      <w:lvlJc w:val="left"/>
      <w:pPr>
        <w:tabs>
          <w:tab w:val="num" w:pos="2520"/>
        </w:tabs>
        <w:ind w:left="2520" w:hanging="360"/>
      </w:pPr>
      <w:rPr>
        <w:rFonts w:ascii="Times New Roman" w:hAnsi="Times New Roman" w:hint="default"/>
      </w:rPr>
    </w:lvl>
    <w:lvl w:ilvl="4" w:tplc="D2000B7C" w:tentative="1">
      <w:start w:val="1"/>
      <w:numFmt w:val="bullet"/>
      <w:lvlText w:val="-"/>
      <w:lvlJc w:val="left"/>
      <w:pPr>
        <w:tabs>
          <w:tab w:val="num" w:pos="3240"/>
        </w:tabs>
        <w:ind w:left="3240" w:hanging="360"/>
      </w:pPr>
      <w:rPr>
        <w:rFonts w:ascii="Times New Roman" w:hAnsi="Times New Roman" w:hint="default"/>
      </w:rPr>
    </w:lvl>
    <w:lvl w:ilvl="5" w:tplc="15DE3C82" w:tentative="1">
      <w:start w:val="1"/>
      <w:numFmt w:val="bullet"/>
      <w:lvlText w:val="-"/>
      <w:lvlJc w:val="left"/>
      <w:pPr>
        <w:tabs>
          <w:tab w:val="num" w:pos="3960"/>
        </w:tabs>
        <w:ind w:left="3960" w:hanging="360"/>
      </w:pPr>
      <w:rPr>
        <w:rFonts w:ascii="Times New Roman" w:hAnsi="Times New Roman" w:hint="default"/>
      </w:rPr>
    </w:lvl>
    <w:lvl w:ilvl="6" w:tplc="D5E08A18" w:tentative="1">
      <w:start w:val="1"/>
      <w:numFmt w:val="bullet"/>
      <w:lvlText w:val="-"/>
      <w:lvlJc w:val="left"/>
      <w:pPr>
        <w:tabs>
          <w:tab w:val="num" w:pos="4680"/>
        </w:tabs>
        <w:ind w:left="4680" w:hanging="360"/>
      </w:pPr>
      <w:rPr>
        <w:rFonts w:ascii="Times New Roman" w:hAnsi="Times New Roman" w:hint="default"/>
      </w:rPr>
    </w:lvl>
    <w:lvl w:ilvl="7" w:tplc="593A5EEC" w:tentative="1">
      <w:start w:val="1"/>
      <w:numFmt w:val="bullet"/>
      <w:lvlText w:val="-"/>
      <w:lvlJc w:val="left"/>
      <w:pPr>
        <w:tabs>
          <w:tab w:val="num" w:pos="5400"/>
        </w:tabs>
        <w:ind w:left="5400" w:hanging="360"/>
      </w:pPr>
      <w:rPr>
        <w:rFonts w:ascii="Times New Roman" w:hAnsi="Times New Roman" w:hint="default"/>
      </w:rPr>
    </w:lvl>
    <w:lvl w:ilvl="8" w:tplc="EA24E410" w:tentative="1">
      <w:start w:val="1"/>
      <w:numFmt w:val="bullet"/>
      <w:lvlText w:val="-"/>
      <w:lvlJc w:val="left"/>
      <w:pPr>
        <w:tabs>
          <w:tab w:val="num" w:pos="6120"/>
        </w:tabs>
        <w:ind w:left="6120" w:hanging="360"/>
      </w:pPr>
      <w:rPr>
        <w:rFonts w:ascii="Times New Roman" w:hAnsi="Times New Roman" w:hint="default"/>
      </w:rPr>
    </w:lvl>
  </w:abstractNum>
  <w:abstractNum w:abstractNumId="31" w15:restartNumberingAfterBreak="0">
    <w:nsid w:val="387777B4"/>
    <w:multiLevelType w:val="hybridMultilevel"/>
    <w:tmpl w:val="1188F0A8"/>
    <w:lvl w:ilvl="0" w:tplc="C6ECFC22">
      <w:start w:val="1"/>
      <w:numFmt w:val="bullet"/>
      <w:lvlText w:val="-"/>
      <w:lvlJc w:val="left"/>
      <w:pPr>
        <w:ind w:left="360" w:hanging="360"/>
      </w:pPr>
      <w:rPr>
        <w:rFonts w:ascii="Calibri" w:eastAsiaTheme="minorHAnsi" w:hAnsi="Calibri" w:cs="Calibri" w:hint="default"/>
      </w:rPr>
    </w:lvl>
    <w:lvl w:ilvl="1" w:tplc="A2FE8A58">
      <w:start w:val="1"/>
      <w:numFmt w:val="bullet"/>
      <w:lvlText w:val="•"/>
      <w:lvlJc w:val="left"/>
      <w:pPr>
        <w:ind w:left="1080" w:hanging="360"/>
      </w:pPr>
      <w:rPr>
        <w:rFonts w:ascii="Arial" w:hAnsi="Arial"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39F527C3"/>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B19742C"/>
    <w:multiLevelType w:val="hybridMultilevel"/>
    <w:tmpl w:val="17706B22"/>
    <w:lvl w:ilvl="0" w:tplc="94F876A0">
      <w:start w:val="1"/>
      <w:numFmt w:val="bullet"/>
      <w:lvlText w:val="-"/>
      <w:lvlJc w:val="left"/>
      <w:pPr>
        <w:tabs>
          <w:tab w:val="num" w:pos="360"/>
        </w:tabs>
        <w:ind w:left="360" w:hanging="360"/>
      </w:pPr>
      <w:rPr>
        <w:rFonts w:ascii="Times New Roman" w:hAnsi="Times New Roman" w:hint="default"/>
      </w:rPr>
    </w:lvl>
    <w:lvl w:ilvl="1" w:tplc="7D1E88C2" w:tentative="1">
      <w:start w:val="1"/>
      <w:numFmt w:val="bullet"/>
      <w:lvlText w:val="-"/>
      <w:lvlJc w:val="left"/>
      <w:pPr>
        <w:tabs>
          <w:tab w:val="num" w:pos="1080"/>
        </w:tabs>
        <w:ind w:left="1080" w:hanging="360"/>
      </w:pPr>
      <w:rPr>
        <w:rFonts w:ascii="Times New Roman" w:hAnsi="Times New Roman" w:hint="default"/>
      </w:rPr>
    </w:lvl>
    <w:lvl w:ilvl="2" w:tplc="14FA2120" w:tentative="1">
      <w:start w:val="1"/>
      <w:numFmt w:val="bullet"/>
      <w:lvlText w:val="-"/>
      <w:lvlJc w:val="left"/>
      <w:pPr>
        <w:tabs>
          <w:tab w:val="num" w:pos="1800"/>
        </w:tabs>
        <w:ind w:left="1800" w:hanging="360"/>
      </w:pPr>
      <w:rPr>
        <w:rFonts w:ascii="Times New Roman" w:hAnsi="Times New Roman" w:hint="default"/>
      </w:rPr>
    </w:lvl>
    <w:lvl w:ilvl="3" w:tplc="1C7874EA" w:tentative="1">
      <w:start w:val="1"/>
      <w:numFmt w:val="bullet"/>
      <w:lvlText w:val="-"/>
      <w:lvlJc w:val="left"/>
      <w:pPr>
        <w:tabs>
          <w:tab w:val="num" w:pos="2520"/>
        </w:tabs>
        <w:ind w:left="2520" w:hanging="360"/>
      </w:pPr>
      <w:rPr>
        <w:rFonts w:ascii="Times New Roman" w:hAnsi="Times New Roman" w:hint="default"/>
      </w:rPr>
    </w:lvl>
    <w:lvl w:ilvl="4" w:tplc="993C359C" w:tentative="1">
      <w:start w:val="1"/>
      <w:numFmt w:val="bullet"/>
      <w:lvlText w:val="-"/>
      <w:lvlJc w:val="left"/>
      <w:pPr>
        <w:tabs>
          <w:tab w:val="num" w:pos="3240"/>
        </w:tabs>
        <w:ind w:left="3240" w:hanging="360"/>
      </w:pPr>
      <w:rPr>
        <w:rFonts w:ascii="Times New Roman" w:hAnsi="Times New Roman" w:hint="default"/>
      </w:rPr>
    </w:lvl>
    <w:lvl w:ilvl="5" w:tplc="25B63118" w:tentative="1">
      <w:start w:val="1"/>
      <w:numFmt w:val="bullet"/>
      <w:lvlText w:val="-"/>
      <w:lvlJc w:val="left"/>
      <w:pPr>
        <w:tabs>
          <w:tab w:val="num" w:pos="3960"/>
        </w:tabs>
        <w:ind w:left="3960" w:hanging="360"/>
      </w:pPr>
      <w:rPr>
        <w:rFonts w:ascii="Times New Roman" w:hAnsi="Times New Roman" w:hint="default"/>
      </w:rPr>
    </w:lvl>
    <w:lvl w:ilvl="6" w:tplc="BCEE998C" w:tentative="1">
      <w:start w:val="1"/>
      <w:numFmt w:val="bullet"/>
      <w:lvlText w:val="-"/>
      <w:lvlJc w:val="left"/>
      <w:pPr>
        <w:tabs>
          <w:tab w:val="num" w:pos="4680"/>
        </w:tabs>
        <w:ind w:left="4680" w:hanging="360"/>
      </w:pPr>
      <w:rPr>
        <w:rFonts w:ascii="Times New Roman" w:hAnsi="Times New Roman" w:hint="default"/>
      </w:rPr>
    </w:lvl>
    <w:lvl w:ilvl="7" w:tplc="140EDDB4" w:tentative="1">
      <w:start w:val="1"/>
      <w:numFmt w:val="bullet"/>
      <w:lvlText w:val="-"/>
      <w:lvlJc w:val="left"/>
      <w:pPr>
        <w:tabs>
          <w:tab w:val="num" w:pos="5400"/>
        </w:tabs>
        <w:ind w:left="5400" w:hanging="360"/>
      </w:pPr>
      <w:rPr>
        <w:rFonts w:ascii="Times New Roman" w:hAnsi="Times New Roman" w:hint="default"/>
      </w:rPr>
    </w:lvl>
    <w:lvl w:ilvl="8" w:tplc="D9540C56" w:tentative="1">
      <w:start w:val="1"/>
      <w:numFmt w:val="bullet"/>
      <w:lvlText w:val="-"/>
      <w:lvlJc w:val="left"/>
      <w:pPr>
        <w:tabs>
          <w:tab w:val="num" w:pos="6120"/>
        </w:tabs>
        <w:ind w:left="6120" w:hanging="360"/>
      </w:pPr>
      <w:rPr>
        <w:rFonts w:ascii="Times New Roman" w:hAnsi="Times New Roman" w:hint="default"/>
      </w:rPr>
    </w:lvl>
  </w:abstractNum>
  <w:abstractNum w:abstractNumId="34" w15:restartNumberingAfterBreak="0">
    <w:nsid w:val="3D8E3B2D"/>
    <w:multiLevelType w:val="hybridMultilevel"/>
    <w:tmpl w:val="AD6A6958"/>
    <w:lvl w:ilvl="0" w:tplc="18CE19E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E342436"/>
    <w:multiLevelType w:val="hybridMultilevel"/>
    <w:tmpl w:val="EDA8F786"/>
    <w:lvl w:ilvl="0" w:tplc="C9486378">
      <w:start w:val="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3FBE1A73"/>
    <w:multiLevelType w:val="hybridMultilevel"/>
    <w:tmpl w:val="ED682CA2"/>
    <w:lvl w:ilvl="0" w:tplc="C6ECFC22">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43B66249"/>
    <w:multiLevelType w:val="hybridMultilevel"/>
    <w:tmpl w:val="B9F816B4"/>
    <w:lvl w:ilvl="0" w:tplc="A2FE8A58">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8093CD0"/>
    <w:multiLevelType w:val="hybridMultilevel"/>
    <w:tmpl w:val="3800D6F0"/>
    <w:lvl w:ilvl="0" w:tplc="C6ECFC22">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49464477"/>
    <w:multiLevelType w:val="hybridMultilevel"/>
    <w:tmpl w:val="D2941652"/>
    <w:lvl w:ilvl="0" w:tplc="C6ECFC22">
      <w:start w:val="1"/>
      <w:numFmt w:val="bullet"/>
      <w:lvlText w:val="-"/>
      <w:lvlJc w:val="left"/>
      <w:pPr>
        <w:ind w:left="360" w:hanging="360"/>
      </w:pPr>
      <w:rPr>
        <w:rFonts w:ascii="Calibri" w:eastAsiaTheme="minorHAnsi" w:hAnsi="Calibri" w:cs="Calibri" w:hint="default"/>
      </w:rPr>
    </w:lvl>
    <w:lvl w:ilvl="1" w:tplc="9D1E2F62">
      <w:numFmt w:val="bullet"/>
      <w:lvlText w:val="—"/>
      <w:lvlJc w:val="left"/>
      <w:pPr>
        <w:ind w:left="1080" w:hanging="360"/>
      </w:pPr>
      <w:rPr>
        <w:rFonts w:ascii="Calibri" w:eastAsiaTheme="minorHAnsi" w:hAnsi="Calibri" w:cs="Calibri"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4C465849"/>
    <w:multiLevelType w:val="hybridMultilevel"/>
    <w:tmpl w:val="489E3EA8"/>
    <w:lvl w:ilvl="0" w:tplc="430A3E7A">
      <w:start w:val="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4CB052F5"/>
    <w:multiLevelType w:val="hybridMultilevel"/>
    <w:tmpl w:val="96608AFA"/>
    <w:lvl w:ilvl="0" w:tplc="C6ECFC22">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15:restartNumberingAfterBreak="0">
    <w:nsid w:val="4E6E29DE"/>
    <w:multiLevelType w:val="hybridMultilevel"/>
    <w:tmpl w:val="AC9EDF30"/>
    <w:lvl w:ilvl="0" w:tplc="C6ECFC22">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FAF23F1"/>
    <w:multiLevelType w:val="hybridMultilevel"/>
    <w:tmpl w:val="29BA3018"/>
    <w:lvl w:ilvl="0" w:tplc="C6ECFC22">
      <w:start w:val="1"/>
      <w:numFmt w:val="bullet"/>
      <w:lvlText w:val="-"/>
      <w:lvlJc w:val="left"/>
      <w:pPr>
        <w:ind w:left="360" w:hanging="360"/>
      </w:pPr>
      <w:rPr>
        <w:rFonts w:ascii="Calibri" w:eastAsiaTheme="minorHAnsi" w:hAnsi="Calibri" w:cs="Calibri" w:hint="default"/>
      </w:rPr>
    </w:lvl>
    <w:lvl w:ilvl="1" w:tplc="A2FE8A58">
      <w:start w:val="1"/>
      <w:numFmt w:val="bullet"/>
      <w:lvlText w:val="•"/>
      <w:lvlJc w:val="left"/>
      <w:pPr>
        <w:ind w:left="1080" w:hanging="360"/>
      </w:pPr>
      <w:rPr>
        <w:rFonts w:ascii="Arial" w:hAnsi="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15:restartNumberingAfterBreak="0">
    <w:nsid w:val="50087944"/>
    <w:multiLevelType w:val="hybridMultilevel"/>
    <w:tmpl w:val="E4C6083C"/>
    <w:lvl w:ilvl="0" w:tplc="430A3E7A">
      <w:start w:val="2"/>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15:restartNumberingAfterBreak="0">
    <w:nsid w:val="52217965"/>
    <w:multiLevelType w:val="hybridMultilevel"/>
    <w:tmpl w:val="DC9A86EE"/>
    <w:lvl w:ilvl="0" w:tplc="FBD232BA">
      <w:start w:val="4"/>
      <w:numFmt w:val="bullet"/>
      <w:lvlText w:val="-"/>
      <w:lvlJc w:val="left"/>
      <w:pPr>
        <w:ind w:left="720" w:hanging="720"/>
      </w:pPr>
      <w:rPr>
        <w:rFonts w:ascii="Times New Roman" w:eastAsia="Times New Roman" w:hAnsi="Times New Roman" w:cs="Times New Roman" w:hint="default"/>
        <w:color w:val="auto"/>
      </w:rPr>
    </w:lvl>
    <w:lvl w:ilvl="1" w:tplc="37F882E8">
      <w:numFmt w:val="bullet"/>
      <w:lvlText w:val="‒"/>
      <w:lvlJc w:val="left"/>
      <w:pPr>
        <w:ind w:left="1080" w:hanging="360"/>
      </w:pPr>
      <w:rPr>
        <w:rFonts w:ascii="Calibri" w:eastAsiaTheme="minorHAnsi" w:hAnsi="Calibri"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6" w15:restartNumberingAfterBreak="0">
    <w:nsid w:val="56EE1E79"/>
    <w:multiLevelType w:val="hybridMultilevel"/>
    <w:tmpl w:val="7C787C76"/>
    <w:lvl w:ilvl="0" w:tplc="FBD232BA">
      <w:start w:val="4"/>
      <w:numFmt w:val="bullet"/>
      <w:lvlText w:val="-"/>
      <w:lvlJc w:val="left"/>
      <w:pPr>
        <w:tabs>
          <w:tab w:val="num" w:pos="360"/>
        </w:tabs>
        <w:ind w:left="360" w:hanging="360"/>
      </w:pPr>
      <w:rPr>
        <w:rFonts w:ascii="Times New Roman" w:eastAsia="Times New Roman" w:hAnsi="Times New Roman" w:cs="Times New Roman" w:hint="default"/>
        <w:color w:val="auto"/>
      </w:rPr>
    </w:lvl>
    <w:lvl w:ilvl="1" w:tplc="27E87C12" w:tentative="1">
      <w:start w:val="1"/>
      <w:numFmt w:val="bullet"/>
      <w:lvlText w:val="•"/>
      <w:lvlJc w:val="left"/>
      <w:pPr>
        <w:tabs>
          <w:tab w:val="num" w:pos="1080"/>
        </w:tabs>
        <w:ind w:left="1080" w:hanging="360"/>
      </w:pPr>
      <w:rPr>
        <w:rFonts w:ascii="Arial" w:hAnsi="Arial" w:hint="default"/>
      </w:rPr>
    </w:lvl>
    <w:lvl w:ilvl="2" w:tplc="4BEE597E" w:tentative="1">
      <w:start w:val="1"/>
      <w:numFmt w:val="bullet"/>
      <w:lvlText w:val="•"/>
      <w:lvlJc w:val="left"/>
      <w:pPr>
        <w:tabs>
          <w:tab w:val="num" w:pos="1800"/>
        </w:tabs>
        <w:ind w:left="1800" w:hanging="360"/>
      </w:pPr>
      <w:rPr>
        <w:rFonts w:ascii="Arial" w:hAnsi="Arial" w:hint="default"/>
      </w:rPr>
    </w:lvl>
    <w:lvl w:ilvl="3" w:tplc="C44045C8" w:tentative="1">
      <w:start w:val="1"/>
      <w:numFmt w:val="bullet"/>
      <w:lvlText w:val="•"/>
      <w:lvlJc w:val="left"/>
      <w:pPr>
        <w:tabs>
          <w:tab w:val="num" w:pos="2520"/>
        </w:tabs>
        <w:ind w:left="2520" w:hanging="360"/>
      </w:pPr>
      <w:rPr>
        <w:rFonts w:ascii="Arial" w:hAnsi="Arial" w:hint="default"/>
      </w:rPr>
    </w:lvl>
    <w:lvl w:ilvl="4" w:tplc="72EAE844" w:tentative="1">
      <w:start w:val="1"/>
      <w:numFmt w:val="bullet"/>
      <w:lvlText w:val="•"/>
      <w:lvlJc w:val="left"/>
      <w:pPr>
        <w:tabs>
          <w:tab w:val="num" w:pos="3240"/>
        </w:tabs>
        <w:ind w:left="3240" w:hanging="360"/>
      </w:pPr>
      <w:rPr>
        <w:rFonts w:ascii="Arial" w:hAnsi="Arial" w:hint="default"/>
      </w:rPr>
    </w:lvl>
    <w:lvl w:ilvl="5" w:tplc="1C7C269A" w:tentative="1">
      <w:start w:val="1"/>
      <w:numFmt w:val="bullet"/>
      <w:lvlText w:val="•"/>
      <w:lvlJc w:val="left"/>
      <w:pPr>
        <w:tabs>
          <w:tab w:val="num" w:pos="3960"/>
        </w:tabs>
        <w:ind w:left="3960" w:hanging="360"/>
      </w:pPr>
      <w:rPr>
        <w:rFonts w:ascii="Arial" w:hAnsi="Arial" w:hint="default"/>
      </w:rPr>
    </w:lvl>
    <w:lvl w:ilvl="6" w:tplc="5ED46068" w:tentative="1">
      <w:start w:val="1"/>
      <w:numFmt w:val="bullet"/>
      <w:lvlText w:val="•"/>
      <w:lvlJc w:val="left"/>
      <w:pPr>
        <w:tabs>
          <w:tab w:val="num" w:pos="4680"/>
        </w:tabs>
        <w:ind w:left="4680" w:hanging="360"/>
      </w:pPr>
      <w:rPr>
        <w:rFonts w:ascii="Arial" w:hAnsi="Arial" w:hint="default"/>
      </w:rPr>
    </w:lvl>
    <w:lvl w:ilvl="7" w:tplc="E8FC9DB8" w:tentative="1">
      <w:start w:val="1"/>
      <w:numFmt w:val="bullet"/>
      <w:lvlText w:val="•"/>
      <w:lvlJc w:val="left"/>
      <w:pPr>
        <w:tabs>
          <w:tab w:val="num" w:pos="5400"/>
        </w:tabs>
        <w:ind w:left="5400" w:hanging="360"/>
      </w:pPr>
      <w:rPr>
        <w:rFonts w:ascii="Arial" w:hAnsi="Arial" w:hint="default"/>
      </w:rPr>
    </w:lvl>
    <w:lvl w:ilvl="8" w:tplc="3DE83CAC" w:tentative="1">
      <w:start w:val="1"/>
      <w:numFmt w:val="bullet"/>
      <w:lvlText w:val="•"/>
      <w:lvlJc w:val="left"/>
      <w:pPr>
        <w:tabs>
          <w:tab w:val="num" w:pos="6120"/>
        </w:tabs>
        <w:ind w:left="6120" w:hanging="360"/>
      </w:pPr>
      <w:rPr>
        <w:rFonts w:ascii="Arial" w:hAnsi="Arial" w:hint="default"/>
      </w:rPr>
    </w:lvl>
  </w:abstractNum>
  <w:abstractNum w:abstractNumId="47" w15:restartNumberingAfterBreak="0">
    <w:nsid w:val="577D0C15"/>
    <w:multiLevelType w:val="hybridMultilevel"/>
    <w:tmpl w:val="596E35BA"/>
    <w:lvl w:ilvl="0" w:tplc="7D688310">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15:restartNumberingAfterBreak="0">
    <w:nsid w:val="5F88364C"/>
    <w:multiLevelType w:val="hybridMultilevel"/>
    <w:tmpl w:val="BF4EC292"/>
    <w:lvl w:ilvl="0" w:tplc="37F882E8">
      <w:numFmt w:val="bullet"/>
      <w:lvlText w:val="‒"/>
      <w:lvlJc w:val="left"/>
      <w:pPr>
        <w:ind w:left="360" w:hanging="360"/>
      </w:pPr>
      <w:rPr>
        <w:rFonts w:ascii="Calibri" w:eastAsiaTheme="minorHAnsi" w:hAnsi="Calibri" w:hint="default"/>
      </w:rPr>
    </w:lvl>
    <w:lvl w:ilvl="1" w:tplc="FBD232BA">
      <w:start w:val="4"/>
      <w:numFmt w:val="bullet"/>
      <w:lvlText w:val="-"/>
      <w:lvlJc w:val="left"/>
      <w:pPr>
        <w:ind w:left="1080" w:hanging="360"/>
      </w:pPr>
      <w:rPr>
        <w:rFonts w:ascii="Times New Roman" w:eastAsia="Times New Roman" w:hAnsi="Times New Roman" w:cs="Times New Roman" w:hint="default"/>
        <w:color w:val="auto"/>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636E50E3"/>
    <w:multiLevelType w:val="hybridMultilevel"/>
    <w:tmpl w:val="D374AEC8"/>
    <w:lvl w:ilvl="0" w:tplc="C6ECFC22">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81A783A"/>
    <w:multiLevelType w:val="hybridMultilevel"/>
    <w:tmpl w:val="517215B2"/>
    <w:lvl w:ilvl="0" w:tplc="7D688310">
      <w:start w:val="1"/>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15:restartNumberingAfterBreak="0">
    <w:nsid w:val="6A115B4E"/>
    <w:multiLevelType w:val="hybridMultilevel"/>
    <w:tmpl w:val="0FCA35DC"/>
    <w:lvl w:ilvl="0" w:tplc="A2FE8A58">
      <w:start w:val="1"/>
      <w:numFmt w:val="bullet"/>
      <w:lvlText w:val="•"/>
      <w:lvlJc w:val="left"/>
      <w:pPr>
        <w:ind w:left="36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C041A72"/>
    <w:multiLevelType w:val="hybridMultilevel"/>
    <w:tmpl w:val="7A48C28E"/>
    <w:lvl w:ilvl="0" w:tplc="458697A2">
      <w:start w:val="1"/>
      <w:numFmt w:val="bullet"/>
      <w:lvlText w:val="•"/>
      <w:lvlJc w:val="left"/>
      <w:pPr>
        <w:tabs>
          <w:tab w:val="num" w:pos="360"/>
        </w:tabs>
        <w:ind w:left="360" w:hanging="360"/>
      </w:pPr>
      <w:rPr>
        <w:rFonts w:ascii="Arial" w:hAnsi="Arial" w:hint="default"/>
      </w:rPr>
    </w:lvl>
    <w:lvl w:ilvl="1" w:tplc="8BBE6590" w:tentative="1">
      <w:start w:val="1"/>
      <w:numFmt w:val="bullet"/>
      <w:lvlText w:val="•"/>
      <w:lvlJc w:val="left"/>
      <w:pPr>
        <w:tabs>
          <w:tab w:val="num" w:pos="1080"/>
        </w:tabs>
        <w:ind w:left="1080" w:hanging="360"/>
      </w:pPr>
      <w:rPr>
        <w:rFonts w:ascii="Arial" w:hAnsi="Arial" w:hint="default"/>
      </w:rPr>
    </w:lvl>
    <w:lvl w:ilvl="2" w:tplc="C792B76E" w:tentative="1">
      <w:start w:val="1"/>
      <w:numFmt w:val="bullet"/>
      <w:lvlText w:val="•"/>
      <w:lvlJc w:val="left"/>
      <w:pPr>
        <w:tabs>
          <w:tab w:val="num" w:pos="1800"/>
        </w:tabs>
        <w:ind w:left="1800" w:hanging="360"/>
      </w:pPr>
      <w:rPr>
        <w:rFonts w:ascii="Arial" w:hAnsi="Arial" w:hint="default"/>
      </w:rPr>
    </w:lvl>
    <w:lvl w:ilvl="3" w:tplc="AED8476C" w:tentative="1">
      <w:start w:val="1"/>
      <w:numFmt w:val="bullet"/>
      <w:lvlText w:val="•"/>
      <w:lvlJc w:val="left"/>
      <w:pPr>
        <w:tabs>
          <w:tab w:val="num" w:pos="2520"/>
        </w:tabs>
        <w:ind w:left="2520" w:hanging="360"/>
      </w:pPr>
      <w:rPr>
        <w:rFonts w:ascii="Arial" w:hAnsi="Arial" w:hint="default"/>
      </w:rPr>
    </w:lvl>
    <w:lvl w:ilvl="4" w:tplc="48E4A046" w:tentative="1">
      <w:start w:val="1"/>
      <w:numFmt w:val="bullet"/>
      <w:lvlText w:val="•"/>
      <w:lvlJc w:val="left"/>
      <w:pPr>
        <w:tabs>
          <w:tab w:val="num" w:pos="3240"/>
        </w:tabs>
        <w:ind w:left="3240" w:hanging="360"/>
      </w:pPr>
      <w:rPr>
        <w:rFonts w:ascii="Arial" w:hAnsi="Arial" w:hint="default"/>
      </w:rPr>
    </w:lvl>
    <w:lvl w:ilvl="5" w:tplc="0FB6F7A8" w:tentative="1">
      <w:start w:val="1"/>
      <w:numFmt w:val="bullet"/>
      <w:lvlText w:val="•"/>
      <w:lvlJc w:val="left"/>
      <w:pPr>
        <w:tabs>
          <w:tab w:val="num" w:pos="3960"/>
        </w:tabs>
        <w:ind w:left="3960" w:hanging="360"/>
      </w:pPr>
      <w:rPr>
        <w:rFonts w:ascii="Arial" w:hAnsi="Arial" w:hint="default"/>
      </w:rPr>
    </w:lvl>
    <w:lvl w:ilvl="6" w:tplc="843ECA3A" w:tentative="1">
      <w:start w:val="1"/>
      <w:numFmt w:val="bullet"/>
      <w:lvlText w:val="•"/>
      <w:lvlJc w:val="left"/>
      <w:pPr>
        <w:tabs>
          <w:tab w:val="num" w:pos="4680"/>
        </w:tabs>
        <w:ind w:left="4680" w:hanging="360"/>
      </w:pPr>
      <w:rPr>
        <w:rFonts w:ascii="Arial" w:hAnsi="Arial" w:hint="default"/>
      </w:rPr>
    </w:lvl>
    <w:lvl w:ilvl="7" w:tplc="906AA468" w:tentative="1">
      <w:start w:val="1"/>
      <w:numFmt w:val="bullet"/>
      <w:lvlText w:val="•"/>
      <w:lvlJc w:val="left"/>
      <w:pPr>
        <w:tabs>
          <w:tab w:val="num" w:pos="5400"/>
        </w:tabs>
        <w:ind w:left="5400" w:hanging="360"/>
      </w:pPr>
      <w:rPr>
        <w:rFonts w:ascii="Arial" w:hAnsi="Arial" w:hint="default"/>
      </w:rPr>
    </w:lvl>
    <w:lvl w:ilvl="8" w:tplc="AFC48BDA" w:tentative="1">
      <w:start w:val="1"/>
      <w:numFmt w:val="bullet"/>
      <w:lvlText w:val="•"/>
      <w:lvlJc w:val="left"/>
      <w:pPr>
        <w:tabs>
          <w:tab w:val="num" w:pos="6120"/>
        </w:tabs>
        <w:ind w:left="6120" w:hanging="360"/>
      </w:pPr>
      <w:rPr>
        <w:rFonts w:ascii="Arial" w:hAnsi="Arial" w:hint="default"/>
      </w:rPr>
    </w:lvl>
  </w:abstractNum>
  <w:abstractNum w:abstractNumId="53" w15:restartNumberingAfterBreak="0">
    <w:nsid w:val="6C0C5CBA"/>
    <w:multiLevelType w:val="hybridMultilevel"/>
    <w:tmpl w:val="F74240D8"/>
    <w:lvl w:ilvl="0" w:tplc="430A3E7A">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FA8544A"/>
    <w:multiLevelType w:val="hybridMultilevel"/>
    <w:tmpl w:val="DCB80188"/>
    <w:lvl w:ilvl="0" w:tplc="C6ECFC22">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714E07A5"/>
    <w:multiLevelType w:val="hybridMultilevel"/>
    <w:tmpl w:val="EC8A31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3955E39"/>
    <w:multiLevelType w:val="hybridMultilevel"/>
    <w:tmpl w:val="F9ACFFAE"/>
    <w:lvl w:ilvl="0" w:tplc="C6ECFC22">
      <w:start w:val="1"/>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15:restartNumberingAfterBreak="0">
    <w:nsid w:val="73BA02A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756E5B"/>
    <w:multiLevelType w:val="hybridMultilevel"/>
    <w:tmpl w:val="D0027934"/>
    <w:lvl w:ilvl="0" w:tplc="C6ECFC22">
      <w:start w:val="1"/>
      <w:numFmt w:val="bullet"/>
      <w:lvlText w:val="-"/>
      <w:lvlJc w:val="left"/>
      <w:pPr>
        <w:ind w:left="360" w:hanging="360"/>
      </w:pPr>
      <w:rPr>
        <w:rFonts w:ascii="Calibri" w:eastAsiaTheme="minorHAnsi" w:hAnsi="Calibri" w:cs="Calibri"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9" w15:restartNumberingAfterBreak="0">
    <w:nsid w:val="78E12C67"/>
    <w:multiLevelType w:val="hybridMultilevel"/>
    <w:tmpl w:val="2E7479A6"/>
    <w:lvl w:ilvl="0" w:tplc="C6ECFC2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8"/>
  </w:num>
  <w:num w:numId="3">
    <w:abstractNumId w:val="56"/>
  </w:num>
  <w:num w:numId="4">
    <w:abstractNumId w:val="25"/>
  </w:num>
  <w:num w:numId="5">
    <w:abstractNumId w:val="50"/>
  </w:num>
  <w:num w:numId="6">
    <w:abstractNumId w:val="47"/>
  </w:num>
  <w:num w:numId="7">
    <w:abstractNumId w:val="53"/>
  </w:num>
  <w:num w:numId="8">
    <w:abstractNumId w:val="23"/>
  </w:num>
  <w:num w:numId="9">
    <w:abstractNumId w:val="58"/>
  </w:num>
  <w:num w:numId="10">
    <w:abstractNumId w:val="40"/>
  </w:num>
  <w:num w:numId="11">
    <w:abstractNumId w:val="11"/>
  </w:num>
  <w:num w:numId="12">
    <w:abstractNumId w:val="2"/>
  </w:num>
  <w:num w:numId="13">
    <w:abstractNumId w:val="17"/>
  </w:num>
  <w:num w:numId="14">
    <w:abstractNumId w:val="1"/>
  </w:num>
  <w:num w:numId="15">
    <w:abstractNumId w:val="36"/>
  </w:num>
  <w:num w:numId="16">
    <w:abstractNumId w:val="54"/>
  </w:num>
  <w:num w:numId="17">
    <w:abstractNumId w:val="7"/>
  </w:num>
  <w:num w:numId="18">
    <w:abstractNumId w:val="41"/>
  </w:num>
  <w:num w:numId="19">
    <w:abstractNumId w:val="29"/>
  </w:num>
  <w:num w:numId="20">
    <w:abstractNumId w:val="30"/>
  </w:num>
  <w:num w:numId="21">
    <w:abstractNumId w:val="52"/>
  </w:num>
  <w:num w:numId="22">
    <w:abstractNumId w:val="33"/>
  </w:num>
  <w:num w:numId="23">
    <w:abstractNumId w:val="27"/>
  </w:num>
  <w:num w:numId="24">
    <w:abstractNumId w:val="24"/>
  </w:num>
  <w:num w:numId="25">
    <w:abstractNumId w:val="51"/>
  </w:num>
  <w:num w:numId="26">
    <w:abstractNumId w:val="39"/>
  </w:num>
  <w:num w:numId="27">
    <w:abstractNumId w:val="43"/>
  </w:num>
  <w:num w:numId="28">
    <w:abstractNumId w:val="31"/>
  </w:num>
  <w:num w:numId="29">
    <w:abstractNumId w:val="59"/>
  </w:num>
  <w:num w:numId="30">
    <w:abstractNumId w:val="37"/>
  </w:num>
  <w:num w:numId="31">
    <w:abstractNumId w:val="38"/>
  </w:num>
  <w:num w:numId="32">
    <w:abstractNumId w:val="18"/>
  </w:num>
  <w:num w:numId="33">
    <w:abstractNumId w:val="5"/>
  </w:num>
  <w:num w:numId="34">
    <w:abstractNumId w:val="57"/>
  </w:num>
  <w:num w:numId="35">
    <w:abstractNumId w:val="32"/>
  </w:num>
  <w:num w:numId="36">
    <w:abstractNumId w:val="26"/>
  </w:num>
  <w:num w:numId="37">
    <w:abstractNumId w:val="6"/>
  </w:num>
  <w:num w:numId="38">
    <w:abstractNumId w:val="28"/>
  </w:num>
  <w:num w:numId="39">
    <w:abstractNumId w:val="15"/>
  </w:num>
  <w:num w:numId="40">
    <w:abstractNumId w:val="45"/>
  </w:num>
  <w:num w:numId="41">
    <w:abstractNumId w:val="12"/>
  </w:num>
  <w:num w:numId="42">
    <w:abstractNumId w:val="44"/>
  </w:num>
  <w:num w:numId="43">
    <w:abstractNumId w:val="14"/>
  </w:num>
  <w:num w:numId="44">
    <w:abstractNumId w:val="46"/>
  </w:num>
  <w:num w:numId="45">
    <w:abstractNumId w:val="9"/>
  </w:num>
  <w:num w:numId="46">
    <w:abstractNumId w:val="4"/>
  </w:num>
  <w:num w:numId="47">
    <w:abstractNumId w:val="3"/>
  </w:num>
  <w:num w:numId="48">
    <w:abstractNumId w:val="20"/>
  </w:num>
  <w:num w:numId="49">
    <w:abstractNumId w:val="19"/>
  </w:num>
  <w:num w:numId="50">
    <w:abstractNumId w:val="55"/>
  </w:num>
  <w:num w:numId="51">
    <w:abstractNumId w:val="10"/>
  </w:num>
  <w:num w:numId="52">
    <w:abstractNumId w:val="22"/>
  </w:num>
  <w:num w:numId="53">
    <w:abstractNumId w:val="21"/>
  </w:num>
  <w:num w:numId="54">
    <w:abstractNumId w:val="35"/>
  </w:num>
  <w:num w:numId="55">
    <w:abstractNumId w:val="16"/>
  </w:num>
  <w:num w:numId="56">
    <w:abstractNumId w:val="34"/>
  </w:num>
  <w:num w:numId="57">
    <w:abstractNumId w:val="0"/>
  </w:num>
  <w:num w:numId="58">
    <w:abstractNumId w:val="42"/>
  </w:num>
  <w:num w:numId="59">
    <w:abstractNumId w:val="49"/>
  </w:num>
  <w:num w:numId="60">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7A"/>
    <w:rsid w:val="00003585"/>
    <w:rsid w:val="0000485F"/>
    <w:rsid w:val="000051F3"/>
    <w:rsid w:val="00005BC3"/>
    <w:rsid w:val="00016E29"/>
    <w:rsid w:val="000230C0"/>
    <w:rsid w:val="000250E5"/>
    <w:rsid w:val="00026B88"/>
    <w:rsid w:val="00030FB6"/>
    <w:rsid w:val="0003207F"/>
    <w:rsid w:val="00037B63"/>
    <w:rsid w:val="00037EC6"/>
    <w:rsid w:val="000414BA"/>
    <w:rsid w:val="00042780"/>
    <w:rsid w:val="0004381E"/>
    <w:rsid w:val="00063333"/>
    <w:rsid w:val="000667B8"/>
    <w:rsid w:val="00076E00"/>
    <w:rsid w:val="00077BDA"/>
    <w:rsid w:val="0008004F"/>
    <w:rsid w:val="000856AD"/>
    <w:rsid w:val="0008638E"/>
    <w:rsid w:val="00086501"/>
    <w:rsid w:val="00090C6E"/>
    <w:rsid w:val="00091162"/>
    <w:rsid w:val="00093C65"/>
    <w:rsid w:val="00095E3C"/>
    <w:rsid w:val="00096C47"/>
    <w:rsid w:val="000A3243"/>
    <w:rsid w:val="000B6AF6"/>
    <w:rsid w:val="000C1325"/>
    <w:rsid w:val="000C2F0B"/>
    <w:rsid w:val="000D4C1E"/>
    <w:rsid w:val="000E3666"/>
    <w:rsid w:val="000E4AE7"/>
    <w:rsid w:val="000E5DCF"/>
    <w:rsid w:val="000F01F3"/>
    <w:rsid w:val="000F11C9"/>
    <w:rsid w:val="000F6209"/>
    <w:rsid w:val="00105FD4"/>
    <w:rsid w:val="0011091B"/>
    <w:rsid w:val="00112E9A"/>
    <w:rsid w:val="00115B3A"/>
    <w:rsid w:val="00117582"/>
    <w:rsid w:val="00121764"/>
    <w:rsid w:val="00124523"/>
    <w:rsid w:val="00124614"/>
    <w:rsid w:val="00131778"/>
    <w:rsid w:val="00131AA3"/>
    <w:rsid w:val="00132F90"/>
    <w:rsid w:val="0014070F"/>
    <w:rsid w:val="00142DC0"/>
    <w:rsid w:val="00150A38"/>
    <w:rsid w:val="00156343"/>
    <w:rsid w:val="00160469"/>
    <w:rsid w:val="00175431"/>
    <w:rsid w:val="001776FA"/>
    <w:rsid w:val="00177783"/>
    <w:rsid w:val="001906B8"/>
    <w:rsid w:val="001925DA"/>
    <w:rsid w:val="001A2F15"/>
    <w:rsid w:val="001A566E"/>
    <w:rsid w:val="001B288B"/>
    <w:rsid w:val="001B2ACF"/>
    <w:rsid w:val="001B2AE1"/>
    <w:rsid w:val="001B30C5"/>
    <w:rsid w:val="001B7316"/>
    <w:rsid w:val="001B77B2"/>
    <w:rsid w:val="001D0289"/>
    <w:rsid w:val="001D186B"/>
    <w:rsid w:val="001D50CA"/>
    <w:rsid w:val="001E3C5A"/>
    <w:rsid w:val="001F411F"/>
    <w:rsid w:val="001F72B6"/>
    <w:rsid w:val="00203BC9"/>
    <w:rsid w:val="00213E0E"/>
    <w:rsid w:val="002145DF"/>
    <w:rsid w:val="00227C89"/>
    <w:rsid w:val="00236B86"/>
    <w:rsid w:val="00241EFB"/>
    <w:rsid w:val="00246A16"/>
    <w:rsid w:val="002555AC"/>
    <w:rsid w:val="002606E8"/>
    <w:rsid w:val="00266DA6"/>
    <w:rsid w:val="00267092"/>
    <w:rsid w:val="00271633"/>
    <w:rsid w:val="00272CE5"/>
    <w:rsid w:val="0029196F"/>
    <w:rsid w:val="00294E2B"/>
    <w:rsid w:val="00294F20"/>
    <w:rsid w:val="00296F8B"/>
    <w:rsid w:val="002A6D6C"/>
    <w:rsid w:val="002A7EBA"/>
    <w:rsid w:val="002B2D8A"/>
    <w:rsid w:val="002B3C31"/>
    <w:rsid w:val="002C22FF"/>
    <w:rsid w:val="002C38BC"/>
    <w:rsid w:val="002C46E9"/>
    <w:rsid w:val="002D1F2C"/>
    <w:rsid w:val="002D37BD"/>
    <w:rsid w:val="002D4126"/>
    <w:rsid w:val="002E118F"/>
    <w:rsid w:val="002E13D0"/>
    <w:rsid w:val="002E712B"/>
    <w:rsid w:val="002E77E1"/>
    <w:rsid w:val="002F58F3"/>
    <w:rsid w:val="003024D8"/>
    <w:rsid w:val="00304087"/>
    <w:rsid w:val="003102E8"/>
    <w:rsid w:val="00310F1A"/>
    <w:rsid w:val="003146F9"/>
    <w:rsid w:val="00316CA3"/>
    <w:rsid w:val="0032136A"/>
    <w:rsid w:val="00326887"/>
    <w:rsid w:val="0034234B"/>
    <w:rsid w:val="00342E93"/>
    <w:rsid w:val="00343A8E"/>
    <w:rsid w:val="003454AE"/>
    <w:rsid w:val="0035601C"/>
    <w:rsid w:val="00356B16"/>
    <w:rsid w:val="00364AE0"/>
    <w:rsid w:val="00372203"/>
    <w:rsid w:val="0037554A"/>
    <w:rsid w:val="003755A8"/>
    <w:rsid w:val="0037669A"/>
    <w:rsid w:val="0038041B"/>
    <w:rsid w:val="0038250D"/>
    <w:rsid w:val="00383D51"/>
    <w:rsid w:val="00385068"/>
    <w:rsid w:val="00385AB3"/>
    <w:rsid w:val="00391816"/>
    <w:rsid w:val="003921EC"/>
    <w:rsid w:val="00393BC1"/>
    <w:rsid w:val="00394ECF"/>
    <w:rsid w:val="00397425"/>
    <w:rsid w:val="00397BCD"/>
    <w:rsid w:val="003A0DEC"/>
    <w:rsid w:val="003A6BBC"/>
    <w:rsid w:val="003B1DBB"/>
    <w:rsid w:val="003D14F7"/>
    <w:rsid w:val="003D4B3E"/>
    <w:rsid w:val="003D5112"/>
    <w:rsid w:val="003D553B"/>
    <w:rsid w:val="003E26A4"/>
    <w:rsid w:val="003E4C3D"/>
    <w:rsid w:val="003F1D33"/>
    <w:rsid w:val="003F4D55"/>
    <w:rsid w:val="004003F2"/>
    <w:rsid w:val="004021F2"/>
    <w:rsid w:val="0040258F"/>
    <w:rsid w:val="00404218"/>
    <w:rsid w:val="004048F4"/>
    <w:rsid w:val="0041257E"/>
    <w:rsid w:val="00414792"/>
    <w:rsid w:val="00416C31"/>
    <w:rsid w:val="004337CD"/>
    <w:rsid w:val="00433868"/>
    <w:rsid w:val="00450794"/>
    <w:rsid w:val="00452B6A"/>
    <w:rsid w:val="00456B62"/>
    <w:rsid w:val="0047183A"/>
    <w:rsid w:val="00471CC6"/>
    <w:rsid w:val="00473087"/>
    <w:rsid w:val="004873FD"/>
    <w:rsid w:val="00490BC7"/>
    <w:rsid w:val="00493A85"/>
    <w:rsid w:val="00495C87"/>
    <w:rsid w:val="0049616A"/>
    <w:rsid w:val="004A285E"/>
    <w:rsid w:val="004A3188"/>
    <w:rsid w:val="004A5569"/>
    <w:rsid w:val="004A5E5E"/>
    <w:rsid w:val="004A78D2"/>
    <w:rsid w:val="004A7AB6"/>
    <w:rsid w:val="004B1186"/>
    <w:rsid w:val="004B135A"/>
    <w:rsid w:val="004B4251"/>
    <w:rsid w:val="004C127B"/>
    <w:rsid w:val="004D0AAA"/>
    <w:rsid w:val="004D0FFF"/>
    <w:rsid w:val="004D355E"/>
    <w:rsid w:val="004D380F"/>
    <w:rsid w:val="004D7BDC"/>
    <w:rsid w:val="004F0147"/>
    <w:rsid w:val="004F1245"/>
    <w:rsid w:val="004F22BE"/>
    <w:rsid w:val="005052EA"/>
    <w:rsid w:val="0051051C"/>
    <w:rsid w:val="00512047"/>
    <w:rsid w:val="00512C56"/>
    <w:rsid w:val="005132DB"/>
    <w:rsid w:val="00513F55"/>
    <w:rsid w:val="00514506"/>
    <w:rsid w:val="0051535D"/>
    <w:rsid w:val="00517318"/>
    <w:rsid w:val="00517C69"/>
    <w:rsid w:val="00523BCA"/>
    <w:rsid w:val="00525036"/>
    <w:rsid w:val="00527622"/>
    <w:rsid w:val="00536C21"/>
    <w:rsid w:val="00537454"/>
    <w:rsid w:val="00540CD5"/>
    <w:rsid w:val="0054114E"/>
    <w:rsid w:val="00541C1F"/>
    <w:rsid w:val="00542783"/>
    <w:rsid w:val="00551B1D"/>
    <w:rsid w:val="00551CA2"/>
    <w:rsid w:val="005536E9"/>
    <w:rsid w:val="005548B9"/>
    <w:rsid w:val="00566780"/>
    <w:rsid w:val="00570BD7"/>
    <w:rsid w:val="00571185"/>
    <w:rsid w:val="005756A1"/>
    <w:rsid w:val="00576A67"/>
    <w:rsid w:val="00585C7F"/>
    <w:rsid w:val="0058708E"/>
    <w:rsid w:val="005901A3"/>
    <w:rsid w:val="0059076E"/>
    <w:rsid w:val="00591FF9"/>
    <w:rsid w:val="00592664"/>
    <w:rsid w:val="00594A64"/>
    <w:rsid w:val="0059606E"/>
    <w:rsid w:val="005A28B0"/>
    <w:rsid w:val="005A52B2"/>
    <w:rsid w:val="005B1D00"/>
    <w:rsid w:val="005B35B2"/>
    <w:rsid w:val="005B3943"/>
    <w:rsid w:val="005B6F3C"/>
    <w:rsid w:val="005D073F"/>
    <w:rsid w:val="005D1602"/>
    <w:rsid w:val="005D66CD"/>
    <w:rsid w:val="005D7124"/>
    <w:rsid w:val="005E2C36"/>
    <w:rsid w:val="005E5508"/>
    <w:rsid w:val="005F0AF3"/>
    <w:rsid w:val="005F16B2"/>
    <w:rsid w:val="005F242C"/>
    <w:rsid w:val="005F57B6"/>
    <w:rsid w:val="006007A3"/>
    <w:rsid w:val="006030DC"/>
    <w:rsid w:val="0061084B"/>
    <w:rsid w:val="00612559"/>
    <w:rsid w:val="006132F2"/>
    <w:rsid w:val="00626B2D"/>
    <w:rsid w:val="006337EF"/>
    <w:rsid w:val="0064069B"/>
    <w:rsid w:val="00642E45"/>
    <w:rsid w:val="00642EAA"/>
    <w:rsid w:val="006456D5"/>
    <w:rsid w:val="00645C67"/>
    <w:rsid w:val="006504DC"/>
    <w:rsid w:val="006625C7"/>
    <w:rsid w:val="00663A0A"/>
    <w:rsid w:val="006677B6"/>
    <w:rsid w:val="006739DF"/>
    <w:rsid w:val="00673D64"/>
    <w:rsid w:val="006760EC"/>
    <w:rsid w:val="0067704C"/>
    <w:rsid w:val="00677E02"/>
    <w:rsid w:val="0068342F"/>
    <w:rsid w:val="00684C4D"/>
    <w:rsid w:val="006863B4"/>
    <w:rsid w:val="0069102B"/>
    <w:rsid w:val="00694A16"/>
    <w:rsid w:val="006A1A0A"/>
    <w:rsid w:val="006B199D"/>
    <w:rsid w:val="006C5E0B"/>
    <w:rsid w:val="006D2C20"/>
    <w:rsid w:val="006E3BBE"/>
    <w:rsid w:val="006E78B8"/>
    <w:rsid w:val="006F0613"/>
    <w:rsid w:val="00700CF8"/>
    <w:rsid w:val="00702281"/>
    <w:rsid w:val="00702896"/>
    <w:rsid w:val="00703E07"/>
    <w:rsid w:val="0070416B"/>
    <w:rsid w:val="00705E46"/>
    <w:rsid w:val="00707CD4"/>
    <w:rsid w:val="00710BB4"/>
    <w:rsid w:val="0071129D"/>
    <w:rsid w:val="00711939"/>
    <w:rsid w:val="007219FD"/>
    <w:rsid w:val="00723E7E"/>
    <w:rsid w:val="00725CF8"/>
    <w:rsid w:val="0072606D"/>
    <w:rsid w:val="00727E86"/>
    <w:rsid w:val="00734B2B"/>
    <w:rsid w:val="00736535"/>
    <w:rsid w:val="007421E4"/>
    <w:rsid w:val="00742A82"/>
    <w:rsid w:val="007438EA"/>
    <w:rsid w:val="007465E2"/>
    <w:rsid w:val="007510DC"/>
    <w:rsid w:val="007531EF"/>
    <w:rsid w:val="007632BB"/>
    <w:rsid w:val="007676E2"/>
    <w:rsid w:val="00771116"/>
    <w:rsid w:val="007713FF"/>
    <w:rsid w:val="00773EAE"/>
    <w:rsid w:val="007751CD"/>
    <w:rsid w:val="007807EC"/>
    <w:rsid w:val="00785DFC"/>
    <w:rsid w:val="00787401"/>
    <w:rsid w:val="00797249"/>
    <w:rsid w:val="00797CF0"/>
    <w:rsid w:val="007A18F7"/>
    <w:rsid w:val="007A4C54"/>
    <w:rsid w:val="007A7118"/>
    <w:rsid w:val="007B37D2"/>
    <w:rsid w:val="007B3CFD"/>
    <w:rsid w:val="007B4C6B"/>
    <w:rsid w:val="007C17B0"/>
    <w:rsid w:val="007D2199"/>
    <w:rsid w:val="007D32E0"/>
    <w:rsid w:val="007D72B0"/>
    <w:rsid w:val="007D763E"/>
    <w:rsid w:val="007E0EA3"/>
    <w:rsid w:val="007E28AF"/>
    <w:rsid w:val="007E57CA"/>
    <w:rsid w:val="007E5EE9"/>
    <w:rsid w:val="007E6B4B"/>
    <w:rsid w:val="00806BC0"/>
    <w:rsid w:val="00812335"/>
    <w:rsid w:val="0081349A"/>
    <w:rsid w:val="00821B63"/>
    <w:rsid w:val="0082631A"/>
    <w:rsid w:val="008264F5"/>
    <w:rsid w:val="008373FE"/>
    <w:rsid w:val="00837A16"/>
    <w:rsid w:val="00842125"/>
    <w:rsid w:val="00843348"/>
    <w:rsid w:val="00844724"/>
    <w:rsid w:val="00857C5F"/>
    <w:rsid w:val="0087115A"/>
    <w:rsid w:val="008731A5"/>
    <w:rsid w:val="00873A32"/>
    <w:rsid w:val="0088634C"/>
    <w:rsid w:val="00887E96"/>
    <w:rsid w:val="00895405"/>
    <w:rsid w:val="00895DBA"/>
    <w:rsid w:val="00897B6E"/>
    <w:rsid w:val="00897D88"/>
    <w:rsid w:val="00897FDC"/>
    <w:rsid w:val="008A49FB"/>
    <w:rsid w:val="008A5EF1"/>
    <w:rsid w:val="008A6249"/>
    <w:rsid w:val="008B5D70"/>
    <w:rsid w:val="008C2F7A"/>
    <w:rsid w:val="008C3797"/>
    <w:rsid w:val="008C38F3"/>
    <w:rsid w:val="008C40C5"/>
    <w:rsid w:val="008C791A"/>
    <w:rsid w:val="008D14C0"/>
    <w:rsid w:val="008D5500"/>
    <w:rsid w:val="008E30E8"/>
    <w:rsid w:val="008E312D"/>
    <w:rsid w:val="008E38EC"/>
    <w:rsid w:val="008E3F4A"/>
    <w:rsid w:val="008E7C33"/>
    <w:rsid w:val="008F2D93"/>
    <w:rsid w:val="008F7CBF"/>
    <w:rsid w:val="009013A5"/>
    <w:rsid w:val="00902CC6"/>
    <w:rsid w:val="00906097"/>
    <w:rsid w:val="00910E39"/>
    <w:rsid w:val="00913986"/>
    <w:rsid w:val="009160AC"/>
    <w:rsid w:val="00920C49"/>
    <w:rsid w:val="009224D1"/>
    <w:rsid w:val="00924B1D"/>
    <w:rsid w:val="009256E6"/>
    <w:rsid w:val="0092633B"/>
    <w:rsid w:val="009326D7"/>
    <w:rsid w:val="009333C9"/>
    <w:rsid w:val="00933B61"/>
    <w:rsid w:val="00934151"/>
    <w:rsid w:val="00934FBD"/>
    <w:rsid w:val="009458C0"/>
    <w:rsid w:val="00952F6E"/>
    <w:rsid w:val="00953126"/>
    <w:rsid w:val="00955C8D"/>
    <w:rsid w:val="0096184F"/>
    <w:rsid w:val="00967795"/>
    <w:rsid w:val="0097026D"/>
    <w:rsid w:val="00971D51"/>
    <w:rsid w:val="00977BFB"/>
    <w:rsid w:val="0098156E"/>
    <w:rsid w:val="0098273D"/>
    <w:rsid w:val="00983DA6"/>
    <w:rsid w:val="00985FD3"/>
    <w:rsid w:val="00986786"/>
    <w:rsid w:val="00987CB2"/>
    <w:rsid w:val="0099392E"/>
    <w:rsid w:val="009A04EC"/>
    <w:rsid w:val="009A07B5"/>
    <w:rsid w:val="009C038F"/>
    <w:rsid w:val="009C143A"/>
    <w:rsid w:val="009C2373"/>
    <w:rsid w:val="009C3213"/>
    <w:rsid w:val="009C7335"/>
    <w:rsid w:val="009D032B"/>
    <w:rsid w:val="009D6BBE"/>
    <w:rsid w:val="009F01E4"/>
    <w:rsid w:val="009F18C2"/>
    <w:rsid w:val="009F5151"/>
    <w:rsid w:val="009F541F"/>
    <w:rsid w:val="009F60E6"/>
    <w:rsid w:val="00A001FA"/>
    <w:rsid w:val="00A037BC"/>
    <w:rsid w:val="00A101CD"/>
    <w:rsid w:val="00A232BE"/>
    <w:rsid w:val="00A23F1B"/>
    <w:rsid w:val="00A27E42"/>
    <w:rsid w:val="00A40146"/>
    <w:rsid w:val="00A426CB"/>
    <w:rsid w:val="00A44380"/>
    <w:rsid w:val="00A44400"/>
    <w:rsid w:val="00A453DD"/>
    <w:rsid w:val="00A459CC"/>
    <w:rsid w:val="00A46916"/>
    <w:rsid w:val="00A52B66"/>
    <w:rsid w:val="00A54620"/>
    <w:rsid w:val="00A6681D"/>
    <w:rsid w:val="00A66CA2"/>
    <w:rsid w:val="00A768B7"/>
    <w:rsid w:val="00A8699B"/>
    <w:rsid w:val="00A875C4"/>
    <w:rsid w:val="00A92310"/>
    <w:rsid w:val="00A92632"/>
    <w:rsid w:val="00AA0E67"/>
    <w:rsid w:val="00AA0F04"/>
    <w:rsid w:val="00AA4466"/>
    <w:rsid w:val="00AB0FF2"/>
    <w:rsid w:val="00AB3B93"/>
    <w:rsid w:val="00AC2978"/>
    <w:rsid w:val="00AC33E4"/>
    <w:rsid w:val="00AC3927"/>
    <w:rsid w:val="00AC7583"/>
    <w:rsid w:val="00AD13A7"/>
    <w:rsid w:val="00AD745F"/>
    <w:rsid w:val="00AD7F45"/>
    <w:rsid w:val="00AE129A"/>
    <w:rsid w:val="00B01E9B"/>
    <w:rsid w:val="00B03316"/>
    <w:rsid w:val="00B053E1"/>
    <w:rsid w:val="00B17416"/>
    <w:rsid w:val="00B277B2"/>
    <w:rsid w:val="00B309AE"/>
    <w:rsid w:val="00B30F2D"/>
    <w:rsid w:val="00B35BAA"/>
    <w:rsid w:val="00B43F59"/>
    <w:rsid w:val="00B51BEA"/>
    <w:rsid w:val="00B53BB4"/>
    <w:rsid w:val="00B6073F"/>
    <w:rsid w:val="00B61865"/>
    <w:rsid w:val="00B61CCB"/>
    <w:rsid w:val="00B646DA"/>
    <w:rsid w:val="00B745C7"/>
    <w:rsid w:val="00B751F0"/>
    <w:rsid w:val="00B777E4"/>
    <w:rsid w:val="00B8039A"/>
    <w:rsid w:val="00B80941"/>
    <w:rsid w:val="00B81276"/>
    <w:rsid w:val="00B8313C"/>
    <w:rsid w:val="00B92172"/>
    <w:rsid w:val="00B95910"/>
    <w:rsid w:val="00B96338"/>
    <w:rsid w:val="00B965F1"/>
    <w:rsid w:val="00BA02D5"/>
    <w:rsid w:val="00BA24D2"/>
    <w:rsid w:val="00BA632E"/>
    <w:rsid w:val="00BB27A5"/>
    <w:rsid w:val="00BB3373"/>
    <w:rsid w:val="00BB4AE1"/>
    <w:rsid w:val="00BB5794"/>
    <w:rsid w:val="00BB72D0"/>
    <w:rsid w:val="00BC3D6A"/>
    <w:rsid w:val="00BD169B"/>
    <w:rsid w:val="00BD2960"/>
    <w:rsid w:val="00BD7703"/>
    <w:rsid w:val="00BE07E3"/>
    <w:rsid w:val="00BF4C01"/>
    <w:rsid w:val="00BF50CE"/>
    <w:rsid w:val="00C130B4"/>
    <w:rsid w:val="00C13C21"/>
    <w:rsid w:val="00C13C48"/>
    <w:rsid w:val="00C17BDB"/>
    <w:rsid w:val="00C232A3"/>
    <w:rsid w:val="00C27873"/>
    <w:rsid w:val="00C31A61"/>
    <w:rsid w:val="00C33AA7"/>
    <w:rsid w:val="00C42208"/>
    <w:rsid w:val="00C424F0"/>
    <w:rsid w:val="00C45E98"/>
    <w:rsid w:val="00C477A7"/>
    <w:rsid w:val="00C50C37"/>
    <w:rsid w:val="00C50D6C"/>
    <w:rsid w:val="00C53CE2"/>
    <w:rsid w:val="00C54225"/>
    <w:rsid w:val="00C54D88"/>
    <w:rsid w:val="00C55F92"/>
    <w:rsid w:val="00C56B81"/>
    <w:rsid w:val="00C576B8"/>
    <w:rsid w:val="00C63BEC"/>
    <w:rsid w:val="00C67078"/>
    <w:rsid w:val="00C677DC"/>
    <w:rsid w:val="00C7100D"/>
    <w:rsid w:val="00C7676C"/>
    <w:rsid w:val="00C76DA1"/>
    <w:rsid w:val="00C77329"/>
    <w:rsid w:val="00C816ED"/>
    <w:rsid w:val="00C947E9"/>
    <w:rsid w:val="00CA3B8D"/>
    <w:rsid w:val="00CA50E7"/>
    <w:rsid w:val="00CA5993"/>
    <w:rsid w:val="00CA6B81"/>
    <w:rsid w:val="00CB2AB0"/>
    <w:rsid w:val="00CB2F79"/>
    <w:rsid w:val="00CB6325"/>
    <w:rsid w:val="00CC053F"/>
    <w:rsid w:val="00CC30DF"/>
    <w:rsid w:val="00CC32F4"/>
    <w:rsid w:val="00CC6679"/>
    <w:rsid w:val="00CD2D35"/>
    <w:rsid w:val="00CD4970"/>
    <w:rsid w:val="00CD5875"/>
    <w:rsid w:val="00CE0FE1"/>
    <w:rsid w:val="00CE2E10"/>
    <w:rsid w:val="00CE401B"/>
    <w:rsid w:val="00CF2918"/>
    <w:rsid w:val="00CF4550"/>
    <w:rsid w:val="00D0126D"/>
    <w:rsid w:val="00D01479"/>
    <w:rsid w:val="00D06E9A"/>
    <w:rsid w:val="00D12B76"/>
    <w:rsid w:val="00D1576D"/>
    <w:rsid w:val="00D20E29"/>
    <w:rsid w:val="00D23C4F"/>
    <w:rsid w:val="00D2401C"/>
    <w:rsid w:val="00D260EA"/>
    <w:rsid w:val="00D375AD"/>
    <w:rsid w:val="00D43CA1"/>
    <w:rsid w:val="00D500D3"/>
    <w:rsid w:val="00D5114C"/>
    <w:rsid w:val="00D51DA5"/>
    <w:rsid w:val="00D51DDB"/>
    <w:rsid w:val="00D53657"/>
    <w:rsid w:val="00D56399"/>
    <w:rsid w:val="00D62C94"/>
    <w:rsid w:val="00D65E9E"/>
    <w:rsid w:val="00D67CE4"/>
    <w:rsid w:val="00D710E1"/>
    <w:rsid w:val="00D7175F"/>
    <w:rsid w:val="00D719CA"/>
    <w:rsid w:val="00D80C00"/>
    <w:rsid w:val="00D82486"/>
    <w:rsid w:val="00D8265E"/>
    <w:rsid w:val="00D85171"/>
    <w:rsid w:val="00D94734"/>
    <w:rsid w:val="00D977F9"/>
    <w:rsid w:val="00DA0260"/>
    <w:rsid w:val="00DA474C"/>
    <w:rsid w:val="00DA5AD9"/>
    <w:rsid w:val="00DA6A7E"/>
    <w:rsid w:val="00DA71FA"/>
    <w:rsid w:val="00DB378F"/>
    <w:rsid w:val="00DC12E2"/>
    <w:rsid w:val="00DC213E"/>
    <w:rsid w:val="00DC39C2"/>
    <w:rsid w:val="00DD0624"/>
    <w:rsid w:val="00DD7956"/>
    <w:rsid w:val="00DE052D"/>
    <w:rsid w:val="00DF3206"/>
    <w:rsid w:val="00DF4F33"/>
    <w:rsid w:val="00DF53A5"/>
    <w:rsid w:val="00DF569B"/>
    <w:rsid w:val="00E041BE"/>
    <w:rsid w:val="00E04704"/>
    <w:rsid w:val="00E0630F"/>
    <w:rsid w:val="00E12CD1"/>
    <w:rsid w:val="00E12DF9"/>
    <w:rsid w:val="00E1395C"/>
    <w:rsid w:val="00E21D7A"/>
    <w:rsid w:val="00E21F1D"/>
    <w:rsid w:val="00E23796"/>
    <w:rsid w:val="00E31E7E"/>
    <w:rsid w:val="00E33197"/>
    <w:rsid w:val="00E344AE"/>
    <w:rsid w:val="00E35AA5"/>
    <w:rsid w:val="00E35F0A"/>
    <w:rsid w:val="00E36299"/>
    <w:rsid w:val="00E440E2"/>
    <w:rsid w:val="00E53EEE"/>
    <w:rsid w:val="00E55120"/>
    <w:rsid w:val="00E64B35"/>
    <w:rsid w:val="00E7120C"/>
    <w:rsid w:val="00E727C8"/>
    <w:rsid w:val="00E72EBF"/>
    <w:rsid w:val="00E76C80"/>
    <w:rsid w:val="00E77A62"/>
    <w:rsid w:val="00E85E43"/>
    <w:rsid w:val="00EB1E11"/>
    <w:rsid w:val="00EB5D58"/>
    <w:rsid w:val="00EB6FB5"/>
    <w:rsid w:val="00EC246E"/>
    <w:rsid w:val="00EC2CCC"/>
    <w:rsid w:val="00EC31A9"/>
    <w:rsid w:val="00EC3F00"/>
    <w:rsid w:val="00EC4F9D"/>
    <w:rsid w:val="00EC522F"/>
    <w:rsid w:val="00EC6397"/>
    <w:rsid w:val="00ED25BA"/>
    <w:rsid w:val="00ED2FB5"/>
    <w:rsid w:val="00ED40B8"/>
    <w:rsid w:val="00ED45EC"/>
    <w:rsid w:val="00EE1CD8"/>
    <w:rsid w:val="00EE279A"/>
    <w:rsid w:val="00EE4D5B"/>
    <w:rsid w:val="00EF1515"/>
    <w:rsid w:val="00EF71CF"/>
    <w:rsid w:val="00F1559E"/>
    <w:rsid w:val="00F200B5"/>
    <w:rsid w:val="00F255BE"/>
    <w:rsid w:val="00F355D1"/>
    <w:rsid w:val="00F42708"/>
    <w:rsid w:val="00F44C38"/>
    <w:rsid w:val="00F457CD"/>
    <w:rsid w:val="00F463AC"/>
    <w:rsid w:val="00F50F25"/>
    <w:rsid w:val="00F54020"/>
    <w:rsid w:val="00F56457"/>
    <w:rsid w:val="00F5714D"/>
    <w:rsid w:val="00F6639B"/>
    <w:rsid w:val="00F67BE8"/>
    <w:rsid w:val="00F74892"/>
    <w:rsid w:val="00F77161"/>
    <w:rsid w:val="00F81C49"/>
    <w:rsid w:val="00F87B93"/>
    <w:rsid w:val="00F924BA"/>
    <w:rsid w:val="00F96AD6"/>
    <w:rsid w:val="00FA5DCB"/>
    <w:rsid w:val="00FB26D6"/>
    <w:rsid w:val="00FB30B4"/>
    <w:rsid w:val="00FB3995"/>
    <w:rsid w:val="00FB3F9D"/>
    <w:rsid w:val="00FC4A1A"/>
    <w:rsid w:val="00FD3312"/>
    <w:rsid w:val="00FD65B6"/>
    <w:rsid w:val="00FE2FDB"/>
    <w:rsid w:val="00FE3EC9"/>
    <w:rsid w:val="00FE4A43"/>
    <w:rsid w:val="00FF119F"/>
    <w:rsid w:val="00FF1F5A"/>
    <w:rsid w:val="00FF2F35"/>
    <w:rsid w:val="00FF77A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544C"/>
  <w15:chartTrackingRefBased/>
  <w15:docId w15:val="{51746581-BA0D-4979-A348-62CAA059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D7A"/>
    <w:pPr>
      <w:spacing w:line="256" w:lineRule="auto"/>
    </w:pPr>
  </w:style>
  <w:style w:type="paragraph" w:styleId="Titre1">
    <w:name w:val="heading 1"/>
    <w:basedOn w:val="Normal"/>
    <w:next w:val="Normal"/>
    <w:link w:val="Titre1Car"/>
    <w:uiPriority w:val="9"/>
    <w:qFormat/>
    <w:rsid w:val="00E21D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21D7A"/>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semiHidden/>
    <w:unhideWhenUsed/>
    <w:rsid w:val="00E21D7A"/>
    <w:rPr>
      <w:color w:val="0563C1" w:themeColor="hyperlink"/>
      <w:u w:val="single"/>
    </w:rPr>
  </w:style>
  <w:style w:type="paragraph" w:styleId="Commentaire">
    <w:name w:val="annotation text"/>
    <w:basedOn w:val="Normal"/>
    <w:link w:val="CommentaireCar"/>
    <w:uiPriority w:val="99"/>
    <w:unhideWhenUsed/>
    <w:qFormat/>
    <w:rsid w:val="00E21D7A"/>
    <w:pPr>
      <w:spacing w:line="240" w:lineRule="auto"/>
    </w:pPr>
    <w:rPr>
      <w:sz w:val="20"/>
      <w:szCs w:val="20"/>
    </w:rPr>
  </w:style>
  <w:style w:type="character" w:customStyle="1" w:styleId="CommentaireCar">
    <w:name w:val="Commentaire Car"/>
    <w:basedOn w:val="Policepardfaut"/>
    <w:link w:val="Commentaire"/>
    <w:uiPriority w:val="99"/>
    <w:qFormat/>
    <w:rsid w:val="00E21D7A"/>
    <w:rPr>
      <w:sz w:val="20"/>
      <w:szCs w:val="20"/>
    </w:rPr>
  </w:style>
  <w:style w:type="paragraph" w:styleId="Paragraphedeliste">
    <w:name w:val="List Paragraph"/>
    <w:basedOn w:val="Normal"/>
    <w:uiPriority w:val="34"/>
    <w:qFormat/>
    <w:rsid w:val="00E21D7A"/>
    <w:pPr>
      <w:ind w:left="720"/>
      <w:contextualSpacing/>
    </w:pPr>
  </w:style>
  <w:style w:type="character" w:styleId="Marquedecommentaire">
    <w:name w:val="annotation reference"/>
    <w:basedOn w:val="Policepardfaut"/>
    <w:uiPriority w:val="99"/>
    <w:semiHidden/>
    <w:unhideWhenUsed/>
    <w:qFormat/>
    <w:rsid w:val="00E21D7A"/>
    <w:rPr>
      <w:sz w:val="16"/>
      <w:szCs w:val="16"/>
    </w:rPr>
  </w:style>
  <w:style w:type="paragraph" w:styleId="Textedebulles">
    <w:name w:val="Balloon Text"/>
    <w:basedOn w:val="Normal"/>
    <w:link w:val="TextedebullesCar"/>
    <w:uiPriority w:val="99"/>
    <w:semiHidden/>
    <w:unhideWhenUsed/>
    <w:rsid w:val="00E21D7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21D7A"/>
    <w:rPr>
      <w:rFonts w:ascii="Segoe U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B03316"/>
    <w:rPr>
      <w:b/>
      <w:bCs/>
    </w:rPr>
  </w:style>
  <w:style w:type="character" w:customStyle="1" w:styleId="ObjetducommentaireCar">
    <w:name w:val="Objet du commentaire Car"/>
    <w:basedOn w:val="CommentaireCar"/>
    <w:link w:val="Objetducommentaire"/>
    <w:uiPriority w:val="99"/>
    <w:semiHidden/>
    <w:rsid w:val="00B03316"/>
    <w:rPr>
      <w:b/>
      <w:bCs/>
      <w:sz w:val="20"/>
      <w:szCs w:val="20"/>
    </w:rPr>
  </w:style>
  <w:style w:type="table" w:styleId="Grilledutableau">
    <w:name w:val="Table Grid"/>
    <w:basedOn w:val="TableauNormal"/>
    <w:uiPriority w:val="39"/>
    <w:rsid w:val="00376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26B2D"/>
    <w:pPr>
      <w:spacing w:after="0" w:line="240" w:lineRule="auto"/>
    </w:pPr>
  </w:style>
  <w:style w:type="table" w:styleId="TableauGrille4-Accentuation1">
    <w:name w:val="Grid Table 4 Accent 1"/>
    <w:basedOn w:val="TableauNormal"/>
    <w:uiPriority w:val="49"/>
    <w:rsid w:val="00D260E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lledutableau1">
    <w:name w:val="Grille du tableau1"/>
    <w:basedOn w:val="TableauNormal"/>
    <w:next w:val="Grilledutableau"/>
    <w:uiPriority w:val="39"/>
    <w:rsid w:val="00897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REPUBLIQUE">
    <w:name w:val="SNREPUBLIQUE"/>
    <w:basedOn w:val="Normal"/>
    <w:qFormat/>
    <w:rsid w:val="007A18F7"/>
    <w:pPr>
      <w:suppressAutoHyphens/>
      <w:spacing w:after="0" w:line="240" w:lineRule="auto"/>
      <w:jc w:val="center"/>
    </w:pPr>
    <w:rPr>
      <w:rFonts w:ascii="Times New Roman" w:eastAsia="Times New Roman" w:hAnsi="Times New Roman" w:cs="Times New Roman"/>
      <w:b/>
      <w:bCs/>
      <w:sz w:val="24"/>
      <w:szCs w:val="20"/>
      <w:lang w:eastAsia="zh-CN"/>
    </w:rPr>
  </w:style>
  <w:style w:type="paragraph" w:customStyle="1" w:styleId="SNTimbre">
    <w:name w:val="SNTimbre"/>
    <w:basedOn w:val="Normal"/>
    <w:qFormat/>
    <w:rsid w:val="007A18F7"/>
    <w:pPr>
      <w:widowControl w:val="0"/>
      <w:suppressAutoHyphens/>
      <w:snapToGrid w:val="0"/>
      <w:spacing w:before="120" w:after="0" w:line="240" w:lineRule="auto"/>
      <w:jc w:val="center"/>
    </w:pPr>
    <w:rPr>
      <w:rFonts w:ascii="Times New Roman" w:eastAsia="Lucida Sans Unicode" w:hAnsi="Times New Roman" w:cs="Times New Roman"/>
      <w:sz w:val="24"/>
      <w:szCs w:val="24"/>
      <w:lang w:eastAsia="zh-CN"/>
    </w:rPr>
  </w:style>
  <w:style w:type="paragraph" w:styleId="NormalWeb">
    <w:name w:val="Normal (Web)"/>
    <w:basedOn w:val="Normal"/>
    <w:uiPriority w:val="99"/>
    <w:semiHidden/>
    <w:unhideWhenUsed/>
    <w:rsid w:val="008264F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7741">
      <w:bodyDiv w:val="1"/>
      <w:marLeft w:val="0"/>
      <w:marRight w:val="0"/>
      <w:marTop w:val="0"/>
      <w:marBottom w:val="0"/>
      <w:divBdr>
        <w:top w:val="none" w:sz="0" w:space="0" w:color="auto"/>
        <w:left w:val="none" w:sz="0" w:space="0" w:color="auto"/>
        <w:bottom w:val="none" w:sz="0" w:space="0" w:color="auto"/>
        <w:right w:val="none" w:sz="0" w:space="0" w:color="auto"/>
      </w:divBdr>
    </w:div>
    <w:div w:id="303194803">
      <w:bodyDiv w:val="1"/>
      <w:marLeft w:val="0"/>
      <w:marRight w:val="0"/>
      <w:marTop w:val="0"/>
      <w:marBottom w:val="0"/>
      <w:divBdr>
        <w:top w:val="none" w:sz="0" w:space="0" w:color="auto"/>
        <w:left w:val="none" w:sz="0" w:space="0" w:color="auto"/>
        <w:bottom w:val="none" w:sz="0" w:space="0" w:color="auto"/>
        <w:right w:val="none" w:sz="0" w:space="0" w:color="auto"/>
      </w:divBdr>
    </w:div>
    <w:div w:id="310333266">
      <w:bodyDiv w:val="1"/>
      <w:marLeft w:val="0"/>
      <w:marRight w:val="0"/>
      <w:marTop w:val="0"/>
      <w:marBottom w:val="0"/>
      <w:divBdr>
        <w:top w:val="none" w:sz="0" w:space="0" w:color="auto"/>
        <w:left w:val="none" w:sz="0" w:space="0" w:color="auto"/>
        <w:bottom w:val="none" w:sz="0" w:space="0" w:color="auto"/>
        <w:right w:val="none" w:sz="0" w:space="0" w:color="auto"/>
      </w:divBdr>
    </w:div>
    <w:div w:id="504054622">
      <w:bodyDiv w:val="1"/>
      <w:marLeft w:val="0"/>
      <w:marRight w:val="0"/>
      <w:marTop w:val="0"/>
      <w:marBottom w:val="0"/>
      <w:divBdr>
        <w:top w:val="none" w:sz="0" w:space="0" w:color="auto"/>
        <w:left w:val="none" w:sz="0" w:space="0" w:color="auto"/>
        <w:bottom w:val="none" w:sz="0" w:space="0" w:color="auto"/>
        <w:right w:val="none" w:sz="0" w:space="0" w:color="auto"/>
      </w:divBdr>
    </w:div>
    <w:div w:id="864830838">
      <w:bodyDiv w:val="1"/>
      <w:marLeft w:val="0"/>
      <w:marRight w:val="0"/>
      <w:marTop w:val="0"/>
      <w:marBottom w:val="0"/>
      <w:divBdr>
        <w:top w:val="none" w:sz="0" w:space="0" w:color="auto"/>
        <w:left w:val="none" w:sz="0" w:space="0" w:color="auto"/>
        <w:bottom w:val="none" w:sz="0" w:space="0" w:color="auto"/>
        <w:right w:val="none" w:sz="0" w:space="0" w:color="auto"/>
      </w:divBdr>
    </w:div>
    <w:div w:id="1140805470">
      <w:bodyDiv w:val="1"/>
      <w:marLeft w:val="0"/>
      <w:marRight w:val="0"/>
      <w:marTop w:val="0"/>
      <w:marBottom w:val="0"/>
      <w:divBdr>
        <w:top w:val="none" w:sz="0" w:space="0" w:color="auto"/>
        <w:left w:val="none" w:sz="0" w:space="0" w:color="auto"/>
        <w:bottom w:val="none" w:sz="0" w:space="0" w:color="auto"/>
        <w:right w:val="none" w:sz="0" w:space="0" w:color="auto"/>
      </w:divBdr>
    </w:div>
    <w:div w:id="1201749212">
      <w:bodyDiv w:val="1"/>
      <w:marLeft w:val="0"/>
      <w:marRight w:val="0"/>
      <w:marTop w:val="0"/>
      <w:marBottom w:val="0"/>
      <w:divBdr>
        <w:top w:val="none" w:sz="0" w:space="0" w:color="auto"/>
        <w:left w:val="none" w:sz="0" w:space="0" w:color="auto"/>
        <w:bottom w:val="none" w:sz="0" w:space="0" w:color="auto"/>
        <w:right w:val="none" w:sz="0" w:space="0" w:color="auto"/>
      </w:divBdr>
      <w:divsChild>
        <w:div w:id="1894191867">
          <w:marLeft w:val="0"/>
          <w:marRight w:val="0"/>
          <w:marTop w:val="0"/>
          <w:marBottom w:val="0"/>
          <w:divBdr>
            <w:top w:val="none" w:sz="0" w:space="0" w:color="auto"/>
            <w:left w:val="none" w:sz="0" w:space="0" w:color="auto"/>
            <w:bottom w:val="none" w:sz="0" w:space="0" w:color="auto"/>
            <w:right w:val="none" w:sz="0" w:space="0" w:color="auto"/>
          </w:divBdr>
          <w:divsChild>
            <w:div w:id="1830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36394">
      <w:bodyDiv w:val="1"/>
      <w:marLeft w:val="0"/>
      <w:marRight w:val="0"/>
      <w:marTop w:val="0"/>
      <w:marBottom w:val="0"/>
      <w:divBdr>
        <w:top w:val="none" w:sz="0" w:space="0" w:color="auto"/>
        <w:left w:val="none" w:sz="0" w:space="0" w:color="auto"/>
        <w:bottom w:val="none" w:sz="0" w:space="0" w:color="auto"/>
        <w:right w:val="none" w:sz="0" w:space="0" w:color="auto"/>
      </w:divBdr>
    </w:div>
    <w:div w:id="1552375954">
      <w:bodyDiv w:val="1"/>
      <w:marLeft w:val="0"/>
      <w:marRight w:val="0"/>
      <w:marTop w:val="0"/>
      <w:marBottom w:val="0"/>
      <w:divBdr>
        <w:top w:val="none" w:sz="0" w:space="0" w:color="auto"/>
        <w:left w:val="none" w:sz="0" w:space="0" w:color="auto"/>
        <w:bottom w:val="none" w:sz="0" w:space="0" w:color="auto"/>
        <w:right w:val="none" w:sz="0" w:space="0" w:color="auto"/>
      </w:divBdr>
    </w:div>
    <w:div w:id="1711611748">
      <w:bodyDiv w:val="1"/>
      <w:marLeft w:val="0"/>
      <w:marRight w:val="0"/>
      <w:marTop w:val="0"/>
      <w:marBottom w:val="0"/>
      <w:divBdr>
        <w:top w:val="none" w:sz="0" w:space="0" w:color="auto"/>
        <w:left w:val="none" w:sz="0" w:space="0" w:color="auto"/>
        <w:bottom w:val="none" w:sz="0" w:space="0" w:color="auto"/>
        <w:right w:val="none" w:sz="0" w:space="0" w:color="auto"/>
      </w:divBdr>
    </w:div>
    <w:div w:id="2024286306">
      <w:bodyDiv w:val="1"/>
      <w:marLeft w:val="0"/>
      <w:marRight w:val="0"/>
      <w:marTop w:val="0"/>
      <w:marBottom w:val="0"/>
      <w:divBdr>
        <w:top w:val="none" w:sz="0" w:space="0" w:color="auto"/>
        <w:left w:val="none" w:sz="0" w:space="0" w:color="auto"/>
        <w:bottom w:val="none" w:sz="0" w:space="0" w:color="auto"/>
        <w:right w:val="none" w:sz="0" w:space="0" w:color="auto"/>
      </w:divBdr>
    </w:div>
    <w:div w:id="207435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france.gouv.f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F70D9-17D4-4B52-B3F5-B88965447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13012</Words>
  <Characters>71569</Characters>
  <Application>Microsoft Office Word</Application>
  <DocSecurity>0</DocSecurity>
  <Lines>596</Lines>
  <Paragraphs>168</Paragraphs>
  <ScaleCrop>false</ScaleCrop>
  <HeadingPairs>
    <vt:vector size="2" baseType="variant">
      <vt:variant>
        <vt:lpstr>Titre</vt:lpstr>
      </vt:variant>
      <vt:variant>
        <vt:i4>1</vt:i4>
      </vt:variant>
    </vt:vector>
  </HeadingPairs>
  <TitlesOfParts>
    <vt:vector size="1" baseType="lpstr">
      <vt:lpstr/>
    </vt:vector>
  </TitlesOfParts>
  <Company>LNE</Company>
  <LinksUpToDate>false</LinksUpToDate>
  <CharactersWithSpaces>84413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Pauline</dc:creator>
  <cp:keywords/>
  <dc:description/>
  <cp:lastModifiedBy>GITZINGER Florence</cp:lastModifiedBy>
  <cp:revision>7</cp:revision>
  <cp:lastPrinted>2023-08-01T16:14:00Z</cp:lastPrinted>
  <dcterms:created xsi:type="dcterms:W3CDTF">2023-11-16T14:36:00Z</dcterms:created>
  <dcterms:modified xsi:type="dcterms:W3CDTF">2023-11-20T09:49:00Z</dcterms:modified>
</cp:coreProperties>
</file>